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_GBK" w:eastAsia="方正小标宋简体"/>
          <w:bCs/>
          <w:sz w:val="44"/>
          <w:szCs w:val="44"/>
        </w:rPr>
        <w:t>政府信息公开情况统计表</w:t>
      </w:r>
    </w:p>
    <w:p>
      <w:pPr>
        <w:autoSpaceDN w:val="0"/>
        <w:adjustRightInd w:val="0"/>
        <w:snapToGrid w:val="0"/>
        <w:jc w:val="center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  <w:lang w:eastAsia="zh-CN"/>
        </w:rPr>
        <w:t>（</w:t>
      </w:r>
      <w:r>
        <w:rPr>
          <w:rFonts w:eastAsia="仿宋"/>
          <w:sz w:val="32"/>
          <w:szCs w:val="32"/>
        </w:rPr>
        <w:t>2018</w:t>
      </w:r>
      <w:r>
        <w:rPr>
          <w:rFonts w:hAnsi="仿宋" w:eastAsia="仿宋"/>
          <w:sz w:val="32"/>
          <w:szCs w:val="32"/>
        </w:rPr>
        <w:t>年度</w:t>
      </w:r>
      <w:r>
        <w:rPr>
          <w:rFonts w:hint="eastAsia" w:eastAsia="仿宋"/>
          <w:sz w:val="32"/>
          <w:szCs w:val="32"/>
          <w:lang w:eastAsia="zh-CN"/>
        </w:rPr>
        <w:t>）</w:t>
      </w:r>
    </w:p>
    <w:p>
      <w:pPr>
        <w:autoSpaceDN w:val="0"/>
        <w:adjustRightInd w:val="0"/>
        <w:snapToGrid w:val="0"/>
        <w:rPr>
          <w:rFonts w:hint="eastAsia" w:eastAsia="仿宋"/>
          <w:sz w:val="32"/>
          <w:szCs w:val="32"/>
          <w:lang w:eastAsia="zh-CN"/>
        </w:rPr>
      </w:pPr>
      <w:r>
        <w:rPr>
          <w:rFonts w:hAnsi="仿宋" w:eastAsia="仿宋"/>
          <w:sz w:val="32"/>
          <w:szCs w:val="32"/>
        </w:rPr>
        <w:t>填报单位</w:t>
      </w:r>
      <w:r>
        <w:rPr>
          <w:rFonts w:eastAsia="仿宋"/>
          <w:sz w:val="32"/>
          <w:szCs w:val="32"/>
        </w:rPr>
        <w:t>(</w:t>
      </w:r>
      <w:r>
        <w:rPr>
          <w:rFonts w:hAnsi="仿宋" w:eastAsia="仿宋"/>
          <w:sz w:val="32"/>
          <w:szCs w:val="32"/>
        </w:rPr>
        <w:t>盖章</w:t>
      </w:r>
      <w:r>
        <w:rPr>
          <w:rFonts w:eastAsia="仿宋"/>
          <w:sz w:val="32"/>
          <w:szCs w:val="32"/>
        </w:rPr>
        <w:t>)</w:t>
      </w:r>
      <w:r>
        <w:rPr>
          <w:rFonts w:hAnsi="仿宋" w:eastAsia="仿宋"/>
          <w:sz w:val="32"/>
          <w:szCs w:val="32"/>
        </w:rPr>
        <w:t>：</w:t>
      </w:r>
      <w:r>
        <w:rPr>
          <w:rFonts w:hint="eastAsia" w:hAnsi="仿宋" w:eastAsia="仿宋"/>
          <w:sz w:val="32"/>
          <w:szCs w:val="32"/>
          <w:lang w:eastAsia="zh-CN"/>
        </w:rPr>
        <w:t>功山镇人民政府</w:t>
      </w:r>
    </w:p>
    <w:tbl>
      <w:tblPr>
        <w:tblStyle w:val="3"/>
        <w:tblW w:w="93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6"/>
        <w:gridCol w:w="1039"/>
        <w:gridCol w:w="13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eastAsia="仿宋_GB2312"/>
                <w:b/>
                <w:bCs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b/>
                <w:bCs/>
                <w:snapToGrid w:val="0"/>
                <w:w w:val="90"/>
                <w:kern w:val="0"/>
                <w:sz w:val="28"/>
                <w:szCs w:val="28"/>
              </w:rPr>
              <w:t>统　计　指　标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bCs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b/>
                <w:bCs/>
                <w:snapToGrid w:val="0"/>
                <w:w w:val="90"/>
                <w:kern w:val="0"/>
                <w:sz w:val="28"/>
                <w:szCs w:val="28"/>
              </w:rPr>
              <w:t>单位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bCs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b/>
                <w:bCs/>
                <w:snapToGrid w:val="0"/>
                <w:w w:val="90"/>
                <w:kern w:val="0"/>
                <w:sz w:val="28"/>
                <w:szCs w:val="28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56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一、主动公开情况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(一)主动公开政府信息数</w:t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br w:type="textWrapping"/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不同渠道和方式公开相同信息计</w:t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)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highlight w:val="none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其中：主动公开规范性文件数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制发规范性文件总数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56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(二)通过不同渠道和方式公开政府信息的情况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政府公报公开政府信息数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2.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政府网站公开政府信息数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3.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政务微博公开政府信息数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4.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政务微信公开政府信息数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5.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其他方式公开政府信息数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56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二、回应解读情况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(一)回应公众关注热点或重大舆情数</w:t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br w:type="textWrapping"/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不同方式回应同一热点或舆情计</w:t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)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56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(二)通过不同渠道和方式回应解读的情况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参加或举办新闻发布会总次数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1008" w:firstLineChars="4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其中：主要负责同志参加新闻发布会次数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2.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政府网站在线访谈次数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left="2033" w:leftChars="608" w:hanging="756" w:hanging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其中：主要负责同志参加政府网站在线访谈次数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3.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政策解读稿件发布数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篇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4.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微博微信回应事件数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5.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其他方式回应事件数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三、依申请公开情况</w:t>
            </w:r>
          </w:p>
        </w:tc>
        <w:tc>
          <w:tcPr>
            <w:tcW w:w="237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(一)收到申请数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当面申请数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2.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传真申请数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3.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网络申请数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4.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信函申请数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(二)申请办结数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按时办结数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2.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延期办结数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(三)申请答复数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属于已主动公开范围数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2.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同意公开答复数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3.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同意部分公开答复数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4.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不同意公开答复数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1008" w:firstLineChars="4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其中：涉及国家秘密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1764" w:firstLineChars="7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涉及商业秘密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1764" w:firstLineChars="7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涉及个人隐私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1764" w:firstLineChars="700"/>
              <w:jc w:val="left"/>
              <w:textAlignment w:val="center"/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危</w:t>
            </w:r>
            <w:r>
              <w:rPr>
                <w:rFonts w:hAnsi="仿宋_GB2312" w:eastAsia="仿宋_GB2312"/>
                <w:snapToGrid w:val="0"/>
                <w:spacing w:val="-4"/>
                <w:w w:val="90"/>
                <w:kern w:val="0"/>
                <w:sz w:val="28"/>
                <w:szCs w:val="28"/>
              </w:rPr>
              <w:t>及国家安全、公共安全、经济安全和社会稳定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1764" w:firstLineChars="7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不是《条例》所指政府信息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1764" w:firstLineChars="7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法律法规规定的其他情形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5.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不属于本行政机关公开数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6.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申请信息不存在数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7.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告知作出更改补充数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8.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告知通过其他途径办理数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四、行政复议数量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(一)维持具体行政行为数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(二)被依法纠错数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(三)其他情形数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五、行政诉讼数量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(一)维持具体行政行为或者驳回原告诉讼请求数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(二)被依法纠错数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(三)其他情形数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六、举报投诉数量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七、依申请公开信息收取的费用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万元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56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八、机构建设和保障经费情况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(一)政府信息公开工作专门机构数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个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(二)设置政府信息公开查阅点数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个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(三)从事政府信息公开工作人员数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人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snapToGrid w:val="0"/>
              <w:ind w:firstLine="756" w:firstLineChars="300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专职人员数</w:t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不包括政府公报及政府网站工作人员数</w:t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)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人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2.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兼职人员数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人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(四)政府信息公开专项经费(不包括用于政府公报编辑管理及政府网站建设维护等方面的经费)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万元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56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九、政府信息公开会议和培训情况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(一)召开政府信息公开工作会议或专题会议数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(二)举办各类培训班数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(三)接受培训人员数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人次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autoSpaceDN w:val="0"/>
        <w:snapToGrid w:val="0"/>
        <w:jc w:val="left"/>
        <w:rPr>
          <w:rFonts w:hint="eastAsia" w:hAnsi="仿宋_GB2312" w:eastAsia="仿宋_GB2312"/>
          <w:sz w:val="32"/>
          <w:szCs w:val="32"/>
        </w:rPr>
      </w:pPr>
    </w:p>
    <w:p>
      <w:pPr>
        <w:autoSpaceDN w:val="0"/>
        <w:snapToGrid w:val="0"/>
        <w:jc w:val="left"/>
        <w:rPr>
          <w:rFonts w:hint="eastAsia" w:hAnsi="仿宋_GB2312" w:eastAsia="仿宋_GB2312"/>
          <w:sz w:val="28"/>
          <w:szCs w:val="28"/>
          <w:lang w:eastAsia="zh-CN"/>
        </w:rPr>
      </w:pPr>
      <w:r>
        <w:rPr>
          <w:rFonts w:hAnsi="仿宋_GB2312" w:eastAsia="仿宋_GB2312"/>
          <w:sz w:val="28"/>
          <w:szCs w:val="28"/>
        </w:rPr>
        <w:t>单位负责人：</w:t>
      </w:r>
      <w:r>
        <w:rPr>
          <w:rFonts w:hint="eastAsia" w:hAnsi="仿宋_GB2312" w:eastAsia="仿宋_GB2312"/>
          <w:sz w:val="28"/>
          <w:szCs w:val="28"/>
          <w:lang w:eastAsia="zh-CN"/>
        </w:rPr>
        <w:t>李跃海</w:t>
      </w:r>
      <w:r>
        <w:rPr>
          <w:rFonts w:hAnsi="仿宋_GB2312" w:eastAsia="仿宋_GB2312"/>
          <w:sz w:val="28"/>
          <w:szCs w:val="28"/>
        </w:rPr>
        <w:t>　　　审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Ansi="仿宋_GB2312" w:eastAsia="仿宋_GB2312"/>
          <w:sz w:val="28"/>
          <w:szCs w:val="28"/>
        </w:rPr>
        <w:t>核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Ansi="仿宋_GB2312" w:eastAsia="仿宋_GB2312"/>
          <w:sz w:val="28"/>
          <w:szCs w:val="28"/>
        </w:rPr>
        <w:t>人：</w:t>
      </w:r>
      <w:r>
        <w:rPr>
          <w:rFonts w:hint="eastAsia" w:hAnsi="仿宋_GB2312" w:eastAsia="仿宋_GB2312"/>
          <w:sz w:val="28"/>
          <w:szCs w:val="28"/>
          <w:lang w:eastAsia="zh-CN"/>
        </w:rPr>
        <w:t>田永兴</w:t>
      </w:r>
      <w:bookmarkStart w:id="0" w:name="_GoBack"/>
      <w:bookmarkEnd w:id="0"/>
    </w:p>
    <w:p>
      <w:pPr>
        <w:autoSpaceDN w:val="0"/>
        <w:snapToGrid w:val="0"/>
        <w:jc w:val="left"/>
        <w:rPr>
          <w:rFonts w:hint="eastAsia" w:hAnsi="仿宋_GB2312" w:eastAsia="仿宋_GB2312"/>
          <w:sz w:val="28"/>
          <w:szCs w:val="28"/>
          <w:lang w:val="en-US" w:eastAsia="zh-CN"/>
        </w:rPr>
      </w:pPr>
      <w:r>
        <w:rPr>
          <w:rFonts w:hAnsi="仿宋_GB2312" w:eastAsia="仿宋_GB2312"/>
          <w:sz w:val="28"/>
          <w:szCs w:val="28"/>
        </w:rPr>
        <w:t>填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Ansi="仿宋_GB2312" w:eastAsia="仿宋_GB2312"/>
          <w:sz w:val="28"/>
          <w:szCs w:val="28"/>
        </w:rPr>
        <w:t>报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Ansi="仿宋_GB2312" w:eastAsia="仿宋_GB2312"/>
          <w:sz w:val="28"/>
          <w:szCs w:val="28"/>
        </w:rPr>
        <w:t>人：</w:t>
      </w:r>
      <w:r>
        <w:rPr>
          <w:rFonts w:hint="eastAsia" w:eastAsia="仿宋_GB2312"/>
          <w:sz w:val="28"/>
          <w:szCs w:val="28"/>
          <w:lang w:eastAsia="zh-CN"/>
        </w:rPr>
        <w:t>桂进蓉</w:t>
      </w:r>
      <w:r>
        <w:rPr>
          <w:rFonts w:eastAsia="仿宋_GB2312"/>
          <w:sz w:val="28"/>
          <w:szCs w:val="28"/>
        </w:rPr>
        <w:t xml:space="preserve">      </w:t>
      </w:r>
      <w:r>
        <w:rPr>
          <w:rFonts w:hAnsi="仿宋_GB2312" w:eastAsia="仿宋_GB2312"/>
          <w:sz w:val="28"/>
          <w:szCs w:val="28"/>
        </w:rPr>
        <w:t>联系电话：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>0871-62784001</w:t>
      </w:r>
    </w:p>
    <w:p>
      <w:pPr>
        <w:autoSpaceDN w:val="0"/>
        <w:snapToGrid w:val="0"/>
        <w:jc w:val="left"/>
        <w:rPr>
          <w:rFonts w:hint="eastAsia" w:eastAsia="仿宋_GB2312"/>
          <w:lang w:val="en-US" w:eastAsia="zh-CN"/>
        </w:rPr>
      </w:pPr>
      <w:r>
        <w:rPr>
          <w:rFonts w:hAnsi="仿宋_GB2312" w:eastAsia="仿宋_GB2312"/>
          <w:sz w:val="28"/>
          <w:szCs w:val="28"/>
        </w:rPr>
        <w:t>填报日期：</w:t>
      </w:r>
      <w:r>
        <w:rPr>
          <w:rFonts w:hint="eastAsia" w:eastAsia="仿宋_GB2312"/>
          <w:sz w:val="28"/>
          <w:szCs w:val="28"/>
          <w:lang w:val="en-US" w:eastAsia="zh-CN"/>
        </w:rPr>
        <w:t>2019年2月11日</w:t>
      </w:r>
    </w:p>
    <w:sectPr>
      <w:pgSz w:w="11906" w:h="16838"/>
      <w:pgMar w:top="1701" w:right="1417" w:bottom="1134" w:left="141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86C52"/>
    <w:rsid w:val="0E443A43"/>
    <w:rsid w:val="1F886C52"/>
    <w:rsid w:val="31E620F2"/>
    <w:rsid w:val="49DF1316"/>
    <w:rsid w:val="4CBC424A"/>
    <w:rsid w:val="54B13751"/>
    <w:rsid w:val="5D5C5175"/>
    <w:rsid w:val="60C4799F"/>
    <w:rsid w:val="6C4674C8"/>
    <w:rsid w:val="71EE07BB"/>
    <w:rsid w:val="75264F2F"/>
    <w:rsid w:val="7F6767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Office_11.1.0.8203_F1E327BC-269C-435d-A152-05C5408002CA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2019-02-11T06:50:00Z</dcterms:created>
  <dc:creator>々Rokinha_°゜_¨</dc:creator>
  <cp:lastModifiedBy>々Rokinha_°゜_¨</cp:lastModifiedBy>
  <cp:lastPrinted>2019-02-12T06:48:01Z</cp:lastPrinted>
  <dcterms:modified xsi:type="dcterms:W3CDTF">2019-02-12T06:53:39Z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