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寻甸回族彝族自治县城市管理局2019年城市维护项目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绩效再评价报告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pacing w:val="-20"/>
          <w:sz w:val="28"/>
          <w:szCs w:val="28"/>
        </w:rPr>
      </w:pPr>
      <w:bookmarkStart w:id="0" w:name="_Toc502134848"/>
      <w:r>
        <w:rPr>
          <w:rFonts w:hint="eastAsia" w:ascii="宋体" w:hAnsi="宋体" w:eastAsia="宋体" w:cs="宋体"/>
          <w:spacing w:val="-20"/>
          <w:sz w:val="28"/>
          <w:szCs w:val="28"/>
        </w:rPr>
        <w:t>中兴财光华（云）审专字(2020)第      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寻甸回族彝族自治县财政局：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受寻甸回族彝族自治县财政局委托，根据《寻甸县财政局关于印发&lt;寻甸县本级部门预算绩效自评管理暂行办法&gt;的通知》（寻财绩〔2018〕9号）、《寻甸回族彝族自治县财政局关于明确预算绩效管理工作职责的通知》(寻财〔2020〕5号)和《寻甸回族彝族自治县财政局关于对2019年度部门整体支出和重大项目支出进行再评价的通知》（寻财绩〔2020〕6号）等文件要求，中兴财光华会计师事务所(特殊普通合伙）云南分所组成审计评价组对寻甸回族彝族自治县城市管理局2019年度城市维护项目实施、管理、及效益情况进行了绩效再评价。寻甸回族彝族自治县城市管理局</w:t>
      </w:r>
      <w:bookmarkStart w:id="54" w:name="_GoBack"/>
      <w:bookmarkEnd w:id="54"/>
      <w:r>
        <w:rPr>
          <w:rFonts w:hint="eastAsia" w:ascii="宋体" w:hAnsi="宋体" w:eastAsia="宋体" w:cs="宋体"/>
          <w:sz w:val="28"/>
          <w:szCs w:val="28"/>
        </w:rPr>
        <w:t>（以下简称“县城管局”）对所提供评价资料的真实性、完整性负责。现将再评价情况报告如下：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一、基本情况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" w:name="_Toc502134849"/>
      <w:r>
        <w:rPr>
          <w:rFonts w:hint="eastAsia" w:ascii="宋体" w:hAnsi="宋体" w:eastAsia="宋体" w:cs="宋体"/>
          <w:b/>
          <w:bCs/>
          <w:sz w:val="28"/>
          <w:szCs w:val="28"/>
        </w:rPr>
        <w:t>（一）项目概况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2" w:name="_Toc502134850"/>
      <w:r>
        <w:rPr>
          <w:rFonts w:hint="eastAsia" w:ascii="宋体" w:hAnsi="宋体" w:eastAsia="宋体" w:cs="宋体"/>
          <w:sz w:val="28"/>
          <w:szCs w:val="28"/>
        </w:rPr>
        <w:t>1.项目设定背景、目的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2013年9月6日，国务院以国发〔2013〕36号印发《关于加强城市基础设施建设的意见》强调，城市基础设施是城市正常运行和健康发展的物质基础，对于改善人居环境、增强城市综合承载能力、提高城市运行效率、稳步推进新型城镇化、确保2020年全面建成小康社会具有重要作用。寻甸县城城市基础设施存在总量不足、标准不高等问题。加强城市基础设施维护，充分发挥存量城市基础设施的作用，有利于推动经济结构调整和发展方式转变，拉动投资和消费增长，扩大就业，促进节能减排，充分发挥城市功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2.项目立项依据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云南省人民政府关于深入推进新型城镇化建设的实施意见》（云政发〔2016〕63号）文件第十八条“提升县城和重点镇基础设施水平。加强城镇发展与基础设施建设有机结合，优化城镇街区路网结构，促进城镇基础设施建设与公路、铁路、航空枢纽和现代物流产业发展衔接与配套，形成方便快捷的城镇交通网络。强化城镇各级道路建设，打通城镇断头路，促进城镇街区道路微循环，完善和优化城市路网结构。加快推进城镇天然气输配、液化和储备设施建设，提高推进城镇天然气普及率，加快推进迪庆藏区供暖工程建设。推进重点城镇供水管网工程建设，加大贫困县、严重缺水县城和重点特色小城镇供水设施建设，加强城镇供水管网和污水处理及循环利用设施、雨污分流设施建设。完善城镇生活垃圾分类及无害化综合处理设施建设”的规定，寻甸县财政局安排城市维护项目资金300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（二）项目资金安排情况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根据县城管局提供预算批复等相关材料，2019年县级财政预算安排城市维护项目专项经费300万元，预算执行过程中未追加（减）预算。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3" w:name="_Toc502134851"/>
      <w:r>
        <w:rPr>
          <w:rFonts w:hint="eastAsia" w:ascii="宋体" w:hAnsi="宋体" w:eastAsia="宋体" w:cs="宋体"/>
          <w:b/>
          <w:bCs/>
          <w:sz w:val="28"/>
          <w:szCs w:val="28"/>
        </w:rPr>
        <w:t>（三）项目实施内容</w:t>
      </w:r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4" w:name="_Toc502134852"/>
      <w:r>
        <w:rPr>
          <w:rFonts w:hint="eastAsia" w:ascii="宋体" w:hAnsi="宋体" w:eastAsia="宋体" w:cs="宋体"/>
          <w:sz w:val="28"/>
          <w:szCs w:val="28"/>
        </w:rPr>
        <w:t>寻甸县城管局城市维护项目实施的主要内容：城市公共基础设施正常维护，包括县城道路桥梁维护、县城排水管网清淤、疏通、县城路灯维护、县城路灯电费支出、县城文笔塔管养维护、其他市政设施的临时抢修和维护等日常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（四）项目绩效目标设定情况</w:t>
      </w:r>
      <w:bookmarkEnd w:id="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县城管局未设定项目中期目标， 2019年城市维护项目预算申报时设定的绩效目标是：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完成县城规划建成区6.57平方公里范围内城市道路及护栏、路灯的维护管养；完成县城地下雨污管网的定时清掏疏浚；完成县城河道疑似黑臭水体的整治，完成文笔塔的维护管养，完成县城排水专项规划；足额缴纳县城路灯电费，通过2019年县城基础设施维护，确保县城道路完好率达95%，路灯亮灯率达98%，地下管网通畅率达100%，确保县城不出现疑似黑臭水体，确保文笔塔正常运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县城管局根据上述绩效目标只设定了设定年度目标。年度绩效指标具体情况如下：</w:t>
      </w:r>
    </w:p>
    <w:tbl>
      <w:tblPr>
        <w:tblStyle w:val="5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459"/>
        <w:gridCol w:w="1843"/>
        <w:gridCol w:w="2976"/>
        <w:gridCol w:w="15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exact"/>
        </w:trPr>
        <w:tc>
          <w:tcPr>
            <w:tcW w:w="5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绩  效  指  标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一级指标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   出   指   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市政设施检修维护面积 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6.57平方公里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年度市政维护工程量完成率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数量指标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市政配套设施完成率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工程验收合格率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工程按期完成率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工程完成率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日常维修及时率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效   益   指   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成本指标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县城市政设施维护成本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300万元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良好的环境促进经济增长率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&gt;5%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基础设施完好率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市政设施统合利用率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市政设施隐患消除情况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可持续影响指标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县城排水专项规划对县城排水工程指导意义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exact"/>
        </w:trPr>
        <w:tc>
          <w:tcPr>
            <w:tcW w:w="5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满意度指标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服务对象满意度指标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受益群体意度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85%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根据县城管局提供的绩效目标申报表，绩效再评价小组结合本项目设定的背景、目的及依据，在与项目主管部门进行深入讨论的基础上，将本项目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绩效再评价绩效指标及指标值设定如下：</w:t>
      </w:r>
    </w:p>
    <w:tbl>
      <w:tblPr>
        <w:tblStyle w:val="5"/>
        <w:tblW w:w="897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750"/>
        <w:gridCol w:w="1650"/>
        <w:gridCol w:w="3990"/>
        <w:gridCol w:w="183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项目绩效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项目产出</w:t>
            </w: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城市维护完成情况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县城路灯亮化率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路灯维修及时处理情况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全部及时处理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路灯维修合格情况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县城道路零星维修工程完成情况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雨污清掏完成情况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.雨污清掏处置完成率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雨污井盖维护情况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文笔塔管护完成情况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文笔塔管护完成情况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湿地公园维护情况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湿地公园维护情况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项目效益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满足群众日常出行路灯亮化需求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99%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清掏淤泥、完成湿地公园管护、优化县城生活环境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90%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成本效益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县城城市维护成本节约率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成本控制在预算资金内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促进经济发展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有利促进经济发展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受益群众对县城城市维护项目的满意程度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85%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5" w:name="_Toc502134853"/>
      <w:r>
        <w:rPr>
          <w:rFonts w:hint="eastAsia" w:ascii="宋体" w:hAnsi="宋体" w:eastAsia="宋体" w:cs="宋体"/>
          <w:b/>
          <w:bCs/>
          <w:sz w:val="28"/>
          <w:szCs w:val="28"/>
        </w:rPr>
        <w:t>（五）组织管理情况</w:t>
      </w:r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6" w:name="_Toc502134854"/>
      <w:r>
        <w:rPr>
          <w:rFonts w:hint="eastAsia" w:ascii="宋体" w:hAnsi="宋体" w:eastAsia="宋体" w:cs="宋体"/>
          <w:sz w:val="28"/>
          <w:szCs w:val="28"/>
        </w:rPr>
        <w:t>城市维护项目由县城管局市政科负责实施、管理和监督，具体包括县城道路桥梁维护、县城排水管网清淤、疏通、县城路灯维护、县城路灯电费支出、县城文笔塔管养维护、其他市政设施的临时抢修和维护等日常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实施流程:路灯维护采取向承包人签定维护合同,所需材料费由城管局市政科进行比价采购。零星市政设施维护与承包人一年一签承包合同，所需材料费由承包人进行采购，大型修缮材料费由城管局市政科进行比价采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资金拨付流程：工程结束后由承包方开据发票、用工明细、材料明细等资料报城管局财务审核合格后，再由市政科初审、分管领导复核、主要领导签字后支付。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二、绩效自评情况</w:t>
      </w:r>
      <w:bookmarkEnd w:id="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7" w:name="_Toc498009772"/>
      <w:bookmarkStart w:id="8" w:name="_Toc502134855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（一）绩效自评概述</w:t>
      </w:r>
      <w:bookmarkEnd w:id="7"/>
      <w:bookmarkEnd w:id="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《寻甸回族彝族自治县财政局关于对2019年度部门整体支出和重大项目支出进行再评价的通知》（寻财绩〔2020〕6号）等文件的规定，县城管局成立了2019年部门整体财政支出绩效自评组，并于2020年5月形成了《城市维护项目支出绩效自评报告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9" w:name="_Toc498009773"/>
      <w:bookmarkStart w:id="10" w:name="_Toc502134856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（二）绩效自评结论</w:t>
      </w:r>
      <w:bookmarkEnd w:id="9"/>
      <w:bookmarkEnd w:id="1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根据县城管局提供的城市维护项目支出绩效自评报告，县城管局2019年城市维护项目支出的管理、使用及效益情况绩效自评综合得分为92.00分，自评结果为“优秀”。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绩效自评提出存在以下问题：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1、县城管局在项目资金管理和使用方面制度不够完善；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2、县城范围不断扩大，财政资金投入较少带来一系列的问题。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1" w:name="_Toc502134857"/>
      <w:r>
        <w:rPr>
          <w:rFonts w:hint="eastAsia" w:ascii="宋体" w:hAnsi="宋体" w:eastAsia="宋体" w:cs="宋体"/>
          <w:b/>
          <w:bCs/>
          <w:sz w:val="28"/>
          <w:szCs w:val="28"/>
        </w:rPr>
        <w:t>三、绩效再评价组织情况</w:t>
      </w:r>
      <w:bookmarkEnd w:id="1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2" w:name="_Toc502134858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（一）绩效再评价依据</w:t>
      </w:r>
      <w:bookmarkEnd w:id="1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1.《中华人民共和国预算法》（2014年修订）；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2.财政部《项目支出绩效评价管理办法》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3.《中共云南省委、云南省人民政府关于全面实施预算管理绩效的意见》（云发〔2019〕11号）；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4.《云南省省级财政预算绩效管理暂行办法》（云财预〔2015〕295号）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5.《寻甸县财政局关于印发&lt;寻甸县本级部门预算绩效自评管理暂行办法&gt;的通知》（寻财绩〔2018〕9号）;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6. 《寻甸回族彝族自治县财政局关于对2019年度部门整体支出和重大项目支出进行再评价的通知》（寻财绩〔2020〕6号）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7.其他相关依据文件。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3" w:name="_Toc502134859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（二）绩效再评价方法</w:t>
      </w:r>
      <w:bookmarkEnd w:id="1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次绩效评价中采取定量与定性相结合的方式，具体实施了审阅自评、实地评价、交换和反馈意见、专家会审等程序。通过资料收集、数据填报、案卷研究、实地调研、座谈会、问卷调查等方式，开展实地再评价。对寻甸县2019年县级储备粮项目相关档案资料进行查阅，结合现场核实情况和资金到位使用及结余情况的分析，进行数据分析和取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4" w:name="_Toc502134860"/>
      <w:r>
        <w:rPr>
          <w:rFonts w:hint="eastAsia" w:ascii="宋体" w:hAnsi="宋体" w:eastAsia="宋体" w:cs="宋体"/>
          <w:b/>
          <w:bCs/>
          <w:sz w:val="28"/>
          <w:szCs w:val="28"/>
        </w:rPr>
        <w:t>（三）绩效再评价指标体系</w:t>
      </w:r>
      <w:bookmarkEnd w:id="1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1.绩效再评价指标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项目绩效再评价以100分计，设项目决策、项目管理、项目绩效3个一级指标，权重分别为：20%、20%、60%。在此基础上设定7个二级指标（项目立项、项目目标、投入管理、财务管理、项目实施、项目产出、项目效益）。设20个三级指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15" w:name="_Toc502134861"/>
      <w:r>
        <w:rPr>
          <w:rFonts w:hint="eastAsia" w:ascii="宋体" w:hAnsi="宋体" w:eastAsia="宋体" w:cs="宋体"/>
          <w:sz w:val="28"/>
          <w:szCs w:val="28"/>
        </w:rPr>
        <w:t>2.评价标准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(1)项目绩效评价得分满分为100分。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(2)由审计评价组根据评价情况，对各单项指标分别进行独立打分。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(3)总评价分为各单项指标得分总和。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(4)评价结果：根据最终得分情况将评价结果分为四个等级：优（得分≥90分）；良（80分≤得分＜90分）；中（60≤得分＜80分）；差（得分＜60分）。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16" w:name="_Toc25624"/>
      <w:bookmarkStart w:id="17" w:name="_Toc7874"/>
      <w:r>
        <w:rPr>
          <w:rFonts w:hint="eastAsia" w:ascii="宋体" w:hAnsi="宋体" w:eastAsia="宋体" w:cs="宋体"/>
          <w:sz w:val="28"/>
          <w:szCs w:val="28"/>
        </w:rPr>
        <w:t>3.数据来源</w:t>
      </w:r>
      <w:bookmarkEnd w:id="16"/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绩效再评价评分数据来源于由县城管局提供的资料。</w:t>
      </w:r>
    </w:p>
    <w:bookmarkEnd w:id="15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8" w:name="_Toc502134862"/>
      <w:r>
        <w:rPr>
          <w:rFonts w:hint="eastAsia" w:ascii="宋体" w:hAnsi="宋体" w:eastAsia="宋体" w:cs="宋体"/>
          <w:b/>
          <w:bCs/>
          <w:sz w:val="28"/>
          <w:szCs w:val="28"/>
        </w:rPr>
        <w:t>四、绩效再评价结论</w:t>
      </w:r>
      <w:bookmarkEnd w:id="1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19" w:name="_Toc502134863"/>
      <w:bookmarkStart w:id="20" w:name="_Toc498009780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（一）绩效再评价综合结论</w:t>
      </w:r>
      <w:bookmarkEnd w:id="19"/>
      <w:bookmarkEnd w:id="2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bookmarkStart w:id="21" w:name="_Toc498009781"/>
      <w:r>
        <w:rPr>
          <w:rFonts w:hint="eastAsia" w:ascii="宋体" w:hAnsi="宋体" w:eastAsia="宋体" w:cs="宋体"/>
          <w:sz w:val="28"/>
          <w:szCs w:val="28"/>
        </w:rPr>
        <w:t>2019年城市维护项目绩效再评价综合评分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86.9</w:t>
      </w:r>
      <w:r>
        <w:rPr>
          <w:rFonts w:hint="eastAsia" w:ascii="宋体" w:hAnsi="宋体" w:eastAsia="宋体" w:cs="宋体"/>
          <w:sz w:val="28"/>
          <w:szCs w:val="28"/>
        </w:rPr>
        <w:t>0分，评价等级“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良</w:t>
      </w:r>
      <w:r>
        <w:rPr>
          <w:rFonts w:hint="eastAsia" w:ascii="宋体" w:hAnsi="宋体" w:eastAsia="宋体" w:cs="宋体"/>
          <w:sz w:val="28"/>
          <w:szCs w:val="28"/>
        </w:rPr>
        <w:t>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综合评价结论：2019年城市维护项目已实施完成，实施效果良好，推动了全县改善了县城人居环境，推动了全县经济社会事业发展。但在绩效管理等方面待进一步加强。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2" w:name="_Toc502134864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（二）绩效目标实现情况</w:t>
      </w:r>
      <w:bookmarkEnd w:id="21"/>
      <w:bookmarkEnd w:id="2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绩效目标实现情况综合结论：本次再评价中设定3个绩效目标，分解为8个绩效指标。主要绩效目标基本实现。项目实施社会效益显著，可持续性影响认可率高，县城路灯亮化率达98%、雨污管网清掏完成100%、文笔塔维护管养完成100%、县城道路零星维修工程完成98%，及时率达99.%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3" w:name="_Toc502134865"/>
      <w:bookmarkStart w:id="24" w:name="_Toc498009782"/>
      <w:r>
        <w:rPr>
          <w:rFonts w:hint="eastAsia" w:ascii="宋体" w:hAnsi="宋体" w:eastAsia="宋体" w:cs="宋体"/>
          <w:b/>
          <w:bCs/>
          <w:sz w:val="28"/>
          <w:szCs w:val="28"/>
        </w:rPr>
        <w:t>（三）绩效自评与再评价差异分析</w:t>
      </w:r>
      <w:bookmarkEnd w:id="23"/>
      <w:bookmarkEnd w:id="2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评价程序存在差异。绩效自评由县城管局汇总相关资料，得出自评结论，未进行现场抽查。绩效再评价通过收集与部门整体相关资料、编制实施方案、开展实地评价、数据汇总分析、撰写报告的方式开展。二是再评价完善了绩效指标，提高了量化指标的比例，再评价指标将自评的定性指标设置为定量指标，使评价的范围、尺度更加明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5" w:name="_Toc498009783"/>
      <w:bookmarkStart w:id="26" w:name="_Toc502134866"/>
      <w:r>
        <w:rPr>
          <w:rFonts w:hint="eastAsia" w:ascii="宋体" w:hAnsi="宋体" w:eastAsia="宋体" w:cs="宋体"/>
          <w:b/>
          <w:bCs/>
          <w:sz w:val="28"/>
          <w:szCs w:val="28"/>
        </w:rPr>
        <w:t>五、绩效再评价情况分析</w:t>
      </w:r>
      <w:bookmarkEnd w:id="25"/>
      <w:bookmarkEnd w:id="2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27" w:name="_Toc498009784"/>
      <w:bookmarkStart w:id="28" w:name="_Toc502134867"/>
      <w:r>
        <w:rPr>
          <w:rFonts w:hint="eastAsia" w:ascii="宋体" w:hAnsi="宋体" w:eastAsia="宋体" w:cs="宋体"/>
          <w:b/>
          <w:bCs/>
          <w:sz w:val="28"/>
          <w:szCs w:val="28"/>
        </w:rPr>
        <w:t>（一）项目决策分析</w:t>
      </w:r>
      <w:bookmarkEnd w:id="27"/>
      <w:bookmarkEnd w:id="2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项目决策指标满分20分，再评价综合评分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sz w:val="28"/>
          <w:szCs w:val="28"/>
        </w:rPr>
        <w:t>.00分（占该项满分值的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65</w:t>
      </w:r>
      <w:r>
        <w:rPr>
          <w:rFonts w:hint="eastAsia" w:ascii="宋体" w:hAnsi="宋体" w:eastAsia="宋体" w:cs="宋体"/>
          <w:sz w:val="28"/>
          <w:szCs w:val="28"/>
        </w:rPr>
        <w:t>%），具体情况分析如下：</w:t>
      </w:r>
      <w:bookmarkStart w:id="29" w:name="_Toc50213486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县城管局未提供中长期规划，但根据提供的寻甸县人民政府印发的《寻甸回族彝族自治县国民经济和社会发展第十三个五年规划纲要》，项目基本能够与寻甸县十三五规划、县城管局的职能职责等相匹配、适应；因县城维护属长期的民生项目，城市维护项目包括了众多子项目，一般由上级下达维护任务由县城管局执行。县城管局未提供城市维护项目包的立项申请、设立的相关资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项目所设定的绩效目标依据充分，符合客观实际、国家相关法律法规、国民经济发展规划和党委政府决策等。但根据提供的绩效目标申报表，存在绩效目标表填列不规范，设定的绩效目标不能完整反映项目产出效益和效果，未将绩效目标细化分解为清晰、可衡量的绩效指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</w:t>
      </w:r>
      <w:bookmarkStart w:id="30" w:name="_Toc498009785"/>
      <w:r>
        <w:rPr>
          <w:rFonts w:hint="eastAsia" w:ascii="宋体" w:hAnsi="宋体" w:eastAsia="宋体" w:cs="宋体"/>
          <w:b/>
          <w:bCs/>
          <w:sz w:val="28"/>
          <w:szCs w:val="28"/>
        </w:rPr>
        <w:t>项目管理情况分析</w:t>
      </w:r>
      <w:bookmarkEnd w:id="29"/>
      <w:bookmarkEnd w:id="3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项目管理满分20分，再评价综合评分1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7.20</w:t>
      </w:r>
      <w:r>
        <w:rPr>
          <w:rFonts w:hint="eastAsia" w:ascii="宋体" w:hAnsi="宋体" w:eastAsia="宋体" w:cs="宋体"/>
          <w:sz w:val="28"/>
          <w:szCs w:val="28"/>
        </w:rPr>
        <w:t>分（占该项满分值的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86</w:t>
      </w:r>
      <w:r>
        <w:rPr>
          <w:rFonts w:hint="eastAsia" w:ascii="宋体" w:hAnsi="宋体" w:eastAsia="宋体" w:cs="宋体"/>
          <w:sz w:val="28"/>
          <w:szCs w:val="28"/>
        </w:rPr>
        <w:t>.00%），具体情况分析如下：</w:t>
      </w:r>
      <w:bookmarkStart w:id="31" w:name="_Toc498009786"/>
      <w:bookmarkStart w:id="32" w:name="_Toc50213486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1.项目支出预算依据充分、合理，基本能够与预算确定的项目投资额相匹配；2019年项目年初预算300.00万元，预算执行过程中未调整预算，项目实际支出300.00万元，预算执行率为100%。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2.项目执行县城管局关于城市维护的相关规定及《行政单位会计制度》有关规定，相关制度基本能够得到有效的执行。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2019年项目年初预算300.00万元，项目实际支出300.00万元，资金使用基本符合预算批复的用途，无截留、挤占、挪用、虚列支出等情况。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项目在业务管理方面执行国家有关法律法规，相关管理制度基本能够得到有效的执行。项目实施的人员条件、场地设备、执行能力、信息支撑等落实到位。项目合同管理基本规范，政府采购流程基本符合相关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（三）项目绩效情况分析</w:t>
      </w:r>
      <w:bookmarkEnd w:id="31"/>
      <w:bookmarkEnd w:id="3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项目绩效指标满分60分，再评价综合评分5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.70分（占该项满分值的9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4.50</w:t>
      </w:r>
      <w:r>
        <w:rPr>
          <w:rFonts w:hint="eastAsia" w:ascii="宋体" w:hAnsi="宋体" w:eastAsia="宋体" w:cs="宋体"/>
          <w:sz w:val="28"/>
          <w:szCs w:val="28"/>
        </w:rPr>
        <w:t>%），具体情况分析如下：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1.项目产出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县城管局基本完成了年度目标任务，2019年县城管局将县城从南到北划分为四个片区，实行分片管理，责任到人。</w:t>
      </w:r>
      <w:bookmarkStart w:id="33" w:name="_Toc498009787"/>
      <w:bookmarkStart w:id="34" w:name="_Toc502134870"/>
      <w:r>
        <w:rPr>
          <w:rFonts w:hint="eastAsia" w:ascii="宋体" w:hAnsi="宋体" w:eastAsia="宋体" w:cs="宋体"/>
          <w:sz w:val="28"/>
          <w:szCs w:val="28"/>
        </w:rPr>
        <w:t>全年对凤梧路、龙泉路、旭东路、文苑路市政设施进行修复，重新铺设人行道小块3982平方米，更换雨 子200个、井盖60套，修复市政道路隔离栏300米、新设隔离栏480米、安装人选横道隔离桩696棵、清除路沿私设斜坡障碍1800米、抢修照明电缆35处1600米、更换灯罩65个、增设2000个露土行道树池盖板、规范设置门头牌匾20处、规范店招牌40处、清除大型墙体喷绘广告240处、清除小型喷绘广告和违规门头牌匾100余块、拆除违规广告布标1330条、清理粘贴和喷绘小广告30000余条、拆除大型广告宣传42块、违建拆除2016宗107.03平方米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2.项目效益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通过城市维护项目的实施，县城路灯亮了，既美化了县城，又方便了群众出行；文笔塔的管养维护，为群众提供良好休闲娱乐的场所；及时维修县城道路等公共基础设施，更换井盖，充分发挥县城功能，为人民群众的安全出行提供切实的保障；及时疏浚和清掏污水管网，避免汛期雨水淤积，有利于县城环境保护、方便群众出行，保障群众生命、财产安全，提升我县的城市形象，为我县创建美丽县城提供了有力的保障。由于县城品质的提升，硬件环境的改善，寻甸已成为投资的热点地区，促进了县域经济的发展。</w:t>
      </w:r>
    </w:p>
    <w:bookmarkEnd w:id="33"/>
    <w:bookmarkEnd w:id="34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35" w:name="_Toc502134871"/>
      <w:bookmarkStart w:id="36" w:name="_Toc498009788"/>
      <w:r>
        <w:rPr>
          <w:rFonts w:hint="eastAsia" w:ascii="宋体" w:hAnsi="宋体" w:eastAsia="宋体" w:cs="宋体"/>
          <w:b/>
          <w:bCs/>
          <w:sz w:val="28"/>
          <w:szCs w:val="28"/>
        </w:rPr>
        <w:t>六、主要经验及做法</w:t>
      </w:r>
      <w:bookmarkEnd w:id="35"/>
      <w:bookmarkEnd w:id="3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一是建立了专项资金申请及项目绩效跟踪制度，发现问题，及时研究解决的办法和措施，保证了项目绩效目标的完成和项目绩效的充分发挥；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二是建立机构，保证单位项目绩效有序开展；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三是完善制度，确保项目实施的质量和项目资金的安全。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37" w:name="_Toc498009789"/>
      <w:bookmarkStart w:id="38" w:name="_Toc502134872"/>
      <w:r>
        <w:rPr>
          <w:rFonts w:hint="eastAsia" w:ascii="宋体" w:hAnsi="宋体" w:eastAsia="宋体" w:cs="宋体"/>
          <w:b/>
          <w:bCs/>
          <w:sz w:val="28"/>
          <w:szCs w:val="28"/>
        </w:rPr>
        <w:t>七、存在问题及原因分析</w:t>
      </w:r>
      <w:bookmarkEnd w:id="37"/>
      <w:bookmarkEnd w:id="38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39" w:name="_Toc502134873"/>
      <w:bookmarkStart w:id="40" w:name="_Toc500589022"/>
      <w:bookmarkStart w:id="41" w:name="_Toc500440025"/>
      <w:bookmarkStart w:id="42" w:name="_Toc500364179"/>
      <w:bookmarkStart w:id="43" w:name="_Toc500849310"/>
      <w:bookmarkStart w:id="44" w:name="_Toc500202563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（一）绩效管理落实不够好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1.根据县城管局提供的绩效目标申报表，存在填报格式不规范，绩效目标不完整、明确，绩效指标设置不准确、完整、清晰、可衡量等。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2.绩效自评未全部落实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根据县城管局提供的《城市维护项目支出绩效自评报告》，内容极其简单，部分内容与要求不符，如：项目立项未调查，但自评仍评2分，未扣分。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上述做法与《寻甸县本级部门预算绩效自评管理暂行办法》第三十六条“建立责任追究制度。……在贯彻执行预算绩效管理工作中，有令不行、有禁不止，落实不力、执行走样，或不按要求开展绩效自评工作的。”规定不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.项目管理</w:t>
      </w:r>
      <w:r>
        <w:rPr>
          <w:rFonts w:hint="eastAsia" w:ascii="宋体" w:hAnsi="宋体" w:eastAsia="宋体" w:cs="宋体"/>
          <w:sz w:val="28"/>
          <w:szCs w:val="28"/>
        </w:rPr>
        <w:t>制度部分内容不完善。如：未对公务卡结算作出明确的规定。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八、 </w:t>
      </w:r>
      <w:bookmarkEnd w:id="39"/>
      <w:bookmarkEnd w:id="40"/>
      <w:bookmarkEnd w:id="41"/>
      <w:bookmarkEnd w:id="42"/>
      <w:bookmarkEnd w:id="43"/>
      <w:bookmarkEnd w:id="44"/>
      <w:bookmarkStart w:id="45" w:name="_Toc502134879"/>
      <w:bookmarkStart w:id="46" w:name="_Toc498009790"/>
      <w:r>
        <w:rPr>
          <w:rFonts w:hint="eastAsia" w:ascii="宋体" w:hAnsi="宋体" w:eastAsia="宋体" w:cs="宋体"/>
          <w:b/>
          <w:bCs/>
          <w:sz w:val="28"/>
          <w:szCs w:val="28"/>
        </w:rPr>
        <w:t>建议</w:t>
      </w:r>
      <w:bookmarkEnd w:id="45"/>
      <w:bookmarkEnd w:id="46"/>
      <w:bookmarkStart w:id="47" w:name="_Toc500589028"/>
      <w:bookmarkStart w:id="48" w:name="_Toc500440031"/>
      <w:bookmarkStart w:id="49" w:name="_Toc500202569"/>
      <w:bookmarkStart w:id="50" w:name="_Toc502134880"/>
      <w:bookmarkStart w:id="51" w:name="_Toc500849317"/>
      <w:bookmarkStart w:id="52" w:name="_Toc500364185"/>
      <w:bookmarkStart w:id="53" w:name="_Toc49800979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（一）</w:t>
      </w:r>
      <w:bookmarkEnd w:id="47"/>
      <w:bookmarkEnd w:id="48"/>
      <w:bookmarkEnd w:id="49"/>
      <w:bookmarkEnd w:id="50"/>
      <w:bookmarkEnd w:id="51"/>
      <w:bookmarkEnd w:id="52"/>
      <w:r>
        <w:rPr>
          <w:rFonts w:hint="eastAsia" w:ascii="宋体" w:hAnsi="宋体" w:eastAsia="宋体" w:cs="宋体"/>
          <w:b/>
          <w:bCs/>
          <w:sz w:val="28"/>
          <w:szCs w:val="28"/>
        </w:rPr>
        <w:t>加大制度建设力度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县城管局2019年3月20日，才从县住建局分离出来，挂牌成立，部分制度仍用住建局的制度。县城管局要继续理顺关系，以制度建设为突破口，建立完善单位内部管理制度、维护项目管理制度。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（二）加强预算绩效管理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首先，开展对绩效管理人员的培训，提高绩效管理人员的绩效管理能力和水平，解决绩效管理人的问题。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其次进一步加大绩效评价制度建设和完善绩效评价指标体系建设。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（三）加强部门配合，做好部门项目绩效评价。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如局机关财会部门与市政管理部门建立信息共享机制，解决财会部门资金申报所需的项目实施信息，市政管理部门兑现项目资金所需的资金信息。</w:t>
      </w:r>
    </w:p>
    <w:bookmarkEnd w:id="53"/>
    <w:p>
      <w:pPr>
        <w:pStyle w:val="2"/>
        <w:rPr>
          <w:rFonts w:hint="eastAsia"/>
        </w:rPr>
      </w:pP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附件1：寻甸县城管局2019年城市维护项目支出绩效评价指标体系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rPr>
          <w:rFonts w:hint="eastAsia" w:ascii="宋体" w:hAnsi="宋体" w:eastAsia="宋体" w:cs="宋体"/>
          <w:sz w:val="28"/>
          <w:szCs w:val="28"/>
        </w:rPr>
      </w:pPr>
    </w:p>
    <w:p>
      <w:pPr>
        <w:wordWrap w:val="0"/>
        <w:spacing w:line="600" w:lineRule="exact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中国注册会计师：</w:t>
      </w:r>
    </w:p>
    <w:p>
      <w:pPr>
        <w:wordWrap w:val="0"/>
        <w:spacing w:line="600" w:lineRule="exact"/>
        <w:ind w:right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0"/>
          <w:sz w:val="28"/>
          <w:szCs w:val="28"/>
        </w:rPr>
        <w:t>中兴财光华会计师事务所(特殊普通合伙）云南分所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</w:p>
    <w:p>
      <w:pPr>
        <w:spacing w:line="600" w:lineRule="exact"/>
        <w:ind w:firstLine="280" w:firstLineChars="1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中国注册会计师：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280" w:firstLineChars="100"/>
      </w:pPr>
      <w:r>
        <w:rPr>
          <w:rFonts w:hint="eastAsia" w:ascii="宋体" w:hAnsi="宋体" w:eastAsia="宋体" w:cs="宋体"/>
          <w:sz w:val="28"/>
          <w:szCs w:val="28"/>
        </w:rPr>
        <w:t>中国•昆明                               二〇二〇年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二十八</w:t>
      </w:r>
      <w:r>
        <w:rPr>
          <w:rFonts w:hint="eastAsia" w:ascii="宋体" w:hAnsi="宋体" w:eastAsia="宋体" w:cs="宋体"/>
          <w:sz w:val="28"/>
          <w:szCs w:val="28"/>
        </w:rPr>
        <w:t xml:space="preserve">日   </w:t>
      </w:r>
      <w:r>
        <w:rPr>
          <w:rFonts w:hint="eastAsia" w:ascii="仿宋_GB2312" w:hAnsi="仿宋_GB2312" w:eastAsia="仿宋_GB2312" w:cs="仿宋_GB2312"/>
          <w:sz w:val="24"/>
        </w:rPr>
        <w:t xml:space="preserve">          </w:t>
      </w:r>
    </w:p>
    <w:sectPr>
      <w:headerReference r:id="rId3" w:type="default"/>
      <w:footerReference r:id="rId4" w:type="default"/>
      <w:pgSz w:w="11906" w:h="16838"/>
      <w:pgMar w:top="1984" w:right="1134" w:bottom="1134" w:left="1701" w:header="737" w:footer="737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eastAsia" w:ascii="隶书" w:hAnsi="隶书" w:eastAsia="隶书" w:cs="隶书"/>
        <w:sz w:val="10"/>
        <w:szCs w:val="10"/>
      </w:rPr>
    </w:pPr>
  </w:p>
  <w:p>
    <w:pPr>
      <w:pStyle w:val="4"/>
      <w:pBdr>
        <w:bottom w:val="none" w:color="auto" w:sz="0" w:space="1"/>
      </w:pBdr>
      <w:spacing w:line="240" w:lineRule="exact"/>
      <w:jc w:val="right"/>
      <w:rPr>
        <w:rFonts w:hint="eastAsia" w:ascii="隶书" w:hAnsi="隶书" w:eastAsia="隶书" w:cs="隶书"/>
        <w:sz w:val="10"/>
        <w:szCs w:val="10"/>
      </w:rPr>
    </w:pPr>
    <w:r>
      <w:rPr>
        <w:rFonts w:hint="eastAsia" w:ascii="隶书" w:eastAsia="隶书"/>
        <w:spacing w:val="-20"/>
        <w:sz w:val="28"/>
        <w:szCs w:val="28"/>
      </w:rPr>
      <w:t xml:space="preserve">                     </w:t>
    </w:r>
  </w:p>
  <w:p>
    <w:pPr>
      <w:pStyle w:val="4"/>
      <w:pBdr>
        <w:bottom w:val="single" w:color="auto" w:sz="4" w:space="1"/>
      </w:pBdr>
      <w:tabs>
        <w:tab w:val="left" w:pos="1290"/>
        <w:tab w:val="left" w:pos="3686"/>
        <w:tab w:val="left" w:pos="3828"/>
        <w:tab w:val="right" w:pos="8392"/>
      </w:tabs>
      <w:jc w:val="right"/>
    </w:pPr>
    <w:r>
      <w:rPr>
        <w:rFonts w:hint="eastAsia" w:ascii="隶书" w:eastAsia="隶书"/>
        <w:spacing w:val="-20"/>
        <w:sz w:val="28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50800</wp:posOffset>
          </wp:positionV>
          <wp:extent cx="1233805" cy="189865"/>
          <wp:effectExtent l="0" t="0" r="4445" b="635"/>
          <wp:wrapTight wrapText="bothSides">
            <wp:wrapPolygon>
              <wp:start x="0" y="0"/>
              <wp:lineTo x="0" y="19505"/>
              <wp:lineTo x="21344" y="19505"/>
              <wp:lineTo x="21344" y="0"/>
              <wp:lineTo x="0" y="0"/>
            </wp:wrapPolygon>
          </wp:wrapTight>
          <wp:docPr id="3" name="图片 2" descr="C:\Users\Administrator.USER-20170507AS\Desktop\图片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C:\Users\Administrator.USER-20170507AS\Desktop\图片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33805" cy="189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隶书" w:eastAsia="隶书"/>
        <w:spacing w:val="-20"/>
        <w:sz w:val="28"/>
        <w:szCs w:val="28"/>
      </w:rPr>
      <w:tab/>
    </w:r>
    <w:r>
      <w:rPr>
        <w:rFonts w:ascii="隶书" w:eastAsia="隶书"/>
        <w:spacing w:val="-20"/>
        <w:sz w:val="28"/>
        <w:szCs w:val="28"/>
      </w:rPr>
      <w:tab/>
    </w:r>
    <w:r>
      <w:rPr>
        <w:rFonts w:hint="eastAsia" w:ascii="隶书" w:eastAsia="隶书"/>
        <w:spacing w:val="-20"/>
        <w:sz w:val="28"/>
        <w:szCs w:val="28"/>
      </w:rPr>
      <w:t xml:space="preserve"> </w:t>
    </w:r>
    <w:r>
      <w:rPr>
        <w:rFonts w:ascii="隶书" w:eastAsia="隶书"/>
        <w:spacing w:val="-20"/>
        <w:sz w:val="28"/>
        <w:szCs w:val="28"/>
      </w:rPr>
      <w:t xml:space="preserve">   </w:t>
    </w:r>
    <w:r>
      <w:rPr>
        <w:rFonts w:hint="eastAsia" w:ascii="隶书" w:eastAsia="隶书"/>
        <w:spacing w:val="-20"/>
        <w:sz w:val="28"/>
        <w:szCs w:val="28"/>
      </w:rPr>
      <w:t>中兴财光华会计师事务所（特普）云南分所</w:t>
    </w:r>
    <w:r>
      <w:rPr>
        <w:rFonts w:ascii="隶书" w:eastAsia="隶书"/>
        <w:spacing w:val="-20"/>
        <w:sz w:val="28"/>
        <w:szCs w:val="28"/>
      </w:rPr>
      <w:t xml:space="preserve"> </w:t>
    </w:r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25A"/>
    <w:rsid w:val="00074266"/>
    <w:rsid w:val="000A6D7A"/>
    <w:rsid w:val="000D278C"/>
    <w:rsid w:val="00150109"/>
    <w:rsid w:val="00163456"/>
    <w:rsid w:val="001703ED"/>
    <w:rsid w:val="001A1F5C"/>
    <w:rsid w:val="001A3886"/>
    <w:rsid w:val="001A57D9"/>
    <w:rsid w:val="001B3130"/>
    <w:rsid w:val="00273EAD"/>
    <w:rsid w:val="002965B8"/>
    <w:rsid w:val="002A17D6"/>
    <w:rsid w:val="002C0A3E"/>
    <w:rsid w:val="002F3578"/>
    <w:rsid w:val="002F42E5"/>
    <w:rsid w:val="0034115F"/>
    <w:rsid w:val="00343768"/>
    <w:rsid w:val="003971F9"/>
    <w:rsid w:val="00407F34"/>
    <w:rsid w:val="004352F8"/>
    <w:rsid w:val="00452577"/>
    <w:rsid w:val="004777BA"/>
    <w:rsid w:val="00494EC6"/>
    <w:rsid w:val="004A11B5"/>
    <w:rsid w:val="004C443E"/>
    <w:rsid w:val="004D659B"/>
    <w:rsid w:val="005054E0"/>
    <w:rsid w:val="00516DB4"/>
    <w:rsid w:val="005244EB"/>
    <w:rsid w:val="00532FFD"/>
    <w:rsid w:val="00535285"/>
    <w:rsid w:val="00574512"/>
    <w:rsid w:val="00576EEA"/>
    <w:rsid w:val="00593C06"/>
    <w:rsid w:val="005E130E"/>
    <w:rsid w:val="006176A7"/>
    <w:rsid w:val="0066282E"/>
    <w:rsid w:val="0067279F"/>
    <w:rsid w:val="00690E08"/>
    <w:rsid w:val="006C7150"/>
    <w:rsid w:val="00711DB9"/>
    <w:rsid w:val="00726CC6"/>
    <w:rsid w:val="00751FBA"/>
    <w:rsid w:val="00757A95"/>
    <w:rsid w:val="00771166"/>
    <w:rsid w:val="00777F93"/>
    <w:rsid w:val="007D5486"/>
    <w:rsid w:val="007D5ED1"/>
    <w:rsid w:val="007E6FD6"/>
    <w:rsid w:val="008773CC"/>
    <w:rsid w:val="008A58DD"/>
    <w:rsid w:val="008B600E"/>
    <w:rsid w:val="008C10A9"/>
    <w:rsid w:val="00947BC8"/>
    <w:rsid w:val="009571FF"/>
    <w:rsid w:val="00971A9B"/>
    <w:rsid w:val="0098088A"/>
    <w:rsid w:val="00986B47"/>
    <w:rsid w:val="009A2CCB"/>
    <w:rsid w:val="009C6D1E"/>
    <w:rsid w:val="00A01339"/>
    <w:rsid w:val="00A34F1E"/>
    <w:rsid w:val="00A428A3"/>
    <w:rsid w:val="00A73C8E"/>
    <w:rsid w:val="00A769FF"/>
    <w:rsid w:val="00A849B2"/>
    <w:rsid w:val="00AA1F8B"/>
    <w:rsid w:val="00AB2BE8"/>
    <w:rsid w:val="00AE2821"/>
    <w:rsid w:val="00B16688"/>
    <w:rsid w:val="00B17C85"/>
    <w:rsid w:val="00B64312"/>
    <w:rsid w:val="00B94E27"/>
    <w:rsid w:val="00BA56A3"/>
    <w:rsid w:val="00BF2713"/>
    <w:rsid w:val="00BF63BC"/>
    <w:rsid w:val="00C1425A"/>
    <w:rsid w:val="00C2597A"/>
    <w:rsid w:val="00C76920"/>
    <w:rsid w:val="00C81B92"/>
    <w:rsid w:val="00C86F37"/>
    <w:rsid w:val="00CA29FA"/>
    <w:rsid w:val="00CC1884"/>
    <w:rsid w:val="00CE2442"/>
    <w:rsid w:val="00D10C8C"/>
    <w:rsid w:val="00D40550"/>
    <w:rsid w:val="00D44E05"/>
    <w:rsid w:val="00D46677"/>
    <w:rsid w:val="00D53FAA"/>
    <w:rsid w:val="00D64864"/>
    <w:rsid w:val="00D76C4E"/>
    <w:rsid w:val="00D912C9"/>
    <w:rsid w:val="00DE24DB"/>
    <w:rsid w:val="00DF760C"/>
    <w:rsid w:val="00E0408A"/>
    <w:rsid w:val="00E30DD8"/>
    <w:rsid w:val="00E337EB"/>
    <w:rsid w:val="00E94596"/>
    <w:rsid w:val="00F178A3"/>
    <w:rsid w:val="00F66D78"/>
    <w:rsid w:val="00F8564F"/>
    <w:rsid w:val="00F92118"/>
    <w:rsid w:val="00FB01AF"/>
    <w:rsid w:val="00FD5908"/>
    <w:rsid w:val="012C7DC0"/>
    <w:rsid w:val="01436F9F"/>
    <w:rsid w:val="01E50F28"/>
    <w:rsid w:val="02151E80"/>
    <w:rsid w:val="022E0963"/>
    <w:rsid w:val="0257031E"/>
    <w:rsid w:val="02684EB4"/>
    <w:rsid w:val="02A02758"/>
    <w:rsid w:val="02EA73E1"/>
    <w:rsid w:val="0307577D"/>
    <w:rsid w:val="045C346D"/>
    <w:rsid w:val="049401D8"/>
    <w:rsid w:val="04AC5FBE"/>
    <w:rsid w:val="04E77027"/>
    <w:rsid w:val="05145211"/>
    <w:rsid w:val="0521507F"/>
    <w:rsid w:val="055C6AE7"/>
    <w:rsid w:val="05634866"/>
    <w:rsid w:val="06186903"/>
    <w:rsid w:val="062A6E20"/>
    <w:rsid w:val="06790629"/>
    <w:rsid w:val="06BD18CD"/>
    <w:rsid w:val="074C6A10"/>
    <w:rsid w:val="075C167D"/>
    <w:rsid w:val="07785F46"/>
    <w:rsid w:val="080C5426"/>
    <w:rsid w:val="081D15C4"/>
    <w:rsid w:val="08932548"/>
    <w:rsid w:val="08E46646"/>
    <w:rsid w:val="095F41FF"/>
    <w:rsid w:val="09790F31"/>
    <w:rsid w:val="09943BCA"/>
    <w:rsid w:val="09BE3873"/>
    <w:rsid w:val="0A9F4057"/>
    <w:rsid w:val="0B114150"/>
    <w:rsid w:val="0B19583C"/>
    <w:rsid w:val="0B2B5475"/>
    <w:rsid w:val="0B45384A"/>
    <w:rsid w:val="0BFF1C88"/>
    <w:rsid w:val="0C230B9E"/>
    <w:rsid w:val="0CD33493"/>
    <w:rsid w:val="0D831253"/>
    <w:rsid w:val="0DCA5DE1"/>
    <w:rsid w:val="0E732050"/>
    <w:rsid w:val="0F4F24AB"/>
    <w:rsid w:val="0FA554CA"/>
    <w:rsid w:val="10A41CED"/>
    <w:rsid w:val="10C43B87"/>
    <w:rsid w:val="111D6972"/>
    <w:rsid w:val="11CA17ED"/>
    <w:rsid w:val="1225668C"/>
    <w:rsid w:val="122660D5"/>
    <w:rsid w:val="1256332B"/>
    <w:rsid w:val="1283031A"/>
    <w:rsid w:val="130C2193"/>
    <w:rsid w:val="130E3903"/>
    <w:rsid w:val="13166809"/>
    <w:rsid w:val="13D5523A"/>
    <w:rsid w:val="144D3492"/>
    <w:rsid w:val="145A1383"/>
    <w:rsid w:val="16523EA2"/>
    <w:rsid w:val="16EA3483"/>
    <w:rsid w:val="179C442C"/>
    <w:rsid w:val="17D26242"/>
    <w:rsid w:val="18736211"/>
    <w:rsid w:val="18E933C9"/>
    <w:rsid w:val="19250992"/>
    <w:rsid w:val="19EB2EA3"/>
    <w:rsid w:val="1A3C7AF1"/>
    <w:rsid w:val="1A3D12CC"/>
    <w:rsid w:val="1A545436"/>
    <w:rsid w:val="1A6C6495"/>
    <w:rsid w:val="1B6D5FA5"/>
    <w:rsid w:val="1B79551A"/>
    <w:rsid w:val="1C2D714A"/>
    <w:rsid w:val="1C7707CD"/>
    <w:rsid w:val="1CD55A4A"/>
    <w:rsid w:val="1D1B0AD1"/>
    <w:rsid w:val="1D221FDC"/>
    <w:rsid w:val="1D3941A5"/>
    <w:rsid w:val="1D8D6A3B"/>
    <w:rsid w:val="1DE925A7"/>
    <w:rsid w:val="1E2C4E59"/>
    <w:rsid w:val="1EB01ACB"/>
    <w:rsid w:val="1ED05892"/>
    <w:rsid w:val="1EE8779D"/>
    <w:rsid w:val="1F591721"/>
    <w:rsid w:val="1F91086F"/>
    <w:rsid w:val="1FE2356A"/>
    <w:rsid w:val="200244D1"/>
    <w:rsid w:val="201E59ED"/>
    <w:rsid w:val="2025021C"/>
    <w:rsid w:val="20694D65"/>
    <w:rsid w:val="20A14E27"/>
    <w:rsid w:val="2114179F"/>
    <w:rsid w:val="21197B5A"/>
    <w:rsid w:val="216A2D40"/>
    <w:rsid w:val="21E23314"/>
    <w:rsid w:val="21EC0A72"/>
    <w:rsid w:val="21EF780B"/>
    <w:rsid w:val="223F479F"/>
    <w:rsid w:val="223F5AC1"/>
    <w:rsid w:val="225F634C"/>
    <w:rsid w:val="229064AC"/>
    <w:rsid w:val="230C5D84"/>
    <w:rsid w:val="231435FF"/>
    <w:rsid w:val="23B177E1"/>
    <w:rsid w:val="24211347"/>
    <w:rsid w:val="24310DD4"/>
    <w:rsid w:val="246D2625"/>
    <w:rsid w:val="24900048"/>
    <w:rsid w:val="24BB522A"/>
    <w:rsid w:val="24F37529"/>
    <w:rsid w:val="251E0472"/>
    <w:rsid w:val="2520642A"/>
    <w:rsid w:val="25462E4B"/>
    <w:rsid w:val="25862011"/>
    <w:rsid w:val="260D7D0C"/>
    <w:rsid w:val="263A71E2"/>
    <w:rsid w:val="26690FCD"/>
    <w:rsid w:val="26963F27"/>
    <w:rsid w:val="269B1693"/>
    <w:rsid w:val="26DF0CD6"/>
    <w:rsid w:val="26ED48AE"/>
    <w:rsid w:val="27A01740"/>
    <w:rsid w:val="27C416DF"/>
    <w:rsid w:val="28870583"/>
    <w:rsid w:val="28D97FCA"/>
    <w:rsid w:val="291B5803"/>
    <w:rsid w:val="29733142"/>
    <w:rsid w:val="29A033E8"/>
    <w:rsid w:val="29BC365E"/>
    <w:rsid w:val="2A1C5137"/>
    <w:rsid w:val="2A6B5300"/>
    <w:rsid w:val="2B80177F"/>
    <w:rsid w:val="2B90159F"/>
    <w:rsid w:val="2B993748"/>
    <w:rsid w:val="2BBE1DE2"/>
    <w:rsid w:val="2DA362F7"/>
    <w:rsid w:val="2DDE1315"/>
    <w:rsid w:val="2E694CC4"/>
    <w:rsid w:val="2E70008E"/>
    <w:rsid w:val="2E795570"/>
    <w:rsid w:val="2F003993"/>
    <w:rsid w:val="30F14E48"/>
    <w:rsid w:val="31A23AE0"/>
    <w:rsid w:val="31C37AEC"/>
    <w:rsid w:val="32477ABF"/>
    <w:rsid w:val="325970B3"/>
    <w:rsid w:val="32DF1CBC"/>
    <w:rsid w:val="33816DA8"/>
    <w:rsid w:val="33F469AE"/>
    <w:rsid w:val="34214870"/>
    <w:rsid w:val="34B93037"/>
    <w:rsid w:val="34C2659C"/>
    <w:rsid w:val="35212153"/>
    <w:rsid w:val="355B423F"/>
    <w:rsid w:val="36314683"/>
    <w:rsid w:val="36472C7B"/>
    <w:rsid w:val="36753A20"/>
    <w:rsid w:val="36B326B4"/>
    <w:rsid w:val="36CE2123"/>
    <w:rsid w:val="36D9255D"/>
    <w:rsid w:val="373206A1"/>
    <w:rsid w:val="37A32806"/>
    <w:rsid w:val="380B1DFE"/>
    <w:rsid w:val="382E6775"/>
    <w:rsid w:val="385852A1"/>
    <w:rsid w:val="386F48E8"/>
    <w:rsid w:val="38D91E08"/>
    <w:rsid w:val="38E0103A"/>
    <w:rsid w:val="38F230E0"/>
    <w:rsid w:val="393C79BC"/>
    <w:rsid w:val="39CC0DE9"/>
    <w:rsid w:val="3A896034"/>
    <w:rsid w:val="3A9F1F4F"/>
    <w:rsid w:val="3AB45EB9"/>
    <w:rsid w:val="3B493B46"/>
    <w:rsid w:val="3B55625B"/>
    <w:rsid w:val="3BE552CD"/>
    <w:rsid w:val="3C976231"/>
    <w:rsid w:val="3CAA0274"/>
    <w:rsid w:val="3D1746DC"/>
    <w:rsid w:val="3D237BE8"/>
    <w:rsid w:val="3D2C4D79"/>
    <w:rsid w:val="3D642282"/>
    <w:rsid w:val="3D7B5779"/>
    <w:rsid w:val="3DB15E99"/>
    <w:rsid w:val="3DB46368"/>
    <w:rsid w:val="3DD8680E"/>
    <w:rsid w:val="3DFD5343"/>
    <w:rsid w:val="3E3062DB"/>
    <w:rsid w:val="3F231079"/>
    <w:rsid w:val="3F8B2040"/>
    <w:rsid w:val="3F913ED2"/>
    <w:rsid w:val="3FAD78C2"/>
    <w:rsid w:val="3FF47E41"/>
    <w:rsid w:val="401A63D0"/>
    <w:rsid w:val="40615229"/>
    <w:rsid w:val="41516E1E"/>
    <w:rsid w:val="416E5398"/>
    <w:rsid w:val="41A449A2"/>
    <w:rsid w:val="42F5056C"/>
    <w:rsid w:val="42FB7CE0"/>
    <w:rsid w:val="431112AD"/>
    <w:rsid w:val="43561DE5"/>
    <w:rsid w:val="436B4467"/>
    <w:rsid w:val="44406011"/>
    <w:rsid w:val="449C2C79"/>
    <w:rsid w:val="450736B6"/>
    <w:rsid w:val="45532B45"/>
    <w:rsid w:val="46162C84"/>
    <w:rsid w:val="462E0F20"/>
    <w:rsid w:val="46B80FA9"/>
    <w:rsid w:val="476A374A"/>
    <w:rsid w:val="47C33349"/>
    <w:rsid w:val="47E54BDD"/>
    <w:rsid w:val="4809270E"/>
    <w:rsid w:val="48155FBD"/>
    <w:rsid w:val="489578D5"/>
    <w:rsid w:val="48C756C4"/>
    <w:rsid w:val="490910CB"/>
    <w:rsid w:val="49672FCD"/>
    <w:rsid w:val="497D1E37"/>
    <w:rsid w:val="4A202CB3"/>
    <w:rsid w:val="4A741CD0"/>
    <w:rsid w:val="4AFF1CE5"/>
    <w:rsid w:val="4B2C2C5C"/>
    <w:rsid w:val="4B542445"/>
    <w:rsid w:val="4BAE6978"/>
    <w:rsid w:val="4C9A610C"/>
    <w:rsid w:val="4CAF036C"/>
    <w:rsid w:val="4CBB7439"/>
    <w:rsid w:val="4CBE1C08"/>
    <w:rsid w:val="4D356131"/>
    <w:rsid w:val="4D635CDE"/>
    <w:rsid w:val="4EE759E0"/>
    <w:rsid w:val="4EFC0E40"/>
    <w:rsid w:val="4F5B18B4"/>
    <w:rsid w:val="4F746E17"/>
    <w:rsid w:val="4F7E527E"/>
    <w:rsid w:val="4FB16A86"/>
    <w:rsid w:val="50B92872"/>
    <w:rsid w:val="51A35549"/>
    <w:rsid w:val="51C96CF8"/>
    <w:rsid w:val="51E16B22"/>
    <w:rsid w:val="51E71584"/>
    <w:rsid w:val="52AA0DF9"/>
    <w:rsid w:val="531A7701"/>
    <w:rsid w:val="535A4036"/>
    <w:rsid w:val="535E0C0C"/>
    <w:rsid w:val="543625D7"/>
    <w:rsid w:val="55497B99"/>
    <w:rsid w:val="556F44BF"/>
    <w:rsid w:val="55981C1E"/>
    <w:rsid w:val="568024C8"/>
    <w:rsid w:val="568F79BF"/>
    <w:rsid w:val="56F312B5"/>
    <w:rsid w:val="572B04F0"/>
    <w:rsid w:val="572B4176"/>
    <w:rsid w:val="580649F2"/>
    <w:rsid w:val="58226B70"/>
    <w:rsid w:val="58835B9A"/>
    <w:rsid w:val="58F23A2C"/>
    <w:rsid w:val="58F33BD7"/>
    <w:rsid w:val="595950A7"/>
    <w:rsid w:val="59AB446D"/>
    <w:rsid w:val="5A742FCA"/>
    <w:rsid w:val="5A801F1C"/>
    <w:rsid w:val="5AC64458"/>
    <w:rsid w:val="5AD56AE1"/>
    <w:rsid w:val="5AF42D65"/>
    <w:rsid w:val="5B721AD3"/>
    <w:rsid w:val="5BAF49EA"/>
    <w:rsid w:val="5C661078"/>
    <w:rsid w:val="5C9167F0"/>
    <w:rsid w:val="5D250AE8"/>
    <w:rsid w:val="5D8562D6"/>
    <w:rsid w:val="5E107A6E"/>
    <w:rsid w:val="5E552402"/>
    <w:rsid w:val="5EA954DA"/>
    <w:rsid w:val="5F165F74"/>
    <w:rsid w:val="5F3E22C2"/>
    <w:rsid w:val="5F8F3F9D"/>
    <w:rsid w:val="5FE44BCC"/>
    <w:rsid w:val="601278AE"/>
    <w:rsid w:val="607F216A"/>
    <w:rsid w:val="61017BFE"/>
    <w:rsid w:val="614B06AC"/>
    <w:rsid w:val="617C14DD"/>
    <w:rsid w:val="61D62E95"/>
    <w:rsid w:val="61D8581E"/>
    <w:rsid w:val="622218C3"/>
    <w:rsid w:val="6239511B"/>
    <w:rsid w:val="6308246A"/>
    <w:rsid w:val="6308767C"/>
    <w:rsid w:val="63287634"/>
    <w:rsid w:val="6429437B"/>
    <w:rsid w:val="64FB67B9"/>
    <w:rsid w:val="65311AE8"/>
    <w:rsid w:val="65372FB5"/>
    <w:rsid w:val="6579788B"/>
    <w:rsid w:val="65A56F80"/>
    <w:rsid w:val="65D200C7"/>
    <w:rsid w:val="65D31262"/>
    <w:rsid w:val="65DE71F4"/>
    <w:rsid w:val="65E7615B"/>
    <w:rsid w:val="669B2A9B"/>
    <w:rsid w:val="673B62F2"/>
    <w:rsid w:val="674F16A7"/>
    <w:rsid w:val="683E687F"/>
    <w:rsid w:val="68430FB9"/>
    <w:rsid w:val="68FF3ACA"/>
    <w:rsid w:val="6900055E"/>
    <w:rsid w:val="69223AE7"/>
    <w:rsid w:val="69251ED4"/>
    <w:rsid w:val="69326652"/>
    <w:rsid w:val="69B14B4E"/>
    <w:rsid w:val="69C175E5"/>
    <w:rsid w:val="6A1221A1"/>
    <w:rsid w:val="6A233920"/>
    <w:rsid w:val="6A8B6B18"/>
    <w:rsid w:val="6A9352A2"/>
    <w:rsid w:val="6AA338E6"/>
    <w:rsid w:val="6B654FB0"/>
    <w:rsid w:val="6BAF6941"/>
    <w:rsid w:val="6C24259C"/>
    <w:rsid w:val="6CFA7874"/>
    <w:rsid w:val="6DBE17E3"/>
    <w:rsid w:val="6E160574"/>
    <w:rsid w:val="6F1A7E1A"/>
    <w:rsid w:val="6FF85E6E"/>
    <w:rsid w:val="70A4763A"/>
    <w:rsid w:val="70D45314"/>
    <w:rsid w:val="717B1403"/>
    <w:rsid w:val="71D842FA"/>
    <w:rsid w:val="71F00255"/>
    <w:rsid w:val="721434B7"/>
    <w:rsid w:val="725F33BF"/>
    <w:rsid w:val="72C251F0"/>
    <w:rsid w:val="72D87B33"/>
    <w:rsid w:val="72DD5B9E"/>
    <w:rsid w:val="7366202F"/>
    <w:rsid w:val="737A786F"/>
    <w:rsid w:val="740D3F11"/>
    <w:rsid w:val="745C550C"/>
    <w:rsid w:val="74D46B08"/>
    <w:rsid w:val="75184790"/>
    <w:rsid w:val="75577D7F"/>
    <w:rsid w:val="755D5C19"/>
    <w:rsid w:val="757022FB"/>
    <w:rsid w:val="75F71F3B"/>
    <w:rsid w:val="766D57C1"/>
    <w:rsid w:val="769714F7"/>
    <w:rsid w:val="76E83D9B"/>
    <w:rsid w:val="77827BF3"/>
    <w:rsid w:val="788F38A7"/>
    <w:rsid w:val="79017261"/>
    <w:rsid w:val="796608A4"/>
    <w:rsid w:val="79CA7D83"/>
    <w:rsid w:val="7A814BA2"/>
    <w:rsid w:val="7AAC5343"/>
    <w:rsid w:val="7C230E82"/>
    <w:rsid w:val="7C5C2009"/>
    <w:rsid w:val="7C6D71FD"/>
    <w:rsid w:val="7C7E2620"/>
    <w:rsid w:val="7CCE3276"/>
    <w:rsid w:val="7CDD6CC4"/>
    <w:rsid w:val="7D374E9E"/>
    <w:rsid w:val="7D82688C"/>
    <w:rsid w:val="7DB41EC3"/>
    <w:rsid w:val="7E930BA3"/>
    <w:rsid w:val="7F37013C"/>
    <w:rsid w:val="7F5F1232"/>
    <w:rsid w:val="7F755C75"/>
    <w:rsid w:val="7FA119C3"/>
    <w:rsid w:val="7FA3150B"/>
    <w:rsid w:val="7FEB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924</Words>
  <Characters>5272</Characters>
  <Lines>43</Lines>
  <Paragraphs>12</Paragraphs>
  <TotalTime>18</TotalTime>
  <ScaleCrop>false</ScaleCrop>
  <LinksUpToDate>false</LinksUpToDate>
  <CharactersWithSpaces>6184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2020-09-08T03:34:00Z</dcterms:created>
  <dc:creator>de'l'l</dc:creator>
  <cp:lastModifiedBy>天空中的神话</cp:lastModifiedBy>
  <dcterms:modified xsi:type="dcterms:W3CDTF">2020-09-29T08:53:10Z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