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寻甸回族彝族自治县城市管理局2019年城乡清洁工程</w:t>
      </w:r>
    </w:p>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项目绩效再评价报告</w:t>
      </w:r>
    </w:p>
    <w:p>
      <w:pPr>
        <w:keepNext w:val="0"/>
        <w:keepLines w:val="0"/>
        <w:pageBreakBefore w:val="0"/>
        <w:kinsoku/>
        <w:wordWrap/>
        <w:overflowPunct/>
        <w:topLinePunct w:val="0"/>
        <w:autoSpaceDE/>
        <w:autoSpaceDN/>
        <w:bidi w:val="0"/>
        <w:adjustRightInd/>
        <w:snapToGrid/>
        <w:spacing w:line="360" w:lineRule="auto"/>
        <w:jc w:val="center"/>
        <w:rPr>
          <w:rFonts w:hint="eastAsia" w:hAnsi="宋体" w:eastAsia="宋体" w:cs="宋体" w:asciiTheme="majorAscii"/>
          <w:spacing w:val="-20"/>
          <w:sz w:val="24"/>
          <w:szCs w:val="24"/>
        </w:rPr>
      </w:pPr>
      <w:bookmarkStart w:id="0" w:name="_Toc502134848"/>
      <w:r>
        <w:rPr>
          <w:rFonts w:hint="eastAsia" w:hAnsi="宋体" w:eastAsia="宋体" w:cs="宋体" w:asciiTheme="majorAscii"/>
          <w:spacing w:val="-20"/>
          <w:sz w:val="24"/>
          <w:szCs w:val="24"/>
        </w:rPr>
        <w:t>中兴财光华（云）审专字(2020)第      号</w:t>
      </w:r>
    </w:p>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b/>
          <w:sz w:val="28"/>
          <w:szCs w:val="28"/>
        </w:rPr>
      </w:pPr>
      <w:r>
        <w:rPr>
          <w:rFonts w:hint="eastAsia" w:ascii="宋体" w:hAnsi="宋体" w:eastAsia="宋体" w:cs="宋体"/>
          <w:b/>
          <w:sz w:val="28"/>
          <w:szCs w:val="28"/>
        </w:rPr>
        <w:t>寻甸回族彝族自治县财政局：</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w:t>
      </w:r>
      <w:bookmarkStart w:id="54" w:name="_GoBack"/>
      <w:bookmarkEnd w:id="54"/>
      <w:r>
        <w:rPr>
          <w:rFonts w:hint="eastAsia" w:ascii="宋体" w:hAnsi="宋体" w:eastAsia="宋体" w:cs="宋体"/>
          <w:sz w:val="28"/>
          <w:szCs w:val="28"/>
        </w:rPr>
        <w:t>（寻财绩〔2020〕6号）等文件要求，中兴财光华会计师事务所(特殊普通合伙）云南分所组成审计评价组对寻甸回族彝族自治县城市管理局2019年度城乡清洁工程</w:t>
      </w:r>
      <w:r>
        <w:rPr>
          <w:rFonts w:hint="eastAsia" w:ascii="宋体" w:hAnsi="宋体" w:eastAsia="宋体" w:cs="宋体"/>
          <w:sz w:val="28"/>
          <w:szCs w:val="28"/>
          <w:lang w:eastAsia="zh-CN"/>
        </w:rPr>
        <w:t>项目</w:t>
      </w:r>
      <w:r>
        <w:rPr>
          <w:rFonts w:hint="eastAsia" w:ascii="宋体" w:hAnsi="宋体" w:eastAsia="宋体" w:cs="宋体"/>
          <w:sz w:val="28"/>
          <w:szCs w:val="28"/>
        </w:rPr>
        <w:t>支出的管理、</w:t>
      </w:r>
      <w:r>
        <w:rPr>
          <w:rFonts w:hint="eastAsia" w:ascii="宋体" w:hAnsi="宋体" w:eastAsia="宋体" w:cs="宋体"/>
          <w:sz w:val="28"/>
          <w:szCs w:val="28"/>
          <w:lang w:eastAsia="zh-CN"/>
        </w:rPr>
        <w:t>资金</w:t>
      </w:r>
      <w:r>
        <w:rPr>
          <w:rFonts w:hint="eastAsia" w:ascii="宋体" w:hAnsi="宋体" w:eastAsia="宋体" w:cs="宋体"/>
          <w:sz w:val="28"/>
          <w:szCs w:val="28"/>
        </w:rPr>
        <w:t>使用及效益情况进行了绩效再评价。寻甸回族彝族自治县城市管理局（以下简称“县城管局”）对所提供评价资料的真实性、完整性负责。现将再评价情况报告如下：</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一、基本情况</w:t>
      </w:r>
      <w:bookmarkEnd w:id="0"/>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 w:name="_Toc502134849"/>
      <w:r>
        <w:rPr>
          <w:rFonts w:hint="eastAsia" w:ascii="宋体" w:hAnsi="宋体" w:eastAsia="宋体" w:cs="宋体"/>
          <w:b/>
          <w:bCs/>
          <w:sz w:val="28"/>
          <w:szCs w:val="28"/>
        </w:rPr>
        <w:t>（一）项目概况</w:t>
      </w:r>
      <w:bookmarkEnd w:id="1"/>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1.项目设定背景、目的</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2014年，国务院近日印发了《关于进一步加强新时期爱国卫生工作的意见》（国发〔2014〕66号），文件要求，结合社会主义新农村建设、美丽乡村建设、改善农村人居环境和农村社区建设试点工作，以农村垃圾污水处理和城市环境卫生薄弱地段整治为重点，持续深入开展整洁行动，统筹治理城乡环境卫生问题。推行县域城乡生活垃圾和污水统筹治理，实施统一规划、统一建设、统一管理、统一运行，有条件的地方推进城镇垃圾污水处理设施和服务向农村延伸，不断提高对生活垃圾和污水进行处理的行政村比例。推行垃圾分类收集处理和资源回收利用，逐步实现垃圾处理减量化、资源化、无害化。防治畜禽养殖污染，推进畜禽粪污综合治理利用，加强病死畜禽无害化收集处理，规范农药包装物、农膜等废弃物处置，大力推广秸秆综合利用，严禁秸秆随意焚烧。严格活禽市场准入，监督规范活禽经营市场秩序，逐步推行“禽类定点屠宰、白条禽上市”制度。开展生态清洁型小流域治理，改善农村河道水环境。以雾霾频发地区为重点，坚持源头管控，狠抓细颗粒物和可吸入颗粒物综合治理。制订或修订村规民约，落实清扫保洁制度，组织开展义务劳动，清理乱堆乱放，拆除违章建筑，疏浚坑塘河道，营造清洁有序、健康宜居的生产生活环境。</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2.项目立项依据</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bCs/>
          <w:sz w:val="28"/>
          <w:szCs w:val="28"/>
          <w:lang w:eastAsia="zh-CN"/>
        </w:rPr>
      </w:pPr>
      <w:bookmarkStart w:id="2" w:name="_Toc502134850"/>
      <w:r>
        <w:rPr>
          <w:rFonts w:hint="eastAsia" w:ascii="宋体" w:hAnsi="宋体" w:eastAsia="宋体" w:cs="宋体"/>
          <w:sz w:val="28"/>
          <w:szCs w:val="28"/>
        </w:rPr>
        <w:t>2015年云南省人民政府《关于进一步加强新时期爱国卫生工作的实施意见》(云政发〔2015〕77号)文件在保障措施中，明确要求“各级财政要统筹安排项目资金,为爱国卫生事业发展提供必要的经费保障。”</w:t>
      </w:r>
      <w:r>
        <w:rPr>
          <w:rFonts w:hint="eastAsia" w:ascii="宋体" w:hAnsi="宋体" w:eastAsia="宋体" w:cs="宋体"/>
          <w:sz w:val="28"/>
          <w:szCs w:val="28"/>
          <w:lang w:eastAsia="zh-CN"/>
        </w:rPr>
        <w:t>。</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（二）项目资金安排情况</w:t>
      </w:r>
      <w:bookmarkEnd w:id="2"/>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eastAsia="zh-CN"/>
        </w:rPr>
        <w:t>根据《寻甸回族彝族自治县财政局关于下达</w:t>
      </w:r>
      <w:r>
        <w:rPr>
          <w:rFonts w:hint="eastAsia" w:ascii="宋体" w:hAnsi="宋体" w:eastAsia="宋体" w:cs="宋体"/>
          <w:sz w:val="28"/>
          <w:szCs w:val="28"/>
          <w:lang w:val="en-US" w:eastAsia="zh-CN"/>
        </w:rPr>
        <w:t>2019年部门预算批复的通知</w:t>
      </w:r>
      <w:r>
        <w:rPr>
          <w:rFonts w:hint="eastAsia" w:ascii="宋体" w:hAnsi="宋体" w:eastAsia="宋体" w:cs="宋体"/>
          <w:sz w:val="28"/>
          <w:szCs w:val="28"/>
          <w:lang w:eastAsia="zh-CN"/>
        </w:rPr>
        <w:t>》（寻财预</w:t>
      </w:r>
      <w:r>
        <w:rPr>
          <w:rFonts w:hint="eastAsia" w:ascii="宋体" w:hAnsi="宋体" w:eastAsia="宋体" w:cs="宋体"/>
          <w:sz w:val="28"/>
          <w:szCs w:val="28"/>
          <w:lang w:val="en-US" w:eastAsia="zh-CN"/>
        </w:rPr>
        <w:t>[2019]1号</w:t>
      </w:r>
      <w:r>
        <w:rPr>
          <w:rFonts w:hint="eastAsia" w:ascii="宋体" w:hAnsi="宋体" w:eastAsia="宋体" w:cs="宋体"/>
          <w:sz w:val="28"/>
          <w:szCs w:val="28"/>
          <w:lang w:eastAsia="zh-CN"/>
        </w:rPr>
        <w:t>），项目预算资金为</w:t>
      </w:r>
      <w:r>
        <w:rPr>
          <w:rFonts w:hint="eastAsia" w:ascii="宋体" w:hAnsi="宋体" w:eastAsia="宋体" w:cs="宋体"/>
          <w:sz w:val="28"/>
          <w:szCs w:val="28"/>
          <w:lang w:val="en-US" w:eastAsia="zh-CN"/>
        </w:rPr>
        <w:t>6,050,000.00</w:t>
      </w:r>
      <w:r>
        <w:rPr>
          <w:rFonts w:hint="eastAsia" w:ascii="宋体" w:hAnsi="宋体" w:eastAsia="宋体" w:cs="宋体"/>
          <w:sz w:val="28"/>
          <w:szCs w:val="28"/>
          <w:lang w:eastAsia="zh-CN"/>
        </w:rPr>
        <w:t>元，根据提供项目支出台账，</w:t>
      </w:r>
      <w:r>
        <w:rPr>
          <w:rFonts w:hint="eastAsia" w:ascii="宋体" w:hAnsi="宋体" w:eastAsia="宋体" w:cs="宋体"/>
          <w:sz w:val="28"/>
          <w:szCs w:val="28"/>
          <w:highlight w:val="none"/>
          <w:lang w:eastAsia="zh-CN"/>
        </w:rPr>
        <w:t>截至</w:t>
      </w:r>
      <w:r>
        <w:rPr>
          <w:rFonts w:hint="eastAsia" w:ascii="宋体" w:hAnsi="宋体" w:eastAsia="宋体" w:cs="宋体"/>
          <w:sz w:val="28"/>
          <w:szCs w:val="28"/>
          <w:highlight w:val="none"/>
          <w:lang w:val="en-US" w:eastAsia="zh-CN"/>
        </w:rPr>
        <w:t>2019年12月31日，共计支付相关费用6,047,999.64元，结余项目资金2,000.36元。</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3" w:name="_Toc502134851"/>
      <w:r>
        <w:rPr>
          <w:rFonts w:hint="eastAsia" w:ascii="宋体" w:hAnsi="宋体" w:eastAsia="宋体" w:cs="宋体"/>
          <w:b/>
          <w:bCs/>
          <w:sz w:val="28"/>
          <w:szCs w:val="28"/>
        </w:rPr>
        <w:t>（三）项目实施内容</w:t>
      </w:r>
      <w:bookmarkEnd w:id="3"/>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bookmarkStart w:id="4" w:name="_Toc502134852"/>
      <w:r>
        <w:rPr>
          <w:rFonts w:hint="eastAsia" w:ascii="宋体" w:hAnsi="宋体" w:eastAsia="宋体" w:cs="宋体"/>
          <w:sz w:val="28"/>
          <w:szCs w:val="28"/>
        </w:rPr>
        <w:t>县城管局城乡清洁工程项目实施的主要内容：</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1.负责每年度县城171.41万平方米环卫清扫保洁、垃圾清运工作。</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2.垃圾中转、填埋场年处理垃圾量约29930吨，垃圾填埋场渗沥液处理每年约2550吨，服务县区5万余人。</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（四）项目绩效目标设定情况</w:t>
      </w:r>
      <w:bookmarkEnd w:id="4"/>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县城管局未设定项目中期目标， 2019年城乡清洁工程项目预算申报时设定的绩效目标是：</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环卫工作实现市场化运作，建立长效保洁机制，适应市场经济发展；保持县城街道清洁，垃圾及时处理填埋，为县城营造良好的卫生环境；提高城市卫生管理水平和服务质量。</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县城管局</w:t>
      </w:r>
      <w:r>
        <w:rPr>
          <w:rFonts w:hint="eastAsia" w:ascii="宋体" w:hAnsi="宋体" w:eastAsia="宋体" w:cs="宋体"/>
          <w:sz w:val="28"/>
          <w:szCs w:val="28"/>
          <w:lang w:val="en-US" w:eastAsia="zh-CN"/>
        </w:rPr>
        <w:t>上述绩效目标设定不完整、明确，</w:t>
      </w:r>
      <w:r>
        <w:rPr>
          <w:rFonts w:hint="eastAsia" w:ascii="宋体" w:hAnsi="宋体" w:eastAsia="宋体" w:cs="宋体"/>
          <w:sz w:val="28"/>
          <w:szCs w:val="28"/>
        </w:rPr>
        <w:t>年度绩效指标具体情况如下：</w:t>
      </w:r>
    </w:p>
    <w:tbl>
      <w:tblPr>
        <w:tblStyle w:val="5"/>
        <w:tblW w:w="9042" w:type="dxa"/>
        <w:tblInd w:w="0" w:type="dxa"/>
        <w:tblLayout w:type="fixed"/>
        <w:tblCellMar>
          <w:top w:w="0" w:type="dxa"/>
          <w:left w:w="0" w:type="dxa"/>
          <w:bottom w:w="0" w:type="dxa"/>
          <w:right w:w="0" w:type="dxa"/>
        </w:tblCellMar>
      </w:tblPr>
      <w:tblGrid>
        <w:gridCol w:w="541"/>
        <w:gridCol w:w="911"/>
        <w:gridCol w:w="2730"/>
        <w:gridCol w:w="3135"/>
        <w:gridCol w:w="1725"/>
      </w:tblGrid>
      <w:tr>
        <w:tblPrEx>
          <w:tblLayout w:type="fixed"/>
          <w:tblCellMar>
            <w:top w:w="0" w:type="dxa"/>
            <w:left w:w="0" w:type="dxa"/>
            <w:bottom w:w="0" w:type="dxa"/>
            <w:right w:w="0" w:type="dxa"/>
          </w:tblCellMar>
        </w:tblPrEx>
        <w:trPr>
          <w:trHeight w:val="340" w:hRule="exact"/>
        </w:trPr>
        <w:tc>
          <w:tcPr>
            <w:tcW w:w="5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绩  效  指  标</w:t>
            </w:r>
          </w:p>
        </w:tc>
        <w:tc>
          <w:tcPr>
            <w:tcW w:w="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一级指标</w:t>
            </w:r>
          </w:p>
        </w:tc>
        <w:tc>
          <w:tcPr>
            <w:tcW w:w="27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二级指标</w:t>
            </w:r>
          </w:p>
        </w:tc>
        <w:tc>
          <w:tcPr>
            <w:tcW w:w="3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三级指标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指标值</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产   出   指   标</w:t>
            </w: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bottom"/>
              <w:rPr>
                <w:rFonts w:hint="eastAsia" w:ascii="宋体" w:hAnsi="宋体" w:eastAsia="宋体" w:cs="宋体"/>
                <w:sz w:val="18"/>
                <w:szCs w:val="18"/>
              </w:rPr>
            </w:pPr>
            <w:r>
              <w:rPr>
                <w:rFonts w:hint="eastAsia" w:ascii="宋体" w:hAnsi="宋体" w:eastAsia="宋体" w:cs="宋体"/>
                <w:sz w:val="18"/>
                <w:szCs w:val="18"/>
              </w:rPr>
              <w:t>数量指标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sz w:val="18"/>
                <w:szCs w:val="18"/>
              </w:rPr>
            </w:pPr>
            <w:r>
              <w:rPr>
                <w:rFonts w:hint="eastAsia" w:ascii="宋体" w:hAnsi="宋体" w:eastAsia="宋体" w:cs="宋体"/>
                <w:sz w:val="18"/>
                <w:szCs w:val="18"/>
              </w:rPr>
              <w:t xml:space="preserve">环卫清扫保洁面积 </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&gt;171平方</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sz w:val="18"/>
                <w:szCs w:val="18"/>
              </w:rPr>
            </w:pPr>
            <w:r>
              <w:rPr>
                <w:rFonts w:hint="eastAsia" w:ascii="宋体" w:hAnsi="宋体" w:eastAsia="宋体" w:cs="宋体"/>
                <w:sz w:val="18"/>
                <w:szCs w:val="18"/>
              </w:rPr>
              <w:t>覆盖县城建成区面积</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6.16平方</w:t>
            </w:r>
            <w:r>
              <w:rPr>
                <w:rFonts w:hint="eastAsia" w:ascii="宋体" w:hAnsi="宋体" w:eastAsia="宋体" w:cs="宋体"/>
                <w:color w:val="000000"/>
                <w:kern w:val="0"/>
                <w:sz w:val="18"/>
                <w:szCs w:val="18"/>
                <w:lang w:eastAsia="zh-CN" w:bidi="ar"/>
              </w:rPr>
              <w:t>公里</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sz w:val="18"/>
                <w:szCs w:val="18"/>
              </w:rPr>
            </w:pPr>
            <w:r>
              <w:rPr>
                <w:rFonts w:hint="eastAsia" w:ascii="宋体" w:hAnsi="宋体" w:eastAsia="宋体" w:cs="宋体"/>
                <w:sz w:val="18"/>
                <w:szCs w:val="18"/>
              </w:rPr>
              <w:t>日处理垃圾量</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82吨</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sz w:val="18"/>
                <w:szCs w:val="18"/>
              </w:rPr>
            </w:pPr>
            <w:r>
              <w:rPr>
                <w:rFonts w:hint="eastAsia" w:ascii="宋体" w:hAnsi="宋体" w:eastAsia="宋体" w:cs="宋体"/>
                <w:sz w:val="18"/>
                <w:szCs w:val="18"/>
              </w:rPr>
              <w:t>垃圾填埋场渗透液日处理</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70吨</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tcPr>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sz w:val="18"/>
                <w:szCs w:val="18"/>
              </w:rPr>
            </w:pPr>
            <w:r>
              <w:rPr>
                <w:rFonts w:hint="eastAsia" w:ascii="宋体" w:hAnsi="宋体" w:eastAsia="宋体" w:cs="宋体"/>
                <w:sz w:val="18"/>
                <w:szCs w:val="18"/>
              </w:rPr>
              <w:t>服务城区人口</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5万</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bottom"/>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质量指标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环卫清扫保洁检查通过率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≥90%</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县城区垃圾处置完成率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≥99%</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环卫清扫保洁检查通过率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&gt;95分</w:t>
            </w:r>
          </w:p>
        </w:tc>
      </w:tr>
      <w:tr>
        <w:tblPrEx>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时效指标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环卫清扫保洁时间</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12小时/每天</w:t>
            </w:r>
          </w:p>
        </w:tc>
      </w:tr>
      <w:tr>
        <w:tblPrEx>
          <w:tblLayout w:type="fixed"/>
          <w:tblCellMar>
            <w:top w:w="0" w:type="dxa"/>
            <w:left w:w="0" w:type="dxa"/>
            <w:bottom w:w="0" w:type="dxa"/>
            <w:right w:w="0" w:type="dxa"/>
          </w:tblCellMar>
        </w:tblPrEx>
        <w:trPr>
          <w:trHeight w:val="36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垃圾清运及时率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≥99%</w:t>
            </w:r>
          </w:p>
        </w:tc>
      </w:tr>
      <w:tr>
        <w:tblPrEx>
          <w:tblLayout w:type="fixed"/>
          <w:tblCellMar>
            <w:top w:w="0" w:type="dxa"/>
            <w:left w:w="0" w:type="dxa"/>
            <w:bottom w:w="0" w:type="dxa"/>
            <w:right w:w="0" w:type="dxa"/>
          </w:tblCellMar>
        </w:tblPrEx>
        <w:trPr>
          <w:trHeight w:val="33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垃圾处置完成时间</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当天</w:t>
            </w:r>
          </w:p>
        </w:tc>
      </w:tr>
      <w:tr>
        <w:tblPrEx>
          <w:tblLayout w:type="fixed"/>
          <w:tblCellMar>
            <w:top w:w="0" w:type="dxa"/>
            <w:left w:w="0" w:type="dxa"/>
            <w:bottom w:w="0" w:type="dxa"/>
            <w:right w:w="0" w:type="dxa"/>
          </w:tblCellMar>
        </w:tblPrEx>
        <w:trPr>
          <w:trHeight w:val="40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效   益   指   标</w:t>
            </w: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bottom"/>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清扫保洁人员工资支付率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r>
      <w:tr>
        <w:tblPrEx>
          <w:tblLayout w:type="fixed"/>
          <w:tblCellMar>
            <w:top w:w="0" w:type="dxa"/>
            <w:left w:w="0" w:type="dxa"/>
            <w:bottom w:w="0" w:type="dxa"/>
            <w:right w:w="0" w:type="dxa"/>
          </w:tblCellMar>
        </w:tblPrEx>
        <w:trPr>
          <w:trHeight w:val="375"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月每平方米</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0.33元</w:t>
            </w:r>
          </w:p>
        </w:tc>
      </w:tr>
      <w:tr>
        <w:tblPrEx>
          <w:tblLayout w:type="fixed"/>
          <w:tblCellMar>
            <w:top w:w="0" w:type="dxa"/>
            <w:left w:w="0" w:type="dxa"/>
            <w:bottom w:w="0" w:type="dxa"/>
            <w:right w:w="0" w:type="dxa"/>
          </w:tblCellMar>
        </w:tblPrEx>
        <w:trPr>
          <w:trHeight w:val="442"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项目运行费用成本</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605万元</w:t>
            </w:r>
          </w:p>
        </w:tc>
      </w:tr>
      <w:tr>
        <w:tblPrEx>
          <w:tblLayout w:type="fixed"/>
          <w:tblCellMar>
            <w:top w:w="0" w:type="dxa"/>
            <w:left w:w="0" w:type="dxa"/>
            <w:bottom w:w="0" w:type="dxa"/>
            <w:right w:w="0" w:type="dxa"/>
          </w:tblCellMar>
        </w:tblPrEx>
        <w:trPr>
          <w:trHeight w:val="355"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经济效益指标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良好的环境促进经济增长率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&gt;3%</w:t>
            </w:r>
          </w:p>
        </w:tc>
      </w:tr>
      <w:tr>
        <w:tblPrEx>
          <w:tblLayout w:type="fixed"/>
          <w:tblCellMar>
            <w:top w:w="0" w:type="dxa"/>
            <w:left w:w="0" w:type="dxa"/>
            <w:bottom w:w="0" w:type="dxa"/>
            <w:right w:w="0" w:type="dxa"/>
          </w:tblCellMar>
        </w:tblPrEx>
        <w:trPr>
          <w:trHeight w:val="349"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社会效益指标</w:t>
            </w:r>
          </w:p>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p>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p>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工程运行成本核算准确率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highlight w:val="none"/>
                <w:lang w:val="en-US" w:eastAsia="zh-CN" w:bidi="ar"/>
              </w:rPr>
              <w:t>90</w:t>
            </w:r>
            <w:r>
              <w:rPr>
                <w:rFonts w:hint="eastAsia" w:ascii="宋体" w:hAnsi="宋体" w:eastAsia="宋体" w:cs="宋体"/>
                <w:color w:val="000000"/>
                <w:kern w:val="0"/>
                <w:sz w:val="18"/>
                <w:szCs w:val="18"/>
                <w:highlight w:val="none"/>
                <w:lang w:bidi="ar"/>
              </w:rPr>
              <w:t>%</w:t>
            </w:r>
          </w:p>
        </w:tc>
      </w:tr>
      <w:tr>
        <w:tblPrEx>
          <w:tblLayout w:type="fixed"/>
          <w:tblCellMar>
            <w:top w:w="0" w:type="dxa"/>
            <w:left w:w="0" w:type="dxa"/>
            <w:bottom w:w="0" w:type="dxa"/>
            <w:right w:w="0" w:type="dxa"/>
          </w:tblCellMar>
        </w:tblPrEx>
        <w:trPr>
          <w:trHeight w:val="36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城市功能完善度提升率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20</w:t>
            </w:r>
            <w:r>
              <w:rPr>
                <w:rFonts w:hint="eastAsia" w:ascii="宋体" w:hAnsi="宋体" w:eastAsia="宋体" w:cs="宋体"/>
                <w:color w:val="000000"/>
                <w:kern w:val="0"/>
                <w:sz w:val="18"/>
                <w:szCs w:val="18"/>
                <w:lang w:bidi="ar"/>
              </w:rPr>
              <w:t>%</w:t>
            </w:r>
          </w:p>
        </w:tc>
      </w:tr>
      <w:tr>
        <w:tblPrEx>
          <w:tblLayout w:type="fixed"/>
          <w:tblCellMar>
            <w:top w:w="0" w:type="dxa"/>
            <w:left w:w="0" w:type="dxa"/>
            <w:bottom w:w="0" w:type="dxa"/>
            <w:right w:w="0" w:type="dxa"/>
          </w:tblCellMar>
        </w:tblPrEx>
        <w:trPr>
          <w:trHeight w:val="379"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县城清洁指数提高率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&gt;20%</w:t>
            </w:r>
          </w:p>
        </w:tc>
      </w:tr>
      <w:tr>
        <w:tblPrEx>
          <w:tblLayout w:type="fixed"/>
          <w:tblCellMar>
            <w:top w:w="0" w:type="dxa"/>
            <w:left w:w="0" w:type="dxa"/>
            <w:bottom w:w="0" w:type="dxa"/>
            <w:right w:w="0" w:type="dxa"/>
          </w:tblCellMar>
        </w:tblPrEx>
        <w:trPr>
          <w:trHeight w:val="379"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both"/>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人民幸福指数提高率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&gt;10%</w:t>
            </w:r>
          </w:p>
        </w:tc>
      </w:tr>
      <w:tr>
        <w:tblPrEx>
          <w:tblLayout w:type="fixed"/>
          <w:tblCellMar>
            <w:top w:w="0" w:type="dxa"/>
            <w:left w:w="0" w:type="dxa"/>
            <w:bottom w:w="0" w:type="dxa"/>
            <w:right w:w="0" w:type="dxa"/>
          </w:tblCellMar>
        </w:tblPrEx>
        <w:trPr>
          <w:trHeight w:val="379"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生态效益指标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县城清洁度提高率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&gt;10%</w:t>
            </w:r>
          </w:p>
        </w:tc>
      </w:tr>
      <w:tr>
        <w:tblPrEx>
          <w:tblLayout w:type="fixed"/>
          <w:tblCellMar>
            <w:top w:w="0" w:type="dxa"/>
            <w:left w:w="0" w:type="dxa"/>
            <w:bottom w:w="0" w:type="dxa"/>
            <w:right w:w="0" w:type="dxa"/>
          </w:tblCellMar>
        </w:tblPrEx>
        <w:trPr>
          <w:trHeight w:val="32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sz w:val="18"/>
                <w:szCs w:val="18"/>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先进工艺带来能源节约率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r>
      <w:tr>
        <w:tblPrEx>
          <w:tblLayout w:type="fixed"/>
          <w:tblCellMar>
            <w:top w:w="0" w:type="dxa"/>
            <w:left w:w="0" w:type="dxa"/>
            <w:bottom w:w="0" w:type="dxa"/>
            <w:right w:w="0" w:type="dxa"/>
          </w:tblCellMar>
        </w:tblPrEx>
        <w:trPr>
          <w:trHeight w:val="375"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PH2.5浓度降低率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&gt;20%</w:t>
            </w:r>
          </w:p>
        </w:tc>
      </w:tr>
      <w:tr>
        <w:tblPrEx>
          <w:tblLayout w:type="fixed"/>
          <w:tblCellMar>
            <w:top w:w="0" w:type="dxa"/>
            <w:left w:w="0" w:type="dxa"/>
            <w:bottom w:w="0" w:type="dxa"/>
            <w:right w:w="0" w:type="dxa"/>
          </w:tblCellMar>
        </w:tblPrEx>
        <w:trPr>
          <w:trHeight w:val="38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restart"/>
            <w:tcBorders>
              <w:top w:val="single" w:color="000000" w:sz="4" w:space="0"/>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可持续影响指标</w:t>
            </w:r>
          </w:p>
          <w:p>
            <w:pPr>
              <w:keepNext w:val="0"/>
              <w:keepLines w:val="0"/>
              <w:pageBreakBefore w:val="0"/>
              <w:widowControl/>
              <w:kinsoku/>
              <w:wordWrap/>
              <w:overflowPunct/>
              <w:topLinePunct w:val="0"/>
              <w:autoSpaceDE/>
              <w:autoSpaceDN/>
              <w:bidi w:val="0"/>
              <w:adjustRightInd/>
              <w:snapToGrid/>
              <w:spacing w:line="360" w:lineRule="auto"/>
              <w:jc w:val="both"/>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对城市优良环境可持续发展</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&gt;3年</w:t>
            </w:r>
          </w:p>
        </w:tc>
      </w:tr>
      <w:tr>
        <w:tblPrEx>
          <w:tblLayout w:type="fixed"/>
          <w:tblCellMar>
            <w:top w:w="0" w:type="dxa"/>
            <w:left w:w="0" w:type="dxa"/>
            <w:bottom w:w="0" w:type="dxa"/>
            <w:right w:w="0" w:type="dxa"/>
          </w:tblCellMar>
        </w:tblPrEx>
        <w:trPr>
          <w:trHeight w:val="39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到2020年服务县城区人口</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10万</w:t>
            </w:r>
          </w:p>
        </w:tc>
      </w:tr>
      <w:tr>
        <w:tblPrEx>
          <w:tblLayout w:type="fixed"/>
          <w:tblCellMar>
            <w:top w:w="0" w:type="dxa"/>
            <w:left w:w="0" w:type="dxa"/>
            <w:bottom w:w="0" w:type="dxa"/>
            <w:right w:w="0" w:type="dxa"/>
          </w:tblCellMar>
        </w:tblPrEx>
        <w:trPr>
          <w:trHeight w:val="359"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273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可持续发展期限</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&gt;3年</w:t>
            </w:r>
          </w:p>
        </w:tc>
      </w:tr>
      <w:tr>
        <w:tblPrEx>
          <w:tblLayout w:type="fixed"/>
          <w:tblCellMar>
            <w:top w:w="0" w:type="dxa"/>
            <w:left w:w="0" w:type="dxa"/>
            <w:bottom w:w="0" w:type="dxa"/>
            <w:right w:w="0" w:type="dxa"/>
          </w:tblCellMar>
        </w:tblPrEx>
        <w:trPr>
          <w:trHeight w:val="44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满</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意</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度</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指</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标</w:t>
            </w:r>
          </w:p>
        </w:tc>
        <w:tc>
          <w:tcPr>
            <w:tcW w:w="2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服务对象满意度指标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县城垃圾清扫保洁处置投诉率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&lt;3%</w:t>
            </w:r>
          </w:p>
        </w:tc>
      </w:tr>
      <w:tr>
        <w:tblPrEx>
          <w:tblLayout w:type="fixed"/>
          <w:tblCellMar>
            <w:top w:w="0" w:type="dxa"/>
            <w:left w:w="0" w:type="dxa"/>
            <w:bottom w:w="0" w:type="dxa"/>
            <w:right w:w="0" w:type="dxa"/>
          </w:tblCellMar>
        </w:tblPrEx>
        <w:trPr>
          <w:trHeight w:val="48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jc w:val="center"/>
              <w:rPr>
                <w:rFonts w:hint="eastAsia" w:ascii="宋体" w:hAnsi="宋体" w:eastAsia="宋体" w:cs="宋体"/>
                <w:color w:val="000000"/>
                <w:sz w:val="18"/>
                <w:szCs w:val="18"/>
              </w:rPr>
            </w:pPr>
          </w:p>
        </w:tc>
        <w:tc>
          <w:tcPr>
            <w:tcW w:w="911"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p>
        </w:tc>
        <w:tc>
          <w:tcPr>
            <w:tcW w:w="273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pageBreakBefore w:val="0"/>
              <w:widowControl/>
              <w:kinsoku/>
              <w:wordWrap/>
              <w:overflowPunct/>
              <w:topLinePunct w:val="0"/>
              <w:autoSpaceDE/>
              <w:autoSpaceDN/>
              <w:bidi w:val="0"/>
              <w:adjustRightInd/>
              <w:snapToGrid/>
              <w:spacing w:line="360" w:lineRule="auto"/>
              <w:jc w:val="lef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服务对象满意度指标</w:t>
            </w:r>
          </w:p>
        </w:tc>
        <w:tc>
          <w:tcPr>
            <w:tcW w:w="313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受益群体意度</w:t>
            </w:r>
          </w:p>
        </w:tc>
        <w:tc>
          <w:tcPr>
            <w:tcW w:w="172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&gt;80%</w:t>
            </w:r>
          </w:p>
        </w:tc>
      </w:tr>
    </w:tbl>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绩效再评价小组根据</w:t>
      </w:r>
      <w:r>
        <w:rPr>
          <w:rFonts w:hint="eastAsia" w:ascii="宋体" w:hAnsi="宋体" w:eastAsia="宋体" w:cs="宋体"/>
          <w:sz w:val="28"/>
          <w:szCs w:val="28"/>
        </w:rPr>
        <w:t>县城管局</w:t>
      </w:r>
      <w:r>
        <w:rPr>
          <w:rFonts w:hint="eastAsia" w:ascii="宋体" w:hAnsi="宋体" w:eastAsia="宋体" w:cs="宋体"/>
          <w:sz w:val="28"/>
          <w:szCs w:val="28"/>
          <w:lang w:val="en-US" w:eastAsia="zh-CN"/>
        </w:rPr>
        <w:t>提供的绩效目标申报表，并结合本项目设定的背景、目的及依据等，绩效再评价将采用本项目预算申报时设定的绩效目标、绩效指标及指标值。</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5" w:name="_Toc502134853"/>
      <w:r>
        <w:rPr>
          <w:rFonts w:hint="eastAsia" w:ascii="宋体" w:hAnsi="宋体" w:eastAsia="宋体" w:cs="宋体"/>
          <w:b/>
          <w:bCs/>
          <w:sz w:val="28"/>
          <w:szCs w:val="28"/>
        </w:rPr>
        <w:t>（五）组织管理情况</w:t>
      </w:r>
      <w:bookmarkEnd w:id="5"/>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城乡清洁工程项目由县城市管理局环卫站及垃圾处置中心负责实施、管理和监督，具体包括负责每年度县城171.41万平方米环卫清扫保洁、垃圾清运工作；负责垃圾中转、填埋垃圾量约29930吨；负责垃圾填埋场渗沥液处理每年约2550吨，服务县区5万余人，为县城营造良好的形象及卫生环境。</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项目实施流程：城区清洁打扫由仁德街道办负责具体实施，资金由县城管局转拨入仁德街道办财政代管资金账户。垃圾转运处置由县城管局下属的环卫所、垃圾处置中心负责具体实施，组织垃圾填埋。</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资金拨付流程：城乡清洁工程资金拨付均由仁德街道办财政所开具行政事业单位往来款收据，有经办人，审核人，分管领导，局长签字后申请预算内资金直接支付。垃圾处置运行经费120万元实行实报实销，发生支出事项后由垃圾处置中心将签字手续完善的发票交由县城管局财务审核无误后统一申请财政国库直接支付，少量日常零星开支申请授权支付。</w:t>
      </w:r>
      <w:r>
        <w:rPr>
          <w:rFonts w:hint="eastAsia" w:ascii="宋体" w:hAnsi="宋体" w:eastAsia="宋体" w:cs="宋体"/>
          <w:sz w:val="28"/>
          <w:szCs w:val="28"/>
          <w:lang w:val="en-US" w:eastAsia="zh-CN"/>
        </w:rPr>
        <w:t>资金管理上主要执行《政府会计制度》政策。</w:t>
      </w:r>
    </w:p>
    <w:p>
      <w:pPr>
        <w:spacing w:line="360" w:lineRule="auto"/>
        <w:ind w:firstLine="562" w:firstLineChars="200"/>
        <w:rPr>
          <w:rFonts w:hint="eastAsia" w:ascii="宋体" w:hAnsi="宋体" w:eastAsia="宋体" w:cs="宋体"/>
          <w:b/>
          <w:bCs/>
          <w:sz w:val="28"/>
          <w:szCs w:val="28"/>
        </w:rPr>
      </w:pPr>
      <w:bookmarkStart w:id="6" w:name="_Toc502134854"/>
      <w:bookmarkStart w:id="7" w:name="_Toc502134856"/>
      <w:bookmarkStart w:id="8" w:name="_Toc498009773"/>
      <w:r>
        <w:rPr>
          <w:rFonts w:hint="eastAsia" w:ascii="宋体" w:hAnsi="宋体" w:eastAsia="宋体" w:cs="宋体"/>
          <w:b/>
          <w:bCs/>
          <w:sz w:val="28"/>
          <w:szCs w:val="28"/>
        </w:rPr>
        <w:t>二、绩效自评情况</w:t>
      </w:r>
      <w:bookmarkEnd w:id="6"/>
    </w:p>
    <w:p>
      <w:pPr>
        <w:spacing w:line="360" w:lineRule="auto"/>
        <w:ind w:firstLine="562" w:firstLineChars="200"/>
        <w:rPr>
          <w:rFonts w:hint="eastAsia" w:ascii="宋体" w:hAnsi="宋体" w:eastAsia="宋体" w:cs="宋体"/>
          <w:b/>
          <w:bCs/>
          <w:sz w:val="28"/>
          <w:szCs w:val="28"/>
        </w:rPr>
      </w:pPr>
      <w:bookmarkStart w:id="9" w:name="_Toc498009772"/>
      <w:bookmarkStart w:id="10" w:name="_Toc502134855"/>
      <w:r>
        <w:rPr>
          <w:rFonts w:hint="eastAsia" w:ascii="宋体" w:hAnsi="宋体" w:eastAsia="宋体" w:cs="宋体"/>
          <w:b/>
          <w:bCs/>
          <w:sz w:val="28"/>
          <w:szCs w:val="28"/>
        </w:rPr>
        <w:t>（一）绩效自评概述</w:t>
      </w:r>
      <w:bookmarkEnd w:id="9"/>
      <w:bookmarkEnd w:id="10"/>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b/>
          <w:bCs/>
          <w:sz w:val="28"/>
          <w:szCs w:val="28"/>
        </w:rPr>
      </w:pPr>
      <w:r>
        <w:rPr>
          <w:rFonts w:hint="eastAsia" w:ascii="宋体" w:hAnsi="宋体" w:eastAsia="宋体" w:cs="宋体"/>
          <w:sz w:val="28"/>
          <w:szCs w:val="28"/>
          <w:lang w:val="en-US" w:eastAsia="zh-CN"/>
        </w:rPr>
        <w:t>根据《寻甸回族彝族自治县财政局关于对2019年度部门整体支出和重大项目支出进行再评价的通知》（寻财绩〔2020〕6号）等文件的规定，</w:t>
      </w:r>
      <w:r>
        <w:rPr>
          <w:rFonts w:hint="eastAsia" w:ascii="宋体" w:hAnsi="宋体" w:eastAsia="宋体" w:cs="宋体"/>
          <w:sz w:val="28"/>
          <w:szCs w:val="28"/>
        </w:rPr>
        <w:t>县城管局</w:t>
      </w:r>
      <w:r>
        <w:rPr>
          <w:rFonts w:hint="eastAsia" w:ascii="宋体" w:hAnsi="宋体" w:eastAsia="宋体" w:cs="宋体"/>
          <w:sz w:val="28"/>
          <w:szCs w:val="28"/>
          <w:lang w:val="en-US" w:eastAsia="zh-CN"/>
        </w:rPr>
        <w:t>成立了2019年</w:t>
      </w:r>
      <w:r>
        <w:rPr>
          <w:rFonts w:hint="eastAsia" w:ascii="宋体" w:hAnsi="宋体" w:eastAsia="宋体" w:cs="宋体"/>
          <w:sz w:val="28"/>
          <w:szCs w:val="28"/>
        </w:rPr>
        <w:t>城乡清洁工程项目</w:t>
      </w:r>
      <w:r>
        <w:rPr>
          <w:rFonts w:hint="eastAsia" w:ascii="宋体" w:hAnsi="宋体" w:eastAsia="宋体" w:cs="宋体"/>
          <w:sz w:val="28"/>
          <w:szCs w:val="28"/>
          <w:lang w:val="en-US" w:eastAsia="zh-CN"/>
        </w:rPr>
        <w:t>支出绩效自评组，并于2020年5月形成了《寻甸县城市管理局城乡清洁工程项目支出绩效自评报告》。</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（二）绩效自评结论</w:t>
      </w:r>
      <w:bookmarkEnd w:id="7"/>
      <w:bookmarkEnd w:id="8"/>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根据县城管局提供的城乡清洁工程项目支出绩效自评报告，县城管局2019年城乡清洁工程项目支出的管理、</w:t>
      </w:r>
      <w:r>
        <w:rPr>
          <w:rFonts w:hint="eastAsia" w:ascii="宋体" w:hAnsi="宋体" w:eastAsia="宋体" w:cs="宋体"/>
          <w:sz w:val="28"/>
          <w:szCs w:val="28"/>
          <w:lang w:eastAsia="zh-CN"/>
        </w:rPr>
        <w:t>资金</w:t>
      </w:r>
      <w:r>
        <w:rPr>
          <w:rFonts w:hint="eastAsia" w:ascii="宋体" w:hAnsi="宋体" w:eastAsia="宋体" w:cs="宋体"/>
          <w:sz w:val="28"/>
          <w:szCs w:val="28"/>
        </w:rPr>
        <w:t>使用及效益情况绩效自评综合得分为93.00分，自评结果为“优秀”。</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绩效自评提出存在以下问题：</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1、县城管局在项目资金管理和使用方面制度不够完善；</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2、县城范围不断扩大，财政资金投入较少带来一系列的问题。 </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1" w:name="_Toc502134857"/>
      <w:r>
        <w:rPr>
          <w:rFonts w:hint="eastAsia" w:ascii="宋体" w:hAnsi="宋体" w:eastAsia="宋体" w:cs="宋体"/>
          <w:b/>
          <w:bCs/>
          <w:sz w:val="28"/>
          <w:szCs w:val="28"/>
        </w:rPr>
        <w:t>三、绩效再评价组织情况</w:t>
      </w:r>
      <w:bookmarkEnd w:id="11"/>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1.《中华人民共和国预算法》（2014年修订）；</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2.财政部《项目支出绩效评价管理办法》；</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3.《中共云南省委、云南省人民政府关于全面实施预算管理绩效的意见》（云发〔2019〕11号）；</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4.《云南省省级财政预算绩效管理暂行办法》（云财预〔2015〕295号） ；</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5.《寻甸县财政局关于印发&lt;寻甸县本级部门预算绩效自评管理暂行办法&gt;的通知》（寻财绩〔2018〕9号）； </w:t>
      </w:r>
    </w:p>
    <w:p>
      <w:pPr>
        <w:pStyle w:val="2"/>
        <w:rPr>
          <w:rFonts w:hint="eastAsia" w:ascii="宋体" w:hAnsi="宋体" w:eastAsia="宋体" w:cs="宋体"/>
          <w:sz w:val="28"/>
          <w:szCs w:val="28"/>
        </w:rPr>
      </w:pPr>
      <w:r>
        <w:rPr>
          <w:rFonts w:hint="eastAsia" w:ascii="宋体" w:hAnsi="宋体" w:eastAsia="宋体" w:cs="宋体"/>
          <w:sz w:val="28"/>
          <w:szCs w:val="28"/>
        </w:rPr>
        <w:t xml:space="preserve">    6.《寻甸回族彝族自治县财政局关于对2019年度部门整体支出和重大项目支出进行再评价的通知》（寻财绩〔2020〕6号）；</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7.其他相关依据文件。</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次绩效评价中采取定量与定性相结合的方式，具体实施了审阅自评、实地评价、交换和反馈意见、专家会审等程序。通过资料收集、数据填报、案卷研究、实地调研、座谈会、问卷调查等方式，开展实地再评价。对城乡清洁工程项目相关档案资料进行查阅，结合现场核实情况和资金到位使用及结余情况的分析，进行数据分析和取证。</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1.绩效再评价指标</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项目绩效再评价以100分计，设项目决策、项目管理、项目绩效3个一级指标，权重分别为：20%、20%、60%。在此基础上设定7个二级指标（项目立项、项目目标、投入管理、财务管理、项目实施、项目产出、项目效益）。</w:t>
      </w:r>
      <w:r>
        <w:rPr>
          <w:rFonts w:hint="eastAsia" w:ascii="宋体" w:hAnsi="宋体" w:eastAsia="宋体" w:cs="宋体"/>
          <w:sz w:val="28"/>
          <w:szCs w:val="28"/>
          <w:highlight w:val="none"/>
        </w:rPr>
        <w:t>设20个</w:t>
      </w:r>
      <w:r>
        <w:rPr>
          <w:rFonts w:hint="eastAsia" w:ascii="宋体" w:hAnsi="宋体" w:eastAsia="宋体" w:cs="宋体"/>
          <w:sz w:val="28"/>
          <w:szCs w:val="28"/>
        </w:rPr>
        <w:t>三级指标。</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bookmarkStart w:id="15" w:name="_Toc502134861"/>
      <w:r>
        <w:rPr>
          <w:rFonts w:hint="eastAsia" w:ascii="宋体" w:hAnsi="宋体" w:eastAsia="宋体" w:cs="宋体"/>
          <w:sz w:val="28"/>
          <w:szCs w:val="28"/>
        </w:rPr>
        <w:t>2.评价标准</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(1)项目绩效评价得分满分为100分。</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(2)由审计评价组根据评价情况，对各单项指标分别进行独立打分。</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(3)总评价分为各单项指标得分总和。</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(4)评价结果：根据最终得分情况将评价结果分为四个等级：优（得分≥90分）；良（80分≤得分＜90分）；中（60≤得分＜80分）；差（得分＜60分）。</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bookmarkStart w:id="16" w:name="_Toc7874"/>
      <w:bookmarkStart w:id="17" w:name="_Toc25624"/>
      <w:r>
        <w:rPr>
          <w:rFonts w:hint="eastAsia" w:ascii="宋体" w:hAnsi="宋体" w:eastAsia="宋体" w:cs="宋体"/>
          <w:sz w:val="28"/>
          <w:szCs w:val="28"/>
        </w:rPr>
        <w:t>3.数据来源</w:t>
      </w:r>
      <w:bookmarkEnd w:id="16"/>
      <w:bookmarkEnd w:id="17"/>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绩效再评价评分数据来源于由县城管局提供的资料。</w:t>
      </w:r>
    </w:p>
    <w:bookmarkEnd w:id="15"/>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19" w:name="_Toc502134863"/>
      <w:bookmarkStart w:id="20" w:name="_Toc498009780"/>
      <w:r>
        <w:rPr>
          <w:rFonts w:hint="eastAsia" w:ascii="宋体" w:hAnsi="宋体" w:eastAsia="宋体" w:cs="宋体"/>
          <w:b/>
          <w:bCs/>
          <w:sz w:val="28"/>
          <w:szCs w:val="28"/>
        </w:rPr>
        <w:t>（一）绩效再评价综合结论</w:t>
      </w:r>
      <w:bookmarkEnd w:id="19"/>
      <w:bookmarkEnd w:id="20"/>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bookmarkStart w:id="21" w:name="_Toc498009781"/>
      <w:r>
        <w:rPr>
          <w:rFonts w:hint="eastAsia" w:ascii="宋体" w:hAnsi="宋体" w:eastAsia="宋体" w:cs="宋体"/>
          <w:sz w:val="28"/>
          <w:szCs w:val="28"/>
        </w:rPr>
        <w:t>2019年城乡清洁工程项目绩效再评价综合评分</w:t>
      </w:r>
      <w:r>
        <w:rPr>
          <w:rFonts w:hint="eastAsia" w:ascii="宋体" w:hAnsi="宋体" w:eastAsia="宋体" w:cs="宋体"/>
          <w:sz w:val="28"/>
          <w:szCs w:val="28"/>
          <w:highlight w:val="none"/>
          <w:lang w:val="en-US" w:eastAsia="zh-CN"/>
        </w:rPr>
        <w:t>80</w:t>
      </w:r>
      <w:r>
        <w:rPr>
          <w:rFonts w:hint="eastAsia" w:ascii="宋体" w:hAnsi="宋体" w:eastAsia="宋体" w:cs="宋体"/>
          <w:sz w:val="28"/>
          <w:szCs w:val="28"/>
        </w:rPr>
        <w:t>分，评价等级“良”。</w:t>
      </w:r>
    </w:p>
    <w:p>
      <w:pPr>
        <w:keepNext w:val="0"/>
        <w:keepLines w:val="0"/>
        <w:pageBreakBefore w:val="0"/>
        <w:kinsoku/>
        <w:wordWrap/>
        <w:overflowPunct/>
        <w:topLinePunct w:val="0"/>
        <w:autoSpaceDE/>
        <w:autoSpaceDN/>
        <w:bidi w:val="0"/>
        <w:adjustRightInd/>
        <w:snapToGrid/>
        <w:spacing w:line="360" w:lineRule="auto"/>
        <w:ind w:firstLine="0" w:firstLineChars="0"/>
        <w:rPr>
          <w:rFonts w:hint="eastAsia" w:ascii="宋体" w:hAnsi="宋体" w:eastAsia="宋体" w:cs="宋体"/>
          <w:sz w:val="28"/>
          <w:szCs w:val="28"/>
        </w:rPr>
      </w:pPr>
      <w:r>
        <w:rPr>
          <w:rFonts w:hint="eastAsia" w:ascii="宋体" w:hAnsi="宋体" w:eastAsia="宋体" w:cs="宋体"/>
          <w:sz w:val="28"/>
          <w:szCs w:val="28"/>
        </w:rPr>
        <w:t>综合评价结论：2019年城乡清洁工程项目已实施完成，实施效果良好，改善了县城人居环境，环境保护成交显著，推动了全县经济社会事业发展。</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22" w:name="_Toc502134864"/>
      <w:r>
        <w:rPr>
          <w:rFonts w:hint="eastAsia" w:ascii="宋体" w:hAnsi="宋体" w:eastAsia="宋体" w:cs="宋体"/>
          <w:b/>
          <w:bCs/>
          <w:sz w:val="28"/>
          <w:szCs w:val="28"/>
        </w:rPr>
        <w:t>（二）绩效目标实现情况</w:t>
      </w:r>
      <w:bookmarkEnd w:id="21"/>
      <w:bookmarkEnd w:id="22"/>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color w:val="000000" w:themeColor="text1"/>
          <w:sz w:val="28"/>
          <w:szCs w:val="28"/>
          <w14:textFill>
            <w14:solidFill>
              <w14:schemeClr w14:val="tx1"/>
            </w14:solidFill>
          </w14:textFill>
        </w:rPr>
        <w:t>绩效目标实现情况综合结论：本次再评价中设定3个绩效目标，分解为</w:t>
      </w:r>
      <w:r>
        <w:rPr>
          <w:rFonts w:hint="eastAsia" w:ascii="宋体" w:hAnsi="宋体" w:eastAsia="宋体" w:cs="宋体"/>
          <w:color w:val="000000" w:themeColor="text1"/>
          <w:sz w:val="28"/>
          <w:szCs w:val="28"/>
          <w:lang w:val="en-US" w:eastAsia="zh-CN"/>
          <w14:textFill>
            <w14:solidFill>
              <w14:schemeClr w14:val="tx1"/>
            </w14:solidFill>
          </w14:textFill>
        </w:rPr>
        <w:t>7</w:t>
      </w:r>
      <w:r>
        <w:rPr>
          <w:rFonts w:hint="eastAsia" w:ascii="宋体" w:hAnsi="宋体" w:eastAsia="宋体" w:cs="宋体"/>
          <w:color w:val="000000" w:themeColor="text1"/>
          <w:sz w:val="28"/>
          <w:szCs w:val="28"/>
          <w14:textFill>
            <w14:solidFill>
              <w14:schemeClr w14:val="tx1"/>
            </w14:solidFill>
          </w14:textFill>
        </w:rPr>
        <w:t>个绩效指标。</w:t>
      </w:r>
      <w:r>
        <w:rPr>
          <w:rFonts w:hint="eastAsia" w:ascii="宋体" w:hAnsi="宋体" w:eastAsia="宋体" w:cs="宋体"/>
          <w:sz w:val="28"/>
          <w:szCs w:val="28"/>
        </w:rPr>
        <w:t>主要绩效目标基本实现。项目实施社会效益显著，可持续性影响认可率高，环卫清扫保洁面积达标</w:t>
      </w:r>
      <w:r>
        <w:rPr>
          <w:rFonts w:hint="eastAsia" w:ascii="宋体" w:hAnsi="宋体" w:eastAsia="宋体" w:cs="宋体"/>
          <w:sz w:val="28"/>
          <w:szCs w:val="28"/>
          <w:highlight w:val="none"/>
        </w:rPr>
        <w:t>率100%，促</w:t>
      </w:r>
      <w:r>
        <w:rPr>
          <w:rFonts w:hint="eastAsia" w:ascii="宋体" w:hAnsi="宋体" w:eastAsia="宋体" w:cs="宋体"/>
          <w:sz w:val="28"/>
          <w:szCs w:val="28"/>
        </w:rPr>
        <w:t>进县外资金投入率</w:t>
      </w:r>
      <w:r>
        <w:rPr>
          <w:rFonts w:hint="eastAsia" w:ascii="宋体" w:hAnsi="宋体" w:eastAsia="宋体" w:cs="宋体"/>
          <w:sz w:val="28"/>
          <w:szCs w:val="28"/>
          <w:lang w:eastAsia="zh-CN"/>
        </w:rPr>
        <w:t>大</w:t>
      </w:r>
      <w:r>
        <w:rPr>
          <w:rFonts w:hint="eastAsia" w:ascii="宋体" w:hAnsi="宋体" w:eastAsia="宋体" w:cs="宋体"/>
          <w:sz w:val="28"/>
          <w:szCs w:val="28"/>
          <w:highlight w:val="none"/>
          <w:lang w:eastAsia="zh-CN"/>
        </w:rPr>
        <w:t>于3</w:t>
      </w:r>
      <w:r>
        <w:rPr>
          <w:rFonts w:hint="eastAsia" w:ascii="宋体" w:hAnsi="宋体" w:eastAsia="宋体" w:cs="宋体"/>
          <w:sz w:val="28"/>
          <w:szCs w:val="28"/>
          <w:highlight w:val="none"/>
        </w:rPr>
        <w:t>%，工程运行成本核算准确率</w:t>
      </w:r>
      <w:r>
        <w:rPr>
          <w:rFonts w:hint="eastAsia" w:ascii="宋体" w:hAnsi="宋体" w:eastAsia="宋体" w:cs="宋体"/>
          <w:sz w:val="28"/>
          <w:szCs w:val="28"/>
          <w:highlight w:val="none"/>
          <w:lang w:eastAsia="zh-CN"/>
        </w:rPr>
        <w:t>达9</w:t>
      </w:r>
      <w:r>
        <w:rPr>
          <w:rFonts w:hint="eastAsia" w:ascii="宋体" w:hAnsi="宋体" w:eastAsia="宋体" w:cs="宋体"/>
          <w:sz w:val="28"/>
          <w:szCs w:val="28"/>
          <w:highlight w:val="none"/>
        </w:rPr>
        <w:t>0%</w:t>
      </w:r>
      <w:r>
        <w:rPr>
          <w:rFonts w:hint="eastAsia" w:ascii="宋体" w:hAnsi="宋体" w:eastAsia="宋体" w:cs="宋体"/>
          <w:sz w:val="28"/>
          <w:szCs w:val="28"/>
          <w:highlight w:val="none"/>
          <w:lang w:eastAsia="zh-CN"/>
        </w:rPr>
        <w:t>，但存在垃圾处置及时率未达</w:t>
      </w:r>
      <w:r>
        <w:rPr>
          <w:rFonts w:hint="eastAsia" w:ascii="宋体" w:hAnsi="宋体" w:eastAsia="宋体" w:cs="宋体"/>
          <w:sz w:val="28"/>
          <w:szCs w:val="28"/>
          <w:highlight w:val="none"/>
          <w:lang w:val="en-US" w:eastAsia="zh-CN"/>
        </w:rPr>
        <w:t>99%，垃圾填埋场渗滤液每天处理量率未达100%，PH2.5浓度降低率未达20%等情况</w:t>
      </w:r>
      <w:r>
        <w:rPr>
          <w:rFonts w:hint="eastAsia" w:ascii="宋体" w:hAnsi="宋体" w:eastAsia="宋体" w:cs="宋体"/>
          <w:sz w:val="28"/>
          <w:szCs w:val="28"/>
          <w:highlight w:val="none"/>
        </w:rPr>
        <w:t>。</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23" w:name="_Toc502134865"/>
      <w:bookmarkStart w:id="24" w:name="_Toc498009782"/>
      <w:r>
        <w:rPr>
          <w:rFonts w:hint="eastAsia" w:ascii="宋体" w:hAnsi="宋体" w:eastAsia="宋体" w:cs="宋体"/>
          <w:b/>
          <w:bCs/>
          <w:sz w:val="28"/>
          <w:szCs w:val="28"/>
        </w:rPr>
        <w:t>（三）绩效自评与再评价差异分析</w:t>
      </w:r>
      <w:bookmarkEnd w:id="23"/>
      <w:bookmarkEnd w:id="24"/>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评价程序存在差异。绩效自评由县城管局汇总相关资料，得出自评结论，未进行现场抽查。绩效再评价通过收集与部门整体相关资料、编制实施方案、开展实地评价、数据汇总分析、撰写报告的方式开展。</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25" w:name="_Toc498009783"/>
      <w:bookmarkStart w:id="26" w:name="_Toc502134866"/>
      <w:r>
        <w:rPr>
          <w:rFonts w:hint="eastAsia" w:ascii="宋体" w:hAnsi="宋体" w:eastAsia="宋体" w:cs="宋体"/>
          <w:b/>
          <w:bCs/>
          <w:sz w:val="28"/>
          <w:szCs w:val="28"/>
        </w:rPr>
        <w:t>五、绩效再评价情况分析</w:t>
      </w:r>
      <w:bookmarkEnd w:id="25"/>
      <w:bookmarkEnd w:id="26"/>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27" w:name="_Toc502134867"/>
      <w:bookmarkStart w:id="28" w:name="_Toc498009784"/>
      <w:r>
        <w:rPr>
          <w:rFonts w:hint="eastAsia" w:ascii="宋体" w:hAnsi="宋体" w:eastAsia="宋体" w:cs="宋体"/>
          <w:b/>
          <w:bCs/>
          <w:sz w:val="28"/>
          <w:szCs w:val="28"/>
        </w:rPr>
        <w:t>（一）项目决策分析</w:t>
      </w:r>
      <w:bookmarkEnd w:id="27"/>
      <w:bookmarkEnd w:id="28"/>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项目决策指标满分20分，再评价综合评分1</w:t>
      </w:r>
      <w:r>
        <w:rPr>
          <w:rFonts w:hint="eastAsia" w:ascii="宋体" w:hAnsi="宋体" w:eastAsia="宋体" w:cs="宋体"/>
          <w:sz w:val="28"/>
          <w:szCs w:val="28"/>
          <w:lang w:val="en-US" w:eastAsia="zh-CN"/>
        </w:rPr>
        <w:t>3</w:t>
      </w:r>
      <w:r>
        <w:rPr>
          <w:rFonts w:hint="eastAsia" w:ascii="宋体" w:hAnsi="宋体" w:eastAsia="宋体" w:cs="宋体"/>
          <w:sz w:val="28"/>
          <w:szCs w:val="28"/>
        </w:rPr>
        <w:t>分（占该项满分值</w:t>
      </w:r>
      <w:r>
        <w:rPr>
          <w:rFonts w:hint="eastAsia" w:ascii="宋体" w:hAnsi="宋体" w:eastAsia="宋体" w:cs="宋体"/>
          <w:sz w:val="28"/>
          <w:szCs w:val="28"/>
          <w:highlight w:val="none"/>
        </w:rPr>
        <w:t>的</w:t>
      </w:r>
      <w:r>
        <w:rPr>
          <w:rFonts w:hint="eastAsia" w:ascii="宋体" w:hAnsi="宋体" w:eastAsia="宋体" w:cs="宋体"/>
          <w:sz w:val="28"/>
          <w:szCs w:val="28"/>
          <w:highlight w:val="none"/>
          <w:lang w:val="en-US" w:eastAsia="zh-CN"/>
        </w:rPr>
        <w:t>65</w:t>
      </w:r>
      <w:r>
        <w:rPr>
          <w:rFonts w:hint="eastAsia" w:ascii="宋体" w:hAnsi="宋体" w:eastAsia="宋体" w:cs="宋体"/>
          <w:sz w:val="28"/>
          <w:szCs w:val="28"/>
          <w:highlight w:val="none"/>
        </w:rPr>
        <w:t>%</w:t>
      </w:r>
      <w:r>
        <w:rPr>
          <w:rFonts w:hint="eastAsia" w:ascii="宋体" w:hAnsi="宋体" w:eastAsia="宋体" w:cs="宋体"/>
          <w:sz w:val="28"/>
          <w:szCs w:val="28"/>
        </w:rPr>
        <w:t>），具体情况分析如下：</w:t>
      </w:r>
      <w:bookmarkStart w:id="29" w:name="_Toc502134868"/>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县城管局未提供中长期规划，但根据提供的寻甸县人民政府印发的《寻甸回族彝族自治县国民经济和社会发展第十三个五年规划纲要》，项目基本能够与寻甸县十三五规划、县城管局的职能职责等相匹配、适应；具体项目的申请、设立过程基本合法合规，所提交的文件、材料符合相关要求，城乡清洁工程子项目均由城管局集体决策程序决策。因城乡垃圾清洁工程属长期的民生项目，城乡清洁工程项目包括了众多子项目，一般由上级下达任务由县城管局执行。县城管局未提供城乡清洁工程项目包的立项申请、设立的相关资料。</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2.项目所设定的绩效目标依据充分，符合客观实际、国家相关法律法规、国民经济发展规划和党委政府决策等。</w:t>
      </w:r>
      <w:r>
        <w:rPr>
          <w:rFonts w:hint="eastAsia" w:ascii="宋体" w:hAnsi="宋体" w:eastAsia="宋体" w:cs="宋体"/>
          <w:sz w:val="28"/>
          <w:szCs w:val="28"/>
          <w:highlight w:val="none"/>
          <w:lang w:val="en-US" w:eastAsia="zh-CN"/>
        </w:rPr>
        <w:t>根据提供的绩效目标申报表，</w:t>
      </w:r>
      <w:r>
        <w:rPr>
          <w:rFonts w:hint="eastAsia" w:ascii="宋体" w:hAnsi="宋体" w:eastAsia="宋体" w:cs="宋体"/>
          <w:sz w:val="28"/>
          <w:szCs w:val="28"/>
        </w:rPr>
        <w:t>县城管局</w:t>
      </w:r>
      <w:r>
        <w:rPr>
          <w:rFonts w:hint="eastAsia" w:ascii="宋体" w:hAnsi="宋体" w:eastAsia="宋体" w:cs="宋体"/>
          <w:sz w:val="28"/>
          <w:szCs w:val="28"/>
          <w:lang w:val="en-US" w:eastAsia="zh-CN"/>
        </w:rPr>
        <w:t>2019年</w:t>
      </w:r>
      <w:r>
        <w:rPr>
          <w:rFonts w:hint="eastAsia" w:ascii="宋体" w:hAnsi="宋体" w:eastAsia="宋体" w:cs="宋体"/>
          <w:sz w:val="28"/>
          <w:szCs w:val="28"/>
        </w:rPr>
        <w:t>城乡清洁工程项目</w:t>
      </w:r>
      <w:r>
        <w:rPr>
          <w:rFonts w:hint="eastAsia" w:ascii="宋体" w:hAnsi="宋体" w:eastAsia="宋体" w:cs="宋体"/>
          <w:sz w:val="28"/>
          <w:szCs w:val="28"/>
          <w:highlight w:val="none"/>
          <w:lang w:val="en-US" w:eastAsia="zh-CN"/>
        </w:rPr>
        <w:t>绩效目标填列规范，</w:t>
      </w:r>
      <w:r>
        <w:rPr>
          <w:rFonts w:hint="eastAsia" w:ascii="宋体" w:hAnsi="宋体" w:eastAsia="宋体" w:cs="宋体"/>
          <w:sz w:val="28"/>
          <w:szCs w:val="28"/>
          <w:highlight w:val="none"/>
        </w:rPr>
        <w:t>绩效目标细化分解为具体的工作任务</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rPr>
        <w:t>已通过清晰、可衡量的指标值予以体现</w:t>
      </w:r>
      <w:r>
        <w:rPr>
          <w:rFonts w:hint="eastAsia" w:ascii="宋体" w:hAnsi="宋体" w:eastAsia="宋体" w:cs="宋体"/>
          <w:sz w:val="28"/>
          <w:szCs w:val="28"/>
          <w:highlight w:val="none"/>
          <w:lang w:eastAsia="zh-CN"/>
        </w:rPr>
        <w:t>，但存在</w:t>
      </w:r>
      <w:r>
        <w:rPr>
          <w:rFonts w:hint="eastAsia" w:ascii="宋体" w:hAnsi="宋体" w:eastAsia="宋体" w:cs="宋体"/>
          <w:sz w:val="28"/>
          <w:szCs w:val="28"/>
          <w:lang w:val="en-US" w:eastAsia="zh-CN"/>
        </w:rPr>
        <w:t>绩效目标设定不明确情况</w:t>
      </w:r>
      <w:r>
        <w:rPr>
          <w:rFonts w:hint="eastAsia" w:ascii="宋体" w:hAnsi="宋体" w:eastAsia="宋体" w:cs="宋体"/>
          <w:sz w:val="28"/>
          <w:szCs w:val="28"/>
          <w:highlight w:val="none"/>
        </w:rPr>
        <w:t>。</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（二）</w:t>
      </w:r>
      <w:bookmarkStart w:id="30" w:name="_Toc498009785"/>
      <w:r>
        <w:rPr>
          <w:rFonts w:hint="eastAsia" w:ascii="宋体" w:hAnsi="宋体" w:eastAsia="宋体" w:cs="宋体"/>
          <w:b/>
          <w:bCs/>
          <w:sz w:val="28"/>
          <w:szCs w:val="28"/>
        </w:rPr>
        <w:t>项目管理情况分析</w:t>
      </w:r>
      <w:bookmarkEnd w:id="29"/>
      <w:bookmarkEnd w:id="30"/>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项目管理满分20分，再评价综合评分19分（占该项满分值的95%），具体情况分析如下：</w:t>
      </w:r>
      <w:bookmarkStart w:id="31" w:name="_Toc498009786"/>
      <w:bookmarkStart w:id="32" w:name="_Toc502134869"/>
    </w:p>
    <w:p>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1.项目支出预算依据充分、合理，基本能够与预算确定的项目投资额相匹配；2019年</w:t>
      </w:r>
      <w:r>
        <w:rPr>
          <w:rFonts w:hint="eastAsia" w:ascii="宋体" w:hAnsi="宋体" w:eastAsia="宋体" w:cs="宋体"/>
          <w:sz w:val="28"/>
          <w:szCs w:val="28"/>
          <w:lang w:val="en-US" w:eastAsia="zh-CN"/>
        </w:rPr>
        <w:t>项目预算收入6,050,000.00</w:t>
      </w:r>
      <w:r>
        <w:rPr>
          <w:rFonts w:hint="eastAsia" w:ascii="宋体" w:hAnsi="宋体" w:eastAsia="宋体" w:cs="宋体"/>
          <w:sz w:val="28"/>
          <w:szCs w:val="28"/>
          <w:lang w:eastAsia="zh-CN"/>
        </w:rPr>
        <w:t>元</w:t>
      </w:r>
      <w:r>
        <w:rPr>
          <w:rFonts w:hint="eastAsia" w:ascii="宋体" w:hAnsi="宋体" w:eastAsia="宋体" w:cs="宋体"/>
          <w:sz w:val="28"/>
          <w:szCs w:val="28"/>
        </w:rPr>
        <w:t>，</w:t>
      </w:r>
      <w:r>
        <w:rPr>
          <w:rFonts w:hint="eastAsia" w:ascii="宋体" w:hAnsi="宋体" w:eastAsia="宋体" w:cs="宋体"/>
          <w:sz w:val="28"/>
          <w:szCs w:val="28"/>
          <w:lang w:val="en-US" w:eastAsia="zh-CN"/>
        </w:rPr>
        <w:t>根据提供项目支出台账，截至2019年12月31日，共计支付相关费用</w:t>
      </w:r>
      <w:r>
        <w:rPr>
          <w:rFonts w:hint="eastAsia" w:ascii="宋体" w:hAnsi="宋体" w:eastAsia="宋体" w:cs="宋体"/>
          <w:sz w:val="28"/>
          <w:szCs w:val="28"/>
          <w:highlight w:val="none"/>
          <w:lang w:val="en-US" w:eastAsia="zh-CN"/>
        </w:rPr>
        <w:t>6,047,999.64</w:t>
      </w:r>
      <w:r>
        <w:rPr>
          <w:rFonts w:hint="eastAsia" w:ascii="宋体" w:hAnsi="宋体" w:eastAsia="宋体" w:cs="宋体"/>
          <w:sz w:val="28"/>
          <w:szCs w:val="28"/>
          <w:lang w:val="en-US" w:eastAsia="zh-CN"/>
        </w:rPr>
        <w:t>元，预算执行率为99.97%。2019年项目不存在调整。</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FF0000"/>
          <w:sz w:val="28"/>
          <w:szCs w:val="28"/>
        </w:rPr>
      </w:pPr>
      <w:r>
        <w:rPr>
          <w:rFonts w:hint="eastAsia" w:ascii="宋体" w:hAnsi="宋体" w:eastAsia="宋体" w:cs="宋体"/>
          <w:color w:val="000000" w:themeColor="text1"/>
          <w:sz w:val="28"/>
          <w:szCs w:val="28"/>
          <w14:textFill>
            <w14:solidFill>
              <w14:schemeClr w14:val="tx1"/>
            </w14:solidFill>
          </w14:textFill>
        </w:rPr>
        <w:t>2.项目</w:t>
      </w:r>
      <w:r>
        <w:rPr>
          <w:rFonts w:hint="eastAsia" w:ascii="宋体" w:hAnsi="宋体" w:eastAsia="宋体" w:cs="宋体"/>
          <w:color w:val="000000" w:themeColor="text1"/>
          <w:sz w:val="28"/>
          <w:szCs w:val="28"/>
          <w:lang w:val="en-US" w:eastAsia="zh-CN"/>
          <w14:textFill>
            <w14:solidFill>
              <w14:schemeClr w14:val="tx1"/>
            </w14:solidFill>
          </w14:textFill>
        </w:rPr>
        <w:t>财务管理执行</w:t>
      </w:r>
      <w:r>
        <w:rPr>
          <w:rFonts w:hint="eastAsia" w:ascii="宋体" w:hAnsi="宋体" w:eastAsia="宋体" w:cs="宋体"/>
          <w:color w:val="000000" w:themeColor="text1"/>
          <w:sz w:val="28"/>
          <w:szCs w:val="28"/>
          <w:lang w:eastAsia="zh-CN"/>
          <w14:textFill>
            <w14:solidFill>
              <w14:schemeClr w14:val="tx1"/>
            </w14:solidFill>
          </w14:textFill>
        </w:rPr>
        <w:t>《寻甸回族彝族自治县关于进一步完善环卫机制的实施意见（试行）》</w:t>
      </w:r>
      <w:r>
        <w:rPr>
          <w:rFonts w:hint="eastAsia" w:ascii="宋体" w:hAnsi="宋体" w:eastAsia="宋体" w:cs="宋体"/>
          <w:sz w:val="28"/>
          <w:szCs w:val="28"/>
        </w:rPr>
        <w:t>（寻</w:t>
      </w:r>
      <w:r>
        <w:rPr>
          <w:rFonts w:hint="eastAsia" w:ascii="宋体" w:hAnsi="宋体" w:eastAsia="宋体" w:cs="宋体"/>
          <w:sz w:val="28"/>
          <w:szCs w:val="28"/>
          <w:lang w:eastAsia="zh-CN"/>
        </w:rPr>
        <w:t>政办发</w:t>
      </w:r>
      <w:r>
        <w:rPr>
          <w:rFonts w:hint="eastAsia" w:ascii="宋体" w:hAnsi="宋体" w:eastAsia="宋体" w:cs="宋体"/>
          <w:sz w:val="28"/>
          <w:szCs w:val="28"/>
        </w:rPr>
        <w:t>〔201</w:t>
      </w:r>
      <w:r>
        <w:rPr>
          <w:rFonts w:hint="eastAsia" w:ascii="宋体" w:hAnsi="宋体" w:eastAsia="宋体" w:cs="宋体"/>
          <w:sz w:val="28"/>
          <w:szCs w:val="28"/>
          <w:lang w:val="en-US" w:eastAsia="zh-CN"/>
        </w:rPr>
        <w:t>4</w:t>
      </w:r>
      <w:r>
        <w:rPr>
          <w:rFonts w:hint="eastAsia" w:ascii="宋体" w:hAnsi="宋体" w:eastAsia="宋体" w:cs="宋体"/>
          <w:sz w:val="28"/>
          <w:szCs w:val="28"/>
        </w:rPr>
        <w:t>〕</w:t>
      </w:r>
      <w:r>
        <w:rPr>
          <w:rFonts w:hint="eastAsia" w:ascii="宋体" w:hAnsi="宋体" w:eastAsia="宋体" w:cs="宋体"/>
          <w:sz w:val="28"/>
          <w:szCs w:val="28"/>
          <w:lang w:val="en-US" w:eastAsia="zh-CN"/>
        </w:rPr>
        <w:t>15</w:t>
      </w:r>
      <w:r>
        <w:rPr>
          <w:rFonts w:hint="eastAsia" w:ascii="宋体" w:hAnsi="宋体" w:eastAsia="宋体" w:cs="宋体"/>
          <w:sz w:val="28"/>
          <w:szCs w:val="28"/>
        </w:rPr>
        <w:t>号）</w:t>
      </w:r>
      <w:r>
        <w:rPr>
          <w:rFonts w:hint="eastAsia" w:ascii="宋体" w:hAnsi="宋体" w:eastAsia="宋体" w:cs="宋体"/>
          <w:color w:val="000000" w:themeColor="text1"/>
          <w:sz w:val="28"/>
          <w:szCs w:val="28"/>
          <w14:textFill>
            <w14:solidFill>
              <w14:schemeClr w14:val="tx1"/>
            </w14:solidFill>
          </w14:textFill>
        </w:rPr>
        <w:t>及</w:t>
      </w:r>
      <w:r>
        <w:rPr>
          <w:rFonts w:hint="eastAsia" w:ascii="宋体" w:hAnsi="宋体" w:eastAsia="宋体" w:cs="宋体"/>
          <w:sz w:val="28"/>
          <w:szCs w:val="28"/>
          <w:lang w:val="en-US" w:eastAsia="zh-CN"/>
        </w:rPr>
        <w:t>《政府会计制度》</w:t>
      </w:r>
      <w:r>
        <w:rPr>
          <w:rFonts w:hint="eastAsia" w:ascii="宋体" w:hAnsi="宋体" w:eastAsia="宋体" w:cs="宋体"/>
          <w:color w:val="000000" w:themeColor="text1"/>
          <w:sz w:val="28"/>
          <w:szCs w:val="28"/>
          <w14:textFill>
            <w14:solidFill>
              <w14:schemeClr w14:val="tx1"/>
            </w14:solidFill>
          </w14:textFill>
        </w:rPr>
        <w:t>有关规定，相关制度基本能够得到有效的执行。</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3. </w:t>
      </w:r>
      <w:r>
        <w:rPr>
          <w:rFonts w:hint="eastAsia" w:ascii="宋体" w:hAnsi="宋体" w:eastAsia="宋体" w:cs="宋体"/>
          <w:color w:val="000000" w:themeColor="text1"/>
          <w:sz w:val="28"/>
          <w:szCs w:val="28"/>
          <w:lang w:val="en-US" w:eastAsia="zh-CN"/>
          <w14:textFill>
            <w14:solidFill>
              <w14:schemeClr w14:val="tx1"/>
            </w14:solidFill>
          </w14:textFill>
        </w:rPr>
        <w:t>项目预算资金6,050,000.00元</w:t>
      </w:r>
      <w:r>
        <w:rPr>
          <w:rFonts w:hint="eastAsia" w:ascii="宋体" w:hAnsi="宋体" w:eastAsia="宋体" w:cs="宋体"/>
          <w:sz w:val="28"/>
          <w:szCs w:val="28"/>
        </w:rPr>
        <w:t>，项目实际</w:t>
      </w:r>
      <w:r>
        <w:rPr>
          <w:rFonts w:hint="eastAsia" w:ascii="宋体" w:hAnsi="宋体" w:eastAsia="宋体" w:cs="宋体"/>
          <w:sz w:val="28"/>
          <w:szCs w:val="28"/>
          <w:lang w:val="en-US" w:eastAsia="zh-CN"/>
        </w:rPr>
        <w:t>使用资金</w:t>
      </w:r>
      <w:r>
        <w:rPr>
          <w:rFonts w:hint="eastAsia" w:ascii="宋体" w:hAnsi="宋体" w:eastAsia="宋体" w:cs="宋体"/>
          <w:sz w:val="28"/>
          <w:szCs w:val="28"/>
          <w:highlight w:val="none"/>
          <w:lang w:val="en-US" w:eastAsia="zh-CN"/>
        </w:rPr>
        <w:t>6,047,999.64</w:t>
      </w:r>
      <w:r>
        <w:rPr>
          <w:rFonts w:hint="eastAsia" w:ascii="宋体" w:hAnsi="宋体" w:eastAsia="宋体" w:cs="宋体"/>
          <w:sz w:val="28"/>
          <w:szCs w:val="28"/>
        </w:rPr>
        <w:t>元，资金使用基本符合预算批复的用途，无截留、挤占、挪用、虚列支出等情况。</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（三）项目绩效情况分析</w:t>
      </w:r>
      <w:bookmarkEnd w:id="31"/>
      <w:bookmarkEnd w:id="32"/>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项目绩效指标满分60分，再评价综合评</w:t>
      </w:r>
      <w:r>
        <w:rPr>
          <w:rFonts w:hint="eastAsia" w:ascii="宋体" w:hAnsi="宋体" w:eastAsia="宋体" w:cs="宋体"/>
          <w:sz w:val="28"/>
          <w:szCs w:val="28"/>
          <w:highlight w:val="none"/>
        </w:rPr>
        <w:t>分</w:t>
      </w:r>
      <w:r>
        <w:rPr>
          <w:rFonts w:hint="eastAsia" w:ascii="宋体" w:hAnsi="宋体" w:eastAsia="宋体" w:cs="宋体"/>
          <w:sz w:val="28"/>
          <w:szCs w:val="28"/>
          <w:highlight w:val="none"/>
          <w:lang w:eastAsia="zh-CN"/>
        </w:rPr>
        <w:t>4</w:t>
      </w:r>
      <w:r>
        <w:rPr>
          <w:rFonts w:hint="eastAsia" w:ascii="宋体" w:hAnsi="宋体" w:eastAsia="宋体" w:cs="宋体"/>
          <w:sz w:val="28"/>
          <w:szCs w:val="28"/>
          <w:highlight w:val="none"/>
          <w:lang w:val="en-US" w:eastAsia="zh-CN"/>
        </w:rPr>
        <w:t>8</w:t>
      </w:r>
      <w:r>
        <w:rPr>
          <w:rFonts w:hint="eastAsia" w:ascii="宋体" w:hAnsi="宋体" w:eastAsia="宋体" w:cs="宋体"/>
          <w:sz w:val="28"/>
          <w:szCs w:val="28"/>
          <w:highlight w:val="none"/>
        </w:rPr>
        <w:t>分</w:t>
      </w:r>
      <w:r>
        <w:rPr>
          <w:rFonts w:hint="eastAsia" w:ascii="宋体" w:hAnsi="宋体" w:eastAsia="宋体" w:cs="宋体"/>
          <w:sz w:val="28"/>
          <w:szCs w:val="28"/>
        </w:rPr>
        <w:t>（占该项满分值的</w:t>
      </w:r>
      <w:r>
        <w:rPr>
          <w:rFonts w:hint="eastAsia" w:ascii="宋体" w:hAnsi="宋体" w:eastAsia="宋体" w:cs="宋体"/>
          <w:sz w:val="28"/>
          <w:szCs w:val="28"/>
          <w:highlight w:val="none"/>
        </w:rPr>
        <w:t>8</w:t>
      </w:r>
      <w:r>
        <w:rPr>
          <w:rFonts w:hint="eastAsia" w:ascii="宋体" w:hAnsi="宋体" w:eastAsia="宋体" w:cs="宋体"/>
          <w:sz w:val="28"/>
          <w:szCs w:val="28"/>
          <w:highlight w:val="none"/>
          <w:lang w:val="en-US" w:eastAsia="zh-CN"/>
        </w:rPr>
        <w:t>0</w:t>
      </w:r>
      <w:r>
        <w:rPr>
          <w:rFonts w:hint="eastAsia" w:ascii="宋体" w:hAnsi="宋体" w:eastAsia="宋体" w:cs="宋体"/>
          <w:sz w:val="28"/>
          <w:szCs w:val="28"/>
          <w:highlight w:val="none"/>
        </w:rPr>
        <w:t>%</w:t>
      </w:r>
      <w:r>
        <w:rPr>
          <w:rFonts w:hint="eastAsia" w:ascii="宋体" w:hAnsi="宋体" w:eastAsia="宋体" w:cs="宋体"/>
          <w:sz w:val="28"/>
          <w:szCs w:val="28"/>
        </w:rPr>
        <w:t>），具体情况分析如下：</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1.项目产出</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县城管局基本完成了年度目标任务，2019年县城管局将县城从南到北划分为四个片区，实行分片管理，责任到人。</w:t>
      </w:r>
      <w:bookmarkStart w:id="33" w:name="_Toc498009787"/>
      <w:bookmarkStart w:id="34" w:name="_Toc502134870"/>
      <w:r>
        <w:rPr>
          <w:rFonts w:hint="eastAsia" w:ascii="宋体" w:hAnsi="宋体" w:eastAsia="宋体" w:cs="宋体"/>
          <w:sz w:val="28"/>
          <w:szCs w:val="28"/>
          <w:highlight w:val="none"/>
        </w:rPr>
        <w:t xml:space="preserve">全年敦促县城环卫承包企业按作业规范和标准做好17.41平方米的清扫保洁工作，敦促企业收集清运粪便1000余吨、日收集生活近60吨、全年2.19万吨，生活垃圾无害化处理2.19万吨，无害化处理率100%；2019年增加、改善环卫设施设备，新购置28辆新能源垃圾车、1辆吸粪车、1辆路面清洗车，新增60只移动垃圾箱，对三座免费公厕进行了提升改造；整治县城9个建筑垃圾堆放点、改造县城7座垃圾房为分类收集亭，用四色垃圾桶收集垃圾。     </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为保证清洁卫生工程质量，督促指导保洁公司增加洗扫车3辆、增加50名保洁人员、增加垃圾收集清运车10辆，交通隔离栏每周至少2次清洗。</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加强公厕管理，对15座公厕安装防蝇帘、标识标牌、管理制度、及管护人员信息公示栏；及时维修及更换损坏设施设备，每周开展一次消杀及灭蝇、灭鼠工作。</w:t>
      </w:r>
    </w:p>
    <w:p>
      <w:pPr>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通过采取以上措施，全年完成清扫保洁面积17.41平方米，完成垃圾收集、中转、填埋29930吨；完成垃圾填埋场渗沥液2550吨。</w:t>
      </w:r>
    </w:p>
    <w:p>
      <w:pPr>
        <w:pStyle w:val="2"/>
        <w:keepNext w:val="0"/>
        <w:keepLines w:val="0"/>
        <w:pageBreakBefore w:val="0"/>
        <w:kinsoku/>
        <w:wordWrap/>
        <w:overflowPunct/>
        <w:topLinePunct w:val="0"/>
        <w:autoSpaceDE/>
        <w:autoSpaceDN/>
        <w:bidi w:val="0"/>
        <w:adjustRightInd/>
        <w:snapToGrid/>
        <w:spacing w:after="0"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2.项目效益</w:t>
      </w:r>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highlight w:val="none"/>
          <w:lang w:val="en-US" w:eastAsia="zh-CN"/>
        </w:rPr>
        <w:t>通过项目的实施，</w:t>
      </w:r>
      <w:r>
        <w:rPr>
          <w:rFonts w:hint="eastAsia" w:ascii="宋体" w:hAnsi="宋体" w:eastAsia="宋体" w:cs="宋体"/>
          <w:sz w:val="28"/>
          <w:szCs w:val="28"/>
        </w:rPr>
        <w:t>项目实施社会效益显著，可持续性影响认可率高，环卫清扫保洁面积达标</w:t>
      </w:r>
      <w:r>
        <w:rPr>
          <w:rFonts w:hint="eastAsia" w:ascii="宋体" w:hAnsi="宋体" w:eastAsia="宋体" w:cs="宋体"/>
          <w:sz w:val="28"/>
          <w:szCs w:val="28"/>
          <w:highlight w:val="none"/>
        </w:rPr>
        <w:t>率100%，促</w:t>
      </w:r>
      <w:r>
        <w:rPr>
          <w:rFonts w:hint="eastAsia" w:ascii="宋体" w:hAnsi="宋体" w:eastAsia="宋体" w:cs="宋体"/>
          <w:sz w:val="28"/>
          <w:szCs w:val="28"/>
        </w:rPr>
        <w:t>进县外资金投入率</w:t>
      </w:r>
      <w:r>
        <w:rPr>
          <w:rFonts w:hint="eastAsia" w:ascii="宋体" w:hAnsi="宋体" w:eastAsia="宋体" w:cs="宋体"/>
          <w:sz w:val="28"/>
          <w:szCs w:val="28"/>
          <w:lang w:eastAsia="zh-CN"/>
        </w:rPr>
        <w:t>大</w:t>
      </w:r>
      <w:r>
        <w:rPr>
          <w:rFonts w:hint="eastAsia" w:ascii="宋体" w:hAnsi="宋体" w:eastAsia="宋体" w:cs="宋体"/>
          <w:sz w:val="28"/>
          <w:szCs w:val="28"/>
          <w:highlight w:val="none"/>
          <w:lang w:eastAsia="zh-CN"/>
        </w:rPr>
        <w:t>于3</w:t>
      </w:r>
      <w:r>
        <w:rPr>
          <w:rFonts w:hint="eastAsia" w:ascii="宋体" w:hAnsi="宋体" w:eastAsia="宋体" w:cs="宋体"/>
          <w:sz w:val="28"/>
          <w:szCs w:val="28"/>
          <w:highlight w:val="none"/>
        </w:rPr>
        <w:t>%，工程运行成本核算准确率</w:t>
      </w:r>
      <w:r>
        <w:rPr>
          <w:rFonts w:hint="eastAsia" w:ascii="宋体" w:hAnsi="宋体" w:eastAsia="宋体" w:cs="宋体"/>
          <w:sz w:val="28"/>
          <w:szCs w:val="28"/>
          <w:highlight w:val="none"/>
          <w:lang w:eastAsia="zh-CN"/>
        </w:rPr>
        <w:t>达9</w:t>
      </w:r>
      <w:r>
        <w:rPr>
          <w:rFonts w:hint="eastAsia" w:ascii="宋体" w:hAnsi="宋体" w:eastAsia="宋体" w:cs="宋体"/>
          <w:sz w:val="28"/>
          <w:szCs w:val="28"/>
          <w:highlight w:val="none"/>
        </w:rPr>
        <w:t>0%</w:t>
      </w:r>
      <w:r>
        <w:rPr>
          <w:rFonts w:hint="eastAsia" w:ascii="宋体" w:hAnsi="宋体" w:eastAsia="宋体" w:cs="宋体"/>
          <w:sz w:val="28"/>
          <w:szCs w:val="28"/>
          <w:highlight w:val="none"/>
          <w:lang w:eastAsia="zh-CN"/>
        </w:rPr>
        <w:t>，但存在垃圾处置及时率未达</w:t>
      </w:r>
      <w:r>
        <w:rPr>
          <w:rFonts w:hint="eastAsia" w:ascii="宋体" w:hAnsi="宋体" w:eastAsia="宋体" w:cs="宋体"/>
          <w:sz w:val="28"/>
          <w:szCs w:val="28"/>
          <w:highlight w:val="none"/>
          <w:lang w:val="en-US" w:eastAsia="zh-CN"/>
        </w:rPr>
        <w:t>99%，垃圾填埋场渗滤液每天处理量率未达100%，PH2.5浓度降低率未达20%等情况</w:t>
      </w:r>
      <w:r>
        <w:rPr>
          <w:rFonts w:hint="eastAsia" w:ascii="宋体" w:hAnsi="宋体" w:eastAsia="宋体" w:cs="宋体"/>
          <w:sz w:val="28"/>
          <w:szCs w:val="28"/>
          <w:highlight w:val="none"/>
        </w:rPr>
        <w:t>。</w:t>
      </w:r>
    </w:p>
    <w:bookmarkEnd w:id="33"/>
    <w:bookmarkEnd w:id="34"/>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35" w:name="_Toc498009788"/>
      <w:bookmarkStart w:id="36" w:name="_Toc502134871"/>
      <w:r>
        <w:rPr>
          <w:rFonts w:hint="eastAsia" w:ascii="宋体" w:hAnsi="宋体" w:eastAsia="宋体" w:cs="宋体"/>
          <w:b/>
          <w:bCs/>
          <w:sz w:val="28"/>
          <w:szCs w:val="28"/>
        </w:rPr>
        <w:t>六、主要经验及做法</w:t>
      </w:r>
      <w:bookmarkEnd w:id="35"/>
      <w:bookmarkEnd w:id="36"/>
    </w:p>
    <w:p>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一是建立了专项资金申请及项目绩效跟踪制度，发现问题，及时研究解决的办法和措施，保证了项目绩效目标的完成和项目绩效的充分发挥</w:t>
      </w:r>
      <w:r>
        <w:rPr>
          <w:rFonts w:hint="eastAsia" w:ascii="宋体" w:hAnsi="宋体" w:eastAsia="宋体" w:cs="宋体"/>
          <w:sz w:val="28"/>
          <w:szCs w:val="28"/>
          <w:lang w:eastAsia="zh-CN"/>
        </w:rPr>
        <w:t>；</w:t>
      </w:r>
      <w:r>
        <w:rPr>
          <w:rFonts w:hint="eastAsia" w:ascii="宋体" w:hAnsi="宋体" w:eastAsia="宋体" w:cs="宋体"/>
          <w:sz w:val="28"/>
          <w:szCs w:val="28"/>
        </w:rPr>
        <w:t>二是建立机构，保证单位项目绩效有序开展；三是完善制度，确保项目实施的质量和项目资金的安全。</w:t>
      </w:r>
    </w:p>
    <w:p>
      <w:pPr>
        <w:keepNext w:val="0"/>
        <w:keepLines w:val="0"/>
        <w:pageBreakBefore w:val="0"/>
        <w:kinsoku/>
        <w:wordWrap/>
        <w:overflowPunct/>
        <w:topLinePunct w:val="0"/>
        <w:autoSpaceDE/>
        <w:autoSpaceDN/>
        <w:bidi w:val="0"/>
        <w:adjustRightInd/>
        <w:snapToGrid/>
        <w:spacing w:line="360" w:lineRule="auto"/>
        <w:ind w:firstLine="562" w:firstLineChars="200"/>
        <w:rPr>
          <w:rFonts w:hint="eastAsia" w:ascii="宋体" w:hAnsi="宋体" w:eastAsia="宋体" w:cs="宋体"/>
          <w:b/>
          <w:bCs/>
          <w:sz w:val="28"/>
          <w:szCs w:val="28"/>
        </w:rPr>
      </w:pPr>
      <w:bookmarkStart w:id="37" w:name="_Toc498009789"/>
      <w:bookmarkStart w:id="38" w:name="_Toc502134872"/>
      <w:r>
        <w:rPr>
          <w:rFonts w:hint="eastAsia" w:ascii="宋体" w:hAnsi="宋体" w:eastAsia="宋体" w:cs="宋体"/>
          <w:b/>
          <w:bCs/>
          <w:sz w:val="28"/>
          <w:szCs w:val="28"/>
        </w:rPr>
        <w:t>七、存在问题及原因分析</w:t>
      </w:r>
      <w:bookmarkEnd w:id="37"/>
      <w:bookmarkEnd w:id="38"/>
    </w:p>
    <w:p>
      <w:pPr>
        <w:spacing w:line="360" w:lineRule="auto"/>
        <w:ind w:firstLine="562" w:firstLineChars="200"/>
        <w:rPr>
          <w:rFonts w:hint="eastAsia" w:ascii="宋体" w:hAnsi="宋体" w:eastAsia="宋体" w:cs="宋体"/>
          <w:b/>
          <w:bCs/>
          <w:sz w:val="28"/>
          <w:szCs w:val="28"/>
          <w:highlight w:val="none"/>
          <w:lang w:eastAsia="zh-CN"/>
        </w:rPr>
      </w:pPr>
      <w:bookmarkStart w:id="39" w:name="_Toc500849310"/>
      <w:bookmarkStart w:id="40" w:name="_Toc500440025"/>
      <w:bookmarkStart w:id="41" w:name="_Toc500364179"/>
      <w:bookmarkStart w:id="42" w:name="_Toc500589022"/>
      <w:bookmarkStart w:id="43" w:name="_Toc500202563"/>
      <w:bookmarkStart w:id="44" w:name="_Toc502134873"/>
      <w:r>
        <w:rPr>
          <w:rFonts w:hint="eastAsia" w:ascii="宋体" w:hAnsi="宋体" w:eastAsia="宋体" w:cs="宋体"/>
          <w:b/>
          <w:bCs/>
          <w:sz w:val="28"/>
          <w:szCs w:val="28"/>
          <w:highlight w:val="none"/>
        </w:rPr>
        <w:t>绩效管理落实不够好</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w:t>
      </w:r>
      <w:r>
        <w:rPr>
          <w:rFonts w:hint="eastAsia" w:ascii="宋体" w:hAnsi="宋体" w:eastAsia="宋体" w:cs="宋体"/>
          <w:sz w:val="28"/>
          <w:szCs w:val="28"/>
          <w:highlight w:val="none"/>
        </w:rPr>
        <w:t>县城管局</w:t>
      </w:r>
      <w:r>
        <w:rPr>
          <w:rFonts w:hint="eastAsia" w:ascii="宋体" w:hAnsi="宋体" w:eastAsia="宋体" w:cs="宋体"/>
          <w:sz w:val="28"/>
          <w:szCs w:val="28"/>
          <w:lang w:val="en-US" w:eastAsia="zh-CN"/>
        </w:rPr>
        <w:t>提供的绩效目标申报表，存在填报格式不规范，绩效目标不完整、明确。</w:t>
      </w:r>
    </w:p>
    <w:p>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规定不符。</w:t>
      </w:r>
    </w:p>
    <w:p>
      <w:pPr>
        <w:ind w:left="480"/>
        <w:rPr>
          <w:rFonts w:hint="eastAsia" w:ascii="宋体" w:hAnsi="宋体" w:eastAsia="宋体" w:cs="宋体"/>
          <w:b/>
          <w:bCs/>
          <w:sz w:val="28"/>
          <w:szCs w:val="28"/>
        </w:rPr>
      </w:pPr>
      <w:r>
        <w:rPr>
          <w:rFonts w:hint="eastAsia" w:ascii="宋体" w:hAnsi="宋体" w:eastAsia="宋体" w:cs="宋体"/>
          <w:b/>
          <w:bCs/>
          <w:sz w:val="28"/>
          <w:szCs w:val="28"/>
        </w:rPr>
        <w:t xml:space="preserve">八、 </w:t>
      </w:r>
      <w:bookmarkEnd w:id="39"/>
      <w:bookmarkEnd w:id="40"/>
      <w:bookmarkEnd w:id="41"/>
      <w:bookmarkEnd w:id="42"/>
      <w:bookmarkEnd w:id="43"/>
      <w:bookmarkEnd w:id="44"/>
      <w:bookmarkStart w:id="45" w:name="_Toc498009790"/>
      <w:bookmarkStart w:id="46" w:name="_Toc502134879"/>
      <w:r>
        <w:rPr>
          <w:rFonts w:hint="eastAsia" w:ascii="宋体" w:hAnsi="宋体" w:eastAsia="宋体" w:cs="宋体"/>
          <w:b/>
          <w:bCs/>
          <w:sz w:val="28"/>
          <w:szCs w:val="28"/>
        </w:rPr>
        <w:t>建议</w:t>
      </w:r>
      <w:bookmarkEnd w:id="45"/>
      <w:bookmarkEnd w:id="46"/>
      <w:bookmarkStart w:id="47" w:name="_Toc500364185"/>
      <w:bookmarkStart w:id="48" w:name="_Toc500440031"/>
      <w:bookmarkStart w:id="49" w:name="_Toc500202569"/>
      <w:bookmarkStart w:id="50" w:name="_Toc502134880"/>
      <w:bookmarkStart w:id="51" w:name="_Toc500849317"/>
      <w:bookmarkStart w:id="52" w:name="_Toc500589028"/>
      <w:bookmarkStart w:id="53" w:name="_Toc498009791"/>
    </w:p>
    <w:p>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b w:val="0"/>
          <w:bCs w:val="0"/>
          <w:sz w:val="28"/>
          <w:szCs w:val="28"/>
          <w:lang w:val="en-US" w:eastAsia="zh-CN"/>
        </w:rPr>
        <w:t>加强预算绩效管理，</w:t>
      </w:r>
      <w:r>
        <w:rPr>
          <w:rFonts w:hint="eastAsia" w:ascii="宋体" w:hAnsi="宋体" w:eastAsia="宋体" w:cs="宋体"/>
          <w:sz w:val="28"/>
          <w:szCs w:val="28"/>
          <w:lang w:val="en-US" w:eastAsia="zh-CN"/>
        </w:rPr>
        <w:t>对部门的职能进行梳理，确定部门履职的各项具体工作职责，结合部门中长期规划和年度工作计划，预计部门在本年度内履职所要达到的总体产出和结果，将其确定为部门总体绩效目标，以定量和定性指标相结合的方式进行表述。</w:t>
      </w:r>
    </w:p>
    <w:bookmarkEnd w:id="47"/>
    <w:bookmarkEnd w:id="48"/>
    <w:bookmarkEnd w:id="49"/>
    <w:bookmarkEnd w:id="50"/>
    <w:bookmarkEnd w:id="51"/>
    <w:bookmarkEnd w:id="52"/>
    <w:bookmarkEnd w:id="53"/>
    <w:p>
      <w:pPr>
        <w:spacing w:line="360" w:lineRule="auto"/>
        <w:ind w:firstLine="560" w:firstLineChars="200"/>
        <w:rPr>
          <w:rFonts w:hint="eastAsia" w:ascii="宋体" w:hAnsi="宋体" w:eastAsia="宋体" w:cs="宋体"/>
          <w:sz w:val="28"/>
          <w:szCs w:val="28"/>
        </w:rPr>
      </w:pP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附件1：寻甸县城管局2019年城乡清洁工程项目支出绩效评价指标体系</w:t>
      </w:r>
    </w:p>
    <w:p>
      <w:pPr>
        <w:rPr>
          <w:rFonts w:hint="eastAsia" w:ascii="宋体" w:hAnsi="宋体" w:eastAsia="宋体" w:cs="宋体"/>
          <w:sz w:val="28"/>
          <w:szCs w:val="28"/>
        </w:rPr>
      </w:pPr>
    </w:p>
    <w:p>
      <w:pPr>
        <w:pStyle w:val="2"/>
        <w:rPr>
          <w:rFonts w:hint="eastAsia" w:ascii="宋体" w:hAnsi="宋体" w:eastAsia="宋体" w:cs="宋体"/>
          <w:sz w:val="28"/>
          <w:szCs w:val="28"/>
        </w:rPr>
      </w:pPr>
    </w:p>
    <w:p>
      <w:pPr>
        <w:pStyle w:val="2"/>
        <w:rPr>
          <w:rFonts w:hint="eastAsia" w:ascii="宋体" w:hAnsi="宋体" w:eastAsia="宋体" w:cs="宋体"/>
          <w:sz w:val="28"/>
          <w:szCs w:val="28"/>
        </w:rPr>
      </w:pPr>
    </w:p>
    <w:p>
      <w:pPr>
        <w:wordWrap w:val="0"/>
        <w:spacing w:line="600" w:lineRule="exact"/>
        <w:ind w:right="42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wordWrap w:val="0"/>
        <w:spacing w:line="600" w:lineRule="exact"/>
        <w:ind w:right="420"/>
        <w:rPr>
          <w:rFonts w:hint="eastAsia" w:ascii="宋体" w:hAnsi="宋体" w:eastAsia="宋体" w:cs="宋体"/>
          <w:sz w:val="28"/>
          <w:szCs w:val="28"/>
        </w:rPr>
      </w:pPr>
      <w:r>
        <w:rPr>
          <w:rFonts w:hint="eastAsia" w:ascii="宋体" w:hAnsi="宋体" w:eastAsia="宋体" w:cs="宋体"/>
          <w:spacing w:val="-20"/>
          <w:sz w:val="28"/>
          <w:szCs w:val="28"/>
        </w:rPr>
        <w:t>中兴财光华会计师事务所(特殊普通合伙）云南分所</w:t>
      </w:r>
      <w:r>
        <w:rPr>
          <w:rFonts w:hint="eastAsia" w:ascii="宋体" w:hAnsi="宋体" w:eastAsia="宋体" w:cs="宋体"/>
          <w:sz w:val="28"/>
          <w:szCs w:val="28"/>
        </w:rPr>
        <w:t xml:space="preserve">    </w:t>
      </w:r>
    </w:p>
    <w:p>
      <w:pPr>
        <w:spacing w:line="600" w:lineRule="exact"/>
        <w:ind w:firstLine="280" w:firstLineChars="100"/>
        <w:rPr>
          <w:rFonts w:hint="eastAsia" w:ascii="宋体" w:hAnsi="宋体" w:eastAsia="宋体" w:cs="宋体"/>
          <w:sz w:val="28"/>
          <w:szCs w:val="28"/>
        </w:rPr>
      </w:pPr>
      <w:r>
        <w:rPr>
          <w:rFonts w:hint="eastAsia" w:ascii="宋体" w:hAnsi="宋体" w:eastAsia="宋体" w:cs="宋体"/>
          <w:sz w:val="28"/>
          <w:szCs w:val="28"/>
        </w:rPr>
        <w:t xml:space="preserve">                                       中国注册会计师：</w:t>
      </w:r>
    </w:p>
    <w:p>
      <w:pPr>
        <w:rPr>
          <w:rFonts w:hint="eastAsia" w:ascii="宋体" w:hAnsi="宋体" w:eastAsia="宋体" w:cs="宋体"/>
          <w:sz w:val="28"/>
          <w:szCs w:val="28"/>
        </w:rPr>
      </w:pPr>
    </w:p>
    <w:p>
      <w:pPr>
        <w:ind w:firstLine="1960" w:firstLineChars="700"/>
        <w:rPr>
          <w:rFonts w:hint="eastAsia" w:ascii="宋体" w:hAnsi="宋体" w:eastAsia="宋体" w:cs="宋体"/>
          <w:sz w:val="28"/>
          <w:szCs w:val="28"/>
        </w:rPr>
      </w:pPr>
      <w:r>
        <w:rPr>
          <w:rFonts w:hint="eastAsia" w:ascii="宋体" w:hAnsi="宋体" w:eastAsia="宋体" w:cs="宋体"/>
          <w:sz w:val="28"/>
          <w:szCs w:val="28"/>
        </w:rPr>
        <w:t>中国•昆明                  二〇二〇年</w:t>
      </w:r>
      <w:r>
        <w:rPr>
          <w:rFonts w:hint="eastAsia" w:ascii="宋体" w:hAnsi="宋体" w:eastAsia="宋体" w:cs="宋体"/>
          <w:sz w:val="28"/>
          <w:szCs w:val="28"/>
          <w:lang w:eastAsia="zh-CN"/>
        </w:rPr>
        <w:t>九</w:t>
      </w:r>
      <w:r>
        <w:rPr>
          <w:rFonts w:hint="eastAsia" w:ascii="宋体" w:hAnsi="宋体" w:eastAsia="宋体" w:cs="宋体"/>
          <w:sz w:val="28"/>
          <w:szCs w:val="28"/>
        </w:rPr>
        <w:t>月</w:t>
      </w:r>
      <w:r>
        <w:rPr>
          <w:rFonts w:hint="eastAsia" w:ascii="宋体" w:hAnsi="宋体" w:eastAsia="宋体" w:cs="宋体"/>
          <w:sz w:val="28"/>
          <w:szCs w:val="28"/>
          <w:lang w:eastAsia="zh-CN"/>
        </w:rPr>
        <w:t>二十八</w:t>
      </w:r>
      <w:r>
        <w:rPr>
          <w:rFonts w:hint="eastAsia" w:ascii="宋体" w:hAnsi="宋体" w:eastAsia="宋体" w:cs="宋体"/>
          <w:sz w:val="28"/>
          <w:szCs w:val="28"/>
        </w:rPr>
        <w:t xml:space="preserve">日             </w:t>
      </w:r>
    </w:p>
    <w:p>
      <w:pPr>
        <w:rPr>
          <w:rFonts w:hint="eastAsia" w:asciiTheme="minorHAnsi" w:hAnsiTheme="minorHAnsi" w:eastAsiaTheme="minorEastAsia" w:cstheme="minorBidi"/>
          <w:kern w:val="2"/>
          <w:sz w:val="21"/>
          <w:szCs w:val="22"/>
          <w:lang w:val="en-US" w:eastAsia="zh-CN" w:bidi="ar-SA"/>
        </w:rPr>
      </w:pPr>
    </w:p>
    <w:p>
      <w:pPr>
        <w:rPr>
          <w:rFonts w:hint="eastAsia"/>
          <w:lang w:val="en-US" w:eastAsia="zh-CN"/>
        </w:rPr>
      </w:pPr>
    </w:p>
    <w:p>
      <w:pPr>
        <w:tabs>
          <w:tab w:val="left" w:pos="7033"/>
        </w:tabs>
        <w:jc w:val="left"/>
        <w:rPr>
          <w:rFonts w:hint="eastAsia"/>
          <w:lang w:val="en-US" w:eastAsia="zh-CN"/>
        </w:rPr>
      </w:pPr>
    </w:p>
    <w:sectPr>
      <w:headerReference r:id="rId3" w:type="default"/>
      <w:footerReference r:id="rId4" w:type="default"/>
      <w:pgSz w:w="11906" w:h="16838"/>
      <w:pgMar w:top="1984" w:right="1134" w:bottom="1134" w:left="1701" w:header="737" w:footer="73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隶书">
    <w:panose1 w:val="0201050906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13</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right"/>
      <w:rPr>
        <w:rFonts w:hint="eastAsia" w:ascii="隶书" w:hAnsi="隶书" w:eastAsia="隶书" w:cs="隶书"/>
        <w:sz w:val="10"/>
        <w:szCs w:val="10"/>
      </w:rPr>
    </w:pPr>
  </w:p>
  <w:p>
    <w:pPr>
      <w:pStyle w:val="4"/>
      <w:pBdr>
        <w:bottom w:val="none" w:color="auto" w:sz="0" w:space="1"/>
      </w:pBdr>
      <w:spacing w:line="240" w:lineRule="exact"/>
      <w:jc w:val="right"/>
      <w:rPr>
        <w:rFonts w:hint="eastAsia" w:ascii="隶书" w:hAnsi="隶书" w:eastAsia="隶书" w:cs="隶书"/>
        <w:sz w:val="10"/>
        <w:szCs w:val="10"/>
      </w:rPr>
    </w:pPr>
    <w:r>
      <w:rPr>
        <w:rFonts w:hint="eastAsia" w:ascii="隶书" w:eastAsia="隶书"/>
        <w:spacing w:val="-20"/>
        <w:sz w:val="28"/>
        <w:szCs w:val="28"/>
      </w:rPr>
      <w:t xml:space="preserve">                     </w:t>
    </w:r>
  </w:p>
  <w:p>
    <w:pPr>
      <w:pStyle w:val="4"/>
      <w:pBdr>
        <w:bottom w:val="single" w:color="auto" w:sz="4" w:space="1"/>
      </w:pBdr>
      <w:tabs>
        <w:tab w:val="left" w:pos="1290"/>
        <w:tab w:val="left" w:pos="3686"/>
        <w:tab w:val="left" w:pos="3828"/>
        <w:tab w:val="right" w:pos="8392"/>
      </w:tabs>
      <w:jc w:val="right"/>
    </w:pPr>
    <w:r>
      <w:rPr>
        <w:rFonts w:hint="eastAsia" w:ascii="隶书" w:eastAsia="隶书"/>
        <w:spacing w:val="-20"/>
        <w:sz w:val="28"/>
        <w:szCs w:val="28"/>
      </w:rPr>
      <w:drawing>
        <wp:anchor distT="0" distB="0" distL="114300" distR="114300" simplePos="0" relativeHeight="251662336" behindDoc="1" locked="0" layoutInCell="1" allowOverlap="1">
          <wp:simplePos x="0" y="0"/>
          <wp:positionH relativeFrom="column">
            <wp:posOffset>-27940</wp:posOffset>
          </wp:positionH>
          <wp:positionV relativeFrom="paragraph">
            <wp:posOffset>50800</wp:posOffset>
          </wp:positionV>
          <wp:extent cx="1233805" cy="189865"/>
          <wp:effectExtent l="0" t="0" r="4445" b="635"/>
          <wp:wrapTight wrapText="bothSides">
            <wp:wrapPolygon>
              <wp:start x="0" y="0"/>
              <wp:lineTo x="0" y="19505"/>
              <wp:lineTo x="21344" y="19505"/>
              <wp:lineTo x="21344" y="0"/>
              <wp:lineTo x="0" y="0"/>
            </wp:wrapPolygon>
          </wp:wrapTight>
          <wp:docPr id="3" name="图片 2"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Users\Administrator.USER-20170507AS\Desktop\图片1.jpg"/>
                  <pic:cNvPicPr>
                    <a:picLocks noChangeAspect="1"/>
                  </pic:cNvPicPr>
                </pic:nvPicPr>
                <pic:blipFill>
                  <a:blip r:embed="rId1"/>
                  <a:stretch>
                    <a:fillRect/>
                  </a:stretch>
                </pic:blipFill>
                <pic:spPr>
                  <a:xfrm>
                    <a:off x="0" y="0"/>
                    <a:ext cx="1233805" cy="189865"/>
                  </a:xfrm>
                  <a:prstGeom prst="rect">
                    <a:avLst/>
                  </a:prstGeom>
                  <a:noFill/>
                  <a:ln>
                    <a:noFill/>
                  </a:ln>
                </pic:spPr>
              </pic:pic>
            </a:graphicData>
          </a:graphic>
        </wp:anchor>
      </w:drawing>
    </w:r>
    <w:r>
      <w:rPr>
        <w:rFonts w:ascii="隶书" w:eastAsia="隶书"/>
        <w:spacing w:val="-20"/>
        <w:sz w:val="28"/>
        <w:szCs w:val="28"/>
      </w:rPr>
      <w:tab/>
    </w:r>
    <w:r>
      <w:rPr>
        <w:rFonts w:ascii="隶书" w:eastAsia="隶书"/>
        <w:spacing w:val="-20"/>
        <w:sz w:val="28"/>
        <w:szCs w:val="28"/>
      </w:rPr>
      <w:tab/>
    </w:r>
    <w:r>
      <w:rPr>
        <w:rFonts w:hint="eastAsia" w:ascii="隶书" w:eastAsia="隶书"/>
        <w:spacing w:val="-20"/>
        <w:sz w:val="28"/>
        <w:szCs w:val="28"/>
      </w:rPr>
      <w:t xml:space="preserve"> </w:t>
    </w:r>
    <w:r>
      <w:rPr>
        <w:rFonts w:ascii="隶书" w:eastAsia="隶书"/>
        <w:spacing w:val="-20"/>
        <w:sz w:val="28"/>
        <w:szCs w:val="28"/>
      </w:rPr>
      <w:t xml:space="preserve">   </w:t>
    </w:r>
    <w:r>
      <w:rPr>
        <w:rFonts w:hint="eastAsia" w:ascii="隶书" w:eastAsia="隶书"/>
        <w:spacing w:val="-20"/>
        <w:sz w:val="28"/>
        <w:szCs w:val="28"/>
      </w:rPr>
      <w:t>中兴财光华会计师事务所（特普）云南分所</w:t>
    </w:r>
    <w:r>
      <w:rPr>
        <w:rFonts w:ascii="隶书" w:eastAsia="隶书"/>
        <w:spacing w:val="-20"/>
        <w:sz w:val="28"/>
        <w:szCs w:val="28"/>
      </w:rPr>
      <w:t xml:space="preserve"> </w:t>
    </w:r>
  </w:p>
  <w:p>
    <w:pPr>
      <w:pStyle w:val="4"/>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25A"/>
    <w:rsid w:val="0002118D"/>
    <w:rsid w:val="00021BE9"/>
    <w:rsid w:val="00032132"/>
    <w:rsid w:val="000466BC"/>
    <w:rsid w:val="000A6D7A"/>
    <w:rsid w:val="000D278C"/>
    <w:rsid w:val="000D3E5A"/>
    <w:rsid w:val="00115E3B"/>
    <w:rsid w:val="00151D27"/>
    <w:rsid w:val="001703ED"/>
    <w:rsid w:val="00184B06"/>
    <w:rsid w:val="001A1F5C"/>
    <w:rsid w:val="001A3886"/>
    <w:rsid w:val="001A57D9"/>
    <w:rsid w:val="001B3130"/>
    <w:rsid w:val="001B3B12"/>
    <w:rsid w:val="00237393"/>
    <w:rsid w:val="002650F3"/>
    <w:rsid w:val="00273EAD"/>
    <w:rsid w:val="002846C8"/>
    <w:rsid w:val="002965B8"/>
    <w:rsid w:val="002C0A3E"/>
    <w:rsid w:val="002C6F3C"/>
    <w:rsid w:val="002D372B"/>
    <w:rsid w:val="002F3578"/>
    <w:rsid w:val="002F42E5"/>
    <w:rsid w:val="003167E8"/>
    <w:rsid w:val="0034115F"/>
    <w:rsid w:val="00343768"/>
    <w:rsid w:val="00345A9A"/>
    <w:rsid w:val="003846A5"/>
    <w:rsid w:val="0038682E"/>
    <w:rsid w:val="003971F9"/>
    <w:rsid w:val="003A00F3"/>
    <w:rsid w:val="003E5176"/>
    <w:rsid w:val="00455B4F"/>
    <w:rsid w:val="004777BA"/>
    <w:rsid w:val="00494EC6"/>
    <w:rsid w:val="004A11B5"/>
    <w:rsid w:val="004C443E"/>
    <w:rsid w:val="005054E0"/>
    <w:rsid w:val="00516DB4"/>
    <w:rsid w:val="005244EB"/>
    <w:rsid w:val="00532FFD"/>
    <w:rsid w:val="00562B04"/>
    <w:rsid w:val="00574512"/>
    <w:rsid w:val="00576EEA"/>
    <w:rsid w:val="005827AB"/>
    <w:rsid w:val="005834A8"/>
    <w:rsid w:val="00593C06"/>
    <w:rsid w:val="005A6174"/>
    <w:rsid w:val="005E6BE1"/>
    <w:rsid w:val="006176A7"/>
    <w:rsid w:val="0066282E"/>
    <w:rsid w:val="0067279F"/>
    <w:rsid w:val="00690E08"/>
    <w:rsid w:val="006A2967"/>
    <w:rsid w:val="006B0706"/>
    <w:rsid w:val="006C12F8"/>
    <w:rsid w:val="006C7150"/>
    <w:rsid w:val="00711DB9"/>
    <w:rsid w:val="0072147A"/>
    <w:rsid w:val="00726CC6"/>
    <w:rsid w:val="00757A95"/>
    <w:rsid w:val="00771166"/>
    <w:rsid w:val="00777F93"/>
    <w:rsid w:val="007D5486"/>
    <w:rsid w:val="00840DB0"/>
    <w:rsid w:val="008454BE"/>
    <w:rsid w:val="00853E45"/>
    <w:rsid w:val="008773CC"/>
    <w:rsid w:val="008B13D1"/>
    <w:rsid w:val="008B600E"/>
    <w:rsid w:val="008C10A9"/>
    <w:rsid w:val="008D627C"/>
    <w:rsid w:val="008E4FBE"/>
    <w:rsid w:val="00930F1E"/>
    <w:rsid w:val="00947BC8"/>
    <w:rsid w:val="009571FF"/>
    <w:rsid w:val="0097079F"/>
    <w:rsid w:val="00971A9B"/>
    <w:rsid w:val="0098088A"/>
    <w:rsid w:val="00986B47"/>
    <w:rsid w:val="009A2CCB"/>
    <w:rsid w:val="009E1783"/>
    <w:rsid w:val="00A01339"/>
    <w:rsid w:val="00A109AB"/>
    <w:rsid w:val="00A34F1E"/>
    <w:rsid w:val="00A428A3"/>
    <w:rsid w:val="00A73C8E"/>
    <w:rsid w:val="00A769FF"/>
    <w:rsid w:val="00AB2B57"/>
    <w:rsid w:val="00AB2BE8"/>
    <w:rsid w:val="00B06926"/>
    <w:rsid w:val="00B17C85"/>
    <w:rsid w:val="00B64312"/>
    <w:rsid w:val="00B94E27"/>
    <w:rsid w:val="00BD009F"/>
    <w:rsid w:val="00BF2713"/>
    <w:rsid w:val="00BF63BC"/>
    <w:rsid w:val="00C040CB"/>
    <w:rsid w:val="00C1425A"/>
    <w:rsid w:val="00C76920"/>
    <w:rsid w:val="00C81B92"/>
    <w:rsid w:val="00C86F37"/>
    <w:rsid w:val="00CA29FA"/>
    <w:rsid w:val="00CE4507"/>
    <w:rsid w:val="00D10C8C"/>
    <w:rsid w:val="00D40550"/>
    <w:rsid w:val="00D44E05"/>
    <w:rsid w:val="00D46677"/>
    <w:rsid w:val="00D53FAA"/>
    <w:rsid w:val="00D615ED"/>
    <w:rsid w:val="00D64864"/>
    <w:rsid w:val="00D76C4E"/>
    <w:rsid w:val="00D912C9"/>
    <w:rsid w:val="00DE24DB"/>
    <w:rsid w:val="00DF760C"/>
    <w:rsid w:val="00E0408A"/>
    <w:rsid w:val="00E337EB"/>
    <w:rsid w:val="00E64F52"/>
    <w:rsid w:val="00E94596"/>
    <w:rsid w:val="00EC279D"/>
    <w:rsid w:val="00EF64CD"/>
    <w:rsid w:val="00F178A3"/>
    <w:rsid w:val="00F43CD5"/>
    <w:rsid w:val="00F62450"/>
    <w:rsid w:val="00F63FAB"/>
    <w:rsid w:val="00F66D78"/>
    <w:rsid w:val="00F77591"/>
    <w:rsid w:val="00F8564F"/>
    <w:rsid w:val="00F92118"/>
    <w:rsid w:val="00FD5908"/>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6186903"/>
    <w:rsid w:val="062A6E20"/>
    <w:rsid w:val="06790629"/>
    <w:rsid w:val="06BD18CD"/>
    <w:rsid w:val="074C6A10"/>
    <w:rsid w:val="075C167D"/>
    <w:rsid w:val="080C5426"/>
    <w:rsid w:val="081D15C4"/>
    <w:rsid w:val="08932548"/>
    <w:rsid w:val="08E46646"/>
    <w:rsid w:val="095F41FF"/>
    <w:rsid w:val="09790F31"/>
    <w:rsid w:val="09943BCA"/>
    <w:rsid w:val="09BE3873"/>
    <w:rsid w:val="0A9F4057"/>
    <w:rsid w:val="0AFD2187"/>
    <w:rsid w:val="0B114150"/>
    <w:rsid w:val="0B2B5475"/>
    <w:rsid w:val="0B45384A"/>
    <w:rsid w:val="0BFF1C88"/>
    <w:rsid w:val="0C230B9E"/>
    <w:rsid w:val="0C8B1184"/>
    <w:rsid w:val="0CD33493"/>
    <w:rsid w:val="0D831253"/>
    <w:rsid w:val="0DCA5DE1"/>
    <w:rsid w:val="0E732050"/>
    <w:rsid w:val="0F4F24AB"/>
    <w:rsid w:val="0F535158"/>
    <w:rsid w:val="0FA554CA"/>
    <w:rsid w:val="10A41CED"/>
    <w:rsid w:val="10C43B87"/>
    <w:rsid w:val="111D6972"/>
    <w:rsid w:val="11CA17ED"/>
    <w:rsid w:val="1225668C"/>
    <w:rsid w:val="122660D5"/>
    <w:rsid w:val="1256332B"/>
    <w:rsid w:val="12613E43"/>
    <w:rsid w:val="1283031A"/>
    <w:rsid w:val="130C2193"/>
    <w:rsid w:val="130E3903"/>
    <w:rsid w:val="13166809"/>
    <w:rsid w:val="13D5523A"/>
    <w:rsid w:val="144D3492"/>
    <w:rsid w:val="145A1383"/>
    <w:rsid w:val="15781213"/>
    <w:rsid w:val="16523EA2"/>
    <w:rsid w:val="16CA78D4"/>
    <w:rsid w:val="16EA3483"/>
    <w:rsid w:val="179C442C"/>
    <w:rsid w:val="17D26242"/>
    <w:rsid w:val="18736211"/>
    <w:rsid w:val="18E933C9"/>
    <w:rsid w:val="19250992"/>
    <w:rsid w:val="19EB2EA3"/>
    <w:rsid w:val="1A3C7AF1"/>
    <w:rsid w:val="1A3D12CC"/>
    <w:rsid w:val="1A545436"/>
    <w:rsid w:val="1A6C6495"/>
    <w:rsid w:val="1B6D5FA5"/>
    <w:rsid w:val="1B79551A"/>
    <w:rsid w:val="1C2D714A"/>
    <w:rsid w:val="1C7707CD"/>
    <w:rsid w:val="1CD55A4A"/>
    <w:rsid w:val="1D17742D"/>
    <w:rsid w:val="1D1B0AD1"/>
    <w:rsid w:val="1D221FDC"/>
    <w:rsid w:val="1D3941A5"/>
    <w:rsid w:val="1D8D6A3B"/>
    <w:rsid w:val="1DE925A7"/>
    <w:rsid w:val="1E2C4E59"/>
    <w:rsid w:val="1EB01ACB"/>
    <w:rsid w:val="1ED05892"/>
    <w:rsid w:val="1EE8779D"/>
    <w:rsid w:val="1F591721"/>
    <w:rsid w:val="1F91086F"/>
    <w:rsid w:val="1FD021B5"/>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A7240"/>
    <w:rsid w:val="251E0472"/>
    <w:rsid w:val="2520642A"/>
    <w:rsid w:val="25462E4B"/>
    <w:rsid w:val="25862011"/>
    <w:rsid w:val="260D7D0C"/>
    <w:rsid w:val="263A71E2"/>
    <w:rsid w:val="26690FCD"/>
    <w:rsid w:val="26963F27"/>
    <w:rsid w:val="269B1693"/>
    <w:rsid w:val="26C54FA3"/>
    <w:rsid w:val="26DF0CD6"/>
    <w:rsid w:val="26ED48AE"/>
    <w:rsid w:val="279445E9"/>
    <w:rsid w:val="27A01740"/>
    <w:rsid w:val="27C416DF"/>
    <w:rsid w:val="28870583"/>
    <w:rsid w:val="28D97FCA"/>
    <w:rsid w:val="28F55BFE"/>
    <w:rsid w:val="291B5803"/>
    <w:rsid w:val="29733142"/>
    <w:rsid w:val="29A033E8"/>
    <w:rsid w:val="29BC365E"/>
    <w:rsid w:val="2A1C5137"/>
    <w:rsid w:val="2A6B5300"/>
    <w:rsid w:val="2B80177F"/>
    <w:rsid w:val="2B90159F"/>
    <w:rsid w:val="2B993748"/>
    <w:rsid w:val="2BBE1DE2"/>
    <w:rsid w:val="2D0E52EF"/>
    <w:rsid w:val="2DA362F7"/>
    <w:rsid w:val="2DDE1315"/>
    <w:rsid w:val="2E70008E"/>
    <w:rsid w:val="2E795570"/>
    <w:rsid w:val="30595F59"/>
    <w:rsid w:val="30F14E48"/>
    <w:rsid w:val="31A23AE0"/>
    <w:rsid w:val="31C37AEC"/>
    <w:rsid w:val="32477ABF"/>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A32806"/>
    <w:rsid w:val="37A43741"/>
    <w:rsid w:val="380B1DFE"/>
    <w:rsid w:val="382E6775"/>
    <w:rsid w:val="385852A1"/>
    <w:rsid w:val="386F48E8"/>
    <w:rsid w:val="38D91E08"/>
    <w:rsid w:val="38E0103A"/>
    <w:rsid w:val="38F230E0"/>
    <w:rsid w:val="393C79BC"/>
    <w:rsid w:val="39C3761A"/>
    <w:rsid w:val="39CC0DE9"/>
    <w:rsid w:val="3A896034"/>
    <w:rsid w:val="3A9F1F4F"/>
    <w:rsid w:val="3AB45EB9"/>
    <w:rsid w:val="3B493B46"/>
    <w:rsid w:val="3B55625B"/>
    <w:rsid w:val="3BE552CD"/>
    <w:rsid w:val="3C3C6E9C"/>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2511AE8"/>
    <w:rsid w:val="42F5056C"/>
    <w:rsid w:val="42FB7CE0"/>
    <w:rsid w:val="431112AD"/>
    <w:rsid w:val="43561DE5"/>
    <w:rsid w:val="435E13AB"/>
    <w:rsid w:val="436B4467"/>
    <w:rsid w:val="44406011"/>
    <w:rsid w:val="449C2C79"/>
    <w:rsid w:val="450736B6"/>
    <w:rsid w:val="45532B45"/>
    <w:rsid w:val="46162C84"/>
    <w:rsid w:val="462E0F20"/>
    <w:rsid w:val="46B80FA9"/>
    <w:rsid w:val="476A374A"/>
    <w:rsid w:val="478C353A"/>
    <w:rsid w:val="47C33349"/>
    <w:rsid w:val="47E54BDD"/>
    <w:rsid w:val="4809270E"/>
    <w:rsid w:val="48155FBD"/>
    <w:rsid w:val="489578D5"/>
    <w:rsid w:val="48C575BC"/>
    <w:rsid w:val="48C756C4"/>
    <w:rsid w:val="48ED04CF"/>
    <w:rsid w:val="490910CB"/>
    <w:rsid w:val="49672FCD"/>
    <w:rsid w:val="497D1E37"/>
    <w:rsid w:val="49F008A1"/>
    <w:rsid w:val="4A124C40"/>
    <w:rsid w:val="4A202CB3"/>
    <w:rsid w:val="4A741CD0"/>
    <w:rsid w:val="4AFF1CE5"/>
    <w:rsid w:val="4B2C2C5C"/>
    <w:rsid w:val="4B542445"/>
    <w:rsid w:val="4BAE6978"/>
    <w:rsid w:val="4C9A610C"/>
    <w:rsid w:val="4CAF036C"/>
    <w:rsid w:val="4CBB7439"/>
    <w:rsid w:val="4CBE1C08"/>
    <w:rsid w:val="4D356131"/>
    <w:rsid w:val="4D635CDE"/>
    <w:rsid w:val="4EB5399D"/>
    <w:rsid w:val="4EE759E0"/>
    <w:rsid w:val="4EFC0E40"/>
    <w:rsid w:val="4F5B18B4"/>
    <w:rsid w:val="4F746E17"/>
    <w:rsid w:val="4F7E527E"/>
    <w:rsid w:val="4FB16A86"/>
    <w:rsid w:val="51A35549"/>
    <w:rsid w:val="51C96CF8"/>
    <w:rsid w:val="51E16B22"/>
    <w:rsid w:val="51E71584"/>
    <w:rsid w:val="527604C7"/>
    <w:rsid w:val="52944477"/>
    <w:rsid w:val="531A7701"/>
    <w:rsid w:val="535A4036"/>
    <w:rsid w:val="535E0C0C"/>
    <w:rsid w:val="5375411F"/>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5D6BF6"/>
    <w:rsid w:val="598543F9"/>
    <w:rsid w:val="59AB446D"/>
    <w:rsid w:val="59E24755"/>
    <w:rsid w:val="5A742FCA"/>
    <w:rsid w:val="5A801F1C"/>
    <w:rsid w:val="5AC64458"/>
    <w:rsid w:val="5AD56AE1"/>
    <w:rsid w:val="5AF42D65"/>
    <w:rsid w:val="5B4269FA"/>
    <w:rsid w:val="5B721AD3"/>
    <w:rsid w:val="5BAF49EA"/>
    <w:rsid w:val="5C661078"/>
    <w:rsid w:val="5C9167F0"/>
    <w:rsid w:val="5D250AE8"/>
    <w:rsid w:val="5D8562D6"/>
    <w:rsid w:val="5E107A6E"/>
    <w:rsid w:val="5E552402"/>
    <w:rsid w:val="5E717EDC"/>
    <w:rsid w:val="5EA954DA"/>
    <w:rsid w:val="5F165F74"/>
    <w:rsid w:val="5F3E22C2"/>
    <w:rsid w:val="5F8F3F9D"/>
    <w:rsid w:val="5FE44BCC"/>
    <w:rsid w:val="601278AE"/>
    <w:rsid w:val="607F216A"/>
    <w:rsid w:val="614B06AC"/>
    <w:rsid w:val="617C14DD"/>
    <w:rsid w:val="61D62E95"/>
    <w:rsid w:val="61D8581E"/>
    <w:rsid w:val="622218C3"/>
    <w:rsid w:val="6239511B"/>
    <w:rsid w:val="62CD09ED"/>
    <w:rsid w:val="6308246A"/>
    <w:rsid w:val="6308767C"/>
    <w:rsid w:val="63287634"/>
    <w:rsid w:val="63B97377"/>
    <w:rsid w:val="63FE4B78"/>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ABF7E1D"/>
    <w:rsid w:val="6B654FB0"/>
    <w:rsid w:val="6BAF6941"/>
    <w:rsid w:val="6C10561E"/>
    <w:rsid w:val="6C24259C"/>
    <w:rsid w:val="6CFA7874"/>
    <w:rsid w:val="6DBE17E3"/>
    <w:rsid w:val="6E160574"/>
    <w:rsid w:val="6F1A7E1A"/>
    <w:rsid w:val="6FF85E6E"/>
    <w:rsid w:val="70220B3F"/>
    <w:rsid w:val="70756EE8"/>
    <w:rsid w:val="70A4763A"/>
    <w:rsid w:val="70D45314"/>
    <w:rsid w:val="717B1403"/>
    <w:rsid w:val="71D842FA"/>
    <w:rsid w:val="71F00255"/>
    <w:rsid w:val="721434B7"/>
    <w:rsid w:val="723935BA"/>
    <w:rsid w:val="725F33BF"/>
    <w:rsid w:val="72C251F0"/>
    <w:rsid w:val="72D87B33"/>
    <w:rsid w:val="72DD5B9E"/>
    <w:rsid w:val="7366202F"/>
    <w:rsid w:val="737A786F"/>
    <w:rsid w:val="740D3F11"/>
    <w:rsid w:val="745C550C"/>
    <w:rsid w:val="74C53946"/>
    <w:rsid w:val="74D46B08"/>
    <w:rsid w:val="75184790"/>
    <w:rsid w:val="75577D7F"/>
    <w:rsid w:val="755D5C19"/>
    <w:rsid w:val="757022FB"/>
    <w:rsid w:val="75F71F3B"/>
    <w:rsid w:val="766D57C1"/>
    <w:rsid w:val="769714F7"/>
    <w:rsid w:val="76E83D9B"/>
    <w:rsid w:val="77827BF3"/>
    <w:rsid w:val="788F38A7"/>
    <w:rsid w:val="79017261"/>
    <w:rsid w:val="796608A4"/>
    <w:rsid w:val="79CA7D83"/>
    <w:rsid w:val="7A814BA2"/>
    <w:rsid w:val="7AAC5343"/>
    <w:rsid w:val="7C230E82"/>
    <w:rsid w:val="7C5C2009"/>
    <w:rsid w:val="7C6D71FD"/>
    <w:rsid w:val="7C7E2620"/>
    <w:rsid w:val="7CCE3276"/>
    <w:rsid w:val="7CDD6CC4"/>
    <w:rsid w:val="7D374E9E"/>
    <w:rsid w:val="7D82688C"/>
    <w:rsid w:val="7DB41EC3"/>
    <w:rsid w:val="7E930BA3"/>
    <w:rsid w:val="7F0A225C"/>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7"/>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正文文本 Char"/>
    <w:basedOn w:val="6"/>
    <w:link w:val="2"/>
    <w:qFormat/>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1036</Words>
  <Characters>5909</Characters>
  <Lines>49</Lines>
  <Paragraphs>13</Paragraphs>
  <TotalTime>9</TotalTime>
  <ScaleCrop>false</ScaleCrop>
  <LinksUpToDate>false</LinksUpToDate>
  <CharactersWithSpaces>6932</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2020-09-10T07:07:00Z</dcterms:created>
  <dc:creator>de'l'l</dc:creator>
  <cp:lastModifiedBy>天空中的神话</cp:lastModifiedBy>
  <dcterms:modified xsi:type="dcterms:W3CDTF">2020-09-29T02:55:50Z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