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Theme="majorEastAsia" w:hAnsiTheme="majorEastAsia" w:eastAsiaTheme="majorEastAsia" w:cstheme="majorEastAsia"/>
          <w:b/>
          <w:sz w:val="36"/>
          <w:szCs w:val="36"/>
          <w:lang w:eastAsia="zh-CN"/>
        </w:rPr>
      </w:pPr>
      <w:r>
        <w:rPr>
          <w:rFonts w:hint="eastAsia" w:asciiTheme="majorEastAsia" w:hAnsiTheme="majorEastAsia" w:eastAsiaTheme="majorEastAsia" w:cstheme="majorEastAsia"/>
          <w:b/>
          <w:sz w:val="36"/>
          <w:szCs w:val="36"/>
          <w:lang w:eastAsia="zh-CN"/>
        </w:rPr>
        <w:t>寻甸县粮食收储有限公司2019年粮食风险基金项目</w:t>
      </w:r>
    </w:p>
    <w:p>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Theme="majorEastAsia" w:hAnsiTheme="majorEastAsia" w:eastAsiaTheme="majorEastAsia" w:cstheme="majorEastAsia"/>
          <w:b/>
          <w:sz w:val="36"/>
          <w:szCs w:val="36"/>
          <w:lang w:eastAsia="zh-CN"/>
        </w:rPr>
      </w:pPr>
      <w:r>
        <w:rPr>
          <w:rFonts w:hint="eastAsia" w:asciiTheme="majorEastAsia" w:hAnsiTheme="majorEastAsia" w:eastAsiaTheme="majorEastAsia" w:cstheme="majorEastAsia"/>
          <w:b/>
          <w:sz w:val="36"/>
          <w:szCs w:val="36"/>
          <w:lang w:eastAsia="zh-CN"/>
        </w:rPr>
        <w:t>绩效再评价报告</w:t>
      </w:r>
    </w:p>
    <w:p>
      <w:pPr>
        <w:spacing w:line="700" w:lineRule="exact"/>
        <w:jc w:val="center"/>
        <w:rPr>
          <w:rFonts w:hint="eastAsia" w:hAnsi="仿宋_GB2312" w:eastAsia="仿宋_GB2312" w:cs="仿宋_GB2312" w:asciiTheme="majorAscii"/>
          <w:spacing w:val="-20"/>
          <w:sz w:val="24"/>
          <w:szCs w:val="24"/>
        </w:rPr>
      </w:pPr>
      <w:bookmarkStart w:id="0" w:name="_Toc502134848"/>
      <w:r>
        <w:rPr>
          <w:rFonts w:hint="eastAsia" w:hAnsi="仿宋_GB2312" w:eastAsia="仿宋_GB2312" w:cs="仿宋_GB2312" w:asciiTheme="majorAscii"/>
          <w:spacing w:val="-20"/>
          <w:sz w:val="24"/>
          <w:szCs w:val="24"/>
        </w:rPr>
        <w:t>中兴财光华（云）审专字(20</w:t>
      </w:r>
      <w:r>
        <w:rPr>
          <w:rFonts w:hint="eastAsia" w:hAnsi="仿宋_GB2312" w:eastAsia="仿宋_GB2312" w:cs="仿宋_GB2312" w:asciiTheme="majorAscii"/>
          <w:spacing w:val="-20"/>
          <w:sz w:val="24"/>
          <w:szCs w:val="24"/>
          <w:lang w:val="en-US" w:eastAsia="zh-CN"/>
        </w:rPr>
        <w:t>20</w:t>
      </w:r>
      <w:r>
        <w:rPr>
          <w:rFonts w:hint="eastAsia" w:hAnsi="仿宋_GB2312" w:eastAsia="仿宋_GB2312" w:cs="仿宋_GB2312" w:asciiTheme="majorAscii"/>
          <w:spacing w:val="-20"/>
          <w:sz w:val="24"/>
          <w:szCs w:val="24"/>
        </w:rPr>
        <w:t>)第</w:t>
      </w:r>
      <w:r>
        <w:rPr>
          <w:rFonts w:hint="eastAsia" w:hAnsi="仿宋_GB2312" w:eastAsia="仿宋_GB2312" w:cs="仿宋_GB2312" w:asciiTheme="majorAscii"/>
          <w:spacing w:val="-20"/>
          <w:sz w:val="24"/>
          <w:szCs w:val="24"/>
          <w:lang w:val="en-US" w:eastAsia="zh-CN"/>
        </w:rPr>
        <w:t xml:space="preserve">      </w:t>
      </w:r>
      <w:r>
        <w:rPr>
          <w:rFonts w:hint="eastAsia" w:hAnsi="仿宋_GB2312" w:eastAsia="仿宋_GB2312" w:cs="仿宋_GB2312" w:asciiTheme="majorAscii"/>
          <w:spacing w:val="-20"/>
          <w:sz w:val="24"/>
          <w:szCs w:val="24"/>
        </w:rPr>
        <w:t>号</w:t>
      </w:r>
    </w:p>
    <w:p>
      <w:pPr>
        <w:spacing w:line="360" w:lineRule="auto"/>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寻甸回族彝族自治县财政局：</w:t>
      </w:r>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受寻甸回族彝族自治县财政局委托，根据《寻甸县财政局关于印发&lt;寻甸县本级部门预算绩效自评管理暂行办法&gt;的通知》（寻财绩〔2018〕9号）、《寻甸回族彝族自治县财政局关于明确预算绩效管理工作职责的通知》(寻财〔2020〕5号)和《寻甸回族彝族自治县财政局关于对2019年度部门整体支出和重大项目支出进行再评价的通知》（寻财绩〔2020〕6号）等文件要求，中兴财光华会计师事务所(特殊普通合伙）云南分所组成审计评价组对</w:t>
      </w:r>
      <w:r>
        <w:rPr>
          <w:rFonts w:hint="eastAsia" w:asciiTheme="minorEastAsia" w:hAnsiTheme="minorEastAsia" w:eastAsiaTheme="minorEastAsia" w:cstheme="minorEastAsia"/>
          <w:sz w:val="28"/>
          <w:szCs w:val="28"/>
          <w:lang w:eastAsia="zh-CN"/>
        </w:rPr>
        <w:t>寻甸县粮食收储有限公司2019年粮食风险基金项目</w:t>
      </w:r>
      <w:r>
        <w:rPr>
          <w:rFonts w:hint="eastAsia" w:asciiTheme="minorEastAsia" w:hAnsiTheme="minorEastAsia" w:eastAsiaTheme="minorEastAsia" w:cstheme="minorEastAsia"/>
          <w:sz w:val="28"/>
          <w:szCs w:val="28"/>
        </w:rPr>
        <w:t>支出的管理、使用及效益情况进行了绩效再评价。</w:t>
      </w:r>
      <w:r>
        <w:rPr>
          <w:rFonts w:hint="eastAsia" w:asciiTheme="minorEastAsia" w:hAnsiTheme="minorEastAsia" w:eastAsiaTheme="minorEastAsia" w:cstheme="minorEastAsia"/>
          <w:sz w:val="28"/>
          <w:szCs w:val="28"/>
          <w:lang w:eastAsia="zh-CN"/>
        </w:rPr>
        <w:t>寻甸县粮食收储有限公司</w:t>
      </w:r>
      <w:r>
        <w:rPr>
          <w:rFonts w:hint="eastAsia" w:asciiTheme="minorEastAsia" w:hAnsiTheme="minorEastAsia" w:eastAsiaTheme="minorEastAsia" w:cstheme="minorEastAsia"/>
          <w:sz w:val="28"/>
          <w:szCs w:val="28"/>
        </w:rPr>
        <w:t>（以下简称“</w:t>
      </w:r>
      <w:r>
        <w:rPr>
          <w:rFonts w:hint="eastAsia" w:asciiTheme="minorEastAsia" w:hAnsiTheme="minorEastAsia" w:eastAsiaTheme="minorEastAsia" w:cstheme="minorEastAsia"/>
          <w:sz w:val="28"/>
          <w:szCs w:val="28"/>
          <w:lang w:eastAsia="zh-CN"/>
        </w:rPr>
        <w:t>寻甸粮食收储公司</w:t>
      </w:r>
      <w:r>
        <w:rPr>
          <w:rFonts w:hint="eastAsia" w:asciiTheme="minorEastAsia" w:hAnsiTheme="minorEastAsia" w:eastAsiaTheme="minorEastAsia" w:cstheme="minorEastAsia"/>
          <w:sz w:val="28"/>
          <w:szCs w:val="28"/>
        </w:rPr>
        <w:t>”）对所提供评价资料的真实性、完整性负责。现将再评价情况报告如下：</w:t>
      </w:r>
    </w:p>
    <w:p>
      <w:pPr>
        <w:spacing w:line="360" w:lineRule="auto"/>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一、基本情况</w:t>
      </w:r>
      <w:bookmarkEnd w:id="0"/>
    </w:p>
    <w:p>
      <w:pPr>
        <w:spacing w:line="360" w:lineRule="auto"/>
        <w:ind w:firstLine="562" w:firstLineChars="200"/>
        <w:rPr>
          <w:rFonts w:hint="eastAsia" w:asciiTheme="minorEastAsia" w:hAnsiTheme="minorEastAsia" w:eastAsiaTheme="minorEastAsia" w:cstheme="minorEastAsia"/>
          <w:b/>
          <w:bCs/>
          <w:sz w:val="28"/>
          <w:szCs w:val="28"/>
        </w:rPr>
      </w:pPr>
      <w:bookmarkStart w:id="1" w:name="_Toc502134849"/>
      <w:r>
        <w:rPr>
          <w:rFonts w:hint="eastAsia" w:asciiTheme="minorEastAsia" w:hAnsiTheme="minorEastAsia" w:eastAsiaTheme="minorEastAsia" w:cstheme="minorEastAsia"/>
          <w:b/>
          <w:bCs/>
          <w:sz w:val="28"/>
          <w:szCs w:val="28"/>
        </w:rPr>
        <w:t>（一）项目概况</w:t>
      </w:r>
      <w:bookmarkEnd w:id="1"/>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1.项目</w:t>
      </w:r>
      <w:r>
        <w:rPr>
          <w:rFonts w:hint="eastAsia" w:asciiTheme="minorEastAsia" w:hAnsiTheme="minorEastAsia" w:eastAsiaTheme="minorEastAsia" w:cstheme="minorEastAsia"/>
          <w:sz w:val="28"/>
          <w:szCs w:val="28"/>
          <w:lang w:eastAsia="zh-CN"/>
        </w:rPr>
        <w:t>设定</w:t>
      </w:r>
      <w:r>
        <w:rPr>
          <w:rFonts w:hint="eastAsia" w:asciiTheme="minorEastAsia" w:hAnsiTheme="minorEastAsia" w:eastAsiaTheme="minorEastAsia" w:cstheme="minorEastAsia"/>
          <w:sz w:val="28"/>
          <w:szCs w:val="28"/>
        </w:rPr>
        <w:t>背景、目的</w:t>
      </w:r>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进一步加强粮食风险基金管理，充分发挥粮食风险基金对我省粮食流通的宏观调控作用，落实粮食行政首长分级负责制，根据《国务院关于进一步深化粮食流通体制改革的意见》（国发［２００１］２８号）和省政府的贯彻实施意见，以及财政部《粮食风险基金管理办法》的有关规定，</w:t>
      </w:r>
      <w:r>
        <w:rPr>
          <w:rFonts w:hint="eastAsia" w:asciiTheme="minorEastAsia" w:hAnsiTheme="minorEastAsia" w:eastAsiaTheme="minorEastAsia" w:cstheme="minorEastAsia"/>
          <w:sz w:val="28"/>
          <w:szCs w:val="28"/>
          <w:lang w:eastAsia="zh-CN"/>
        </w:rPr>
        <w:t>云南</w:t>
      </w:r>
      <w:r>
        <w:rPr>
          <w:rFonts w:hint="eastAsia" w:asciiTheme="minorEastAsia" w:hAnsiTheme="minorEastAsia" w:eastAsiaTheme="minorEastAsia" w:cstheme="minorEastAsia"/>
          <w:sz w:val="28"/>
          <w:szCs w:val="28"/>
        </w:rPr>
        <w:t>省对地、州、市实行粮食风险基金包干以来，各地、州、市之间粮食风险基金规模与实际需要不平衡的矛盾得到一定缓解，粮食销区结余、产区不足的情况有所改善。但是粮食主产区粮食风险基金仍显不足。为了给粮食主产区更大的支持，充分发挥粮食风险基金对我省粮食流通的宏观调控作用，从２００２起，适当增加粮食产区的粮食风险基金规模。具体办法由省财政厅同省计委、省粮食局、农发行云南省分行研究制定，报省政府批准执行。原各地自筹的粮食风险基金预算不得减少。</w:t>
      </w:r>
    </w:p>
    <w:p>
      <w:pPr>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2.项目立项依据</w:t>
      </w:r>
    </w:p>
    <w:p>
      <w:pPr>
        <w:spacing w:line="360" w:lineRule="auto"/>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根据《寻甸回族彝族自治县人民政府关于增加县级储备粮规模的批复》（寻政复</w:t>
      </w:r>
      <w:r>
        <w:rPr>
          <w:rFonts w:hint="eastAsia" w:asciiTheme="minorEastAsia" w:hAnsiTheme="minorEastAsia" w:eastAsiaTheme="minorEastAsia" w:cstheme="minorEastAsia"/>
          <w:sz w:val="28"/>
          <w:szCs w:val="28"/>
          <w:lang w:val="en-US" w:eastAsia="zh-CN"/>
        </w:rPr>
        <w:t>[2013]128号</w:t>
      </w:r>
      <w:r>
        <w:rPr>
          <w:rFonts w:hint="eastAsia" w:asciiTheme="minorEastAsia" w:hAnsiTheme="minorEastAsia" w:eastAsiaTheme="minorEastAsia" w:cstheme="minorEastAsia"/>
          <w:sz w:val="28"/>
          <w:szCs w:val="28"/>
          <w:lang w:eastAsia="zh-CN"/>
        </w:rPr>
        <w:t>），寻甸县粮食储备规模为500万公斤，其中：小麦300万公斤，稻谷100万公斤，玉米100万公斤。</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根据《寻甸回族彝族自治县人民政府办公室关于印发寻甸回族彝族自治县县级储备粮财政补贴实施办法的通知》（寻政办发</w:t>
      </w:r>
      <w:r>
        <w:rPr>
          <w:rFonts w:hint="eastAsia" w:asciiTheme="minorEastAsia" w:hAnsiTheme="minorEastAsia" w:eastAsiaTheme="minorEastAsia" w:cstheme="minorEastAsia"/>
          <w:sz w:val="28"/>
          <w:szCs w:val="28"/>
          <w:lang w:val="en-US" w:eastAsia="zh-CN"/>
        </w:rPr>
        <w:t>[2016]90号</w:t>
      </w:r>
      <w:r>
        <w:rPr>
          <w:rFonts w:hint="eastAsia" w:asciiTheme="minorEastAsia" w:hAnsiTheme="minorEastAsia" w:eastAsiaTheme="minorEastAsia" w:cstheme="minorEastAsia"/>
          <w:sz w:val="28"/>
          <w:szCs w:val="28"/>
          <w:lang w:eastAsia="zh-CN"/>
        </w:rPr>
        <w:t>），县级储备粮正常轮换所发生的价差收益</w:t>
      </w:r>
      <w:r>
        <w:rPr>
          <w:rFonts w:hint="eastAsia" w:asciiTheme="minorEastAsia" w:hAnsiTheme="minorEastAsia" w:eastAsiaTheme="minorEastAsia" w:cstheme="minorEastAsia"/>
          <w:sz w:val="28"/>
          <w:szCs w:val="28"/>
          <w:lang w:val="en-US" w:eastAsia="zh-CN"/>
        </w:rPr>
        <w:t>50%上缴县级粮食风险基金专户、50%作为县级财政对承储企业扶持和县级储备粮仓储设施提升改造、维修等发展支出。县级储备粮正常轮换所发生的价差损失50%从粮食风险基金中列支，50%由承储企业承担。由承储企业提出申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根据《寻甸回族彝族自治县人民政府办公室关于印发寻甸回族彝族自治县县级储备粮管理办法的通知》（寻政办发</w:t>
      </w:r>
      <w:r>
        <w:rPr>
          <w:rFonts w:hint="eastAsia" w:asciiTheme="minorEastAsia" w:hAnsiTheme="minorEastAsia" w:eastAsiaTheme="minorEastAsia" w:cstheme="minorEastAsia"/>
          <w:sz w:val="28"/>
          <w:szCs w:val="28"/>
          <w:lang w:val="en-US" w:eastAsia="zh-CN"/>
        </w:rPr>
        <w:t>[2016]91号</w:t>
      </w:r>
      <w:r>
        <w:rPr>
          <w:rFonts w:hint="eastAsia" w:asciiTheme="minorEastAsia" w:hAnsiTheme="minorEastAsia" w:eastAsiaTheme="minorEastAsia" w:cstheme="minorEastAsia"/>
          <w:sz w:val="28"/>
          <w:szCs w:val="28"/>
          <w:lang w:eastAsia="zh-CN"/>
        </w:rPr>
        <w:t>），县级储备粮含动态成品粮的管理费（保管费、轮换费等）按原粮每公斤</w:t>
      </w:r>
      <w:r>
        <w:rPr>
          <w:rFonts w:hint="eastAsia" w:asciiTheme="minorEastAsia" w:hAnsiTheme="minorEastAsia" w:eastAsiaTheme="minorEastAsia" w:cstheme="minorEastAsia"/>
          <w:sz w:val="28"/>
          <w:szCs w:val="28"/>
          <w:lang w:val="en-US" w:eastAsia="zh-CN"/>
        </w:rPr>
        <w:t>0.18元计算包干使用，其中保管费0.04元、轮</w:t>
      </w:r>
      <w:r>
        <w:rPr>
          <w:rFonts w:hint="eastAsia" w:asciiTheme="minorEastAsia" w:hAnsiTheme="minorEastAsia" w:cstheme="minorEastAsia"/>
          <w:sz w:val="28"/>
          <w:szCs w:val="28"/>
          <w:lang w:val="en-US" w:eastAsia="zh-CN"/>
        </w:rPr>
        <w:t>换</w:t>
      </w:r>
      <w:r>
        <w:rPr>
          <w:rFonts w:hint="eastAsia" w:asciiTheme="minorEastAsia" w:hAnsiTheme="minorEastAsia" w:eastAsiaTheme="minorEastAsia" w:cstheme="minorEastAsia"/>
          <w:sz w:val="28"/>
          <w:szCs w:val="28"/>
          <w:lang w:val="en-US" w:eastAsia="zh-CN"/>
        </w:rPr>
        <w:t>费0.02元。</w:t>
      </w:r>
    </w:p>
    <w:p>
      <w:pPr>
        <w:spacing w:line="360" w:lineRule="auto"/>
        <w:ind w:firstLine="562" w:firstLineChars="200"/>
        <w:rPr>
          <w:rFonts w:hint="eastAsia" w:asciiTheme="minorEastAsia" w:hAnsiTheme="minorEastAsia" w:eastAsiaTheme="minorEastAsia" w:cstheme="minorEastAsia"/>
          <w:b/>
          <w:bCs/>
          <w:sz w:val="28"/>
          <w:szCs w:val="28"/>
        </w:rPr>
      </w:pPr>
      <w:bookmarkStart w:id="2" w:name="_Toc502134850"/>
      <w:r>
        <w:rPr>
          <w:rFonts w:hint="eastAsia" w:asciiTheme="minorEastAsia" w:hAnsiTheme="minorEastAsia" w:eastAsiaTheme="minorEastAsia" w:cstheme="minorEastAsia"/>
          <w:b/>
          <w:bCs/>
          <w:sz w:val="28"/>
          <w:szCs w:val="28"/>
        </w:rPr>
        <w:t>（二）项目资金安排情况</w:t>
      </w:r>
      <w:bookmarkEnd w:id="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截止评价报告日，寻甸粮食收储公司未提供预算批复相关材料，根据提供的自评报告和资金到位凭证，项目预算资金为2</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eastAsia="zh-CN"/>
        </w:rPr>
        <w:t>33</w:t>
      </w:r>
      <w:r>
        <w:rPr>
          <w:rFonts w:hint="eastAsia" w:asciiTheme="minorEastAsia" w:hAnsiTheme="minorEastAsia" w:eastAsiaTheme="minorEastAsia" w:cstheme="minorEastAsia"/>
          <w:sz w:val="28"/>
          <w:szCs w:val="28"/>
          <w:lang w:val="en-US" w:eastAsia="zh-CN"/>
        </w:rPr>
        <w:t>0,000.00</w:t>
      </w:r>
      <w:r>
        <w:rPr>
          <w:rFonts w:hint="eastAsia" w:asciiTheme="minorEastAsia" w:hAnsiTheme="minorEastAsia" w:eastAsiaTheme="minorEastAsia" w:cstheme="minorEastAsia"/>
          <w:sz w:val="28"/>
          <w:szCs w:val="28"/>
          <w:lang w:eastAsia="zh-CN"/>
        </w:rPr>
        <w:t>元，其中：县级预算1</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eastAsia="zh-CN"/>
        </w:rPr>
        <w:t>16</w:t>
      </w:r>
      <w:r>
        <w:rPr>
          <w:rFonts w:hint="eastAsia" w:asciiTheme="minorEastAsia" w:hAnsiTheme="minorEastAsia" w:eastAsiaTheme="minorEastAsia" w:cstheme="minorEastAsia"/>
          <w:sz w:val="28"/>
          <w:szCs w:val="28"/>
          <w:lang w:val="en-US" w:eastAsia="zh-CN"/>
        </w:rPr>
        <w:t>0,000.00</w:t>
      </w:r>
      <w:r>
        <w:rPr>
          <w:rFonts w:hint="eastAsia" w:asciiTheme="minorEastAsia" w:hAnsiTheme="minorEastAsia" w:eastAsiaTheme="minorEastAsia" w:cstheme="minorEastAsia"/>
          <w:sz w:val="28"/>
          <w:szCs w:val="28"/>
          <w:lang w:eastAsia="zh-CN"/>
        </w:rPr>
        <w:t>元，市级配套1</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eastAsia="zh-CN"/>
        </w:rPr>
        <w:t>17</w:t>
      </w:r>
      <w:r>
        <w:rPr>
          <w:rFonts w:hint="eastAsia" w:asciiTheme="minorEastAsia" w:hAnsiTheme="minorEastAsia" w:eastAsiaTheme="minorEastAsia" w:cstheme="minorEastAsia"/>
          <w:sz w:val="28"/>
          <w:szCs w:val="28"/>
          <w:lang w:val="en-US" w:eastAsia="zh-CN"/>
        </w:rPr>
        <w:t>0,000.00</w:t>
      </w:r>
      <w:r>
        <w:rPr>
          <w:rFonts w:hint="eastAsia" w:asciiTheme="minorEastAsia" w:hAnsiTheme="minorEastAsia" w:eastAsiaTheme="minorEastAsia" w:cstheme="minorEastAsia"/>
          <w:sz w:val="28"/>
          <w:szCs w:val="28"/>
          <w:lang w:eastAsia="zh-CN"/>
        </w:rPr>
        <w:t>元。</w:t>
      </w:r>
      <w:r>
        <w:rPr>
          <w:rFonts w:hint="eastAsia" w:asciiTheme="minorEastAsia" w:hAnsiTheme="minorEastAsia" w:cstheme="minorEastAsia"/>
          <w:sz w:val="28"/>
          <w:szCs w:val="28"/>
          <w:lang w:eastAsia="zh-CN"/>
        </w:rPr>
        <w:t>资金已全额到位。</w:t>
      </w:r>
    </w:p>
    <w:p>
      <w:pPr>
        <w:spacing w:line="360" w:lineRule="auto"/>
        <w:ind w:firstLine="562" w:firstLineChars="200"/>
        <w:rPr>
          <w:rFonts w:hint="eastAsia" w:asciiTheme="minorEastAsia" w:hAnsiTheme="minorEastAsia" w:eastAsiaTheme="minorEastAsia" w:cstheme="minorEastAsia"/>
          <w:b/>
          <w:bCs/>
          <w:sz w:val="28"/>
          <w:szCs w:val="28"/>
        </w:rPr>
      </w:pPr>
      <w:bookmarkStart w:id="3" w:name="_Toc502134851"/>
      <w:r>
        <w:rPr>
          <w:rFonts w:hint="eastAsia" w:asciiTheme="minorEastAsia" w:hAnsiTheme="minorEastAsia" w:eastAsiaTheme="minorEastAsia" w:cstheme="minorEastAsia"/>
          <w:b/>
          <w:bCs/>
          <w:sz w:val="28"/>
          <w:szCs w:val="28"/>
        </w:rPr>
        <w:t>（三）项目实施内容</w:t>
      </w:r>
      <w:bookmarkEnd w:id="3"/>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2019年寻甸县县级储备粮为545.5万公斤，其中：小麦300万公斤，稻谷100万公斤，玉米100万公斤，动态储备大米45.5万公斤。全部采用机械通风、电子测温等措施进行保管，本年度不在粮食轮换计划期内。全年共发生粮食保管费用2,445,320.24元，主要为支付粮食储备贷款利息及保管人员工资等。</w:t>
      </w:r>
    </w:p>
    <w:p>
      <w:pPr>
        <w:spacing w:line="360" w:lineRule="auto"/>
        <w:ind w:firstLine="562" w:firstLineChars="200"/>
        <w:rPr>
          <w:rFonts w:hint="eastAsia" w:asciiTheme="minorEastAsia" w:hAnsiTheme="minorEastAsia" w:eastAsiaTheme="minorEastAsia" w:cstheme="minorEastAsia"/>
          <w:b/>
          <w:bCs/>
          <w:sz w:val="28"/>
          <w:szCs w:val="28"/>
        </w:rPr>
      </w:pPr>
      <w:bookmarkStart w:id="4" w:name="_Toc502134852"/>
      <w:r>
        <w:rPr>
          <w:rFonts w:hint="eastAsia" w:asciiTheme="minorEastAsia" w:hAnsiTheme="minorEastAsia" w:eastAsiaTheme="minorEastAsia" w:cstheme="minorEastAsia"/>
          <w:b/>
          <w:bCs/>
          <w:sz w:val="28"/>
          <w:szCs w:val="28"/>
        </w:rPr>
        <w:t>（四）项目绩效目标</w:t>
      </w:r>
      <w:r>
        <w:rPr>
          <w:rFonts w:hint="eastAsia" w:asciiTheme="minorEastAsia" w:hAnsiTheme="minorEastAsia" w:eastAsiaTheme="minorEastAsia" w:cstheme="minorEastAsia"/>
          <w:b/>
          <w:bCs/>
          <w:sz w:val="28"/>
          <w:szCs w:val="28"/>
          <w:lang w:eastAsia="zh-CN"/>
        </w:rPr>
        <w:t>设定</w:t>
      </w:r>
      <w:r>
        <w:rPr>
          <w:rFonts w:hint="eastAsia" w:asciiTheme="minorEastAsia" w:hAnsiTheme="minorEastAsia" w:eastAsiaTheme="minorEastAsia" w:cstheme="minorEastAsia"/>
          <w:b/>
          <w:bCs/>
          <w:sz w:val="28"/>
          <w:szCs w:val="28"/>
        </w:rPr>
        <w:t>情况</w:t>
      </w:r>
      <w:bookmarkEnd w:id="4"/>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寻甸粮食收储公司2019年粮食风险基金项目预算申报时设定的绩效目标是：</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做好县级储备粮数量及质量的储备工作，完成储备任务，稳定粮食价格，确保县人民政府经救急救灾用粮，保证粮食安全。</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寻甸粮食收储公司根据上述绩效目标只设定了中期目标，未设定年度目标。设定中期目标的</w:t>
      </w:r>
      <w:r>
        <w:rPr>
          <w:rFonts w:hint="eastAsia" w:asciiTheme="minorEastAsia" w:hAnsiTheme="minorEastAsia" w:cstheme="minorEastAsia"/>
          <w:sz w:val="28"/>
          <w:szCs w:val="28"/>
          <w:lang w:val="en-US" w:eastAsia="zh-CN"/>
        </w:rPr>
        <w:t>对应</w:t>
      </w:r>
      <w:r>
        <w:rPr>
          <w:rFonts w:hint="eastAsia" w:asciiTheme="minorEastAsia" w:hAnsiTheme="minorEastAsia" w:eastAsiaTheme="minorEastAsia" w:cstheme="minorEastAsia"/>
          <w:sz w:val="28"/>
          <w:szCs w:val="28"/>
          <w:lang w:val="en-US" w:eastAsia="zh-CN"/>
        </w:rPr>
        <w:t>绩效指标具体情况如下：</w:t>
      </w:r>
    </w:p>
    <w:tbl>
      <w:tblPr>
        <w:tblStyle w:val="5"/>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541"/>
        <w:gridCol w:w="1926"/>
        <w:gridCol w:w="2039"/>
        <w:gridCol w:w="2985"/>
        <w:gridCol w:w="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40" w:hRule="exact"/>
        </w:trPr>
        <w:tc>
          <w:tcPr>
            <w:tcW w:w="54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绩  效  指  标</w:t>
            </w: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一级指标</w:t>
            </w:r>
          </w:p>
        </w:tc>
        <w:tc>
          <w:tcPr>
            <w:tcW w:w="20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二级指标</w:t>
            </w:r>
          </w:p>
        </w:tc>
        <w:tc>
          <w:tcPr>
            <w:tcW w:w="29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三级指标</w:t>
            </w:r>
          </w:p>
        </w:tc>
        <w:tc>
          <w:tcPr>
            <w:tcW w:w="84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926"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产   出   指   标</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数量指标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完成500万公斤县级储备粮存储</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质量指标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国家标准</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0"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时效指标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两年一个周期</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61"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bottom"/>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成本指标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控制在计划投资额内实施</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73"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9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效   益   指   标</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经济效益指标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稳定我县粮食物价，防止哄抬粮价。</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06"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社会效益指标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维持储备粮正常运作，确保储备粮安全，保证粮食应急。</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47"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生态效益指标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排污达标，无污水外流，无卫生死角。</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78"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9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可持续影响指标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保证粮食安全，确保粮价稳定。</w:t>
            </w:r>
          </w:p>
        </w:tc>
        <w:tc>
          <w:tcPr>
            <w:tcW w:w="84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38" w:hRule="exact"/>
        </w:trPr>
        <w:tc>
          <w:tcPr>
            <w:tcW w:w="54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Theme="minorEastAsia" w:hAnsiTheme="minorEastAsia" w:eastAsiaTheme="minorEastAsia" w:cstheme="minorEastAsia"/>
                <w:i w:val="0"/>
                <w:color w:val="000000"/>
                <w:sz w:val="24"/>
                <w:szCs w:val="24"/>
                <w:u w:val="none"/>
              </w:rPr>
            </w:pPr>
          </w:p>
        </w:tc>
        <w:tc>
          <w:tcPr>
            <w:tcW w:w="192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满意度指标</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keepNext w:val="0"/>
              <w:keepLines w:val="0"/>
              <w:widowControl/>
              <w:suppressLineNumbers w:val="0"/>
              <w:jc w:val="left"/>
              <w:textAlignment w:val="bottom"/>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服务对象满意度指标</w:t>
            </w:r>
          </w:p>
        </w:tc>
        <w:tc>
          <w:tcPr>
            <w:tcW w:w="298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以20个调查对象为限，满意度在85%以上。</w:t>
            </w:r>
          </w:p>
        </w:tc>
        <w:tc>
          <w:tcPr>
            <w:tcW w:w="84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24"/>
                <w:szCs w:val="24"/>
                <w:u w:val="none"/>
              </w:rPr>
            </w:pPr>
            <w:r>
              <w:rPr>
                <w:rFonts w:hint="eastAsia" w:asciiTheme="minorEastAsia" w:hAnsiTheme="minorEastAsia" w:eastAsiaTheme="minorEastAsia" w:cstheme="minorEastAsia"/>
                <w:i w:val="0"/>
                <w:color w:val="000000"/>
                <w:kern w:val="0"/>
                <w:sz w:val="24"/>
                <w:szCs w:val="24"/>
                <w:u w:val="none"/>
                <w:lang w:val="en-US" w:eastAsia="zh-CN" w:bidi="ar"/>
              </w:rPr>
              <w:t>85%</w:t>
            </w:r>
          </w:p>
        </w:tc>
      </w:tr>
    </w:tbl>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根据寻甸粮食收储公司提供的绩效目标申报表，存在申报表填列不规范，绩效目标未能全面反映预算资金的预期产出和效果，设定</w:t>
      </w:r>
      <w:r>
        <w:rPr>
          <w:rFonts w:hint="eastAsia" w:asciiTheme="minorEastAsia" w:hAnsiTheme="minorEastAsia" w:cstheme="minorEastAsia"/>
          <w:sz w:val="28"/>
          <w:szCs w:val="28"/>
          <w:lang w:val="en-US" w:eastAsia="zh-CN"/>
        </w:rPr>
        <w:t>的</w:t>
      </w:r>
      <w:r>
        <w:rPr>
          <w:rFonts w:hint="eastAsia" w:asciiTheme="minorEastAsia" w:hAnsiTheme="minorEastAsia" w:eastAsiaTheme="minorEastAsia" w:cstheme="minorEastAsia"/>
          <w:sz w:val="28"/>
          <w:szCs w:val="28"/>
          <w:lang w:val="en-US" w:eastAsia="zh-CN"/>
        </w:rPr>
        <w:t>绩效指标</w:t>
      </w:r>
      <w:r>
        <w:rPr>
          <w:rFonts w:hint="eastAsia" w:asciiTheme="minorEastAsia" w:hAnsiTheme="minorEastAsia" w:cstheme="minorEastAsia"/>
          <w:sz w:val="28"/>
          <w:szCs w:val="28"/>
          <w:lang w:val="en-US" w:eastAsia="zh-CN"/>
        </w:rPr>
        <w:t>存在未充分</w:t>
      </w:r>
      <w:r>
        <w:rPr>
          <w:rFonts w:hint="eastAsia" w:asciiTheme="minorEastAsia" w:hAnsiTheme="minorEastAsia" w:eastAsiaTheme="minorEastAsia" w:cstheme="minorEastAsia"/>
          <w:sz w:val="28"/>
          <w:szCs w:val="28"/>
          <w:lang w:val="en-US" w:eastAsia="zh-CN"/>
        </w:rPr>
        <w:t>量化</w:t>
      </w:r>
      <w:r>
        <w:rPr>
          <w:rFonts w:hint="eastAsia" w:asciiTheme="minorEastAsia" w:hAnsiTheme="minorEastAsia" w:cstheme="minorEastAsia"/>
          <w:sz w:val="28"/>
          <w:szCs w:val="28"/>
          <w:lang w:val="en-US" w:eastAsia="zh-CN"/>
        </w:rPr>
        <w:t>、可衡量</w:t>
      </w:r>
      <w:r>
        <w:rPr>
          <w:rFonts w:hint="eastAsia" w:asciiTheme="minorEastAsia" w:hAnsiTheme="minorEastAsia" w:eastAsiaTheme="minorEastAsia" w:cstheme="minorEastAsia"/>
          <w:sz w:val="28"/>
          <w:szCs w:val="28"/>
          <w:lang w:val="en-US" w:eastAsia="zh-CN"/>
        </w:rPr>
        <w:t>等</w:t>
      </w:r>
      <w:r>
        <w:rPr>
          <w:rFonts w:hint="eastAsia" w:asciiTheme="minorEastAsia" w:hAnsiTheme="minorEastAsia" w:cstheme="minorEastAsia"/>
          <w:sz w:val="28"/>
          <w:szCs w:val="28"/>
          <w:lang w:val="en-US" w:eastAsia="zh-CN"/>
        </w:rPr>
        <w:t>情况</w:t>
      </w:r>
      <w:r>
        <w:rPr>
          <w:rFonts w:hint="eastAsia" w:asciiTheme="minorEastAsia" w:hAnsiTheme="minorEastAsia" w:eastAsiaTheme="minorEastAsia" w:cstheme="minorEastAsia"/>
          <w:sz w:val="28"/>
          <w:szCs w:val="28"/>
          <w:lang w:val="en-US" w:eastAsia="zh-CN"/>
        </w:rPr>
        <w:t>。绩效再评价小组根据提供的绩效目标申报表，并结合本项目设定的背景、目的及依据等，将本项目绩效目标、绩效指标及指标值设定如下：</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1.绩效目标</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2019年完成500万公斤县级储备粮任务，其中：小麦300万公斤，稻谷100万公斤，玉米100万公斤。通过项目的实施，稳定全县粮食物价的波动，保证粮食的安全等。</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2.绩效指标</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（1）粮食储备目标完成率达100%；</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（2）完成及时率达100%；</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（3）科学储量率达100%；</w:t>
      </w:r>
    </w:p>
    <w:p>
      <w:pPr>
        <w:spacing w:line="360" w:lineRule="auto"/>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（4）成本节约率大于0%；</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（5）项目实施后，稳定了项目区粮食价格的波动；</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（6）储备粮应急保障率达100%；</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（7）项目实施后，稳定了粮食物价，保证粮食安全，促进了社会和谐发展；</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（8）社会满意度达95%。</w:t>
      </w:r>
    </w:p>
    <w:p>
      <w:pPr>
        <w:spacing w:line="360" w:lineRule="auto"/>
        <w:ind w:firstLine="562" w:firstLineChars="200"/>
        <w:rPr>
          <w:rFonts w:hint="eastAsia" w:asciiTheme="minorEastAsia" w:hAnsiTheme="minorEastAsia" w:eastAsiaTheme="minorEastAsia" w:cstheme="minorEastAsia"/>
          <w:b/>
          <w:bCs/>
          <w:sz w:val="28"/>
          <w:szCs w:val="28"/>
        </w:rPr>
      </w:pPr>
      <w:bookmarkStart w:id="5" w:name="_Toc502134853"/>
      <w:r>
        <w:rPr>
          <w:rFonts w:hint="eastAsia" w:asciiTheme="minorEastAsia" w:hAnsiTheme="minorEastAsia" w:eastAsiaTheme="minorEastAsia" w:cstheme="minorEastAsia"/>
          <w:b/>
          <w:bCs/>
          <w:sz w:val="28"/>
          <w:szCs w:val="28"/>
        </w:rPr>
        <w:t>（五）组织管理情况</w:t>
      </w:r>
      <w:bookmarkEnd w:id="5"/>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前期调研掌握情况，由县发展和改革局（粮食局）负责县级储备粮管理的行政管理工作，负责落实县级储备粮规模总量、品种结构、储存布局，拟定轮换计划和动用方案并组织实施；综合协调县级储备粮管理工作，对县级储备粮的数量、质量好储存安全实施监督检查；参与县级储备粮相关财政资金的监督管理；督促指导承储企业强化基础管理。接受上级粮食行政部门对县级储备粮工作的领导和督导。确保县级储备粮“购得进、管得好、用得上，安全、经济、规范”，并牵头县财政和中国农业发展银行寻甸回族彝族自治县支行等相关部门做好必要的粮食风险监督检查工作。</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县财政按照县级储备粮总规模，负责安排县级储备粮总规模，负责安排县级储备粮贷款利息、管理费用等财政补贴，并及时、足额拨付；对县级储备粮有关财务执行情况实施监督检查。</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寻甸粮食收储公司负责县级储备粮的经营管理，并对县级储备粮的数量、质量和储存安全负责。依照有关法律法规和国家技术规范，建立健全县级储备粮各项业务管理制度，并报县发展和改革局（粮食局）备案；主动接受和配合相关主管部门的监督检查。做好粮食企业的安全生产工作、消防安全工作、防盗及储备粮安全储存工作，不得出现管理不到位产生的各类安全事故。</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资金管理上主要执行《企业会计准则》及其它相关文件政策。</w:t>
      </w:r>
    </w:p>
    <w:p>
      <w:pPr>
        <w:spacing w:line="360" w:lineRule="auto"/>
        <w:ind w:firstLine="562" w:firstLineChars="200"/>
        <w:rPr>
          <w:rFonts w:hint="eastAsia" w:asciiTheme="minorEastAsia" w:hAnsiTheme="minorEastAsia" w:eastAsiaTheme="minorEastAsia" w:cstheme="minorEastAsia"/>
          <w:b/>
          <w:bCs/>
          <w:sz w:val="28"/>
          <w:szCs w:val="28"/>
        </w:rPr>
      </w:pPr>
      <w:bookmarkStart w:id="6" w:name="_Toc502134854"/>
      <w:r>
        <w:rPr>
          <w:rFonts w:hint="eastAsia" w:asciiTheme="minorEastAsia" w:hAnsiTheme="minorEastAsia" w:eastAsiaTheme="minorEastAsia" w:cstheme="minorEastAsia"/>
          <w:b/>
          <w:bCs/>
          <w:sz w:val="28"/>
          <w:szCs w:val="28"/>
        </w:rPr>
        <w:t>二、绩效自评情况</w:t>
      </w:r>
      <w:bookmarkEnd w:id="6"/>
    </w:p>
    <w:p>
      <w:pPr>
        <w:spacing w:line="360" w:lineRule="auto"/>
        <w:ind w:firstLine="562" w:firstLineChars="200"/>
        <w:rPr>
          <w:rFonts w:hint="eastAsia" w:asciiTheme="minorEastAsia" w:hAnsiTheme="minorEastAsia" w:eastAsiaTheme="minorEastAsia" w:cstheme="minorEastAsia"/>
          <w:b/>
          <w:bCs/>
          <w:sz w:val="28"/>
          <w:szCs w:val="28"/>
        </w:rPr>
      </w:pPr>
      <w:bookmarkStart w:id="7" w:name="_Toc502134855"/>
      <w:bookmarkStart w:id="8" w:name="_Toc498009772"/>
      <w:r>
        <w:rPr>
          <w:rFonts w:hint="eastAsia" w:asciiTheme="minorEastAsia" w:hAnsiTheme="minorEastAsia" w:eastAsiaTheme="minorEastAsia" w:cstheme="minorEastAsia"/>
          <w:b/>
          <w:bCs/>
          <w:sz w:val="28"/>
          <w:szCs w:val="28"/>
        </w:rPr>
        <w:t>（一）绩效自评概述</w:t>
      </w:r>
      <w:bookmarkEnd w:id="7"/>
      <w:bookmarkEnd w:id="8"/>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寻甸回族彝族自治县财政局关于对2019年度部门整体支出和重大项目支出进行再评价的通知》（寻财绩〔2020〕6号）等文件的规定，寻甸粮食收储公司成立了2019年粮食风险基金项目支出绩效自评组，并于2020年5月形成了《粮食风险基金项目支出绩效自评报告》。</w:t>
      </w:r>
    </w:p>
    <w:p>
      <w:pPr>
        <w:spacing w:line="360" w:lineRule="auto"/>
        <w:ind w:firstLine="562" w:firstLineChars="200"/>
        <w:rPr>
          <w:rFonts w:hint="eastAsia" w:asciiTheme="minorEastAsia" w:hAnsiTheme="minorEastAsia" w:eastAsiaTheme="minorEastAsia" w:cstheme="minorEastAsia"/>
          <w:b/>
          <w:bCs/>
          <w:sz w:val="28"/>
          <w:szCs w:val="28"/>
        </w:rPr>
      </w:pPr>
      <w:bookmarkStart w:id="9" w:name="_Toc498009773"/>
      <w:bookmarkStart w:id="10" w:name="_Toc502134856"/>
      <w:r>
        <w:rPr>
          <w:rFonts w:hint="eastAsia" w:asciiTheme="minorEastAsia" w:hAnsiTheme="minorEastAsia" w:eastAsiaTheme="minorEastAsia" w:cstheme="minorEastAsia"/>
          <w:b/>
          <w:bCs/>
          <w:sz w:val="28"/>
          <w:szCs w:val="28"/>
        </w:rPr>
        <w:t>（二）绩效自评结论</w:t>
      </w:r>
      <w:bookmarkEnd w:id="9"/>
      <w:bookmarkEnd w:id="10"/>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根据寻甸粮食收储公司提供的粮食风险基金项目支出绩效自评报告，寻甸粮食收储公司2019年粮食风险基金项目支出的管理、使用及效益情况绩效自评综合得分为95分，自评结果为“优”。</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部门自评综合结论是：2019年度财政从粮食风险保证金专户拨入寻甸县粮食收储有限公司各项补贴合计169.5万元，其中：县级储备粮费用补贴108.2万元；县级储备粮利息补贴61.3万元；所有资金都严格按要求使用。</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同时，绩效自评提出以下问题：一是轮换县级储备差价支出，企业承担50%，不符合管理要求，企业只是一个代储机构，政府职能转由企业承担；二是部分县级储备粮及动态储备粮未能贷到贷款，对县级储备粮的轮换带来困难；三是未贷到贷款的储备粮利息补贴，在拨补过程中存在困难。 </w:t>
      </w:r>
    </w:p>
    <w:p>
      <w:pPr>
        <w:spacing w:line="360" w:lineRule="auto"/>
        <w:ind w:firstLine="562" w:firstLineChars="200"/>
        <w:rPr>
          <w:rFonts w:hint="eastAsia" w:asciiTheme="minorEastAsia" w:hAnsiTheme="minorEastAsia" w:eastAsiaTheme="minorEastAsia" w:cstheme="minorEastAsia"/>
          <w:b/>
          <w:bCs/>
          <w:sz w:val="28"/>
          <w:szCs w:val="28"/>
        </w:rPr>
      </w:pPr>
      <w:bookmarkStart w:id="11" w:name="_Toc502134857"/>
      <w:r>
        <w:rPr>
          <w:rFonts w:hint="eastAsia" w:asciiTheme="minorEastAsia" w:hAnsiTheme="minorEastAsia" w:eastAsiaTheme="minorEastAsia" w:cstheme="minorEastAsia"/>
          <w:b/>
          <w:bCs/>
          <w:sz w:val="28"/>
          <w:szCs w:val="28"/>
        </w:rPr>
        <w:t>三、绩效再评价组织情况</w:t>
      </w:r>
      <w:bookmarkEnd w:id="11"/>
    </w:p>
    <w:p>
      <w:pPr>
        <w:spacing w:line="360" w:lineRule="auto"/>
        <w:ind w:firstLine="562" w:firstLineChars="200"/>
        <w:rPr>
          <w:rFonts w:hint="eastAsia" w:asciiTheme="minorEastAsia" w:hAnsiTheme="minorEastAsia" w:eastAsiaTheme="minorEastAsia" w:cstheme="minorEastAsia"/>
          <w:b/>
          <w:bCs/>
          <w:sz w:val="28"/>
          <w:szCs w:val="28"/>
        </w:rPr>
      </w:pPr>
      <w:bookmarkStart w:id="12" w:name="_Toc502134858"/>
      <w:r>
        <w:rPr>
          <w:rFonts w:hint="eastAsia" w:asciiTheme="minorEastAsia" w:hAnsiTheme="minorEastAsia" w:eastAsiaTheme="minorEastAsia" w:cstheme="minorEastAsia"/>
          <w:b/>
          <w:bCs/>
          <w:sz w:val="28"/>
          <w:szCs w:val="28"/>
        </w:rPr>
        <w:t>（一）绩效再评价依据</w:t>
      </w:r>
      <w:bookmarkEnd w:id="1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1.《中华人民共和国预算法》（2014年修订）；</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2.《中共云南省委、云南省人民政府关于全面实施预算管理绩效的意见》（云发〔2019〕11号）；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3.《云南省省级财政预算绩效管理暂行办法》（云财预〔2015〕295号）；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4.《寻甸回族彝族自治县人民政府关于增加县级储备粮规模的批复》（寻政复[2013]128号）；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5.《寻甸回族彝族自治县人民政府办公室关于印发寻甸回族彝族自治县县级储备粮财政补贴实施办法的通知》（寻政办发[2016]90号）；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6.《寻甸回族彝族自治县人民政府办公室关于印发寻甸回族彝族自治县县级储备粮管理办法的通知》（寻政办发[2016]91号）。</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7.其他相关依据文件。</w:t>
      </w:r>
    </w:p>
    <w:p>
      <w:pPr>
        <w:spacing w:line="360" w:lineRule="auto"/>
        <w:ind w:firstLine="562" w:firstLineChars="200"/>
        <w:rPr>
          <w:rFonts w:hint="eastAsia" w:asciiTheme="minorEastAsia" w:hAnsiTheme="minorEastAsia" w:eastAsiaTheme="minorEastAsia" w:cstheme="minorEastAsia"/>
          <w:b/>
          <w:bCs/>
          <w:sz w:val="28"/>
          <w:szCs w:val="28"/>
        </w:rPr>
      </w:pPr>
      <w:bookmarkStart w:id="13" w:name="_Toc502134859"/>
      <w:r>
        <w:rPr>
          <w:rFonts w:hint="eastAsia" w:asciiTheme="minorEastAsia" w:hAnsiTheme="minorEastAsia" w:eastAsiaTheme="minorEastAsia" w:cstheme="minorEastAsia"/>
          <w:b/>
          <w:bCs/>
          <w:sz w:val="28"/>
          <w:szCs w:val="28"/>
        </w:rPr>
        <w:t>（二）绩效再评价方法</w:t>
      </w:r>
      <w:bookmarkEnd w:id="13"/>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次绩效评价中采取定量与定性相结合的方式，具体实施了审阅自评、实地评价、交换和反馈意见、专家会审等程序。通过资料收集、数据填报、案卷研究、实地调研、座谈会、问卷调查等方式，开展实地再评价。对寻甸县2019年县级储备粮项目相关档案资料进行查阅，结合现场核实情况和资金到位使用及结余情况的分析，进行数据分析和取证。</w:t>
      </w:r>
    </w:p>
    <w:p>
      <w:pPr>
        <w:spacing w:line="360" w:lineRule="auto"/>
        <w:ind w:firstLine="562" w:firstLineChars="200"/>
        <w:rPr>
          <w:rFonts w:hint="eastAsia" w:asciiTheme="minorEastAsia" w:hAnsiTheme="minorEastAsia" w:eastAsiaTheme="minorEastAsia" w:cstheme="minorEastAsia"/>
          <w:b/>
          <w:bCs/>
          <w:sz w:val="28"/>
          <w:szCs w:val="28"/>
        </w:rPr>
      </w:pPr>
      <w:bookmarkStart w:id="14" w:name="_Toc502134860"/>
      <w:r>
        <w:rPr>
          <w:rFonts w:hint="eastAsia" w:asciiTheme="minorEastAsia" w:hAnsiTheme="minorEastAsia" w:eastAsiaTheme="minorEastAsia" w:cstheme="minorEastAsia"/>
          <w:b/>
          <w:bCs/>
          <w:sz w:val="28"/>
          <w:szCs w:val="28"/>
        </w:rPr>
        <w:t>（三）绩效再评价指标体系</w:t>
      </w:r>
      <w:bookmarkEnd w:id="14"/>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1.绩效再评价指标</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项目绩效再评价以100分计，设项目决策、项目管理、项目绩效3个一级指标，权重分别为：20%、20%、60%。在此基础上设定7个二级指标（项目立项、项目目标、投入管理、财务管理、项目实施、项目产出、项目效益）。设20个三级指标。</w:t>
      </w:r>
    </w:p>
    <w:p>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15" w:name="_Toc502134861"/>
      <w:r>
        <w:rPr>
          <w:rFonts w:hint="eastAsia" w:asciiTheme="minorEastAsia" w:hAnsiTheme="minorEastAsia" w:eastAsiaTheme="minorEastAsia" w:cstheme="minorEastAsia"/>
          <w:sz w:val="28"/>
          <w:szCs w:val="28"/>
          <w:lang w:val="en-US" w:eastAsia="zh-CN"/>
        </w:rPr>
        <w:t>2.评价标准</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(1)部门整体评价得分满分为100分。</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(2)由审计评价组根据评价情况，对各单项指标分别进行独立打分。</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(3)总评价分为各单项指标得分总和。</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(4)评价结果：根据最终得分情况将评价结果分为四个等级：优（得分≥90分）；良（80分≤得分＜90分）；中（60≤得分＜80分）；差（得分＜60分）。</w:t>
      </w:r>
    </w:p>
    <w:p>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16" w:name="_Toc7874"/>
      <w:bookmarkStart w:id="17" w:name="_Toc25624"/>
      <w:r>
        <w:rPr>
          <w:rFonts w:hint="eastAsia" w:asciiTheme="minorEastAsia" w:hAnsiTheme="minorEastAsia" w:eastAsiaTheme="minorEastAsia" w:cstheme="minorEastAsia"/>
          <w:sz w:val="28"/>
          <w:szCs w:val="28"/>
          <w:lang w:val="en-US" w:eastAsia="zh-CN"/>
        </w:rPr>
        <w:t>3.数据来源</w:t>
      </w:r>
      <w:bookmarkEnd w:id="16"/>
      <w:bookmarkEnd w:id="17"/>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绩效再评价评分数据来源于由寻甸粮食收储公司提供的资料。</w:t>
      </w:r>
    </w:p>
    <w:bookmarkEnd w:id="15"/>
    <w:p>
      <w:pPr>
        <w:spacing w:line="360" w:lineRule="auto"/>
        <w:ind w:firstLine="562" w:firstLineChars="200"/>
        <w:rPr>
          <w:rFonts w:hint="eastAsia" w:asciiTheme="minorEastAsia" w:hAnsiTheme="minorEastAsia" w:eastAsiaTheme="minorEastAsia" w:cstheme="minorEastAsia"/>
          <w:b/>
          <w:bCs/>
          <w:sz w:val="28"/>
          <w:szCs w:val="28"/>
        </w:rPr>
      </w:pPr>
      <w:bookmarkStart w:id="18" w:name="_Toc502134862"/>
      <w:r>
        <w:rPr>
          <w:rFonts w:hint="eastAsia" w:asciiTheme="minorEastAsia" w:hAnsiTheme="minorEastAsia" w:eastAsiaTheme="minorEastAsia" w:cstheme="minorEastAsia"/>
          <w:b/>
          <w:bCs/>
          <w:sz w:val="28"/>
          <w:szCs w:val="28"/>
        </w:rPr>
        <w:t>四、绩效再评价结论</w:t>
      </w:r>
      <w:bookmarkEnd w:id="18"/>
    </w:p>
    <w:p>
      <w:pPr>
        <w:spacing w:line="360" w:lineRule="auto"/>
        <w:ind w:firstLine="562" w:firstLineChars="200"/>
        <w:rPr>
          <w:rFonts w:hint="eastAsia" w:asciiTheme="minorEastAsia" w:hAnsiTheme="minorEastAsia" w:eastAsiaTheme="minorEastAsia" w:cstheme="minorEastAsia"/>
          <w:b/>
          <w:bCs/>
          <w:sz w:val="28"/>
          <w:szCs w:val="28"/>
        </w:rPr>
      </w:pPr>
      <w:bookmarkStart w:id="19" w:name="_Toc498009780"/>
      <w:bookmarkStart w:id="20" w:name="_Toc502134863"/>
      <w:r>
        <w:rPr>
          <w:rFonts w:hint="eastAsia" w:asciiTheme="minorEastAsia" w:hAnsiTheme="minorEastAsia" w:eastAsiaTheme="minorEastAsia" w:cstheme="minorEastAsia"/>
          <w:b/>
          <w:bCs/>
          <w:sz w:val="28"/>
          <w:szCs w:val="28"/>
        </w:rPr>
        <w:t>（一）绩效再评价综合结论</w:t>
      </w:r>
      <w:bookmarkEnd w:id="19"/>
      <w:bookmarkEnd w:id="20"/>
    </w:p>
    <w:p>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21" w:name="_Toc498009781"/>
      <w:r>
        <w:rPr>
          <w:rFonts w:hint="eastAsia" w:asciiTheme="minorEastAsia" w:hAnsiTheme="minorEastAsia" w:eastAsiaTheme="minorEastAsia" w:cstheme="minorEastAsia"/>
          <w:sz w:val="28"/>
          <w:szCs w:val="28"/>
          <w:lang w:val="en-US" w:eastAsia="zh-CN"/>
        </w:rPr>
        <w:t>2019年粮食风险基金项目绩效再评价综合评分</w:t>
      </w:r>
      <w:r>
        <w:rPr>
          <w:rFonts w:hint="eastAsia" w:asciiTheme="minorEastAsia" w:hAnsiTheme="minorEastAsia" w:cstheme="minorEastAsia"/>
          <w:sz w:val="28"/>
          <w:szCs w:val="28"/>
          <w:lang w:val="en-US" w:eastAsia="zh-CN"/>
        </w:rPr>
        <w:t>84.92</w:t>
      </w:r>
      <w:r>
        <w:rPr>
          <w:rFonts w:hint="eastAsia" w:asciiTheme="minorEastAsia" w:hAnsiTheme="minorEastAsia" w:eastAsiaTheme="minorEastAsia" w:cstheme="minorEastAsia"/>
          <w:sz w:val="28"/>
          <w:szCs w:val="28"/>
          <w:lang w:val="en-US" w:eastAsia="zh-CN"/>
        </w:rPr>
        <w:t>分，评价等级“良”。综合评价结论：2019年粮食风险基金项目已实施完成，实施效果较好，稳定了粮食物价，保证粮食安全。但在绩效管理等方面待进一步加强。</w:t>
      </w:r>
    </w:p>
    <w:p>
      <w:pPr>
        <w:spacing w:line="360" w:lineRule="auto"/>
        <w:ind w:firstLine="562" w:firstLineChars="200"/>
        <w:rPr>
          <w:rFonts w:hint="eastAsia" w:asciiTheme="minorEastAsia" w:hAnsiTheme="minorEastAsia" w:eastAsiaTheme="minorEastAsia" w:cstheme="minorEastAsia"/>
          <w:b/>
          <w:bCs/>
          <w:sz w:val="28"/>
          <w:szCs w:val="28"/>
        </w:rPr>
      </w:pPr>
      <w:bookmarkStart w:id="22" w:name="_Toc502134864"/>
      <w:r>
        <w:rPr>
          <w:rFonts w:hint="eastAsia" w:asciiTheme="minorEastAsia" w:hAnsiTheme="minorEastAsia" w:eastAsiaTheme="minorEastAsia" w:cstheme="minorEastAsia"/>
          <w:b/>
          <w:bCs/>
          <w:sz w:val="28"/>
          <w:szCs w:val="28"/>
        </w:rPr>
        <w:t>（二）绩效目标实现情况</w:t>
      </w:r>
      <w:bookmarkEnd w:id="21"/>
      <w:bookmarkEnd w:id="2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绩效目标实现情况综合结论：本次再评价中设定3个绩效目标，分解为8个绩效指标。主要绩效目标基本实现。项目实施社会效益显著，可持续性影响认可率高，粮食储备目标完成率达100%，完成及时率达100%，科学储量率达99%，储备粮应急保障率达100%。但存在项目成本指标及满意度指标未完成，其中项目成本超支了4.95%，项目满意度只有70%。</w:t>
      </w:r>
    </w:p>
    <w:p>
      <w:pPr>
        <w:spacing w:line="360" w:lineRule="auto"/>
        <w:ind w:firstLine="562" w:firstLineChars="200"/>
        <w:rPr>
          <w:rFonts w:hint="eastAsia" w:asciiTheme="minorEastAsia" w:hAnsiTheme="minorEastAsia" w:eastAsiaTheme="minorEastAsia" w:cstheme="minorEastAsia"/>
          <w:b/>
          <w:bCs/>
          <w:sz w:val="28"/>
          <w:szCs w:val="28"/>
          <w:highlight w:val="none"/>
        </w:rPr>
      </w:pPr>
      <w:bookmarkStart w:id="23" w:name="_Toc502134865"/>
      <w:bookmarkStart w:id="24" w:name="_Toc498009782"/>
      <w:r>
        <w:rPr>
          <w:rFonts w:hint="eastAsia" w:asciiTheme="minorEastAsia" w:hAnsiTheme="minorEastAsia" w:eastAsiaTheme="minorEastAsia" w:cstheme="minorEastAsia"/>
          <w:b/>
          <w:bCs/>
          <w:sz w:val="28"/>
          <w:szCs w:val="28"/>
          <w:highlight w:val="none"/>
        </w:rPr>
        <w:t>（三）绩效自评与再评价差异分析</w:t>
      </w:r>
      <w:bookmarkEnd w:id="23"/>
      <w:bookmarkEnd w:id="24"/>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是评价程序存在差异。绩效自评由寻甸粮食收储公司汇总相关资料，得出自评结论，未进行现场抽查。绩效再评价通过收集与部门整体相关资料、编制实施方案、开展实地评价、数据汇总分析、撰写报告的方式开展。二是再评价完善了绩效指标，提高了量化指标的比例，再评价指标将自评的定性指标设置为定量指标，使评价的范围、尺度更加明确。</w:t>
      </w:r>
    </w:p>
    <w:p>
      <w:pPr>
        <w:spacing w:line="360" w:lineRule="auto"/>
        <w:ind w:firstLine="562" w:firstLineChars="200"/>
        <w:rPr>
          <w:rFonts w:hint="eastAsia" w:asciiTheme="minorEastAsia" w:hAnsiTheme="minorEastAsia" w:eastAsiaTheme="minorEastAsia" w:cstheme="minorEastAsia"/>
          <w:b/>
          <w:bCs/>
          <w:sz w:val="28"/>
          <w:szCs w:val="28"/>
        </w:rPr>
      </w:pPr>
      <w:bookmarkStart w:id="25" w:name="_Toc502134866"/>
      <w:bookmarkStart w:id="26" w:name="_Toc498009783"/>
      <w:r>
        <w:rPr>
          <w:rFonts w:hint="eastAsia" w:asciiTheme="minorEastAsia" w:hAnsiTheme="minorEastAsia" w:eastAsiaTheme="minorEastAsia" w:cstheme="minorEastAsia"/>
          <w:b/>
          <w:bCs/>
          <w:sz w:val="28"/>
          <w:szCs w:val="28"/>
        </w:rPr>
        <w:t>五、绩效再评价情况分析</w:t>
      </w:r>
      <w:bookmarkEnd w:id="25"/>
      <w:bookmarkEnd w:id="26"/>
    </w:p>
    <w:p>
      <w:pPr>
        <w:spacing w:line="360" w:lineRule="auto"/>
        <w:ind w:firstLine="562" w:firstLineChars="200"/>
        <w:rPr>
          <w:rFonts w:hint="eastAsia" w:asciiTheme="minorEastAsia" w:hAnsiTheme="minorEastAsia" w:eastAsiaTheme="minorEastAsia" w:cstheme="minorEastAsia"/>
          <w:b/>
          <w:bCs/>
          <w:sz w:val="28"/>
          <w:szCs w:val="28"/>
          <w:highlight w:val="none"/>
        </w:rPr>
      </w:pPr>
      <w:bookmarkStart w:id="27" w:name="_Toc498009784"/>
      <w:bookmarkStart w:id="28" w:name="_Toc502134867"/>
      <w:r>
        <w:rPr>
          <w:rFonts w:hint="eastAsia" w:asciiTheme="minorEastAsia" w:hAnsiTheme="minorEastAsia" w:eastAsiaTheme="minorEastAsia" w:cstheme="minorEastAsia"/>
          <w:b/>
          <w:bCs/>
          <w:sz w:val="28"/>
          <w:szCs w:val="28"/>
          <w:highlight w:val="none"/>
        </w:rPr>
        <w:t>（一）项目决策分析</w:t>
      </w:r>
      <w:bookmarkEnd w:id="27"/>
      <w:bookmarkEnd w:id="28"/>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项目决策指标满分20分，再评价综合评分9分（占该项满分值的45%），具体情况分析如下：</w:t>
      </w:r>
      <w:bookmarkStart w:id="29" w:name="_Toc502134868"/>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寻甸粮食收储公司未制定单位中长期规划，但根据提供的寻甸县人民政府印发的《寻甸回族彝族自治县国民经济和社会发展第十三个五年规划纲要》，项目基本能够与寻甸县十三五规划、寻甸粮食收储公司的经营范围等相匹配、适应；项目的申请、设立过程基本合法合规，所提交的文件、材料符合相关要求，项目通过必要的可行性研究、专家论证等集体决策程序。</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项目所设定的绩效目标依据充分，符合客观实际、国家相关法律法规、国民经济发展规划和党委政府决策等。但根据提供的绩效目标申报表，存在绩效目标表填列不规范，设定的绩效目标不能完整反映项目产出效益和效果，未将绩效目标细化分解为清晰、可衡量的绩效指标等。</w:t>
      </w:r>
    </w:p>
    <w:p>
      <w:pPr>
        <w:spacing w:line="360" w:lineRule="auto"/>
        <w:ind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（二）</w:t>
      </w:r>
      <w:bookmarkStart w:id="30" w:name="_Toc498009785"/>
      <w:r>
        <w:rPr>
          <w:rFonts w:hint="eastAsia" w:asciiTheme="minorEastAsia" w:hAnsiTheme="minorEastAsia" w:eastAsiaTheme="minorEastAsia" w:cstheme="minorEastAsia"/>
          <w:b/>
          <w:bCs/>
          <w:sz w:val="28"/>
          <w:szCs w:val="28"/>
          <w:highlight w:val="none"/>
        </w:rPr>
        <w:t>项目管理情况分析</w:t>
      </w:r>
      <w:bookmarkEnd w:id="29"/>
      <w:bookmarkEnd w:id="30"/>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项目管理满分20分，再评价综合评分</w:t>
      </w:r>
      <w:r>
        <w:rPr>
          <w:rFonts w:hint="eastAsia" w:asciiTheme="minorEastAsia" w:hAnsiTheme="minorEastAsia" w:cstheme="minorEastAsia"/>
          <w:sz w:val="28"/>
          <w:szCs w:val="28"/>
          <w:lang w:val="en-US" w:eastAsia="zh-CN"/>
        </w:rPr>
        <w:t>20</w:t>
      </w:r>
      <w:r>
        <w:rPr>
          <w:rFonts w:hint="eastAsia" w:asciiTheme="minorEastAsia" w:hAnsiTheme="minorEastAsia" w:eastAsiaTheme="minorEastAsia" w:cstheme="minorEastAsia"/>
          <w:sz w:val="28"/>
          <w:szCs w:val="28"/>
          <w:lang w:val="en-US" w:eastAsia="zh-CN"/>
        </w:rPr>
        <w:t>分（占该项满分值的</w:t>
      </w:r>
      <w:r>
        <w:rPr>
          <w:rFonts w:hint="eastAsia" w:asciiTheme="minorEastAsia" w:hAnsiTheme="minorEastAsia" w:cstheme="minorEastAsia"/>
          <w:sz w:val="28"/>
          <w:szCs w:val="28"/>
          <w:lang w:val="en-US" w:eastAsia="zh-CN"/>
        </w:rPr>
        <w:t>100</w:t>
      </w:r>
      <w:r>
        <w:rPr>
          <w:rFonts w:hint="eastAsia" w:asciiTheme="minorEastAsia" w:hAnsiTheme="minorEastAsia" w:eastAsiaTheme="minorEastAsia" w:cstheme="minorEastAsia"/>
          <w:sz w:val="28"/>
          <w:szCs w:val="28"/>
          <w:lang w:val="en-US" w:eastAsia="zh-CN"/>
        </w:rPr>
        <w:t>%），具体情况分析如下：</w:t>
      </w:r>
      <w:bookmarkStart w:id="31" w:name="_Toc498009786"/>
      <w:bookmarkStart w:id="32" w:name="_Toc502134869"/>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1.项目支出预算依据充分、合理，基本能够与预算确定的项目投资额相匹配；2019年项目预算收入2,330,000.00元，实际支出2,445,320.24元，预算执行率为104.95%。</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项目执行《寻甸回族彝族自治县人民政府办公室关于印发寻甸回族彝族自治县县级储备粮财政补贴实施办法的通知》（寻政办发[2016]90号）、《寻甸回族彝族自治县人民政府办公室关于印发寻甸回族彝族自治县县级储备粮管理办法的通知》（寻政办发[2016]91号）及《企业会计准则》有关规定，相关制度基本能够得到有效的执行。</w:t>
      </w:r>
    </w:p>
    <w:p>
      <w:pPr>
        <w:spacing w:line="360" w:lineRule="auto"/>
        <w:ind w:firstLine="560" w:firstLineChars="200"/>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cstheme="minorEastAsia"/>
          <w:sz w:val="28"/>
          <w:szCs w:val="28"/>
          <w:highlight w:val="none"/>
          <w:lang w:val="en-US" w:eastAsia="zh-CN"/>
        </w:rPr>
        <w:t>3.项目预算资金2,330,000.00元，实际到位资金 2,330,000.00元，实际使用资金2,445,320.24元，</w:t>
      </w:r>
      <w:r>
        <w:rPr>
          <w:rFonts w:hint="eastAsia" w:asciiTheme="minorEastAsia" w:hAnsiTheme="minorEastAsia" w:cstheme="minorEastAsia"/>
          <w:sz w:val="28"/>
          <w:szCs w:val="28"/>
          <w:highlight w:val="none"/>
          <w:lang w:val="en-US" w:eastAsia="zh-CN"/>
        </w:rPr>
        <w:t>超支了115,320.24元。</w:t>
      </w:r>
      <w:r>
        <w:rPr>
          <w:rFonts w:hint="eastAsia" w:asciiTheme="minorEastAsia" w:hAnsiTheme="minorEastAsia" w:eastAsiaTheme="minorEastAsia" w:cstheme="minorEastAsia"/>
          <w:sz w:val="28"/>
          <w:szCs w:val="28"/>
          <w:highlight w:val="none"/>
          <w:lang w:val="en-US" w:eastAsia="zh-CN"/>
        </w:rPr>
        <w:t>资金使用基本符合预算批复的用途，无截留、挤占、挪用、虚列支出等情况。</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项目在业务管理方面执行国家有关法律法规，相关管理制度基本能够得到有效的执行。项目实施的人员条件、场地设备、执行能力、信息支撑等落实到位。项目合同管理基本规范，政府采购流程基本符合相关规定。</w:t>
      </w:r>
    </w:p>
    <w:p>
      <w:pPr>
        <w:spacing w:line="360" w:lineRule="auto"/>
        <w:ind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（三）项目绩效情况分析</w:t>
      </w:r>
      <w:bookmarkEnd w:id="31"/>
      <w:bookmarkEnd w:id="32"/>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项目绩效指标满分60分，再评价综合评分5</w:t>
      </w: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lang w:val="en-US" w:eastAsia="zh-CN"/>
        </w:rPr>
        <w:t>.92分（占该项满分值的9</w:t>
      </w:r>
      <w:r>
        <w:rPr>
          <w:rFonts w:hint="eastAsia" w:asciiTheme="minorEastAsia" w:hAnsiTheme="minorEastAsia" w:cstheme="minorEastAsia"/>
          <w:sz w:val="28"/>
          <w:szCs w:val="28"/>
          <w:lang w:val="en-US" w:eastAsia="zh-CN"/>
        </w:rPr>
        <w:t>3.20</w:t>
      </w:r>
      <w:r>
        <w:rPr>
          <w:rFonts w:hint="eastAsia" w:asciiTheme="minorEastAsia" w:hAnsiTheme="minorEastAsia" w:eastAsiaTheme="minorEastAsia" w:cstheme="minorEastAsia"/>
          <w:sz w:val="28"/>
          <w:szCs w:val="28"/>
          <w:lang w:val="en-US" w:eastAsia="zh-CN"/>
        </w:rPr>
        <w:t>%），具体情况分析如下：</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1.项目产出</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寻甸粮食收储公司基本完成了年度目标任务，2019年完成500万公斤县级储备粮任务，其中：小麦300万公斤，稻谷100万公斤，玉米100万公斤。</w:t>
      </w:r>
      <w:bookmarkStart w:id="33" w:name="_Toc498009787"/>
      <w:bookmarkStart w:id="34" w:name="_Toc502134870"/>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2.项目效益</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通过项目的实施，基本保障了项目区粮食价格的波动和粮食安全，项目实施社会效益显著，可持续性影响认可率高，科学储量率达99%，储备粮应急保障率达100%。但存在项目成本过高和服务对象满意度较差等情况。</w:t>
      </w:r>
    </w:p>
    <w:bookmarkEnd w:id="33"/>
    <w:bookmarkEnd w:id="34"/>
    <w:p>
      <w:pPr>
        <w:spacing w:line="360" w:lineRule="auto"/>
        <w:ind w:firstLine="562" w:firstLineChars="200"/>
        <w:rPr>
          <w:rFonts w:hint="eastAsia" w:asciiTheme="minorEastAsia" w:hAnsiTheme="minorEastAsia" w:eastAsiaTheme="minorEastAsia" w:cstheme="minorEastAsia"/>
          <w:b/>
          <w:bCs/>
          <w:sz w:val="28"/>
          <w:szCs w:val="28"/>
        </w:rPr>
      </w:pPr>
      <w:bookmarkStart w:id="35" w:name="_Toc498009788"/>
      <w:bookmarkStart w:id="36" w:name="_Toc502134871"/>
      <w:r>
        <w:rPr>
          <w:rFonts w:hint="eastAsia" w:asciiTheme="minorEastAsia" w:hAnsiTheme="minorEastAsia" w:eastAsiaTheme="minorEastAsia" w:cstheme="minorEastAsia"/>
          <w:b/>
          <w:bCs/>
          <w:sz w:val="28"/>
          <w:szCs w:val="28"/>
        </w:rPr>
        <w:t>六、主要经验及做法</w:t>
      </w:r>
      <w:bookmarkEnd w:id="35"/>
      <w:bookmarkEnd w:id="36"/>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是认真调查全县当年粮食种植面积，尽可能掌握当年粮食产量、上市量，确保全县储备粮食的正常轮换；二是熟悉各项补助经费的政策，做出正确的年初预算；三是利用地理优势，合理规划仓库，减少费用支出。</w:t>
      </w:r>
    </w:p>
    <w:p>
      <w:pPr>
        <w:spacing w:line="360" w:lineRule="auto"/>
        <w:ind w:firstLine="562" w:firstLineChars="200"/>
        <w:rPr>
          <w:rFonts w:hint="eastAsia" w:asciiTheme="minorEastAsia" w:hAnsiTheme="minorEastAsia" w:eastAsiaTheme="minorEastAsia" w:cstheme="minorEastAsia"/>
          <w:b/>
          <w:bCs/>
          <w:sz w:val="28"/>
          <w:szCs w:val="28"/>
        </w:rPr>
      </w:pPr>
      <w:bookmarkStart w:id="37" w:name="_Toc498009789"/>
      <w:bookmarkStart w:id="38" w:name="_Toc502134872"/>
      <w:r>
        <w:rPr>
          <w:rFonts w:hint="eastAsia" w:asciiTheme="minorEastAsia" w:hAnsiTheme="minorEastAsia" w:eastAsiaTheme="minorEastAsia" w:cstheme="minorEastAsia"/>
          <w:b/>
          <w:bCs/>
          <w:sz w:val="28"/>
          <w:szCs w:val="28"/>
        </w:rPr>
        <w:t>七、存在问题及原因分析</w:t>
      </w:r>
      <w:bookmarkEnd w:id="37"/>
      <w:bookmarkEnd w:id="38"/>
    </w:p>
    <w:p>
      <w:p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39" w:name="_Toc500440025"/>
      <w:bookmarkStart w:id="40" w:name="_Toc500849310"/>
      <w:bookmarkStart w:id="41" w:name="_Toc500589022"/>
      <w:bookmarkStart w:id="42" w:name="_Toc502134873"/>
      <w:bookmarkStart w:id="43" w:name="_Toc500202563"/>
      <w:bookmarkStart w:id="44" w:name="_Toc500364179"/>
      <w:r>
        <w:rPr>
          <w:rFonts w:hint="eastAsia" w:asciiTheme="minorEastAsia" w:hAnsiTheme="minorEastAsia" w:cstheme="minorEastAsia"/>
          <w:sz w:val="28"/>
          <w:szCs w:val="28"/>
          <w:lang w:val="en-US" w:eastAsia="zh-CN"/>
        </w:rPr>
        <w:t>(一)</w:t>
      </w:r>
      <w:r>
        <w:rPr>
          <w:rFonts w:hint="eastAsia" w:asciiTheme="minorEastAsia" w:hAnsiTheme="minorEastAsia" w:eastAsiaTheme="minorEastAsia" w:cstheme="minorEastAsia"/>
          <w:sz w:val="28"/>
          <w:szCs w:val="28"/>
          <w:lang w:val="en-US" w:eastAsia="zh-CN"/>
        </w:rPr>
        <w:t>根据寻甸粮食收储公司提供的绩效目标申报表，存在填报格式不规范，绩效目标不完整、明确，绩效指标设置不准确、完整、清晰、可衡量等。</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（二）</w:t>
      </w:r>
      <w:r>
        <w:rPr>
          <w:rFonts w:hint="eastAsia" w:asciiTheme="minorEastAsia" w:hAnsiTheme="minorEastAsia" w:eastAsiaTheme="minorEastAsia" w:cstheme="minorEastAsia"/>
          <w:sz w:val="28"/>
          <w:szCs w:val="28"/>
          <w:lang w:val="en-US" w:eastAsia="zh-CN"/>
        </w:rPr>
        <w:t>未建立绩效运行跟踪监控机制，未对绩效目标运行情况进行跟踪管理和督促检查等。</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上述做法与《关于推进预算绩效管理的指导意见》（财预[2011]416号）中“三、推进预算绩效管理的主要内容……预算单位在编制下一年度预算时，要根据国务院编制预算的总体要求和财政部门的具体部署、国民经济和社会发展规划、部门职能及事业发展规划，科学、合理地测算资金需求，编制预算绩效计划，报送绩效目标。报送的绩效目标应与部门目标高度相关，并且是具体的、可衡量的、一定时期内可实现的……各级财政部门和预算单位要建立绩效运行跟踪监控机制，定期采集绩效运行信息并汇总分析，对绩效目标运行情况进行跟踪管理和督促检查，纠偏扬长，促进绩效目标的顺利实现。跟踪监控中发现绩效运行目标与预期绩效目标发生偏离时，要及时采取措施予以纠正……。”规定不符。</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lang w:val="en-US" w:eastAsia="zh-CN"/>
        </w:rPr>
        <w:t>绩效自评未落实</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根据寻甸粮食收储公司提供的《粮食风险基金项目支出绩效自评报告》，内容极其简单，部分内容与要求不符，如：项目立项背景为粮食局的职能职责，组织及管理情况部分的内容与此项需要的内容不符</w:t>
      </w:r>
      <w:r>
        <w:rPr>
          <w:rFonts w:hint="eastAsia" w:asciiTheme="minorEastAsia" w:hAnsiTheme="minorEastAsia" w:cstheme="minorEastAsia"/>
          <w:sz w:val="28"/>
          <w:szCs w:val="28"/>
          <w:lang w:val="en-US" w:eastAsia="zh-CN"/>
        </w:rPr>
        <w:t>，自评报告中说明的财政拨付资金与实际拨付资金不符</w:t>
      </w:r>
      <w:r>
        <w:rPr>
          <w:rFonts w:hint="eastAsia" w:asciiTheme="minorEastAsia" w:hAnsiTheme="minorEastAsia" w:eastAsiaTheme="minorEastAsia" w:cstheme="minorEastAsia"/>
          <w:sz w:val="28"/>
          <w:szCs w:val="28"/>
          <w:lang w:val="en-US" w:eastAsia="zh-CN"/>
        </w:rPr>
        <w:t>等</w:t>
      </w:r>
      <w:r>
        <w:rPr>
          <w:rFonts w:hint="eastAsia" w:asciiTheme="minorEastAsia" w:hAnsiTheme="minorEastAsia" w:cstheme="minorEastAsia"/>
          <w:sz w:val="28"/>
          <w:szCs w:val="28"/>
          <w:lang w:val="en-US" w:eastAsia="zh-CN"/>
        </w:rPr>
        <w:t>情况</w:t>
      </w:r>
      <w:bookmarkStart w:id="54" w:name="_GoBack"/>
      <w:bookmarkEnd w:id="54"/>
      <w:r>
        <w:rPr>
          <w:rFonts w:hint="eastAsia" w:asciiTheme="minorEastAsia" w:hAnsiTheme="minorEastAsia" w:eastAsiaTheme="minorEastAsia" w:cstheme="minorEastAsia"/>
          <w:sz w:val="28"/>
          <w:szCs w:val="28"/>
          <w:lang w:val="en-US" w:eastAsia="zh-CN"/>
        </w:rPr>
        <w:t>。</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上述做法与《寻甸县本级部门预算绩效自评管理暂行办法》“第三十六条 建立责任追究制度。…… 1.在贯彻执行预算绩效管理工作中，有令不行、有禁不止，落实不力、执行走样，或不按要求开展绩效自评工作的。”规定不符。</w:t>
      </w:r>
    </w:p>
    <w:bookmarkEnd w:id="39"/>
    <w:bookmarkEnd w:id="40"/>
    <w:bookmarkEnd w:id="41"/>
    <w:bookmarkEnd w:id="42"/>
    <w:bookmarkEnd w:id="43"/>
    <w:bookmarkEnd w:id="44"/>
    <w:p>
      <w:pPr>
        <w:numPr>
          <w:ilvl w:val="0"/>
          <w:numId w:val="1"/>
        </w:numPr>
        <w:spacing w:line="360" w:lineRule="auto"/>
        <w:ind w:firstLine="562" w:firstLineChars="200"/>
        <w:rPr>
          <w:rFonts w:hint="eastAsia" w:asciiTheme="minorEastAsia" w:hAnsiTheme="minorEastAsia" w:eastAsiaTheme="minorEastAsia" w:cstheme="minorEastAsia"/>
          <w:b/>
          <w:bCs/>
          <w:sz w:val="28"/>
          <w:szCs w:val="28"/>
        </w:rPr>
      </w:pPr>
      <w:bookmarkStart w:id="45" w:name="_Toc498009790"/>
      <w:bookmarkStart w:id="46" w:name="_Toc502134879"/>
      <w:r>
        <w:rPr>
          <w:rFonts w:hint="eastAsia" w:asciiTheme="minorEastAsia" w:hAnsiTheme="minorEastAsia" w:eastAsiaTheme="minorEastAsia" w:cstheme="minorEastAsia"/>
          <w:b/>
          <w:bCs/>
          <w:sz w:val="28"/>
          <w:szCs w:val="28"/>
        </w:rPr>
        <w:t>建议</w:t>
      </w:r>
      <w:bookmarkEnd w:id="45"/>
      <w:bookmarkEnd w:id="46"/>
      <w:bookmarkStart w:id="47" w:name="_Toc502134880"/>
      <w:bookmarkStart w:id="48" w:name="_Toc500202569"/>
      <w:bookmarkStart w:id="49" w:name="_Toc500589028"/>
      <w:bookmarkStart w:id="50" w:name="_Toc500364185"/>
      <w:bookmarkStart w:id="51" w:name="_Toc500849317"/>
      <w:bookmarkStart w:id="52" w:name="_Toc500440031"/>
      <w:bookmarkStart w:id="53" w:name="_Toc498009791"/>
    </w:p>
    <w:bookmarkEnd w:id="47"/>
    <w:bookmarkEnd w:id="48"/>
    <w:bookmarkEnd w:id="49"/>
    <w:bookmarkEnd w:id="50"/>
    <w:bookmarkEnd w:id="51"/>
    <w:bookmarkEnd w:id="52"/>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加强预算绩效管理。</w:t>
      </w:r>
      <w:r>
        <w:rPr>
          <w:rFonts w:hint="eastAsia" w:asciiTheme="minorEastAsia" w:hAnsiTheme="minorEastAsia" w:eastAsiaTheme="minorEastAsia" w:cstheme="minorEastAsia"/>
          <w:sz w:val="28"/>
          <w:szCs w:val="28"/>
          <w:lang w:val="en-US" w:eastAsia="zh-CN"/>
        </w:rPr>
        <w:t>首先，对部门的职能进行梳理，确定部门履职的各项具体工作职责；其次，结合部门中长期规划和年度工作计划，预计部门在本年度内履职所要达到的总体产出和结果，将其确定为部门总体绩效目标，以定量和定性指标相结合的方式进行表述；再次，将所要实现的部门总体绩效目标转化为具体的实施内容，落实到具体的工作岗位和责任人，并设定衡量工作任务实现程度的绩效指标；最后，依据预算支出标准和要求测算出完成工作任务所需的工作成本。通过绩效目标的细化、量化编制，不断丰富政府绩效考核、部门岗位责任制、财政预算绩效管理、审计绩效监督的工作内涵，充分发挥结果导向作用，做到预算执行有据可依，绩效审计有据可查，逐步达到财政支出科学精细化管理要求。</w:t>
      </w:r>
    </w:p>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进一步加大绩效评价制度建设和完善绩效评价指标体系建设，在制度上加强规范管理，在执行中加大督促力度，让绩效评价工作真正走上制度化、规范化、标准化的新台阶，同时提高部门整体绩效管理水平，加强领导，统一思想、明确责任，制定由相关部门牵头、各部门参与的绩效评价管理制度，为绩效评价工作开展创造好的条件；加强队伍建设，抓好绩效评价管理队伍的建设和业务指导，培育组建专家队伍，并加强业务培训；建立长效机制，把绩效评价作为各部门的日常性工作，建立绩效评价管理工作考核的长效机制。</w:t>
      </w:r>
    </w:p>
    <w:bookmarkEnd w:id="53"/>
    <w:p>
      <w:p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附件1：寻甸县粮食收储有限公司2019年粮食风险基金项目支出绩效评价指标体系</w:t>
      </w:r>
    </w:p>
    <w:p>
      <w:pPr>
        <w:pStyle w:val="2"/>
        <w:rPr>
          <w:rFonts w:hint="eastAsia" w:asciiTheme="minorEastAsia" w:hAnsiTheme="minorEastAsia" w:eastAsiaTheme="minorEastAsia" w:cstheme="minorEastAsia"/>
          <w:sz w:val="28"/>
          <w:szCs w:val="28"/>
          <w:highlight w:val="none"/>
          <w:lang w:val="en-US" w:eastAsia="zh-CN"/>
        </w:rPr>
      </w:pPr>
    </w:p>
    <w:p>
      <w:pPr>
        <w:pStyle w:val="2"/>
        <w:rPr>
          <w:rFonts w:hint="eastAsia" w:asciiTheme="minorEastAsia" w:hAnsiTheme="minorEastAsia" w:eastAsiaTheme="minorEastAsia" w:cstheme="minorEastAsia"/>
          <w:sz w:val="28"/>
          <w:szCs w:val="28"/>
          <w:highlight w:val="none"/>
          <w:lang w:val="en-US" w:eastAsia="zh-CN"/>
        </w:rPr>
      </w:pPr>
    </w:p>
    <w:p>
      <w:pPr>
        <w:pStyle w:val="2"/>
        <w:rPr>
          <w:rFonts w:hint="eastAsia" w:asciiTheme="minorEastAsia" w:hAnsiTheme="minorEastAsia" w:eastAsiaTheme="minorEastAsia" w:cstheme="minorEastAsia"/>
          <w:sz w:val="28"/>
          <w:szCs w:val="28"/>
          <w:highlight w:val="none"/>
          <w:lang w:val="en-US" w:eastAsia="zh-CN"/>
        </w:rPr>
      </w:pPr>
    </w:p>
    <w:p>
      <w:pPr>
        <w:pStyle w:val="2"/>
        <w:rPr>
          <w:rFonts w:hint="eastAsia" w:asciiTheme="minorEastAsia" w:hAnsiTheme="minorEastAsia" w:eastAsiaTheme="minorEastAsia" w:cstheme="minorEastAsia"/>
          <w:sz w:val="28"/>
          <w:szCs w:val="28"/>
          <w:highlight w:val="none"/>
          <w:lang w:val="en-US" w:eastAsia="zh-CN"/>
        </w:rPr>
      </w:pPr>
    </w:p>
    <w:p>
      <w:pPr>
        <w:pStyle w:val="2"/>
        <w:rPr>
          <w:rFonts w:hint="eastAsia" w:asciiTheme="minorEastAsia" w:hAnsiTheme="minorEastAsia" w:eastAsiaTheme="minorEastAsia" w:cstheme="minorEastAsia"/>
          <w:sz w:val="28"/>
          <w:szCs w:val="28"/>
          <w:highlight w:val="none"/>
          <w:lang w:val="en-US" w:eastAsia="zh-CN"/>
        </w:rPr>
      </w:pPr>
    </w:p>
    <w:p>
      <w:pPr>
        <w:pStyle w:val="2"/>
        <w:rPr>
          <w:rFonts w:hint="eastAsia" w:asciiTheme="minorEastAsia" w:hAnsiTheme="minorEastAsia" w:eastAsiaTheme="minorEastAsia" w:cstheme="minorEastAsia"/>
          <w:sz w:val="28"/>
          <w:szCs w:val="28"/>
          <w:highlight w:val="none"/>
          <w:lang w:val="en-US" w:eastAsia="zh-CN"/>
        </w:rPr>
      </w:pPr>
    </w:p>
    <w:p>
      <w:pPr>
        <w:pStyle w:val="2"/>
        <w:rPr>
          <w:rFonts w:hint="eastAsia" w:asciiTheme="minorEastAsia" w:hAnsiTheme="minorEastAsia" w:eastAsiaTheme="minorEastAsia" w:cstheme="minorEastAsia"/>
          <w:sz w:val="28"/>
          <w:szCs w:val="28"/>
          <w:highlight w:val="none"/>
          <w:lang w:val="en-US" w:eastAsia="zh-CN"/>
        </w:rPr>
      </w:pPr>
    </w:p>
    <w:p>
      <w:pPr>
        <w:rPr>
          <w:rFonts w:hint="eastAsia" w:asciiTheme="minorEastAsia" w:hAnsiTheme="minorEastAsia" w:eastAsiaTheme="minorEastAsia" w:cstheme="minorEastAsia"/>
          <w:sz w:val="28"/>
          <w:szCs w:val="28"/>
        </w:rPr>
      </w:pPr>
    </w:p>
    <w:p>
      <w:pPr>
        <w:wordWrap w:val="0"/>
        <w:spacing w:line="600" w:lineRule="exact"/>
        <w:ind w:right="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中国注册会计师：</w:t>
      </w:r>
    </w:p>
    <w:p>
      <w:pPr>
        <w:wordWrap w:val="0"/>
        <w:spacing w:line="600" w:lineRule="exact"/>
        <w:ind w:right="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pacing w:val="-20"/>
          <w:sz w:val="28"/>
          <w:szCs w:val="28"/>
          <w:lang w:eastAsia="zh-CN"/>
        </w:rPr>
        <w:t>中兴财光华会计师事务所(特殊普通合伙）云南分所</w:t>
      </w:r>
      <w:r>
        <w:rPr>
          <w:rFonts w:hint="eastAsia" w:asciiTheme="minorEastAsia" w:hAnsiTheme="minorEastAsia" w:eastAsiaTheme="minorEastAsia" w:cstheme="minorEastAsia"/>
          <w:sz w:val="28"/>
          <w:szCs w:val="28"/>
        </w:rPr>
        <w:t xml:space="preserve">    </w:t>
      </w:r>
    </w:p>
    <w:p>
      <w:pPr>
        <w:spacing w:line="600" w:lineRule="exact"/>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中国注册会计师：</w:t>
      </w:r>
    </w:p>
    <w:p>
      <w:pPr>
        <w:rPr>
          <w:rFonts w:hint="eastAsia" w:asciiTheme="minorEastAsia" w:hAnsiTheme="minorEastAsia" w:eastAsiaTheme="minorEastAsia" w:cstheme="minorEastAsia"/>
          <w:sz w:val="28"/>
          <w:szCs w:val="28"/>
        </w:rPr>
      </w:pPr>
    </w:p>
    <w:p>
      <w:pPr>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中国•昆明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二〇</w:t>
      </w:r>
      <w:r>
        <w:rPr>
          <w:rFonts w:hint="eastAsia" w:asciiTheme="minorEastAsia" w:hAnsiTheme="minorEastAsia" w:eastAsiaTheme="minorEastAsia" w:cstheme="minorEastAsia"/>
          <w:sz w:val="28"/>
          <w:szCs w:val="28"/>
          <w:lang w:eastAsia="zh-CN"/>
        </w:rPr>
        <w:t>二〇</w:t>
      </w:r>
      <w:r>
        <w:rPr>
          <w:rFonts w:hint="eastAsia" w:asciiTheme="minorEastAsia" w:hAnsiTheme="minorEastAsia" w:eastAsiaTheme="minorEastAsia" w:cstheme="minorEastAsia"/>
          <w:sz w:val="28"/>
          <w:szCs w:val="28"/>
        </w:rPr>
        <w:t>年</w:t>
      </w:r>
      <w:r>
        <w:rPr>
          <w:rFonts w:hint="eastAsia" w:asciiTheme="minorEastAsia" w:hAnsiTheme="minorEastAsia" w:cstheme="minorEastAsia"/>
          <w:sz w:val="28"/>
          <w:szCs w:val="28"/>
          <w:lang w:eastAsia="zh-CN"/>
        </w:rPr>
        <w:t>九</w:t>
      </w:r>
      <w:r>
        <w:rPr>
          <w:rFonts w:hint="eastAsia" w:asciiTheme="minorEastAsia" w:hAnsiTheme="minorEastAsia" w:eastAsiaTheme="minorEastAsia" w:cstheme="minorEastAsia"/>
          <w:sz w:val="28"/>
          <w:szCs w:val="28"/>
        </w:rPr>
        <w:t xml:space="preserve">月十日             </w:t>
      </w:r>
    </w:p>
    <w:sectPr>
      <w:headerReference r:id="rId3" w:type="default"/>
      <w:footerReference r:id="rId4" w:type="default"/>
      <w:pgSz w:w="11906" w:h="16838"/>
      <w:pgMar w:top="1440" w:right="1800" w:bottom="1440" w:left="1800" w:header="1020" w:footer="510"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2185035</wp:posOffset>
              </wp:positionH>
              <wp:positionV relativeFrom="paragraph">
                <wp:posOffset>-228600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72.05pt;margin-top:-18pt;height:144pt;width:144pt;mso-position-horizontal-relative:margin;mso-wrap-style:none;z-index:251659264;mso-width-relative:page;mso-height-relative:page;" filled="f" stroked="f" coordsize="21600,21600" o:gfxdata="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4g0RxNgAAAALAQAADwAAAAAA&#10;AAABACAAAAAiAAAAZHJzL2Rvd25yZXYueG1sUEsBAhQAFAAAAAgAh07iQAXccrATAgAAEwQAAA4A&#10;AAAAAAAAAQAgAAAAJwEAAGRycy9lMm9Eb2MueG1sUEsFBgAAAAAGAAYAWQEAAKw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15</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right"/>
    </w:pPr>
    <w:r>
      <w:rPr>
        <w:rFonts w:hint="eastAsia" w:ascii="隶书" w:eastAsia="隶书"/>
        <w:spacing w:val="-20"/>
        <w:sz w:val="28"/>
        <w:szCs w:val="28"/>
      </w:rPr>
      <w:drawing>
        <wp:anchor distT="0" distB="0" distL="114300" distR="114300" simplePos="0" relativeHeight="251658240" behindDoc="1" locked="0" layoutInCell="1" allowOverlap="1">
          <wp:simplePos x="0" y="0"/>
          <wp:positionH relativeFrom="column">
            <wp:posOffset>-9525</wp:posOffset>
          </wp:positionH>
          <wp:positionV relativeFrom="paragraph">
            <wp:posOffset>20320</wp:posOffset>
          </wp:positionV>
          <wp:extent cx="1151890" cy="177165"/>
          <wp:effectExtent l="0" t="0" r="10160" b="13335"/>
          <wp:wrapNone/>
          <wp:docPr id="1" name="图片 1" descr="C:\Users\Administrator.USER-20170507AS\Desktop\图片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USER-20170507AS\Desktop\图片1.jpg"/>
                  <pic:cNvPicPr>
                    <a:picLocks noChangeAspect="1"/>
                  </pic:cNvPicPr>
                </pic:nvPicPr>
                <pic:blipFill>
                  <a:blip r:embed="rId1"/>
                  <a:stretch>
                    <a:fillRect/>
                  </a:stretch>
                </pic:blipFill>
                <pic:spPr>
                  <a:xfrm>
                    <a:off x="0" y="0"/>
                    <a:ext cx="1151890" cy="177165"/>
                  </a:xfrm>
                  <a:prstGeom prst="rect">
                    <a:avLst/>
                  </a:prstGeom>
                  <a:noFill/>
                  <a:ln>
                    <a:noFill/>
                  </a:ln>
                </pic:spPr>
              </pic:pic>
            </a:graphicData>
          </a:graphic>
        </wp:anchor>
      </w:drawing>
    </w:r>
    <w:r>
      <w:rPr>
        <w:rFonts w:hint="eastAsia" w:ascii="隶书" w:eastAsia="隶书"/>
        <w:spacing w:val="-20"/>
        <w:sz w:val="28"/>
        <w:szCs w:val="28"/>
      </w:rPr>
      <w:t>中兴财光华会计师事务所（特普）云南分所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3FFE2D"/>
    <w:multiLevelType w:val="singleLevel"/>
    <w:tmpl w:val="B03FFE2D"/>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F42E5"/>
    <w:rsid w:val="003B667F"/>
    <w:rsid w:val="006C57C6"/>
    <w:rsid w:val="00D10C8C"/>
    <w:rsid w:val="012C7DC0"/>
    <w:rsid w:val="01436F9F"/>
    <w:rsid w:val="01D60259"/>
    <w:rsid w:val="02151E80"/>
    <w:rsid w:val="022E0963"/>
    <w:rsid w:val="0257031E"/>
    <w:rsid w:val="02684EB4"/>
    <w:rsid w:val="02A02758"/>
    <w:rsid w:val="02EA73E1"/>
    <w:rsid w:val="0307577D"/>
    <w:rsid w:val="039A4381"/>
    <w:rsid w:val="044E3973"/>
    <w:rsid w:val="045C346D"/>
    <w:rsid w:val="049401D8"/>
    <w:rsid w:val="04AC5FBE"/>
    <w:rsid w:val="04E77027"/>
    <w:rsid w:val="05076E38"/>
    <w:rsid w:val="05145211"/>
    <w:rsid w:val="0521507F"/>
    <w:rsid w:val="055905E7"/>
    <w:rsid w:val="055C6AE7"/>
    <w:rsid w:val="05634866"/>
    <w:rsid w:val="056838F5"/>
    <w:rsid w:val="05AB4615"/>
    <w:rsid w:val="06186903"/>
    <w:rsid w:val="062370D4"/>
    <w:rsid w:val="062A6E20"/>
    <w:rsid w:val="06790629"/>
    <w:rsid w:val="06AA66D4"/>
    <w:rsid w:val="06BD18CD"/>
    <w:rsid w:val="074C6A10"/>
    <w:rsid w:val="075C167D"/>
    <w:rsid w:val="080C5426"/>
    <w:rsid w:val="081D15C4"/>
    <w:rsid w:val="086B66F3"/>
    <w:rsid w:val="087F7AAB"/>
    <w:rsid w:val="08932548"/>
    <w:rsid w:val="08A603F2"/>
    <w:rsid w:val="08A81A3A"/>
    <w:rsid w:val="08E46646"/>
    <w:rsid w:val="095F41FF"/>
    <w:rsid w:val="09790F31"/>
    <w:rsid w:val="09943BCA"/>
    <w:rsid w:val="09BE3873"/>
    <w:rsid w:val="0A9F4057"/>
    <w:rsid w:val="0AB27B9A"/>
    <w:rsid w:val="0AFD5F5E"/>
    <w:rsid w:val="0B114150"/>
    <w:rsid w:val="0B2B5475"/>
    <w:rsid w:val="0B45384A"/>
    <w:rsid w:val="0B880C39"/>
    <w:rsid w:val="0B980A48"/>
    <w:rsid w:val="0BFF1C88"/>
    <w:rsid w:val="0C230B9E"/>
    <w:rsid w:val="0CD33493"/>
    <w:rsid w:val="0CE37791"/>
    <w:rsid w:val="0D3773DD"/>
    <w:rsid w:val="0D831253"/>
    <w:rsid w:val="0DCA5DE1"/>
    <w:rsid w:val="0DF9499C"/>
    <w:rsid w:val="0E194402"/>
    <w:rsid w:val="0E1E19BF"/>
    <w:rsid w:val="0E732050"/>
    <w:rsid w:val="0F2B177A"/>
    <w:rsid w:val="0F4F24AB"/>
    <w:rsid w:val="0F7637B8"/>
    <w:rsid w:val="0FA554CA"/>
    <w:rsid w:val="0FC2590C"/>
    <w:rsid w:val="103C46CF"/>
    <w:rsid w:val="10A41CED"/>
    <w:rsid w:val="10C43B87"/>
    <w:rsid w:val="10E6430B"/>
    <w:rsid w:val="111D6972"/>
    <w:rsid w:val="11405F28"/>
    <w:rsid w:val="11CA17ED"/>
    <w:rsid w:val="120F47E4"/>
    <w:rsid w:val="1225668C"/>
    <w:rsid w:val="122660D5"/>
    <w:rsid w:val="1256332B"/>
    <w:rsid w:val="127A1A8D"/>
    <w:rsid w:val="1283031A"/>
    <w:rsid w:val="130C2193"/>
    <w:rsid w:val="130E3903"/>
    <w:rsid w:val="13166809"/>
    <w:rsid w:val="13D5523A"/>
    <w:rsid w:val="144D3492"/>
    <w:rsid w:val="145A1383"/>
    <w:rsid w:val="14F660C9"/>
    <w:rsid w:val="15107016"/>
    <w:rsid w:val="15C9405C"/>
    <w:rsid w:val="15E71374"/>
    <w:rsid w:val="16523EA2"/>
    <w:rsid w:val="16C97B9B"/>
    <w:rsid w:val="16EA3483"/>
    <w:rsid w:val="179C442C"/>
    <w:rsid w:val="17D26242"/>
    <w:rsid w:val="17F679D5"/>
    <w:rsid w:val="18206182"/>
    <w:rsid w:val="18736211"/>
    <w:rsid w:val="188968D9"/>
    <w:rsid w:val="18E933C9"/>
    <w:rsid w:val="19250992"/>
    <w:rsid w:val="19490B9F"/>
    <w:rsid w:val="19EB2EA3"/>
    <w:rsid w:val="19F73100"/>
    <w:rsid w:val="1A303B2C"/>
    <w:rsid w:val="1A3C7AF1"/>
    <w:rsid w:val="1A3D12CC"/>
    <w:rsid w:val="1A545436"/>
    <w:rsid w:val="1A6C6495"/>
    <w:rsid w:val="1A7F7611"/>
    <w:rsid w:val="1B47136E"/>
    <w:rsid w:val="1B6D5FA5"/>
    <w:rsid w:val="1B79551A"/>
    <w:rsid w:val="1C25420F"/>
    <w:rsid w:val="1C2D714A"/>
    <w:rsid w:val="1C322178"/>
    <w:rsid w:val="1C6B44B7"/>
    <w:rsid w:val="1C7707CD"/>
    <w:rsid w:val="1CA66E44"/>
    <w:rsid w:val="1CAE36F5"/>
    <w:rsid w:val="1CD55A4A"/>
    <w:rsid w:val="1D1B0AD1"/>
    <w:rsid w:val="1D1F084C"/>
    <w:rsid w:val="1D221FDC"/>
    <w:rsid w:val="1D3941A5"/>
    <w:rsid w:val="1D6318A3"/>
    <w:rsid w:val="1D8D6A3B"/>
    <w:rsid w:val="1D960F3A"/>
    <w:rsid w:val="1DA018EB"/>
    <w:rsid w:val="1DE925A7"/>
    <w:rsid w:val="1E2C4E59"/>
    <w:rsid w:val="1EB01ACB"/>
    <w:rsid w:val="1EC94640"/>
    <w:rsid w:val="1ED05892"/>
    <w:rsid w:val="1EE85C44"/>
    <w:rsid w:val="1EE8779D"/>
    <w:rsid w:val="1EED1FD2"/>
    <w:rsid w:val="1F576A69"/>
    <w:rsid w:val="1F591721"/>
    <w:rsid w:val="1F91086F"/>
    <w:rsid w:val="1FBD1132"/>
    <w:rsid w:val="1FE2356A"/>
    <w:rsid w:val="200244D1"/>
    <w:rsid w:val="201E59ED"/>
    <w:rsid w:val="202453E4"/>
    <w:rsid w:val="2025021C"/>
    <w:rsid w:val="20694D65"/>
    <w:rsid w:val="20A14E27"/>
    <w:rsid w:val="2114179F"/>
    <w:rsid w:val="21197B5A"/>
    <w:rsid w:val="216A2D40"/>
    <w:rsid w:val="21E23314"/>
    <w:rsid w:val="21E53F01"/>
    <w:rsid w:val="21EC0A72"/>
    <w:rsid w:val="21EF780B"/>
    <w:rsid w:val="223F479F"/>
    <w:rsid w:val="223F5AC1"/>
    <w:rsid w:val="22473100"/>
    <w:rsid w:val="225F634C"/>
    <w:rsid w:val="229064AC"/>
    <w:rsid w:val="22B91FAB"/>
    <w:rsid w:val="230C5D84"/>
    <w:rsid w:val="231435FF"/>
    <w:rsid w:val="2333763A"/>
    <w:rsid w:val="23B177E1"/>
    <w:rsid w:val="24211347"/>
    <w:rsid w:val="24310DD4"/>
    <w:rsid w:val="246D2625"/>
    <w:rsid w:val="247A2B21"/>
    <w:rsid w:val="24900048"/>
    <w:rsid w:val="24BB522A"/>
    <w:rsid w:val="24F37529"/>
    <w:rsid w:val="251E0472"/>
    <w:rsid w:val="2520642A"/>
    <w:rsid w:val="25462E4B"/>
    <w:rsid w:val="25862011"/>
    <w:rsid w:val="260D7D0C"/>
    <w:rsid w:val="263A71E2"/>
    <w:rsid w:val="26690FCD"/>
    <w:rsid w:val="26963F27"/>
    <w:rsid w:val="269B1693"/>
    <w:rsid w:val="26B227EB"/>
    <w:rsid w:val="26DF0CD6"/>
    <w:rsid w:val="26ED48AE"/>
    <w:rsid w:val="27A01740"/>
    <w:rsid w:val="27C416DF"/>
    <w:rsid w:val="27EF7121"/>
    <w:rsid w:val="280144F4"/>
    <w:rsid w:val="284E4F9F"/>
    <w:rsid w:val="28870583"/>
    <w:rsid w:val="288C75AF"/>
    <w:rsid w:val="28D97FCA"/>
    <w:rsid w:val="28E12D40"/>
    <w:rsid w:val="291B5803"/>
    <w:rsid w:val="295A584E"/>
    <w:rsid w:val="29733142"/>
    <w:rsid w:val="29A033E8"/>
    <w:rsid w:val="29AD60E2"/>
    <w:rsid w:val="29B30005"/>
    <w:rsid w:val="29BC365E"/>
    <w:rsid w:val="2A1C5137"/>
    <w:rsid w:val="2A6B5300"/>
    <w:rsid w:val="2B6065D5"/>
    <w:rsid w:val="2B80177F"/>
    <w:rsid w:val="2B90159F"/>
    <w:rsid w:val="2B993748"/>
    <w:rsid w:val="2BA819BF"/>
    <w:rsid w:val="2BBE1DE2"/>
    <w:rsid w:val="2D1C066F"/>
    <w:rsid w:val="2D5C0E1F"/>
    <w:rsid w:val="2DA362F7"/>
    <w:rsid w:val="2DDE1315"/>
    <w:rsid w:val="2DFB0A3A"/>
    <w:rsid w:val="2E334AF9"/>
    <w:rsid w:val="2E70008E"/>
    <w:rsid w:val="2E795570"/>
    <w:rsid w:val="2E8352A3"/>
    <w:rsid w:val="2ECC67F4"/>
    <w:rsid w:val="30F14E48"/>
    <w:rsid w:val="312C25D0"/>
    <w:rsid w:val="31385F9D"/>
    <w:rsid w:val="31A23AE0"/>
    <w:rsid w:val="31C37AEC"/>
    <w:rsid w:val="32357F08"/>
    <w:rsid w:val="32477ABF"/>
    <w:rsid w:val="325970B3"/>
    <w:rsid w:val="32DF1CBC"/>
    <w:rsid w:val="33816DA8"/>
    <w:rsid w:val="33BD3FD0"/>
    <w:rsid w:val="33F469AE"/>
    <w:rsid w:val="340558C0"/>
    <w:rsid w:val="340A5744"/>
    <w:rsid w:val="34214870"/>
    <w:rsid w:val="34383C9D"/>
    <w:rsid w:val="34B93037"/>
    <w:rsid w:val="34C2659C"/>
    <w:rsid w:val="34F159B6"/>
    <w:rsid w:val="350D5C98"/>
    <w:rsid w:val="35125AEE"/>
    <w:rsid w:val="351F1E5F"/>
    <w:rsid w:val="35212153"/>
    <w:rsid w:val="353C1013"/>
    <w:rsid w:val="355B423F"/>
    <w:rsid w:val="36314683"/>
    <w:rsid w:val="36472C7B"/>
    <w:rsid w:val="36753A20"/>
    <w:rsid w:val="36B326B4"/>
    <w:rsid w:val="36B75A8F"/>
    <w:rsid w:val="36BE2D03"/>
    <w:rsid w:val="36CE2123"/>
    <w:rsid w:val="36D9255D"/>
    <w:rsid w:val="36E164D1"/>
    <w:rsid w:val="37293C81"/>
    <w:rsid w:val="373206A1"/>
    <w:rsid w:val="37A32806"/>
    <w:rsid w:val="380B1DFE"/>
    <w:rsid w:val="382E6775"/>
    <w:rsid w:val="385852A1"/>
    <w:rsid w:val="386E3CBD"/>
    <w:rsid w:val="386F48E8"/>
    <w:rsid w:val="388D5DF3"/>
    <w:rsid w:val="38BF4FAD"/>
    <w:rsid w:val="38D91E08"/>
    <w:rsid w:val="38E0103A"/>
    <w:rsid w:val="38F230E0"/>
    <w:rsid w:val="393C79BC"/>
    <w:rsid w:val="39CC0DE9"/>
    <w:rsid w:val="3A295D0C"/>
    <w:rsid w:val="3A896034"/>
    <w:rsid w:val="3A9F1F4F"/>
    <w:rsid w:val="3AB45EB9"/>
    <w:rsid w:val="3B341685"/>
    <w:rsid w:val="3B493B46"/>
    <w:rsid w:val="3B55625B"/>
    <w:rsid w:val="3BE552CD"/>
    <w:rsid w:val="3C2571A9"/>
    <w:rsid w:val="3C8A48F5"/>
    <w:rsid w:val="3C976231"/>
    <w:rsid w:val="3CAA0274"/>
    <w:rsid w:val="3CCF11BF"/>
    <w:rsid w:val="3D1746DC"/>
    <w:rsid w:val="3D237BE8"/>
    <w:rsid w:val="3D2C4D79"/>
    <w:rsid w:val="3D642282"/>
    <w:rsid w:val="3D7B5779"/>
    <w:rsid w:val="3DB15E99"/>
    <w:rsid w:val="3DB46368"/>
    <w:rsid w:val="3DB564A8"/>
    <w:rsid w:val="3DD8680E"/>
    <w:rsid w:val="3DFD5343"/>
    <w:rsid w:val="3E3062DB"/>
    <w:rsid w:val="3E4C5B3D"/>
    <w:rsid w:val="3EEC3365"/>
    <w:rsid w:val="3F231079"/>
    <w:rsid w:val="3F8B2040"/>
    <w:rsid w:val="3F913ED2"/>
    <w:rsid w:val="3FAD78C2"/>
    <w:rsid w:val="3FAE4612"/>
    <w:rsid w:val="3FD372FF"/>
    <w:rsid w:val="3FF47E41"/>
    <w:rsid w:val="402579D8"/>
    <w:rsid w:val="404F4D00"/>
    <w:rsid w:val="40615229"/>
    <w:rsid w:val="407F031C"/>
    <w:rsid w:val="413857CA"/>
    <w:rsid w:val="41516E1E"/>
    <w:rsid w:val="416E5398"/>
    <w:rsid w:val="419E1486"/>
    <w:rsid w:val="41A449A2"/>
    <w:rsid w:val="428C10AE"/>
    <w:rsid w:val="42F5056C"/>
    <w:rsid w:val="42F5489E"/>
    <w:rsid w:val="42FB7CE0"/>
    <w:rsid w:val="431112AD"/>
    <w:rsid w:val="433C6919"/>
    <w:rsid w:val="43561DE5"/>
    <w:rsid w:val="436B4467"/>
    <w:rsid w:val="44406011"/>
    <w:rsid w:val="4495434B"/>
    <w:rsid w:val="449C2C79"/>
    <w:rsid w:val="450736B6"/>
    <w:rsid w:val="4531781E"/>
    <w:rsid w:val="454065FC"/>
    <w:rsid w:val="45532B45"/>
    <w:rsid w:val="46162C84"/>
    <w:rsid w:val="462E0F20"/>
    <w:rsid w:val="46423A7C"/>
    <w:rsid w:val="46B80FA9"/>
    <w:rsid w:val="476A374A"/>
    <w:rsid w:val="47C33349"/>
    <w:rsid w:val="47D61771"/>
    <w:rsid w:val="47E54BDD"/>
    <w:rsid w:val="4809270E"/>
    <w:rsid w:val="48155FBD"/>
    <w:rsid w:val="489578D5"/>
    <w:rsid w:val="48AA03AA"/>
    <w:rsid w:val="48C756C4"/>
    <w:rsid w:val="48D028EE"/>
    <w:rsid w:val="490910CB"/>
    <w:rsid w:val="493E2A81"/>
    <w:rsid w:val="49672FCD"/>
    <w:rsid w:val="497D1E37"/>
    <w:rsid w:val="498616D3"/>
    <w:rsid w:val="4A202CB3"/>
    <w:rsid w:val="4A3579BF"/>
    <w:rsid w:val="4A741CD0"/>
    <w:rsid w:val="4AFF1CE5"/>
    <w:rsid w:val="4B2C2C5C"/>
    <w:rsid w:val="4B542445"/>
    <w:rsid w:val="4BAE6978"/>
    <w:rsid w:val="4C9A610C"/>
    <w:rsid w:val="4CAF036C"/>
    <w:rsid w:val="4CBB7439"/>
    <w:rsid w:val="4CBE1C08"/>
    <w:rsid w:val="4D356131"/>
    <w:rsid w:val="4D635CDE"/>
    <w:rsid w:val="4E4D4049"/>
    <w:rsid w:val="4ED51CA0"/>
    <w:rsid w:val="4EE759E0"/>
    <w:rsid w:val="4EFC0E40"/>
    <w:rsid w:val="4F25706D"/>
    <w:rsid w:val="4F2A7435"/>
    <w:rsid w:val="4F5B18B4"/>
    <w:rsid w:val="4F746E17"/>
    <w:rsid w:val="4F7E527E"/>
    <w:rsid w:val="4FB16A86"/>
    <w:rsid w:val="4FF3580A"/>
    <w:rsid w:val="504D2415"/>
    <w:rsid w:val="50871604"/>
    <w:rsid w:val="51081AD9"/>
    <w:rsid w:val="516C1EC9"/>
    <w:rsid w:val="51A35549"/>
    <w:rsid w:val="51AB4C4B"/>
    <w:rsid w:val="51C96CF8"/>
    <w:rsid w:val="51E16B22"/>
    <w:rsid w:val="51E71584"/>
    <w:rsid w:val="51ED155E"/>
    <w:rsid w:val="520A5BC4"/>
    <w:rsid w:val="526B7EFA"/>
    <w:rsid w:val="52BB432E"/>
    <w:rsid w:val="531A7701"/>
    <w:rsid w:val="535A4036"/>
    <w:rsid w:val="535E0C0C"/>
    <w:rsid w:val="536E4E02"/>
    <w:rsid w:val="53AD2F11"/>
    <w:rsid w:val="543625D7"/>
    <w:rsid w:val="54E30F71"/>
    <w:rsid w:val="55497B99"/>
    <w:rsid w:val="556F44BF"/>
    <w:rsid w:val="55981C1E"/>
    <w:rsid w:val="55FB0F45"/>
    <w:rsid w:val="568024C8"/>
    <w:rsid w:val="568F79BF"/>
    <w:rsid w:val="56F312B5"/>
    <w:rsid w:val="56F54069"/>
    <w:rsid w:val="572B04F0"/>
    <w:rsid w:val="572B4176"/>
    <w:rsid w:val="579B5055"/>
    <w:rsid w:val="580649F2"/>
    <w:rsid w:val="58116225"/>
    <w:rsid w:val="58226B70"/>
    <w:rsid w:val="58835B9A"/>
    <w:rsid w:val="58F23A2C"/>
    <w:rsid w:val="58F33BD7"/>
    <w:rsid w:val="595950A7"/>
    <w:rsid w:val="59A70338"/>
    <w:rsid w:val="59AB446D"/>
    <w:rsid w:val="5A370AF6"/>
    <w:rsid w:val="5A742FCA"/>
    <w:rsid w:val="5A753278"/>
    <w:rsid w:val="5A801F1C"/>
    <w:rsid w:val="5A814F5B"/>
    <w:rsid w:val="5AC64458"/>
    <w:rsid w:val="5AD56AE1"/>
    <w:rsid w:val="5AD663FC"/>
    <w:rsid w:val="5AE30A59"/>
    <w:rsid w:val="5AEA51EC"/>
    <w:rsid w:val="5AF42D65"/>
    <w:rsid w:val="5B721AD3"/>
    <w:rsid w:val="5BAF49EA"/>
    <w:rsid w:val="5C292B02"/>
    <w:rsid w:val="5C661078"/>
    <w:rsid w:val="5C9167F0"/>
    <w:rsid w:val="5D250AE8"/>
    <w:rsid w:val="5D8562D6"/>
    <w:rsid w:val="5E107A6E"/>
    <w:rsid w:val="5E307D51"/>
    <w:rsid w:val="5E324F42"/>
    <w:rsid w:val="5E552402"/>
    <w:rsid w:val="5EA954DA"/>
    <w:rsid w:val="5F0425B3"/>
    <w:rsid w:val="5F165F74"/>
    <w:rsid w:val="5F3E22C2"/>
    <w:rsid w:val="5F7778E1"/>
    <w:rsid w:val="5F8F3F9D"/>
    <w:rsid w:val="5FAD3888"/>
    <w:rsid w:val="5FC17011"/>
    <w:rsid w:val="5FE44BCC"/>
    <w:rsid w:val="5FF22C07"/>
    <w:rsid w:val="601278AE"/>
    <w:rsid w:val="60372061"/>
    <w:rsid w:val="607F216A"/>
    <w:rsid w:val="611A7662"/>
    <w:rsid w:val="614B06AC"/>
    <w:rsid w:val="617C14DD"/>
    <w:rsid w:val="61A37640"/>
    <w:rsid w:val="61D62E95"/>
    <w:rsid w:val="61D8581E"/>
    <w:rsid w:val="622218C3"/>
    <w:rsid w:val="6239511B"/>
    <w:rsid w:val="62A12B8A"/>
    <w:rsid w:val="6308246A"/>
    <w:rsid w:val="6308767C"/>
    <w:rsid w:val="63287634"/>
    <w:rsid w:val="63A41999"/>
    <w:rsid w:val="63F573C3"/>
    <w:rsid w:val="6429437B"/>
    <w:rsid w:val="6487251B"/>
    <w:rsid w:val="649B2E53"/>
    <w:rsid w:val="64BB5806"/>
    <w:rsid w:val="64FB67B9"/>
    <w:rsid w:val="65311AE8"/>
    <w:rsid w:val="65372FB5"/>
    <w:rsid w:val="6579788B"/>
    <w:rsid w:val="65A56F80"/>
    <w:rsid w:val="65D200C7"/>
    <w:rsid w:val="65D31262"/>
    <w:rsid w:val="65DE71F4"/>
    <w:rsid w:val="65E7615B"/>
    <w:rsid w:val="65FB3789"/>
    <w:rsid w:val="663473EF"/>
    <w:rsid w:val="669B2A9B"/>
    <w:rsid w:val="673B62F2"/>
    <w:rsid w:val="674F16A7"/>
    <w:rsid w:val="6767101F"/>
    <w:rsid w:val="67AE1660"/>
    <w:rsid w:val="67B71557"/>
    <w:rsid w:val="682157AF"/>
    <w:rsid w:val="683E687F"/>
    <w:rsid w:val="68430FB9"/>
    <w:rsid w:val="68C50D5C"/>
    <w:rsid w:val="68FF3ACA"/>
    <w:rsid w:val="6900055E"/>
    <w:rsid w:val="69223AE7"/>
    <w:rsid w:val="69251ED4"/>
    <w:rsid w:val="69326652"/>
    <w:rsid w:val="696E1979"/>
    <w:rsid w:val="69B14B4E"/>
    <w:rsid w:val="69C175E5"/>
    <w:rsid w:val="6A1221A1"/>
    <w:rsid w:val="6A233920"/>
    <w:rsid w:val="6A8B6B18"/>
    <w:rsid w:val="6A9352A2"/>
    <w:rsid w:val="6A953684"/>
    <w:rsid w:val="6AA338E6"/>
    <w:rsid w:val="6B654FB0"/>
    <w:rsid w:val="6BAF6941"/>
    <w:rsid w:val="6BD01D03"/>
    <w:rsid w:val="6BF80A5A"/>
    <w:rsid w:val="6C24259C"/>
    <w:rsid w:val="6C3927EF"/>
    <w:rsid w:val="6C4A64E5"/>
    <w:rsid w:val="6C4D6B9D"/>
    <w:rsid w:val="6CFA7874"/>
    <w:rsid w:val="6D311EBE"/>
    <w:rsid w:val="6DBE17E3"/>
    <w:rsid w:val="6E160574"/>
    <w:rsid w:val="6F0C0599"/>
    <w:rsid w:val="6F1206AD"/>
    <w:rsid w:val="6F1A7E1A"/>
    <w:rsid w:val="6FF85E6E"/>
    <w:rsid w:val="7053650E"/>
    <w:rsid w:val="709205EC"/>
    <w:rsid w:val="70A4763A"/>
    <w:rsid w:val="70D45314"/>
    <w:rsid w:val="716C5B21"/>
    <w:rsid w:val="717B1403"/>
    <w:rsid w:val="71857F9E"/>
    <w:rsid w:val="71976BC4"/>
    <w:rsid w:val="71D842FA"/>
    <w:rsid w:val="71D84DC3"/>
    <w:rsid w:val="71F00255"/>
    <w:rsid w:val="721434B7"/>
    <w:rsid w:val="72593DC4"/>
    <w:rsid w:val="725F33BF"/>
    <w:rsid w:val="72B60545"/>
    <w:rsid w:val="72C251F0"/>
    <w:rsid w:val="72D87B33"/>
    <w:rsid w:val="72DD5B9E"/>
    <w:rsid w:val="72ED12FB"/>
    <w:rsid w:val="73267EA7"/>
    <w:rsid w:val="7366202F"/>
    <w:rsid w:val="73676484"/>
    <w:rsid w:val="737A786F"/>
    <w:rsid w:val="740D3F11"/>
    <w:rsid w:val="741F14EC"/>
    <w:rsid w:val="743028E4"/>
    <w:rsid w:val="744A7569"/>
    <w:rsid w:val="745C550C"/>
    <w:rsid w:val="7467244C"/>
    <w:rsid w:val="74CF4825"/>
    <w:rsid w:val="74D46B08"/>
    <w:rsid w:val="75184790"/>
    <w:rsid w:val="75493227"/>
    <w:rsid w:val="75577D7F"/>
    <w:rsid w:val="755D5C19"/>
    <w:rsid w:val="757022FB"/>
    <w:rsid w:val="75F71F3B"/>
    <w:rsid w:val="76064A5A"/>
    <w:rsid w:val="76204E38"/>
    <w:rsid w:val="766D57C1"/>
    <w:rsid w:val="769714F7"/>
    <w:rsid w:val="76E83D9B"/>
    <w:rsid w:val="76F562AA"/>
    <w:rsid w:val="77827BF3"/>
    <w:rsid w:val="782C4DB8"/>
    <w:rsid w:val="785232FC"/>
    <w:rsid w:val="788F38A7"/>
    <w:rsid w:val="79017261"/>
    <w:rsid w:val="796608A4"/>
    <w:rsid w:val="79766F27"/>
    <w:rsid w:val="79C443C6"/>
    <w:rsid w:val="79CA7D83"/>
    <w:rsid w:val="7A814BA2"/>
    <w:rsid w:val="7AAC5343"/>
    <w:rsid w:val="7B5875C3"/>
    <w:rsid w:val="7B9467D8"/>
    <w:rsid w:val="7C230E82"/>
    <w:rsid w:val="7C482A8C"/>
    <w:rsid w:val="7C5C2009"/>
    <w:rsid w:val="7C6C74B0"/>
    <w:rsid w:val="7C6D71FD"/>
    <w:rsid w:val="7C7E2620"/>
    <w:rsid w:val="7CA136B3"/>
    <w:rsid w:val="7CCE3276"/>
    <w:rsid w:val="7CDD6CC4"/>
    <w:rsid w:val="7D374E9E"/>
    <w:rsid w:val="7D6A6A0C"/>
    <w:rsid w:val="7D792510"/>
    <w:rsid w:val="7D82688C"/>
    <w:rsid w:val="7DB41EC3"/>
    <w:rsid w:val="7DC06D11"/>
    <w:rsid w:val="7E1376A8"/>
    <w:rsid w:val="7E492AFC"/>
    <w:rsid w:val="7E6C0EBB"/>
    <w:rsid w:val="7E930BA3"/>
    <w:rsid w:val="7EA5492D"/>
    <w:rsid w:val="7EC44D4E"/>
    <w:rsid w:val="7EF204C3"/>
    <w:rsid w:val="7F37013C"/>
    <w:rsid w:val="7F5F1232"/>
    <w:rsid w:val="7F755C75"/>
    <w:rsid w:val="7F782493"/>
    <w:rsid w:val="7FA119C3"/>
    <w:rsid w:val="7FA3150B"/>
    <w:rsid w:val="7FEB5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2020-08-18T02:52:00Z</dcterms:created>
  <dc:creator>de'l'l</dc:creator>
  <cp:lastModifiedBy>天空中的神话</cp:lastModifiedBy>
  <dcterms:modified xsi:type="dcterms:W3CDTF">2020-09-28T01:37:44Z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