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sz w:val="32"/>
          <w:szCs w:val="32"/>
        </w:rPr>
      </w:pPr>
      <w:bookmarkStart w:id="46" w:name="_GoBack"/>
      <w:r>
        <w:rPr>
          <w:rFonts w:hint="eastAsia" w:ascii="宋体" w:hAnsi="宋体" w:eastAsia="宋体" w:cs="宋体"/>
          <w:b/>
          <w:sz w:val="36"/>
          <w:szCs w:val="36"/>
        </w:rPr>
        <w:t>寻甸回族彝族自治县</w:t>
      </w:r>
      <w:r>
        <w:rPr>
          <w:rFonts w:hint="eastAsia" w:ascii="宋体" w:hAnsi="宋体" w:eastAsia="宋体" w:cs="宋体"/>
          <w:b/>
          <w:sz w:val="36"/>
          <w:szCs w:val="36"/>
          <w:lang w:eastAsia="zh-CN"/>
        </w:rPr>
        <w:t>城市管理综合行政执法大队倘甸中队</w:t>
      </w:r>
      <w:r>
        <w:rPr>
          <w:rFonts w:hint="eastAsia" w:ascii="宋体" w:hAnsi="宋体" w:eastAsia="宋体" w:cs="宋体"/>
          <w:b/>
          <w:sz w:val="36"/>
          <w:szCs w:val="36"/>
        </w:rPr>
        <w:t>2019年城乡社区环境卫生项目绩效再评价报告</w:t>
      </w:r>
    </w:p>
    <w:p>
      <w:pPr>
        <w:spacing w:line="360" w:lineRule="auto"/>
        <w:jc w:val="center"/>
        <w:rPr>
          <w:rFonts w:cs="宋体" w:asciiTheme="minorEastAsia" w:hAnsiTheme="minorEastAsia"/>
          <w:spacing w:val="-20"/>
          <w:sz w:val="24"/>
          <w:szCs w:val="24"/>
        </w:rPr>
      </w:pPr>
      <w:bookmarkStart w:id="0" w:name="_Toc502134848"/>
      <w:r>
        <w:rPr>
          <w:rFonts w:hint="eastAsia" w:cs="宋体" w:asciiTheme="minorEastAsia" w:hAnsiTheme="minorEastAsia"/>
          <w:spacing w:val="-20"/>
          <w:sz w:val="24"/>
          <w:szCs w:val="24"/>
        </w:rPr>
        <w:t>中兴财光华（云）审专字(2020)第      号</w:t>
      </w:r>
    </w:p>
    <w:p>
      <w:pPr>
        <w:spacing w:line="360" w:lineRule="auto"/>
        <w:rPr>
          <w:rFonts w:ascii="宋体" w:hAnsi="宋体" w:eastAsia="宋体" w:cs="宋体"/>
          <w:b/>
          <w:sz w:val="28"/>
          <w:szCs w:val="28"/>
        </w:rPr>
      </w:pPr>
      <w:r>
        <w:rPr>
          <w:rFonts w:hint="eastAsia" w:ascii="宋体" w:hAnsi="宋体" w:eastAsia="宋体" w:cs="宋体"/>
          <w:b/>
          <w:sz w:val="28"/>
          <w:szCs w:val="28"/>
        </w:rPr>
        <w:t>寻甸回族彝族自治县财政局：</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寻甸回族彝族自治县城市管理综合行政执法大队倘甸中队2019年度城乡社区环境卫生项目支出的管理、资金使用及效益情况进行了绩效再评价。寻甸回族彝族自治县城市管理综合行政执法大队倘甸中队（以下简称“倘甸中队”）对所提供评价资料的真实性、完整性负责。现将再评价情况报告如下：</w:t>
      </w:r>
    </w:p>
    <w:p>
      <w:pPr>
        <w:spacing w:line="360" w:lineRule="auto"/>
        <w:ind w:firstLine="562" w:firstLineChars="200"/>
        <w:rPr>
          <w:rFonts w:ascii="宋体" w:hAnsi="宋体" w:eastAsia="宋体" w:cs="宋体"/>
          <w:sz w:val="28"/>
          <w:szCs w:val="28"/>
        </w:rPr>
      </w:pPr>
      <w:r>
        <w:rPr>
          <w:rFonts w:hint="eastAsia" w:ascii="宋体" w:hAnsi="宋体" w:eastAsia="宋体" w:cs="宋体"/>
          <w:b/>
          <w:bCs/>
          <w:sz w:val="28"/>
          <w:szCs w:val="28"/>
        </w:rPr>
        <w:t>一、基本情况</w:t>
      </w:r>
      <w:bookmarkEnd w:id="0"/>
      <w:r>
        <w:rPr>
          <w:rFonts w:hint="eastAsia" w:ascii="宋体" w:hAnsi="宋体" w:eastAsia="宋体" w:cs="宋体"/>
          <w:sz w:val="28"/>
          <w:szCs w:val="28"/>
        </w:rPr>
        <w:t xml:space="preserve">    </w:t>
      </w:r>
    </w:p>
    <w:p>
      <w:pPr>
        <w:spacing w:line="360" w:lineRule="auto"/>
        <w:ind w:firstLine="562" w:firstLineChars="200"/>
        <w:rPr>
          <w:rFonts w:ascii="宋体" w:hAnsi="宋体" w:eastAsia="宋体" w:cs="宋体"/>
          <w:b/>
          <w:bCs/>
          <w:sz w:val="28"/>
          <w:szCs w:val="28"/>
        </w:rPr>
      </w:pPr>
      <w:bookmarkStart w:id="1" w:name="_Toc502134849"/>
      <w:r>
        <w:rPr>
          <w:rFonts w:hint="eastAsia" w:ascii="宋体" w:hAnsi="宋体" w:eastAsia="宋体" w:cs="宋体"/>
          <w:b/>
          <w:bCs/>
          <w:sz w:val="28"/>
          <w:szCs w:val="28"/>
        </w:rPr>
        <w:t>（一）</w:t>
      </w:r>
      <w:bookmarkEnd w:id="1"/>
      <w:r>
        <w:rPr>
          <w:rFonts w:hint="eastAsia" w:ascii="宋体" w:hAnsi="宋体" w:eastAsia="宋体" w:cs="宋体"/>
          <w:b/>
          <w:bCs/>
          <w:sz w:val="28"/>
          <w:szCs w:val="28"/>
        </w:rPr>
        <w:t>项目概况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1、立项背景及目的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城乡社区环境卫生项目的实施，可以改善生态环境，美化生活环境，增进人民身心健康。2014年，国务院近日印发了《关于进一步加强新时期爱国卫生工作的意见》（国发［2014］66号），文件要求，以农村垃圾污水处理和城市环境卫生薄弱地段整治为重点，持续深入开展整洁行动……落实清扫保洁制度，组织开展义务劳动，清理乱堆乱放，拆除违章建筑，疏浚坑塘河道，营造清洁有序、健康宜居的生产生活环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云南省人民政府办公厅《关于加快推进全省城乡绿化工作的实施意见》（云政办函〔2016〕68号）第二条第三款规定“加快城镇绿化，打造宜居城镇。要从实际出发，根据地域特色，编制城乡绿化及生态建设保护规划，加强城镇周边的林（草）植被保护，重点抓好城镇周边、城乡结合部、集镇的绿化…….以打造森林城市、园林城市、绿化模范城市为契机，创造良好的人居环境，构建绿色和谐城乡”。</w:t>
      </w:r>
      <w:bookmarkStart w:id="2" w:name="_Toc502134850"/>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2、项目立项依据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国务院《关于加强城市绿化建设的通知》(国发〔2001〕20号)第三条第三款规定“建立稳定的、多元化的资金渠道。城市绿化建设资金是城市公共财政支出的重要组成部分，要坚持以政府投入为主的方针。城市各级财政应安排必要的资金保证城市绿化工作的需要，尤其要加大城市绿化隔离林带和大型公园绿地建设的投入，特别是要增加管理维护资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云南省人民政府《关于进一步加强新时期爱国卫生工作的意见》（云政发〔2001〕77号）文件第四条第一款规定“……各级财政要统筹安排项目资金,为爱国卫生事业发展提供必要的经费保障”。</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（二）项目资金安排情况</w:t>
      </w:r>
      <w:bookmarkEnd w:id="2"/>
    </w:p>
    <w:p>
      <w:pPr>
        <w:spacing w:line="360" w:lineRule="auto"/>
        <w:ind w:firstLine="560" w:firstLineChars="200"/>
        <w:rPr>
          <w:rFonts w:ascii="宋体" w:hAnsi="宋体" w:eastAsia="宋体" w:cs="宋体"/>
          <w:sz w:val="28"/>
          <w:szCs w:val="28"/>
        </w:rPr>
      </w:pPr>
      <w:r>
        <w:rPr>
          <w:rFonts w:hint="eastAsia" w:cs="仿宋_GB2312" w:asciiTheme="minorEastAsia" w:hAnsiTheme="minorEastAsia"/>
          <w:sz w:val="28"/>
          <w:szCs w:val="28"/>
        </w:rPr>
        <w:t>截止评价报告日，</w:t>
      </w:r>
      <w:r>
        <w:rPr>
          <w:rFonts w:hint="eastAsia" w:ascii="宋体" w:hAnsi="宋体" w:eastAsia="宋体" w:cs="宋体"/>
          <w:sz w:val="28"/>
          <w:szCs w:val="28"/>
        </w:rPr>
        <w:t>倘甸中队未提供预算批复等相关材料，根据提供的《寻甸县城市管理综合执法大队倘甸中队2019年项目支出绩效自评报告》，倘甸中队2019年县级财政预算安排城乡社区环境卫生项目专项经费1,000,000.00元。</w:t>
      </w:r>
      <w:r>
        <w:rPr>
          <w:rFonts w:hint="eastAsia" w:cs="仿宋_GB2312" w:asciiTheme="minorEastAsia" w:hAnsiTheme="minorEastAsia"/>
          <w:sz w:val="28"/>
          <w:szCs w:val="28"/>
        </w:rPr>
        <w:t>根据提供的项目支出台账，截至2019年12月31日，共计支付相关费用164,623.30元，项目结余资金835,376.70元。</w:t>
      </w:r>
    </w:p>
    <w:p>
      <w:pPr>
        <w:spacing w:line="360" w:lineRule="auto"/>
        <w:ind w:firstLine="562" w:firstLineChars="200"/>
        <w:rPr>
          <w:rFonts w:ascii="宋体" w:hAnsi="宋体" w:eastAsia="宋体" w:cs="宋体"/>
          <w:b/>
          <w:bCs/>
          <w:sz w:val="28"/>
          <w:szCs w:val="28"/>
        </w:rPr>
      </w:pPr>
      <w:bookmarkStart w:id="3" w:name="_Toc502134851"/>
      <w:r>
        <w:rPr>
          <w:rFonts w:hint="eastAsia" w:ascii="宋体" w:hAnsi="宋体" w:eastAsia="宋体" w:cs="宋体"/>
          <w:b/>
          <w:bCs/>
          <w:sz w:val="28"/>
          <w:szCs w:val="28"/>
        </w:rPr>
        <w:t>（三）项目实施内容</w:t>
      </w:r>
      <w:bookmarkEnd w:id="3"/>
    </w:p>
    <w:p>
      <w:pPr>
        <w:spacing w:line="360" w:lineRule="auto"/>
        <w:ind w:firstLine="560" w:firstLineChars="200"/>
        <w:rPr>
          <w:rFonts w:ascii="宋体" w:hAnsi="宋体" w:eastAsia="宋体" w:cs="宋体"/>
          <w:sz w:val="28"/>
          <w:szCs w:val="28"/>
        </w:rPr>
      </w:pPr>
      <w:bookmarkStart w:id="4" w:name="_Toc502134852"/>
      <w:r>
        <w:rPr>
          <w:rFonts w:hint="eastAsia" w:ascii="宋体" w:hAnsi="宋体" w:eastAsia="宋体" w:cs="宋体"/>
          <w:sz w:val="28"/>
          <w:szCs w:val="28"/>
        </w:rPr>
        <w:t>根据倘甸中队的重大项目支出绩效目标申报表，倘甸城乡社区环境卫生项目实施的主要内容：一是违法建筑的拆除等市政管理；二是绿化道路管培养；三是倘甸镇保洁、垃圾清运。</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（四）项目绩效目标设定情况</w:t>
      </w:r>
      <w:bookmarkEnd w:id="4"/>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寻甸县城市管理综合执法大队倘甸中队2019年度城乡社区环境卫生项目预算申报时设定的绩效目标是：</w:t>
      </w:r>
      <w:bookmarkStart w:id="5" w:name="_Toc502134853"/>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提高倘甸镇城镇环境卫生管理水平，提升优化人居环境，加快建成“乡风文明，村容整洁，宜居宜业”的新倘甸。</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倘甸镇项目未设定项目中期目标，倘甸镇项目根据上述年度绩效目标设定了年度绩效指标具体情况如下：</w:t>
      </w:r>
    </w:p>
    <w:tbl>
      <w:tblPr>
        <w:tblStyle w:val="6"/>
        <w:tblW w:w="9781" w:type="dxa"/>
        <w:tblInd w:w="-459" w:type="dxa"/>
        <w:tblLayout w:type="fixed"/>
        <w:tblCellMar>
          <w:top w:w="0" w:type="dxa"/>
          <w:left w:w="108" w:type="dxa"/>
          <w:bottom w:w="0" w:type="dxa"/>
          <w:right w:w="108" w:type="dxa"/>
        </w:tblCellMar>
      </w:tblPr>
      <w:tblGrid>
        <w:gridCol w:w="851"/>
        <w:gridCol w:w="1093"/>
        <w:gridCol w:w="1375"/>
        <w:gridCol w:w="5186"/>
        <w:gridCol w:w="1276"/>
      </w:tblGrid>
      <w:tr>
        <w:tblPrEx>
          <w:tblLayout w:type="fixed"/>
          <w:tblCellMar>
            <w:top w:w="0" w:type="dxa"/>
            <w:left w:w="108" w:type="dxa"/>
            <w:bottom w:w="0" w:type="dxa"/>
            <w:right w:w="108" w:type="dxa"/>
          </w:tblCellMar>
        </w:tblPrEx>
        <w:trPr>
          <w:trHeight w:val="730" w:hRule="atLeast"/>
        </w:trPr>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绩效指标</w:t>
            </w:r>
          </w:p>
        </w:tc>
        <w:tc>
          <w:tcPr>
            <w:tcW w:w="1093"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一级指标</w:t>
            </w:r>
          </w:p>
        </w:tc>
        <w:tc>
          <w:tcPr>
            <w:tcW w:w="1375"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二级指标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三级指标</w:t>
            </w:r>
          </w:p>
        </w:tc>
        <w:tc>
          <w:tcPr>
            <w:tcW w:w="127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指标值</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0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产出指标</w:t>
            </w:r>
          </w:p>
        </w:tc>
        <w:tc>
          <w:tcPr>
            <w:tcW w:w="137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数量指标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城市绿化道路管养</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13条</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拆除辖区内违法建筑（平方米）</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63368㎡</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管控无序建房</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50起</w:t>
            </w:r>
          </w:p>
        </w:tc>
      </w:tr>
      <w:tr>
        <w:tblPrEx>
          <w:tblLayout w:type="fixed"/>
          <w:tblCellMar>
            <w:top w:w="0" w:type="dxa"/>
            <w:left w:w="108" w:type="dxa"/>
            <w:bottom w:w="0" w:type="dxa"/>
            <w:right w:w="108" w:type="dxa"/>
          </w:tblCellMar>
        </w:tblPrEx>
        <w:trPr>
          <w:trHeight w:val="360"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质量指标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有效防治绿化树遭遇病虫害，保障绿化树成活率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≥95%</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人居环境舒适度</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≥90%</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绿化树剪修美化及防寒防冻处理覆盖率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≥90%</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区域清洁覆盖率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≥95%</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时效指标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完成及时率</w:t>
            </w:r>
          </w:p>
        </w:tc>
        <w:tc>
          <w:tcPr>
            <w:tcW w:w="1276" w:type="dxa"/>
            <w:tcBorders>
              <w:top w:val="nil"/>
              <w:left w:val="nil"/>
              <w:bottom w:val="single" w:color="000000" w:sz="4" w:space="0"/>
              <w:right w:val="single" w:color="000000" w:sz="4" w:space="0"/>
            </w:tcBorders>
            <w:shd w:val="clear" w:color="auto" w:fill="auto"/>
            <w:noWrap/>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100%</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成本指标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投入人工工时费（元/人/次）</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 xml:space="preserve">2400 </w:t>
            </w:r>
          </w:p>
        </w:tc>
      </w:tr>
      <w:tr>
        <w:tblPrEx>
          <w:tblLayout w:type="fixed"/>
          <w:tblCellMar>
            <w:top w:w="0" w:type="dxa"/>
            <w:left w:w="108" w:type="dxa"/>
            <w:bottom w:w="0" w:type="dxa"/>
            <w:right w:w="108" w:type="dxa"/>
          </w:tblCellMar>
        </w:tblPrEx>
        <w:trPr>
          <w:trHeight w:val="327"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投入撒水浇灌车辆(车辆保险及维修、万元/2辆)</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 xml:space="preserve">3.5 </w:t>
            </w:r>
          </w:p>
        </w:tc>
      </w:tr>
      <w:tr>
        <w:tblPrEx>
          <w:tblLayout w:type="fixed"/>
          <w:tblCellMar>
            <w:top w:w="0" w:type="dxa"/>
            <w:left w:w="108" w:type="dxa"/>
            <w:bottom w:w="0" w:type="dxa"/>
            <w:right w:w="108" w:type="dxa"/>
          </w:tblCellMar>
        </w:tblPrEx>
        <w:trPr>
          <w:trHeight w:val="754"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效益指标</w:t>
            </w:r>
          </w:p>
        </w:tc>
        <w:tc>
          <w:tcPr>
            <w:tcW w:w="1375"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经济效益指标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项目实施后，对增加相关人员的收入有一定促进作用</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显著</w:t>
            </w:r>
          </w:p>
        </w:tc>
      </w:tr>
      <w:tr>
        <w:tblPrEx>
          <w:tblLayout w:type="fixed"/>
          <w:tblCellMar>
            <w:top w:w="0" w:type="dxa"/>
            <w:left w:w="108" w:type="dxa"/>
            <w:bottom w:w="0" w:type="dxa"/>
            <w:right w:w="108" w:type="dxa"/>
          </w:tblCellMar>
        </w:tblPrEx>
        <w:trPr>
          <w:trHeight w:val="673"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tcBorders>
              <w:top w:val="nil"/>
              <w:left w:val="single" w:color="000000" w:sz="4" w:space="0"/>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社会效益指标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美化城市，为市民提供良好的休闲场所有一定促进作用</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显著</w:t>
            </w:r>
          </w:p>
        </w:tc>
      </w:tr>
      <w:tr>
        <w:tblPrEx>
          <w:tblLayout w:type="fixed"/>
          <w:tblCellMar>
            <w:top w:w="0" w:type="dxa"/>
            <w:left w:w="108" w:type="dxa"/>
            <w:bottom w:w="0" w:type="dxa"/>
            <w:right w:w="108" w:type="dxa"/>
          </w:tblCellMar>
        </w:tblPrEx>
        <w:trPr>
          <w:trHeight w:val="711"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生态效益指标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城市绿化覆盖率</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≥88%</w:t>
            </w:r>
          </w:p>
        </w:tc>
      </w:tr>
      <w:tr>
        <w:tblPrEx>
          <w:tblLayout w:type="fixed"/>
          <w:tblCellMar>
            <w:top w:w="0" w:type="dxa"/>
            <w:left w:w="108" w:type="dxa"/>
            <w:bottom w:w="0" w:type="dxa"/>
            <w:right w:w="108" w:type="dxa"/>
          </w:tblCellMar>
        </w:tblPrEx>
        <w:trPr>
          <w:trHeight w:val="985"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vMerge w:val="continue"/>
            <w:tcBorders>
              <w:top w:val="nil"/>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sz w:val="18"/>
                <w:szCs w:val="18"/>
              </w:rPr>
            </w:pPr>
          </w:p>
        </w:tc>
        <w:tc>
          <w:tcPr>
            <w:tcW w:w="1375"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可持续影响指标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持续改善城市人居环境，提高城市绿化利用率，提高城镇人口承载力</w:t>
            </w:r>
          </w:p>
        </w:tc>
        <w:tc>
          <w:tcPr>
            <w:tcW w:w="1276" w:type="dxa"/>
            <w:tcBorders>
              <w:top w:val="nil"/>
              <w:left w:val="nil"/>
              <w:bottom w:val="single" w:color="000000" w:sz="4" w:space="0"/>
              <w:right w:val="single" w:color="000000" w:sz="4" w:space="0"/>
            </w:tcBorders>
            <w:shd w:val="clear" w:color="auto" w:fill="auto"/>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100%</w:t>
            </w:r>
          </w:p>
        </w:tc>
      </w:tr>
      <w:tr>
        <w:tblPrEx>
          <w:tblLayout w:type="fixed"/>
          <w:tblCellMar>
            <w:top w:w="0" w:type="dxa"/>
            <w:left w:w="108" w:type="dxa"/>
            <w:bottom w:w="0" w:type="dxa"/>
            <w:right w:w="108" w:type="dxa"/>
          </w:tblCellMar>
        </w:tblPrEx>
        <w:trPr>
          <w:trHeight w:val="420" w:hRule="atLeast"/>
        </w:trPr>
        <w:tc>
          <w:tcPr>
            <w:tcW w:w="851"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left"/>
              <w:rPr>
                <w:rFonts w:ascii="宋体" w:hAnsi="宋体" w:eastAsia="宋体" w:cs="宋体"/>
                <w:kern w:val="0"/>
                <w:sz w:val="18"/>
                <w:szCs w:val="18"/>
              </w:rPr>
            </w:pPr>
          </w:p>
        </w:tc>
        <w:tc>
          <w:tcPr>
            <w:tcW w:w="1093"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满意度指标</w:t>
            </w:r>
          </w:p>
        </w:tc>
        <w:tc>
          <w:tcPr>
            <w:tcW w:w="1375" w:type="dxa"/>
            <w:tcBorders>
              <w:top w:val="nil"/>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服务对象满意度指标</w:t>
            </w:r>
          </w:p>
        </w:tc>
        <w:tc>
          <w:tcPr>
            <w:tcW w:w="5186" w:type="dxa"/>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jc w:val="left"/>
              <w:rPr>
                <w:rFonts w:ascii="宋体" w:hAnsi="宋体" w:eastAsia="宋体" w:cs="宋体"/>
                <w:sz w:val="18"/>
                <w:szCs w:val="18"/>
              </w:rPr>
            </w:pPr>
            <w:r>
              <w:rPr>
                <w:rFonts w:hint="eastAsia" w:ascii="宋体" w:hAnsi="宋体" w:eastAsia="宋体" w:cs="宋体"/>
                <w:sz w:val="18"/>
                <w:szCs w:val="18"/>
              </w:rPr>
              <w:t>受益对象满意度</w:t>
            </w:r>
          </w:p>
        </w:tc>
        <w:tc>
          <w:tcPr>
            <w:tcW w:w="1276" w:type="dxa"/>
            <w:tcBorders>
              <w:top w:val="nil"/>
              <w:left w:val="nil"/>
              <w:bottom w:val="single" w:color="000000" w:sz="4" w:space="0"/>
              <w:right w:val="single" w:color="000000" w:sz="4" w:space="0"/>
            </w:tcBorders>
            <w:shd w:val="clear" w:color="auto" w:fill="auto"/>
            <w:noWrap/>
            <w:vAlign w:val="center"/>
          </w:tcPr>
          <w:p>
            <w:pPr>
              <w:widowControl/>
              <w:spacing w:line="360" w:lineRule="auto"/>
              <w:jc w:val="center"/>
              <w:rPr>
                <w:rFonts w:ascii="宋体" w:hAnsi="宋体" w:eastAsia="宋体" w:cs="宋体"/>
                <w:sz w:val="18"/>
                <w:szCs w:val="18"/>
              </w:rPr>
            </w:pPr>
            <w:r>
              <w:rPr>
                <w:rFonts w:hint="eastAsia" w:ascii="宋体" w:hAnsi="宋体" w:eastAsia="宋体" w:cs="宋体"/>
                <w:sz w:val="18"/>
                <w:szCs w:val="18"/>
              </w:rPr>
              <w:t>99%</w:t>
            </w:r>
          </w:p>
        </w:tc>
      </w:tr>
    </w:tbl>
    <w:p>
      <w:pPr>
        <w:spacing w:line="360" w:lineRule="auto"/>
        <w:ind w:firstLine="560" w:firstLineChars="200"/>
        <w:rPr>
          <w:rFonts w:ascii="宋体" w:hAnsi="宋体" w:eastAsia="宋体" w:cs="宋体"/>
          <w:b/>
          <w:bCs/>
          <w:sz w:val="28"/>
          <w:szCs w:val="28"/>
        </w:rPr>
      </w:pPr>
      <w:r>
        <w:rPr>
          <w:rFonts w:hint="eastAsia" w:ascii="宋体" w:hAnsi="宋体" w:eastAsia="宋体" w:cs="宋体"/>
          <w:sz w:val="28"/>
          <w:szCs w:val="28"/>
        </w:rPr>
        <w:t>绩效再评价小组根据倘甸中队提供的绩效目标申报表，并结合本项目设定的背景、目的及依据等，绩效再评价将采用本项目预算申报时设定的绩效目标、绩效指标及指标值。</w:t>
      </w:r>
    </w:p>
    <w:p>
      <w:pPr>
        <w:pStyle w:val="2"/>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（五）组织管理情况</w:t>
      </w:r>
      <w:bookmarkEnd w:id="5"/>
    </w:p>
    <w:p>
      <w:pPr>
        <w:spacing w:line="360" w:lineRule="auto"/>
        <w:ind w:firstLine="560" w:firstLineChars="200"/>
        <w:rPr>
          <w:rFonts w:ascii="宋体" w:hAnsi="宋体" w:eastAsia="宋体" w:cs="宋体"/>
          <w:color w:val="000000" w:themeColor="text1"/>
          <w:sz w:val="28"/>
          <w:szCs w:val="28"/>
        </w:rPr>
      </w:pPr>
      <w:bookmarkStart w:id="6" w:name="_Toc502134854"/>
      <w:r>
        <w:rPr>
          <w:rFonts w:hint="eastAsia" w:ascii="宋体" w:hAnsi="宋体" w:eastAsia="宋体" w:cs="宋体"/>
          <w:color w:val="000000" w:themeColor="text1"/>
          <w:sz w:val="28"/>
          <w:szCs w:val="28"/>
        </w:rPr>
        <w:t>根据属地管理原则，寻甸县城市管理局与倘甸镇政府实行双重管理。寻甸县城市管理局负责业务指导、监督，起草相关规范性文件；编制行业中长期发展规划和年度计划；拟订城乡社区环境卫生计划并组织实施；寻甸县城管局综合执法大队倘甸中队负责项目的具体实施；倘甸镇财政所负责资金的管理、核算。</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二、绩效自评情况</w:t>
      </w:r>
      <w:bookmarkEnd w:id="6"/>
    </w:p>
    <w:p>
      <w:pPr>
        <w:spacing w:line="360" w:lineRule="auto"/>
        <w:ind w:firstLine="562" w:firstLineChars="200"/>
        <w:rPr>
          <w:rFonts w:ascii="宋体" w:hAnsi="宋体" w:eastAsia="宋体" w:cs="宋体"/>
          <w:b/>
          <w:bCs/>
          <w:sz w:val="28"/>
          <w:szCs w:val="28"/>
        </w:rPr>
      </w:pPr>
      <w:bookmarkStart w:id="7" w:name="_Toc502134855"/>
      <w:bookmarkStart w:id="8" w:name="_Toc498009772"/>
      <w:r>
        <w:rPr>
          <w:rFonts w:hint="eastAsia" w:ascii="宋体" w:hAnsi="宋体" w:eastAsia="宋体" w:cs="宋体"/>
          <w:b/>
          <w:bCs/>
          <w:sz w:val="28"/>
          <w:szCs w:val="28"/>
        </w:rPr>
        <w:t>（一）绩效自评概述</w:t>
      </w:r>
      <w:bookmarkEnd w:id="7"/>
      <w:bookmarkEnd w:id="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回族彝族自治县财政局关于对2019年度部门整体支出和重大项目支出进行再评价的通知》（寻财绩〔2020〕6号）等文件的规定，仁德街道办、倘甸镇人民政府分别成立了2019年部门整体财政支出绩效自评组，并于2020年5月分别形成了《城乡社区环境卫生项目支出绩效自评报告》。</w:t>
      </w:r>
    </w:p>
    <w:p>
      <w:pPr>
        <w:spacing w:line="360" w:lineRule="auto"/>
        <w:ind w:firstLine="562" w:firstLineChars="200"/>
        <w:rPr>
          <w:rFonts w:ascii="宋体" w:hAnsi="宋体" w:eastAsia="宋体" w:cs="宋体"/>
          <w:b/>
          <w:bCs/>
          <w:sz w:val="28"/>
          <w:szCs w:val="28"/>
        </w:rPr>
      </w:pPr>
      <w:bookmarkStart w:id="9" w:name="_Toc498009773"/>
      <w:bookmarkStart w:id="10" w:name="_Toc502134856"/>
      <w:r>
        <w:rPr>
          <w:rFonts w:hint="eastAsia" w:ascii="宋体" w:hAnsi="宋体" w:eastAsia="宋体" w:cs="宋体"/>
          <w:b/>
          <w:bCs/>
          <w:sz w:val="28"/>
          <w:szCs w:val="28"/>
        </w:rPr>
        <w:t>（二）绩效自评结论</w:t>
      </w:r>
      <w:bookmarkEnd w:id="9"/>
      <w:bookmarkEnd w:id="10"/>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根据寻甸县城管局综合执法大队倘甸中队提供的城乡社区环境卫生项目支出绩效自评报告，倘甸镇项目2019年城乡社区环境卫生项目支出的管理、使用及效益情况绩效自评综合得分为89.00分，自评结果为“良”</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项目自评报告项目提出以下问题：1、项目风险控制还需要完善；2、受益对象满意度不高；3、在项目资金使用上还需要完善风险控制环节。</w:t>
      </w:r>
    </w:p>
    <w:p>
      <w:pPr>
        <w:spacing w:line="360" w:lineRule="auto"/>
        <w:ind w:firstLine="562" w:firstLineChars="200"/>
        <w:rPr>
          <w:rFonts w:ascii="宋体" w:hAnsi="宋体" w:eastAsia="宋体" w:cs="宋体"/>
          <w:b/>
          <w:bCs/>
          <w:sz w:val="28"/>
          <w:szCs w:val="28"/>
        </w:rPr>
      </w:pPr>
      <w:bookmarkStart w:id="11" w:name="_Toc502134857"/>
      <w:r>
        <w:rPr>
          <w:rFonts w:hint="eastAsia" w:ascii="宋体" w:hAnsi="宋体" w:eastAsia="宋体" w:cs="宋体"/>
          <w:b/>
          <w:bCs/>
          <w:sz w:val="28"/>
          <w:szCs w:val="28"/>
        </w:rPr>
        <w:t>三、绩效再评价组织情况</w:t>
      </w:r>
      <w:bookmarkEnd w:id="11"/>
    </w:p>
    <w:p>
      <w:pPr>
        <w:spacing w:line="360" w:lineRule="auto"/>
        <w:ind w:firstLine="562" w:firstLineChars="200"/>
        <w:rPr>
          <w:rFonts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1.《中华人民共和国预算法》（2014年修订）；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2.财政部《项目支出绩效评价管理办法》；</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3.《中共云南省委、云南省人民政府关于全面实施预算管理绩效的意见》（云发〔2019〕11号）；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4.《云南省省级财政预算绩效管理暂行办法》（云财预〔2015〕295号）；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5.《寻甸县财政局关于印发&lt;寻甸县本级部门预算绩效自评管理暂行办法&gt;的通知》（寻财绩〔2018〕9号）；</w:t>
      </w:r>
    </w:p>
    <w:p>
      <w:pPr>
        <w:spacing w:line="360" w:lineRule="auto"/>
        <w:ind w:firstLine="420" w:firstLineChars="150"/>
        <w:rPr>
          <w:rFonts w:ascii="宋体" w:hAnsi="宋体" w:eastAsia="宋体" w:cs="宋体"/>
          <w:sz w:val="28"/>
          <w:szCs w:val="28"/>
        </w:rPr>
      </w:pPr>
      <w:r>
        <w:rPr>
          <w:rFonts w:hint="eastAsia" w:ascii="宋体" w:hAnsi="宋体" w:eastAsia="宋体" w:cs="宋体"/>
          <w:sz w:val="28"/>
          <w:szCs w:val="28"/>
        </w:rPr>
        <w:t xml:space="preserve"> 6.《寻甸回族彝族自治县财政局关于对2019年度部门整体支出和重大项目支出进行再评价的通知》（寻财绩〔2020〕6号）；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7.其他相关依据文件。</w:t>
      </w:r>
    </w:p>
    <w:p>
      <w:pPr>
        <w:spacing w:line="360" w:lineRule="auto"/>
        <w:ind w:firstLine="562" w:firstLineChars="200"/>
        <w:rPr>
          <w:rFonts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次绩效评价中采取定量与定性相结合的方式，具体实施了审阅自评报告、实地评价、交换和反馈意见、专家会审等程序。通过资料收集、数据填报、案卷研究、实地调研、座谈会、问卷调查等方式，开展实地再评价。对项目相关档案资料进行查阅，结合现场核实情况和资金到位使用及结余情况的分析，进行数据分析和取证。</w:t>
      </w:r>
    </w:p>
    <w:p>
      <w:pPr>
        <w:spacing w:line="360" w:lineRule="auto"/>
        <w:ind w:firstLine="562" w:firstLineChars="200"/>
        <w:rPr>
          <w:rFonts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1.绩效再评价指标</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项目绩效再评价以项目实施地为标准设定子项目，每个子项目以100分计，设定项目决策、项目管理、项目绩效3个一级指标，权重分别为：20%、20%、60%。在此基础上设定7个二级指标（项目立项、项目目标、投入管理、财务管理、项目实施、项目产出、项目效益）。设21个三级指标。</w:t>
      </w:r>
    </w:p>
    <w:p>
      <w:pPr>
        <w:spacing w:line="360" w:lineRule="auto"/>
        <w:ind w:firstLine="560" w:firstLineChars="200"/>
        <w:rPr>
          <w:rFonts w:ascii="宋体" w:hAnsi="宋体" w:eastAsia="宋体" w:cs="宋体"/>
          <w:sz w:val="28"/>
          <w:szCs w:val="28"/>
        </w:rPr>
      </w:pPr>
      <w:bookmarkStart w:id="15" w:name="_Toc502134861"/>
      <w:r>
        <w:rPr>
          <w:rFonts w:hint="eastAsia" w:ascii="宋体" w:hAnsi="宋体" w:eastAsia="宋体" w:cs="宋体"/>
          <w:sz w:val="28"/>
          <w:szCs w:val="28"/>
        </w:rPr>
        <w:t>2.评价标准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(1)项目绩效评价得分满分为100分。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(2)由审计评价组根据评价情况，对各单项指标分别进行独立打分。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(3)总评价分为各单项指标得分总和。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(4)评价结果：根据最终得分情况将评价结果分为四个等级：优（得分≥90分）；良（80分≤得分＜90分）；中（60≤得分＜80分）；差（得分＜60分）。</w:t>
      </w:r>
    </w:p>
    <w:p>
      <w:pPr>
        <w:spacing w:line="360" w:lineRule="auto"/>
        <w:ind w:firstLine="560" w:firstLineChars="200"/>
        <w:rPr>
          <w:rFonts w:ascii="宋体" w:hAnsi="宋体" w:eastAsia="宋体" w:cs="宋体"/>
          <w:color w:val="000000" w:themeColor="text1"/>
          <w:sz w:val="28"/>
          <w:szCs w:val="28"/>
        </w:rPr>
      </w:pPr>
      <w:bookmarkStart w:id="16" w:name="_Toc25624"/>
      <w:bookmarkStart w:id="17" w:name="_Toc7874"/>
      <w:r>
        <w:rPr>
          <w:rFonts w:hint="eastAsia" w:ascii="宋体" w:hAnsi="宋体" w:eastAsia="宋体" w:cs="宋体"/>
          <w:color w:val="000000" w:themeColor="text1"/>
          <w:sz w:val="28"/>
          <w:szCs w:val="28"/>
        </w:rPr>
        <w:t>3.数据来源</w:t>
      </w:r>
      <w:bookmarkEnd w:id="16"/>
      <w:bookmarkEnd w:id="17"/>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绩效再评价评分数据来源于倘甸中队提供的资料。</w:t>
      </w:r>
    </w:p>
    <w:bookmarkEnd w:id="15"/>
    <w:p>
      <w:pPr>
        <w:spacing w:line="360" w:lineRule="auto"/>
        <w:ind w:firstLine="562" w:firstLineChars="200"/>
        <w:rPr>
          <w:rFonts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spacing w:line="360" w:lineRule="auto"/>
        <w:ind w:firstLine="562" w:firstLineChars="200"/>
        <w:rPr>
          <w:rFonts w:ascii="宋体" w:hAnsi="宋体" w:eastAsia="宋体" w:cs="宋体"/>
          <w:b/>
          <w:bCs/>
          <w:sz w:val="28"/>
          <w:szCs w:val="28"/>
        </w:rPr>
      </w:pPr>
      <w:bookmarkStart w:id="19" w:name="_Toc502134863"/>
      <w:bookmarkStart w:id="20" w:name="_Toc498009780"/>
      <w:r>
        <w:rPr>
          <w:rFonts w:hint="eastAsia" w:ascii="宋体" w:hAnsi="宋体" w:eastAsia="宋体" w:cs="宋体"/>
          <w:b/>
          <w:bCs/>
          <w:sz w:val="28"/>
          <w:szCs w:val="28"/>
        </w:rPr>
        <w:t>（一）绩效再评价综合结论</w:t>
      </w:r>
      <w:bookmarkEnd w:id="19"/>
      <w:bookmarkEnd w:id="20"/>
    </w:p>
    <w:p>
      <w:pPr>
        <w:spacing w:line="360" w:lineRule="auto"/>
        <w:ind w:firstLine="560" w:firstLineChars="200"/>
        <w:rPr>
          <w:rFonts w:ascii="宋体" w:hAnsi="宋体" w:eastAsia="宋体" w:cs="宋体"/>
          <w:sz w:val="28"/>
          <w:szCs w:val="28"/>
        </w:rPr>
      </w:pPr>
      <w:bookmarkStart w:id="21" w:name="_Toc498009781"/>
      <w:bookmarkStart w:id="22" w:name="_Toc502134864"/>
      <w:r>
        <w:rPr>
          <w:rFonts w:hint="eastAsia" w:ascii="宋体" w:hAnsi="宋体" w:eastAsia="宋体" w:cs="宋体"/>
          <w:sz w:val="28"/>
          <w:szCs w:val="28"/>
        </w:rPr>
        <w:t>2019年倘甸中队城乡社区环境卫生项目绩效再评价综合评分67.10分，评价等级“中”。</w:t>
      </w:r>
    </w:p>
    <w:p>
      <w:pPr>
        <w:spacing w:line="360" w:lineRule="auto"/>
        <w:ind w:firstLine="560" w:firstLineChars="200"/>
        <w:rPr>
          <w:rFonts w:ascii="宋体" w:hAnsi="宋体" w:eastAsia="宋体" w:cs="宋体"/>
          <w:b/>
          <w:bCs/>
          <w:color w:val="000000" w:themeColor="text1"/>
          <w:sz w:val="28"/>
          <w:szCs w:val="28"/>
        </w:rPr>
      </w:pPr>
      <w:r>
        <w:rPr>
          <w:rFonts w:hint="eastAsia" w:ascii="宋体" w:hAnsi="宋体" w:eastAsia="宋体" w:cs="宋体"/>
          <w:color w:val="000000" w:themeColor="text1"/>
          <w:sz w:val="28"/>
          <w:szCs w:val="28"/>
        </w:rPr>
        <w:t>综合评价结论：2019年城乡社区环境卫生项目拆除违法建筑、绿化道路管养、无序建房管控部分已实施完成，项目实地后推动了全县人民的居住环境，推动了全县经济社会事业发展。</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（二）绩效目标实现情况</w:t>
      </w:r>
      <w:bookmarkEnd w:id="21"/>
      <w:bookmarkEnd w:id="22"/>
    </w:p>
    <w:p>
      <w:pPr>
        <w:spacing w:line="360" w:lineRule="auto"/>
        <w:ind w:firstLine="560" w:firstLineChars="200"/>
        <w:rPr>
          <w:rFonts w:ascii="宋体" w:hAnsi="宋体" w:eastAsia="宋体" w:cs="宋体"/>
          <w:sz w:val="28"/>
          <w:szCs w:val="28"/>
        </w:rPr>
      </w:pPr>
      <w:bookmarkStart w:id="23" w:name="_Toc498009782"/>
      <w:bookmarkStart w:id="24" w:name="_Toc502134865"/>
      <w:r>
        <w:rPr>
          <w:rFonts w:hint="eastAsia" w:ascii="宋体" w:hAnsi="宋体" w:eastAsia="宋体" w:cs="宋体"/>
          <w:sz w:val="28"/>
          <w:szCs w:val="28"/>
        </w:rPr>
        <w:t>绩效目标实现情况综合结论：本次再评价中设定3个绩效目标，分解为7个绩效指标。绿化道路管养、违法建筑拆除、无序建房管控标基本实现。已完成部分项目实施社会效益显著，可持续性影响认可率高。其中：违法建筑拆除率达到</w:t>
      </w:r>
      <w:r>
        <w:rPr>
          <w:rFonts w:ascii="宋体" w:hAnsi="宋体" w:eastAsia="宋体" w:cs="宋体"/>
          <w:sz w:val="28"/>
          <w:szCs w:val="28"/>
        </w:rPr>
        <w:t>40.32%</w:t>
      </w:r>
      <w:r>
        <w:rPr>
          <w:rFonts w:hint="eastAsia" w:ascii="宋体" w:hAnsi="宋体" w:eastAsia="宋体" w:cs="宋体"/>
          <w:sz w:val="28"/>
          <w:szCs w:val="28"/>
        </w:rPr>
        <w:t>、无序建房管控完成率达到28%、13条绿化道路管养、清扫保洁、垃圾清运均未提供相关资料，无法确定其完成情况。</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（三）绩效自评与再评价差异分析</w:t>
      </w:r>
      <w:bookmarkEnd w:id="23"/>
      <w:bookmarkEnd w:id="2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绩效自评与再评价程序存在差异。绩效自评由县城管局汇总相关资料，得出自评结论，未进行现场抽查。绩效再评价通过收集与部门整体相关资料、编制实施方案、开展实地评价、数据汇总分析、撰写报告的方式开展。</w:t>
      </w:r>
    </w:p>
    <w:p>
      <w:pPr>
        <w:spacing w:line="360" w:lineRule="auto"/>
        <w:ind w:firstLine="562" w:firstLineChars="200"/>
        <w:rPr>
          <w:rFonts w:ascii="宋体" w:hAnsi="宋体" w:eastAsia="宋体" w:cs="宋体"/>
          <w:b/>
          <w:bCs/>
          <w:sz w:val="28"/>
          <w:szCs w:val="28"/>
        </w:rPr>
      </w:pPr>
      <w:bookmarkStart w:id="25" w:name="_Toc498009783"/>
      <w:bookmarkStart w:id="26" w:name="_Toc502134866"/>
      <w:r>
        <w:rPr>
          <w:rFonts w:hint="eastAsia" w:ascii="宋体" w:hAnsi="宋体" w:eastAsia="宋体" w:cs="宋体"/>
          <w:b/>
          <w:bCs/>
          <w:sz w:val="28"/>
          <w:szCs w:val="28"/>
        </w:rPr>
        <w:t>五、绩效再评价情况分析</w:t>
      </w:r>
      <w:bookmarkEnd w:id="25"/>
      <w:bookmarkEnd w:id="26"/>
    </w:p>
    <w:p>
      <w:pPr>
        <w:spacing w:line="360" w:lineRule="auto"/>
        <w:ind w:firstLine="562" w:firstLineChars="200"/>
        <w:rPr>
          <w:rFonts w:ascii="宋体" w:hAnsi="宋体" w:eastAsia="宋体" w:cs="宋体"/>
          <w:b/>
          <w:bCs/>
          <w:sz w:val="28"/>
          <w:szCs w:val="28"/>
        </w:rPr>
      </w:pPr>
      <w:bookmarkStart w:id="27" w:name="_Toc498009784"/>
      <w:bookmarkStart w:id="28" w:name="_Toc502134867"/>
      <w:r>
        <w:rPr>
          <w:rFonts w:hint="eastAsia" w:ascii="宋体" w:hAnsi="宋体" w:eastAsia="宋体" w:cs="宋体"/>
          <w:b/>
          <w:bCs/>
          <w:sz w:val="28"/>
          <w:szCs w:val="28"/>
        </w:rPr>
        <w:t>（一）项目决策分析</w:t>
      </w:r>
      <w:bookmarkEnd w:id="27"/>
      <w:bookmarkEnd w:id="28"/>
    </w:p>
    <w:p>
      <w:pPr>
        <w:spacing w:line="360" w:lineRule="auto"/>
        <w:ind w:firstLine="560" w:firstLineChars="200"/>
        <w:rPr>
          <w:rFonts w:ascii="宋体" w:hAnsi="宋体" w:eastAsia="宋体" w:cs="宋体"/>
          <w:sz w:val="28"/>
          <w:szCs w:val="28"/>
        </w:rPr>
      </w:pPr>
      <w:bookmarkStart w:id="29" w:name="_Toc502134868"/>
      <w:r>
        <w:rPr>
          <w:rFonts w:hint="eastAsia" w:ascii="宋体" w:hAnsi="宋体" w:eastAsia="宋体" w:cs="宋体"/>
          <w:sz w:val="28"/>
          <w:szCs w:val="28"/>
        </w:rPr>
        <w:t>1、倘甸镇项目决策分析</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项目决策指标满分20分，再评价综合评分17分（占该项满分值的85.00%），具体情况分析如下：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倘甸中队未提供中长期规划，但根据提供的寻甸县人民政府印发的《寻甸回族彝族自治县国民经济和社会发展第十三个五年规划纲要》，项目基本能够与寻甸县十三五规划、倘甸中队的职能职责等相匹配、适应；因城乡社区环境卫生项目属长期的民生项目，一般由上级下达任务由倘甸中队执行。倘甸中队未提供城乡社区环境卫生项目立项申请、设立的相关资料，仅提供预算批复文件作为项目立项的依据。</w:t>
      </w:r>
    </w:p>
    <w:p>
      <w:pPr>
        <w:spacing w:line="360" w:lineRule="auto"/>
        <w:ind w:firstLine="560" w:firstLineChars="200"/>
        <w:rPr>
          <w:rFonts w:ascii="宋体" w:hAnsi="宋体" w:eastAsia="宋体" w:cs="宋体"/>
          <w:b/>
          <w:bCs/>
          <w:sz w:val="28"/>
          <w:szCs w:val="28"/>
        </w:rPr>
      </w:pPr>
      <w:r>
        <w:rPr>
          <w:rFonts w:hint="eastAsia" w:ascii="宋体" w:hAnsi="宋体" w:eastAsia="宋体" w:cs="宋体"/>
          <w:sz w:val="28"/>
          <w:szCs w:val="28"/>
        </w:rPr>
        <w:t>（2）项目所设定的绩效目标依据充分，符合客观实际、国家相关法律法规、国民经济发展规划和党委政府决策等。根据提供的绩效目标申报表，绩效目标表填列规范，</w:t>
      </w:r>
      <w:r>
        <w:rPr>
          <w:rFonts w:hint="eastAsia" w:ascii="宋体" w:hAnsi="宋体" w:eastAsia="宋体" w:cs="宋体"/>
          <w:color w:val="000000" w:themeColor="text1"/>
          <w:sz w:val="28"/>
          <w:szCs w:val="28"/>
        </w:rPr>
        <w:t>绩效目标细化分解为具体的工作任务</w:t>
      </w:r>
      <w:r>
        <w:rPr>
          <w:rFonts w:hint="eastAsia" w:ascii="宋体" w:hAnsi="宋体" w:eastAsia="宋体" w:cs="宋体"/>
          <w:sz w:val="28"/>
          <w:szCs w:val="28"/>
        </w:rPr>
        <w:t xml:space="preserve">清晰、可衡量的绩效指标等。设定的绩效目标能完整反映出项目的产出效益和效果。 </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w:t>
      </w:r>
      <w:bookmarkStart w:id="30" w:name="_Toc498009785"/>
      <w:r>
        <w:rPr>
          <w:rFonts w:hint="eastAsia" w:ascii="宋体" w:hAnsi="宋体" w:eastAsia="宋体" w:cs="宋体"/>
          <w:b/>
          <w:bCs/>
          <w:sz w:val="28"/>
          <w:szCs w:val="28"/>
        </w:rPr>
        <w:t>项目管理情况分析</w:t>
      </w:r>
      <w:bookmarkEnd w:id="29"/>
      <w:bookmarkEnd w:id="30"/>
    </w:p>
    <w:p>
      <w:pPr>
        <w:spacing w:line="360" w:lineRule="auto"/>
        <w:ind w:firstLine="560" w:firstLineChars="200"/>
        <w:rPr>
          <w:rFonts w:ascii="宋体" w:hAnsi="宋体" w:eastAsia="宋体" w:cs="宋体"/>
          <w:sz w:val="28"/>
          <w:szCs w:val="28"/>
        </w:rPr>
      </w:pPr>
      <w:bookmarkStart w:id="31" w:name="_Toc502134869"/>
      <w:bookmarkStart w:id="32" w:name="_Toc498009786"/>
      <w:r>
        <w:rPr>
          <w:rFonts w:hint="eastAsia" w:ascii="宋体" w:hAnsi="宋体" w:eastAsia="宋体" w:cs="宋体"/>
          <w:sz w:val="28"/>
          <w:szCs w:val="28"/>
        </w:rPr>
        <w:t>项目管理满分20分，再评价综合评分16.50分（占该项满分值的82.50%），具体情况分析如下：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（1）项目支出预算依据充分、合理；2019年项目年初预算1,000,000.00元，项目实际支出</w:t>
      </w:r>
      <w:r>
        <w:rPr>
          <w:rFonts w:hint="eastAsia" w:cs="仿宋_GB2312" w:asciiTheme="minorEastAsia" w:hAnsiTheme="minorEastAsia"/>
          <w:sz w:val="28"/>
          <w:szCs w:val="28"/>
        </w:rPr>
        <w:t>164,623.30</w:t>
      </w:r>
      <w:r>
        <w:rPr>
          <w:rFonts w:hint="eastAsia" w:ascii="宋体" w:hAnsi="宋体" w:eastAsia="宋体" w:cs="宋体"/>
          <w:sz w:val="28"/>
          <w:szCs w:val="28"/>
        </w:rPr>
        <w:t>元，预算执行率仅为16.46%。</w:t>
      </w:r>
    </w:p>
    <w:p>
      <w:pPr>
        <w:spacing w:line="360" w:lineRule="auto"/>
        <w:ind w:firstLine="560" w:firstLineChars="200"/>
        <w:rPr>
          <w:rFonts w:ascii="宋体" w:hAnsi="宋体" w:eastAsia="宋体" w:cs="宋体"/>
          <w:color w:val="FF0000"/>
          <w:sz w:val="28"/>
          <w:szCs w:val="28"/>
        </w:rPr>
      </w:pPr>
      <w:r>
        <w:rPr>
          <w:rFonts w:hint="eastAsia" w:ascii="宋体" w:hAnsi="宋体" w:eastAsia="宋体" w:cs="宋体"/>
          <w:color w:val="000000" w:themeColor="text1"/>
          <w:sz w:val="28"/>
          <w:szCs w:val="28"/>
        </w:rPr>
        <w:t>（2）项目执行县城管局、倘甸镇人民政府关于城城乡社区的相关规定及《行政单位会计制度》有关规定，相关制度基本能够得到有效的执行。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（3）2019年项目年初预算1,000,000.00元，项目实际支出</w:t>
      </w:r>
      <w:r>
        <w:rPr>
          <w:rFonts w:hint="eastAsia" w:cs="仿宋_GB2312" w:asciiTheme="minorEastAsia" w:hAnsiTheme="minorEastAsia"/>
          <w:sz w:val="28"/>
          <w:szCs w:val="28"/>
        </w:rPr>
        <w:t>164,623.30</w:t>
      </w:r>
      <w:r>
        <w:rPr>
          <w:rFonts w:hint="eastAsia" w:ascii="宋体" w:hAnsi="宋体" w:eastAsia="宋体" w:cs="宋体"/>
          <w:sz w:val="28"/>
          <w:szCs w:val="28"/>
        </w:rPr>
        <w:t>元，资金使用基本符合预算批复的用途，资金有结余，但不存在无截留、挤占、挪用、虚列支出等情况。</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sz w:val="28"/>
          <w:szCs w:val="28"/>
        </w:rPr>
        <w:t>（4）项目在业务管理方面执行国家有关法律法规，相关管理制度基本能够得到有效的执行。项目实施的人员条件、场地设备、执行能力、信息支撑等落实到位。项目合同管理基本规范，政府采购流程基本符合相关规定。</w:t>
      </w:r>
      <w:r>
        <w:rPr>
          <w:rFonts w:hint="eastAsia" w:ascii="宋体" w:hAnsi="宋体" w:eastAsia="宋体" w:cs="宋体"/>
          <w:color w:val="000000" w:themeColor="text1"/>
          <w:sz w:val="28"/>
          <w:szCs w:val="28"/>
        </w:rPr>
        <w:t>但寻甸中队未提供财务管理制度文件，无法判断财务管理制度是否合法合规。</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（三）项目绩效情况分析</w:t>
      </w:r>
      <w:bookmarkEnd w:id="31"/>
      <w:bookmarkEnd w:id="32"/>
    </w:p>
    <w:p>
      <w:pPr>
        <w:spacing w:line="360" w:lineRule="auto"/>
        <w:ind w:firstLine="560" w:firstLineChars="200"/>
        <w:rPr>
          <w:rFonts w:ascii="宋体" w:hAnsi="宋体" w:eastAsia="宋体" w:cs="宋体"/>
          <w:sz w:val="28"/>
          <w:szCs w:val="28"/>
        </w:rPr>
      </w:pPr>
      <w:bookmarkStart w:id="33" w:name="_Toc502134871"/>
      <w:bookmarkStart w:id="34" w:name="_Toc498009788"/>
      <w:r>
        <w:rPr>
          <w:rFonts w:hint="eastAsia" w:ascii="宋体" w:hAnsi="宋体" w:eastAsia="宋体" w:cs="宋体"/>
          <w:sz w:val="28"/>
          <w:szCs w:val="28"/>
        </w:rPr>
        <w:t>项目绩效指标满分60分，再评价综合评分33.60分（占该项满分值的56.00%），具体情况分析如下：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1、项目产出</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倘甸中队为实现年度绩效目标，2019年，细化了私搭乱建、无序建房、未批先建违法行为管控措施，一是对违法行为实行一日两巡制，重点监管；二是加强与国土、规划的联合执法制，加大执法力度。2019年共下达《停工通知书》48份，48户纳入重点监管对象，下达《限期拆除通知书》14份，上报镇政府，组织拆除，现场依法强拆2户，面积600平方米；根据上级提供的1733宗疑似违法建筑进行专项排查治理，根据排查结果强制拆除25547.54平方米；积极参与异地搬迁老房拆除工作，共拆除117户，拆除面积31590.08平方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2、项目效益</w:t>
      </w:r>
    </w:p>
    <w:p>
      <w:pPr>
        <w:spacing w:line="360" w:lineRule="auto"/>
        <w:ind w:firstLine="560" w:firstLineChars="200"/>
        <w:rPr>
          <w:rFonts w:ascii="宋体" w:hAnsi="宋体" w:eastAsia="宋体" w:cs="宋体"/>
          <w:b/>
          <w:bCs/>
          <w:sz w:val="28"/>
          <w:szCs w:val="28"/>
        </w:rPr>
      </w:pPr>
      <w:r>
        <w:rPr>
          <w:rFonts w:hint="eastAsia" w:ascii="宋体" w:hAnsi="宋体" w:eastAsia="宋体" w:cs="宋体"/>
          <w:sz w:val="28"/>
          <w:szCs w:val="28"/>
        </w:rPr>
        <w:t>生态效益方面，通过城乡社区环境卫生项目的实施，显著提升了倘甸镇生态环境良性循环能力，为倘甸基本实现可持续发展准备卫生环境条件，有效改善了城镇居民的生产、生活环境条件，提升了城镇功能；经济效益方面，通过城乡社区环境卫生项目的实施，因城镇卫生环境条件的改善，吸引了全国各地的游客到倘甸旅游，增加了倘甸的旅游收入。同时，通过项目的实施，直接解决了23名弱势群体的就业问题，因财政的投入，必然引导部分社会资本的加入倘甸旅游设施的建设，吸引大批人员成为旅游从业人员，既解决了部分人员的就业问题，又能促进县域经济发展；社会效益方面，通过项目实施，提高了城镇卫生环境质量和水平，引导城镇居民树立卫生环境保护意识，提高城镇居民对倘甸的认同感、归属感，提高了城镇的宜居度，吸引更多的人来倘甸旅游观光。同时，可减少因卫生原因引起的疾病的发生，树立倘甸良好形象。</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六、主要经验及做法</w:t>
      </w:r>
      <w:bookmarkEnd w:id="33"/>
      <w:bookmarkEnd w:id="3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一是建立了专项资金申请及项目绩效跟踪制度，发现问题，及时研究解决的办法和措施，保证了项目绩效目标的完成和项目绩效的充分发挥；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二是建立机构，保证单位项目绩效有序开展；</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三是完善制度，确保项目实施的质量和项目资金的安全。</w:t>
      </w:r>
    </w:p>
    <w:p>
      <w:pPr>
        <w:spacing w:line="360" w:lineRule="auto"/>
        <w:ind w:firstLine="562" w:firstLineChars="200"/>
        <w:rPr>
          <w:rFonts w:ascii="宋体" w:hAnsi="宋体" w:eastAsia="宋体" w:cs="宋体"/>
          <w:b/>
          <w:bCs/>
          <w:sz w:val="28"/>
          <w:szCs w:val="28"/>
        </w:rPr>
      </w:pPr>
      <w:bookmarkStart w:id="35" w:name="_Toc502134872"/>
      <w:bookmarkStart w:id="36" w:name="_Toc498009789"/>
      <w:r>
        <w:rPr>
          <w:rFonts w:hint="eastAsia" w:ascii="宋体" w:hAnsi="宋体" w:eastAsia="宋体" w:cs="宋体"/>
          <w:b/>
          <w:bCs/>
          <w:sz w:val="28"/>
          <w:szCs w:val="28"/>
        </w:rPr>
        <w:t>七、存在问题及原因分析</w:t>
      </w:r>
      <w:bookmarkEnd w:id="35"/>
      <w:bookmarkEnd w:id="36"/>
    </w:p>
    <w:p>
      <w:pPr>
        <w:spacing w:line="360" w:lineRule="auto"/>
        <w:ind w:firstLine="562" w:firstLineChars="200"/>
        <w:rPr>
          <w:rFonts w:ascii="宋体" w:hAnsi="宋体" w:eastAsia="宋体" w:cs="宋体"/>
          <w:b/>
          <w:bCs/>
          <w:sz w:val="28"/>
          <w:szCs w:val="28"/>
        </w:rPr>
      </w:pPr>
      <w:bookmarkStart w:id="37" w:name="_Toc500440025"/>
      <w:bookmarkStart w:id="38" w:name="_Toc502134873"/>
      <w:bookmarkStart w:id="39" w:name="_Toc500202563"/>
      <w:bookmarkStart w:id="40" w:name="_Toc500589022"/>
      <w:bookmarkStart w:id="41" w:name="_Toc500849310"/>
      <w:bookmarkStart w:id="42" w:name="_Toc500364179"/>
      <w:r>
        <w:rPr>
          <w:rFonts w:hint="eastAsia" w:ascii="宋体" w:hAnsi="宋体" w:eastAsia="宋体" w:cs="宋体"/>
          <w:b/>
          <w:bCs/>
          <w:sz w:val="28"/>
          <w:szCs w:val="28"/>
        </w:rPr>
        <w:t>（一）绩效管理落实不够好</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1.绩效自评未全部落实</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根据倘甸中队提供的《城乡社区环境卫生项目支出绩效自评报告》，内容极其简单，部分内容与要求不符，如：项目立项未调查，但自评仍评2分，未扣分。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 xml:space="preserve"> 上述做法与《寻甸县本级部门预算绩效自评管理暂行办法》第三十六条“建立责任追究制度。……在贯彻执行预算绩效管理工作中，有令不行、有禁不止，落实不力、执行走样，或不按要求开展绩效自评工作的。”规定不符。</w:t>
      </w:r>
    </w:p>
    <w:p>
      <w:pPr>
        <w:spacing w:line="360" w:lineRule="auto"/>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2.未建立绩效运行跟踪监控机制，未对绩效目标运行情况进行跟踪管理和督促检查等。</w:t>
      </w:r>
    </w:p>
    <w:p>
      <w:pPr>
        <w:spacing w:line="360" w:lineRule="auto"/>
        <w:ind w:firstLine="560" w:firstLineChars="200"/>
        <w:rPr>
          <w:rFonts w:cs="仿宋_GB2312" w:asciiTheme="minorEastAsia" w:hAnsiTheme="minorEastAsia"/>
          <w:sz w:val="28"/>
          <w:szCs w:val="28"/>
        </w:rPr>
      </w:pPr>
      <w:r>
        <w:rPr>
          <w:rFonts w:hint="eastAsia" w:cs="仿宋_GB2312" w:asciiTheme="minorEastAsia" w:hAnsiTheme="minorEastAsia"/>
          <w:sz w:val="28"/>
          <w:szCs w:val="28"/>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3. 寻甸中队未提供预算编制，无法判断是否存在调整，程序是否合法合规等。</w:t>
      </w:r>
    </w:p>
    <w:p>
      <w:pPr>
        <w:pStyle w:val="2"/>
        <w:spacing w:line="360" w:lineRule="auto"/>
        <w:ind w:firstLine="420"/>
      </w:pPr>
      <w:r>
        <w:rPr>
          <w:rFonts w:hint="eastAsia" w:ascii="宋体" w:hAnsi="宋体" w:eastAsia="宋体" w:cs="宋体"/>
          <w:color w:val="000000" w:themeColor="text1"/>
          <w:sz w:val="28"/>
          <w:szCs w:val="28"/>
        </w:rPr>
        <w:t>上述做法与《关于推进预算绩效管理的指导意见》（财预</w:t>
      </w:r>
      <w:r>
        <w:rPr>
          <w:rFonts w:hint="eastAsia" w:ascii="楷体" w:hAnsi="楷体" w:eastAsia="楷体" w:cs="宋体"/>
          <w:color w:val="000000" w:themeColor="text1"/>
          <w:sz w:val="28"/>
          <w:szCs w:val="28"/>
        </w:rPr>
        <w:t>﹝</w:t>
      </w:r>
      <w:r>
        <w:rPr>
          <w:rFonts w:hint="eastAsia" w:ascii="宋体" w:hAnsi="宋体" w:eastAsia="宋体" w:cs="宋体"/>
          <w:color w:val="000000" w:themeColor="text1"/>
          <w:sz w:val="28"/>
          <w:szCs w:val="28"/>
        </w:rPr>
        <w:t>2011</w:t>
      </w:r>
      <w:r>
        <w:rPr>
          <w:rFonts w:hint="eastAsia" w:ascii="楷体" w:hAnsi="楷体" w:eastAsia="楷体" w:cs="宋体"/>
          <w:color w:val="000000" w:themeColor="text1"/>
          <w:sz w:val="28"/>
          <w:szCs w:val="28"/>
        </w:rPr>
        <w:t>﹞</w:t>
      </w:r>
      <w:r>
        <w:rPr>
          <w:rFonts w:hint="eastAsia" w:ascii="宋体" w:hAnsi="宋体" w:eastAsia="宋体" w:cs="宋体"/>
          <w:color w:val="000000" w:themeColor="text1"/>
          <w:sz w:val="28"/>
          <w:szCs w:val="28"/>
        </w:rPr>
        <w:t>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(二)部门管理方面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1.预算执行率较低</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寻甸中队2019年项目</w:t>
      </w:r>
      <w:r>
        <w:rPr>
          <w:rFonts w:hint="eastAsia" w:ascii="宋体" w:hAnsi="宋体" w:eastAsia="宋体" w:cs="宋体"/>
          <w:sz w:val="28"/>
          <w:szCs w:val="28"/>
        </w:rPr>
        <w:t>年初预算1,000,000.00元，项目实际支出</w:t>
      </w:r>
      <w:r>
        <w:rPr>
          <w:rFonts w:hint="eastAsia" w:cs="仿宋_GB2312" w:asciiTheme="minorEastAsia" w:hAnsiTheme="minorEastAsia"/>
          <w:sz w:val="28"/>
          <w:szCs w:val="28"/>
        </w:rPr>
        <w:t>164,623.30</w:t>
      </w:r>
      <w:r>
        <w:rPr>
          <w:rFonts w:hint="eastAsia" w:ascii="宋体" w:hAnsi="宋体" w:eastAsia="宋体" w:cs="宋体"/>
          <w:sz w:val="28"/>
          <w:szCs w:val="28"/>
        </w:rPr>
        <w:t>元</w:t>
      </w:r>
      <w:r>
        <w:rPr>
          <w:rFonts w:hint="eastAsia" w:ascii="宋体" w:hAnsi="宋体" w:eastAsia="宋体" w:cs="宋体"/>
          <w:color w:val="000000" w:themeColor="text1"/>
          <w:sz w:val="28"/>
          <w:szCs w:val="28"/>
        </w:rPr>
        <w:t>，结余数为</w:t>
      </w:r>
      <w:r>
        <w:rPr>
          <w:rFonts w:hint="eastAsia" w:cs="仿宋_GB2312" w:asciiTheme="minorEastAsia" w:hAnsiTheme="minorEastAsia"/>
          <w:sz w:val="28"/>
          <w:szCs w:val="28"/>
        </w:rPr>
        <w:t>835,376.70</w:t>
      </w:r>
      <w:r>
        <w:rPr>
          <w:rFonts w:hint="eastAsia" w:ascii="宋体" w:hAnsi="宋体" w:eastAsia="宋体" w:cs="宋体"/>
          <w:color w:val="000000" w:themeColor="text1"/>
          <w:sz w:val="28"/>
          <w:szCs w:val="28"/>
        </w:rPr>
        <w:t>元，预算执行率16.46%。</w:t>
      </w:r>
    </w:p>
    <w:p>
      <w:pPr>
        <w:spacing w:line="360" w:lineRule="auto"/>
        <w:ind w:firstLine="560" w:firstLineChars="200"/>
      </w:pPr>
      <w:r>
        <w:rPr>
          <w:rFonts w:hint="eastAsia" w:ascii="宋体" w:hAnsi="宋体" w:eastAsia="宋体" w:cs="宋体"/>
          <w:color w:val="000000" w:themeColor="text1"/>
          <w:sz w:val="28"/>
          <w:szCs w:val="28"/>
        </w:rPr>
        <w:t>上述做法与《中华人民共和国预算法（2014年修正）》第五十七条“各级政府财政部门必须依照法律、行政法规和国务院财政部门的规定，及时、足额地拨付预算支出资金，加强对预算支出的管理和监督”规定不符。</w:t>
      </w:r>
      <w:r>
        <w:rPr>
          <w:rFonts w:hint="eastAsia"/>
        </w:rPr>
        <w:t xml:space="preserve"> </w:t>
      </w:r>
    </w:p>
    <w:p>
      <w:pPr>
        <w:spacing w:line="360" w:lineRule="auto"/>
        <w:ind w:firstLine="560" w:firstLineChars="200"/>
        <w:rPr>
          <w:rFonts w:ascii="仿宋_GB2312" w:hAnsi="仿宋_GB2312" w:eastAsia="仿宋_GB2312" w:cs="仿宋_GB2312"/>
          <w:b/>
          <w:bCs/>
          <w:sz w:val="24"/>
          <w:szCs w:val="24"/>
        </w:rPr>
      </w:pPr>
      <w:r>
        <w:rPr>
          <w:rFonts w:hint="eastAsia" w:cs="仿宋_GB2312" w:asciiTheme="minorEastAsia" w:hAnsiTheme="minorEastAsia"/>
          <w:sz w:val="28"/>
          <w:szCs w:val="28"/>
        </w:rPr>
        <w:t>2.</w:t>
      </w:r>
      <w:r>
        <w:rPr>
          <w:rFonts w:hint="eastAsia" w:ascii="宋体" w:hAnsi="宋体" w:eastAsia="宋体" w:cs="宋体"/>
          <w:sz w:val="28"/>
          <w:szCs w:val="28"/>
        </w:rPr>
        <w:t>费用报销附件不齐全，如：2019年0</w:t>
      </w:r>
      <w:r>
        <w:rPr>
          <w:rFonts w:hint="eastAsia" w:ascii="宋体" w:hAnsi="宋体" w:cs="宋体"/>
          <w:sz w:val="28"/>
          <w:szCs w:val="28"/>
        </w:rPr>
        <w:t>6</w:t>
      </w:r>
      <w:r>
        <w:rPr>
          <w:rFonts w:hint="eastAsia" w:ascii="宋体" w:hAnsi="宋体" w:eastAsia="宋体" w:cs="宋体"/>
          <w:sz w:val="28"/>
          <w:szCs w:val="28"/>
        </w:rPr>
        <w:t>月30日，第</w:t>
      </w:r>
      <w:r>
        <w:rPr>
          <w:rFonts w:hint="eastAsia" w:ascii="宋体" w:hAnsi="宋体" w:cs="宋体"/>
          <w:sz w:val="28"/>
          <w:szCs w:val="28"/>
        </w:rPr>
        <w:t>43</w:t>
      </w:r>
      <w:r>
        <w:rPr>
          <w:rFonts w:hint="eastAsia" w:ascii="宋体" w:hAnsi="宋体" w:eastAsia="宋体" w:cs="宋体"/>
          <w:sz w:val="28"/>
          <w:szCs w:val="28"/>
        </w:rPr>
        <w:t>号凭证</w:t>
      </w:r>
      <w:r>
        <w:rPr>
          <w:rFonts w:hint="eastAsia" w:ascii="宋体" w:hAnsi="宋体" w:cs="宋体"/>
          <w:sz w:val="28"/>
          <w:szCs w:val="28"/>
        </w:rPr>
        <w:t>后</w:t>
      </w:r>
      <w:r>
        <w:rPr>
          <w:rFonts w:hint="eastAsia" w:ascii="宋体" w:hAnsi="宋体" w:eastAsia="宋体" w:cs="宋体"/>
          <w:sz w:val="28"/>
          <w:szCs w:val="28"/>
        </w:rPr>
        <w:t>未附报销</w:t>
      </w:r>
      <w:r>
        <w:rPr>
          <w:rFonts w:hint="eastAsia" w:ascii="宋体" w:hAnsi="宋体" w:cs="宋体"/>
          <w:sz w:val="28"/>
          <w:szCs w:val="28"/>
        </w:rPr>
        <w:t>办公用品的</w:t>
      </w:r>
      <w:r>
        <w:rPr>
          <w:rFonts w:hint="eastAsia" w:ascii="宋体" w:hAnsi="宋体" w:eastAsia="宋体" w:cs="宋体"/>
          <w:sz w:val="28"/>
          <w:szCs w:val="28"/>
        </w:rPr>
        <w:t>明细清单。</w:t>
      </w:r>
    </w:p>
    <w:p>
      <w:pPr>
        <w:spacing w:line="360" w:lineRule="auto"/>
        <w:ind w:firstLine="560" w:firstLineChars="200"/>
        <w:rPr>
          <w:rFonts w:ascii="宋体" w:hAnsi="宋体" w:cs="宋体"/>
          <w:sz w:val="28"/>
          <w:szCs w:val="28"/>
        </w:rPr>
      </w:pPr>
      <w:r>
        <w:rPr>
          <w:rFonts w:hint="eastAsia" w:ascii="宋体" w:hAnsi="宋体" w:eastAsia="宋体" w:cs="宋体"/>
          <w:sz w:val="28"/>
          <w:szCs w:val="28"/>
        </w:rPr>
        <w:t>上述情况不符合《中华人民共和国会计法》第十四条“……会计机构、会计人员必须按照国家统一的会计制度的规定对原始凭证进行审核，……对记载不准确、不完整的原始凭证予以退回，并要求按照国家统一的会计制度的规定更正、补充……”和《中华人民共和国发票管理办法》第二十二条“不符合规定的发票，不得作为财务报销凭证，任何单位和个人有权拒收”以及《中华人民共和国发票管理办法实施细则》第四条“发票的基本内容包括:发票的名称、发票代码和号码、联次及用途、客户名称、开户银行及账号、商品名称或经营项目、计量单位、数量、单价、大小写金额、开票人、开票日期、开票单位(个人)名称(章)等”的规定。</w:t>
      </w:r>
    </w:p>
    <w:p>
      <w:pPr>
        <w:pStyle w:val="2"/>
        <w:spacing w:line="360" w:lineRule="auto"/>
        <w:ind w:firstLine="562" w:firstLineChars="200"/>
        <w:rPr>
          <w:rFonts w:ascii="宋体" w:hAnsi="宋体" w:eastAsia="宋体" w:cs="宋体"/>
          <w:sz w:val="28"/>
          <w:szCs w:val="28"/>
        </w:rPr>
      </w:pPr>
      <w:r>
        <w:rPr>
          <w:rFonts w:hint="eastAsia" w:ascii="宋体" w:hAnsi="宋体" w:eastAsia="宋体" w:cs="宋体"/>
          <w:b/>
          <w:bCs/>
          <w:sz w:val="28"/>
          <w:szCs w:val="28"/>
        </w:rPr>
        <w:t xml:space="preserve">八、 </w:t>
      </w:r>
      <w:bookmarkEnd w:id="37"/>
      <w:bookmarkEnd w:id="38"/>
      <w:bookmarkEnd w:id="39"/>
      <w:bookmarkEnd w:id="40"/>
      <w:bookmarkEnd w:id="41"/>
      <w:bookmarkEnd w:id="42"/>
      <w:bookmarkStart w:id="43" w:name="_Toc498009790"/>
      <w:bookmarkStart w:id="44" w:name="_Toc502134879"/>
      <w:r>
        <w:rPr>
          <w:rFonts w:hint="eastAsia" w:ascii="宋体" w:hAnsi="宋体" w:eastAsia="宋体" w:cs="宋体"/>
          <w:sz w:val="28"/>
          <w:szCs w:val="28"/>
        </w:rPr>
        <w:t>建议</w:t>
      </w:r>
      <w:bookmarkEnd w:id="43"/>
      <w:bookmarkEnd w:id="44"/>
      <w:bookmarkStart w:id="45" w:name="_Toc498009791"/>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一）加强预算绩效管理。在编制年度绩效目标时，应结合部门中长期规划、部门职能职责及年度项目工作任务，梳理完善项目中期绩效目标和年度绩效目标，根据绩效目标确定具体的绩效指标，并设定明确可考核的绩效指标值；预算管理部门应加强预算编制的审核工作。</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（二）加强对项目经费的预估度，尽可能贴近目标任务安排预算，缩小预决算差距，发挥预算的管理作用。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（三）加强原始凭证审核，对记载不准确、不完整的原始凭证予以退回，并要求按照国家统一的会计制度的规定更正、补充。</w:t>
      </w:r>
    </w:p>
    <w:p>
      <w:pPr>
        <w:pStyle w:val="2"/>
        <w:spacing w:line="360" w:lineRule="auto"/>
        <w:ind w:firstLine="420"/>
      </w:pPr>
    </w:p>
    <w:p>
      <w:pPr>
        <w:pStyle w:val="2"/>
        <w:spacing w:line="360" w:lineRule="auto"/>
        <w:ind w:firstLine="420"/>
      </w:pPr>
    </w:p>
    <w:bookmarkEnd w:id="45"/>
    <w:p>
      <w:pPr>
        <w:pStyle w:val="2"/>
        <w:spacing w:line="360" w:lineRule="auto"/>
        <w:ind w:firstLine="560" w:firstLineChars="200"/>
        <w:rPr>
          <w:rFonts w:ascii="宋体" w:hAnsi="宋体" w:eastAsia="宋体" w:cs="宋体"/>
          <w:sz w:val="28"/>
          <w:szCs w:val="28"/>
        </w:rPr>
      </w:pPr>
    </w:p>
    <w:p>
      <w:pPr>
        <w:pStyle w:val="2"/>
        <w:spacing w:line="360" w:lineRule="auto"/>
        <w:rPr>
          <w:rFonts w:ascii="宋体" w:hAnsi="宋体" w:eastAsia="宋体" w:cs="宋体"/>
          <w:sz w:val="28"/>
          <w:szCs w:val="28"/>
        </w:rPr>
      </w:pPr>
      <w:r>
        <w:rPr>
          <w:rFonts w:hint="eastAsia" w:ascii="宋体" w:hAnsi="宋体" w:eastAsia="宋体" w:cs="宋体"/>
          <w:sz w:val="28"/>
          <w:szCs w:val="28"/>
        </w:rPr>
        <w:t>附件1：倘甸中队2019年城乡社区环境卫生项目支出绩效评价指标体系</w:t>
      </w:r>
    </w:p>
    <w:p>
      <w:pPr>
        <w:pStyle w:val="2"/>
        <w:spacing w:line="360" w:lineRule="auto"/>
        <w:rPr>
          <w:rFonts w:ascii="宋体" w:hAnsi="宋体" w:eastAsia="宋体" w:cs="宋体"/>
          <w:sz w:val="28"/>
          <w:szCs w:val="28"/>
        </w:rPr>
      </w:pPr>
    </w:p>
    <w:p>
      <w:pPr>
        <w:pStyle w:val="2"/>
        <w:spacing w:line="360" w:lineRule="auto"/>
        <w:rPr>
          <w:rFonts w:ascii="宋体" w:hAnsi="宋体" w:eastAsia="宋体" w:cs="宋体"/>
          <w:sz w:val="28"/>
          <w:szCs w:val="28"/>
        </w:rPr>
      </w:pPr>
    </w:p>
    <w:p>
      <w:pPr>
        <w:pStyle w:val="2"/>
        <w:spacing w:line="360" w:lineRule="auto"/>
        <w:rPr>
          <w:rFonts w:ascii="宋体" w:hAnsi="宋体" w:eastAsia="宋体" w:cs="宋体"/>
          <w:sz w:val="28"/>
          <w:szCs w:val="28"/>
        </w:rPr>
      </w:pPr>
    </w:p>
    <w:p>
      <w:pPr>
        <w:pStyle w:val="2"/>
        <w:spacing w:line="360" w:lineRule="auto"/>
        <w:rPr>
          <w:rFonts w:ascii="宋体" w:hAnsi="宋体" w:eastAsia="宋体" w:cs="宋体"/>
          <w:sz w:val="28"/>
          <w:szCs w:val="28"/>
        </w:rPr>
      </w:pPr>
    </w:p>
    <w:p>
      <w:pPr>
        <w:spacing w:line="360" w:lineRule="auto"/>
        <w:ind w:right="420"/>
        <w:rPr>
          <w:rFonts w:ascii="宋体" w:hAnsi="宋体" w:eastAsia="宋体" w:cs="宋体"/>
          <w:sz w:val="28"/>
          <w:szCs w:val="28"/>
        </w:rPr>
      </w:pPr>
      <w:r>
        <w:rPr>
          <w:rFonts w:hint="eastAsia" w:ascii="宋体" w:hAnsi="宋体" w:eastAsia="宋体" w:cs="宋体"/>
          <w:sz w:val="28"/>
          <w:szCs w:val="28"/>
        </w:rPr>
        <w:t xml:space="preserve">                                         中国注册会计师：</w:t>
      </w:r>
    </w:p>
    <w:p>
      <w:pPr>
        <w:spacing w:line="360" w:lineRule="auto"/>
        <w:ind w:right="420"/>
        <w:rPr>
          <w:rFonts w:ascii="宋体" w:hAnsi="宋体" w:eastAsia="宋体" w:cs="宋体"/>
          <w:sz w:val="28"/>
          <w:szCs w:val="28"/>
        </w:rPr>
      </w:pPr>
      <w:r>
        <w:rPr>
          <w:rFonts w:hint="eastAsia" w:ascii="宋体" w:hAnsi="宋体" w:eastAsia="宋体" w:cs="宋体"/>
          <w:spacing w:val="-20"/>
          <w:sz w:val="28"/>
          <w:szCs w:val="28"/>
        </w:rPr>
        <w:t>中兴财光华会计师事务所(特殊普通合伙）云南分所</w:t>
      </w:r>
      <w:r>
        <w:rPr>
          <w:rFonts w:hint="eastAsia" w:ascii="宋体" w:hAnsi="宋体" w:eastAsia="宋体" w:cs="宋体"/>
          <w:sz w:val="28"/>
          <w:szCs w:val="28"/>
        </w:rPr>
        <w:t xml:space="preserve">    </w:t>
      </w:r>
    </w:p>
    <w:p>
      <w:pPr>
        <w:spacing w:line="360" w:lineRule="auto"/>
        <w:ind w:firstLine="280" w:firstLineChars="100"/>
        <w:rPr>
          <w:rFonts w:ascii="宋体" w:hAnsi="宋体" w:eastAsia="宋体" w:cs="宋体"/>
          <w:sz w:val="28"/>
          <w:szCs w:val="28"/>
        </w:rPr>
      </w:pPr>
      <w:r>
        <w:rPr>
          <w:rFonts w:hint="eastAsia" w:ascii="宋体" w:hAnsi="宋体" w:eastAsia="宋体" w:cs="宋体"/>
          <w:sz w:val="28"/>
          <w:szCs w:val="28"/>
        </w:rPr>
        <w:t xml:space="preserve">                                       中国注册会计师：</w:t>
      </w:r>
    </w:p>
    <w:p>
      <w:pPr>
        <w:spacing w:line="360" w:lineRule="auto"/>
        <w:rPr>
          <w:rFonts w:ascii="宋体" w:hAnsi="宋体" w:eastAsia="宋体" w:cs="宋体"/>
          <w:sz w:val="28"/>
          <w:szCs w:val="28"/>
        </w:rPr>
      </w:pPr>
    </w:p>
    <w:p>
      <w:pPr>
        <w:spacing w:line="360" w:lineRule="auto"/>
        <w:ind w:firstLine="1260" w:firstLineChars="450"/>
        <w:rPr>
          <w:rFonts w:ascii="宋体" w:hAnsi="宋体" w:eastAsia="宋体" w:cs="宋体"/>
          <w:sz w:val="24"/>
        </w:rPr>
      </w:pPr>
      <w:r>
        <w:rPr>
          <w:rFonts w:hint="eastAsia" w:ascii="宋体" w:hAnsi="宋体" w:eastAsia="宋体" w:cs="宋体"/>
          <w:sz w:val="28"/>
          <w:szCs w:val="28"/>
        </w:rPr>
        <w:t>中国•昆明                     二〇二〇年</w:t>
      </w:r>
      <w:r>
        <w:rPr>
          <w:rFonts w:hint="eastAsia" w:ascii="宋体" w:hAnsi="宋体" w:eastAsia="宋体" w:cs="宋体"/>
          <w:sz w:val="28"/>
          <w:szCs w:val="28"/>
          <w:lang w:eastAsia="zh-CN"/>
        </w:rPr>
        <w:t>九</w:t>
      </w:r>
      <w:r>
        <w:rPr>
          <w:rFonts w:hint="eastAsia" w:ascii="宋体" w:hAnsi="宋体" w:eastAsia="宋体" w:cs="宋体"/>
          <w:sz w:val="28"/>
          <w:szCs w:val="28"/>
        </w:rPr>
        <w:t>月</w:t>
      </w:r>
      <w:r>
        <w:rPr>
          <w:rFonts w:hint="eastAsia" w:ascii="宋体" w:hAnsi="宋体" w:eastAsia="宋体" w:cs="宋体"/>
          <w:sz w:val="28"/>
          <w:szCs w:val="28"/>
          <w:lang w:eastAsia="zh-CN"/>
        </w:rPr>
        <w:t>二十八</w:t>
      </w:r>
      <w:r>
        <w:rPr>
          <w:rFonts w:hint="eastAsia" w:ascii="宋体" w:hAnsi="宋体" w:eastAsia="宋体" w:cs="宋体"/>
          <w:sz w:val="28"/>
          <w:szCs w:val="28"/>
        </w:rPr>
        <w:t xml:space="preserve">日     </w:t>
      </w:r>
      <w:r>
        <w:rPr>
          <w:rFonts w:hint="eastAsia" w:ascii="宋体" w:hAnsi="宋体" w:eastAsia="宋体" w:cs="宋体"/>
          <w:sz w:val="24"/>
        </w:rPr>
        <w:t xml:space="preserve">        </w:t>
      </w:r>
    </w:p>
    <w:bookmarkEnd w:id="46"/>
    <w:sectPr>
      <w:headerReference r:id="rId3" w:type="default"/>
      <w:footerReference r:id="rId4" w:type="default"/>
      <w:pgSz w:w="11906" w:h="16838"/>
      <w:pgMar w:top="1984" w:right="1134" w:bottom="1134" w:left="1701" w:header="737" w:footer="73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13</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隶书" w:hAnsi="隶书" w:eastAsia="隶书" w:cs="隶书"/>
        <w:sz w:val="10"/>
        <w:szCs w:val="10"/>
      </w:rPr>
    </w:pPr>
  </w:p>
  <w:p>
    <w:pPr>
      <w:pStyle w:val="5"/>
      <w:spacing w:line="240" w:lineRule="exact"/>
      <w:jc w:val="right"/>
      <w:rPr>
        <w:rFonts w:ascii="隶书" w:hAnsi="隶书" w:eastAsia="隶书" w:cs="隶书"/>
        <w:sz w:val="10"/>
        <w:szCs w:val="10"/>
      </w:rPr>
    </w:pPr>
    <w:r>
      <w:rPr>
        <w:rFonts w:hint="eastAsia" w:ascii="隶书" w:eastAsia="隶书"/>
        <w:spacing w:val="-20"/>
        <w:sz w:val="28"/>
        <w:szCs w:val="28"/>
      </w:rPr>
      <w:t xml:space="preserve">                     </w:t>
    </w:r>
  </w:p>
  <w:p>
    <w:pPr>
      <w:pStyle w:val="5"/>
      <w:pBdr>
        <w:bottom w:val="single" w:color="auto" w:sz="4" w:space="1"/>
      </w:pBdr>
      <w:tabs>
        <w:tab w:val="left" w:pos="1290"/>
        <w:tab w:val="left" w:pos="3686"/>
        <w:tab w:val="left" w:pos="3828"/>
        <w:tab w:val="right" w:pos="8392"/>
      </w:tabs>
      <w:jc w:val="right"/>
    </w:pPr>
    <w:r>
      <w:rPr>
        <w:rFonts w:hint="eastAsia" w:ascii="隶书" w:eastAsia="隶书"/>
        <w:spacing w:val="-20"/>
        <w:sz w:val="28"/>
        <w:szCs w:val="28"/>
      </w:rPr>
      <w:drawing>
        <wp:anchor distT="0" distB="0" distL="114300" distR="114300" simplePos="0" relativeHeight="251664384" behindDoc="1" locked="0" layoutInCell="1" allowOverlap="1">
          <wp:simplePos x="0" y="0"/>
          <wp:positionH relativeFrom="column">
            <wp:posOffset>-27940</wp:posOffset>
          </wp:positionH>
          <wp:positionV relativeFrom="paragraph">
            <wp:posOffset>50800</wp:posOffset>
          </wp:positionV>
          <wp:extent cx="1233805" cy="189865"/>
          <wp:effectExtent l="0" t="0" r="4445" b="635"/>
          <wp:wrapTight wrapText="bothSides">
            <wp:wrapPolygon>
              <wp:start x="0" y="0"/>
              <wp:lineTo x="0" y="19505"/>
              <wp:lineTo x="21344" y="19505"/>
              <wp:lineTo x="21344" y="0"/>
              <wp:lineTo x="0" y="0"/>
            </wp:wrapPolygon>
          </wp:wrapTight>
          <wp:docPr id="4" name="图片 2"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Administrator.USER-20170507AS\Desktop\图片1.jpg"/>
                  <pic:cNvPicPr>
                    <a:picLocks noChangeAspect="1"/>
                  </pic:cNvPicPr>
                </pic:nvPicPr>
                <pic:blipFill>
                  <a:blip r:embed="rId1"/>
                  <a:stretch>
                    <a:fillRect/>
                  </a:stretch>
                </pic:blipFill>
                <pic:spPr>
                  <a:xfrm>
                    <a:off x="0" y="0"/>
                    <a:ext cx="1233805" cy="189865"/>
                  </a:xfrm>
                  <a:prstGeom prst="rect">
                    <a:avLst/>
                  </a:prstGeom>
                  <a:noFill/>
                  <a:ln>
                    <a:noFill/>
                  </a:ln>
                </pic:spPr>
              </pic:pic>
            </a:graphicData>
          </a:graphic>
        </wp:anchor>
      </w:drawing>
    </w:r>
    <w:r>
      <w:rPr>
        <w:rFonts w:ascii="隶书" w:eastAsia="隶书"/>
        <w:spacing w:val="-20"/>
        <w:sz w:val="28"/>
        <w:szCs w:val="28"/>
      </w:rPr>
      <w:tab/>
    </w:r>
    <w:r>
      <w:rPr>
        <w:rFonts w:ascii="隶书" w:eastAsia="隶书"/>
        <w:spacing w:val="-20"/>
        <w:sz w:val="28"/>
        <w:szCs w:val="28"/>
      </w:rPr>
      <w:tab/>
    </w:r>
    <w:r>
      <w:rPr>
        <w:rFonts w:hint="eastAsia" w:ascii="隶书" w:eastAsia="隶书"/>
        <w:spacing w:val="-20"/>
        <w:sz w:val="28"/>
        <w:szCs w:val="28"/>
      </w:rPr>
      <w:t xml:space="preserve"> </w:t>
    </w:r>
    <w:r>
      <w:rPr>
        <w:rFonts w:ascii="隶书" w:eastAsia="隶书"/>
        <w:spacing w:val="-20"/>
        <w:sz w:val="28"/>
        <w:szCs w:val="28"/>
      </w:rPr>
      <w:t xml:space="preserve">   </w:t>
    </w:r>
    <w:r>
      <w:rPr>
        <w:rFonts w:hint="eastAsia" w:ascii="隶书" w:eastAsia="隶书"/>
        <w:spacing w:val="-20"/>
        <w:sz w:val="28"/>
        <w:szCs w:val="28"/>
      </w:rPr>
      <w:t>中兴财光华会计师事务所（特普）云南分所</w:t>
    </w:r>
    <w:r>
      <w:rPr>
        <w:rFonts w:ascii="隶书" w:eastAsia="隶书"/>
        <w:spacing w:val="-20"/>
        <w:sz w:val="28"/>
        <w:szCs w:val="28"/>
      </w:rPr>
      <w:t xml:space="preserve"> </w:t>
    </w:r>
  </w:p>
  <w:p>
    <w:pPr>
      <w:pStyle w:val="5"/>
    </w:pP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1425A"/>
    <w:rsid w:val="00041575"/>
    <w:rsid w:val="000613D9"/>
    <w:rsid w:val="000A6D7A"/>
    <w:rsid w:val="000C448B"/>
    <w:rsid w:val="000D278C"/>
    <w:rsid w:val="00100E9B"/>
    <w:rsid w:val="001043E2"/>
    <w:rsid w:val="00115503"/>
    <w:rsid w:val="00115CEA"/>
    <w:rsid w:val="00133FD6"/>
    <w:rsid w:val="00143C20"/>
    <w:rsid w:val="001703ED"/>
    <w:rsid w:val="001A1F5C"/>
    <w:rsid w:val="001A3886"/>
    <w:rsid w:val="001A57D9"/>
    <w:rsid w:val="001B3130"/>
    <w:rsid w:val="001C7E79"/>
    <w:rsid w:val="001D7863"/>
    <w:rsid w:val="00203271"/>
    <w:rsid w:val="00206CAF"/>
    <w:rsid w:val="00207834"/>
    <w:rsid w:val="00226769"/>
    <w:rsid w:val="00267315"/>
    <w:rsid w:val="00273EAD"/>
    <w:rsid w:val="00296027"/>
    <w:rsid w:val="002965B8"/>
    <w:rsid w:val="002A18BE"/>
    <w:rsid w:val="002C0A3E"/>
    <w:rsid w:val="002F3578"/>
    <w:rsid w:val="002F42E5"/>
    <w:rsid w:val="0031765C"/>
    <w:rsid w:val="0034115F"/>
    <w:rsid w:val="003416E5"/>
    <w:rsid w:val="00343768"/>
    <w:rsid w:val="00361B2C"/>
    <w:rsid w:val="00364034"/>
    <w:rsid w:val="00367AC2"/>
    <w:rsid w:val="003971F9"/>
    <w:rsid w:val="003A4A7E"/>
    <w:rsid w:val="003F1888"/>
    <w:rsid w:val="004156B9"/>
    <w:rsid w:val="004263D4"/>
    <w:rsid w:val="00447CCD"/>
    <w:rsid w:val="004777BA"/>
    <w:rsid w:val="004921B6"/>
    <w:rsid w:val="00494EC6"/>
    <w:rsid w:val="004A11B5"/>
    <w:rsid w:val="004A77B7"/>
    <w:rsid w:val="004C443E"/>
    <w:rsid w:val="004D35CF"/>
    <w:rsid w:val="004D48E3"/>
    <w:rsid w:val="004E6F5E"/>
    <w:rsid w:val="005019B2"/>
    <w:rsid w:val="005054E0"/>
    <w:rsid w:val="00516DB4"/>
    <w:rsid w:val="005244EB"/>
    <w:rsid w:val="00532FFD"/>
    <w:rsid w:val="00574512"/>
    <w:rsid w:val="00576EEA"/>
    <w:rsid w:val="00593C06"/>
    <w:rsid w:val="005D2A84"/>
    <w:rsid w:val="0060153A"/>
    <w:rsid w:val="006143B0"/>
    <w:rsid w:val="006176A7"/>
    <w:rsid w:val="0066282E"/>
    <w:rsid w:val="00665CE8"/>
    <w:rsid w:val="0067279F"/>
    <w:rsid w:val="00690E08"/>
    <w:rsid w:val="006A3A64"/>
    <w:rsid w:val="006C7150"/>
    <w:rsid w:val="00711DB9"/>
    <w:rsid w:val="007129C1"/>
    <w:rsid w:val="0071317B"/>
    <w:rsid w:val="00726CC6"/>
    <w:rsid w:val="00753CC0"/>
    <w:rsid w:val="00757A95"/>
    <w:rsid w:val="00771166"/>
    <w:rsid w:val="007756AC"/>
    <w:rsid w:val="00777F93"/>
    <w:rsid w:val="0078398E"/>
    <w:rsid w:val="00787A44"/>
    <w:rsid w:val="007A66BD"/>
    <w:rsid w:val="007B0013"/>
    <w:rsid w:val="007D5486"/>
    <w:rsid w:val="007F047A"/>
    <w:rsid w:val="00811062"/>
    <w:rsid w:val="0084037F"/>
    <w:rsid w:val="0084050C"/>
    <w:rsid w:val="008773CC"/>
    <w:rsid w:val="008A58DD"/>
    <w:rsid w:val="008A6407"/>
    <w:rsid w:val="008B600E"/>
    <w:rsid w:val="008C10A9"/>
    <w:rsid w:val="008C7A8F"/>
    <w:rsid w:val="008F1EDB"/>
    <w:rsid w:val="008F5CD4"/>
    <w:rsid w:val="00911819"/>
    <w:rsid w:val="009401A3"/>
    <w:rsid w:val="00947BC8"/>
    <w:rsid w:val="009571FF"/>
    <w:rsid w:val="00965CD5"/>
    <w:rsid w:val="00966FF5"/>
    <w:rsid w:val="00971A9B"/>
    <w:rsid w:val="0098088A"/>
    <w:rsid w:val="00986B47"/>
    <w:rsid w:val="0099525C"/>
    <w:rsid w:val="009A2CCB"/>
    <w:rsid w:val="009F6AD5"/>
    <w:rsid w:val="00A01339"/>
    <w:rsid w:val="00A34F1E"/>
    <w:rsid w:val="00A407E0"/>
    <w:rsid w:val="00A428A3"/>
    <w:rsid w:val="00A70D31"/>
    <w:rsid w:val="00A73C8E"/>
    <w:rsid w:val="00A769FF"/>
    <w:rsid w:val="00AB2BE8"/>
    <w:rsid w:val="00AD77AB"/>
    <w:rsid w:val="00AE0193"/>
    <w:rsid w:val="00AE332E"/>
    <w:rsid w:val="00AF7503"/>
    <w:rsid w:val="00B17C85"/>
    <w:rsid w:val="00B26C3A"/>
    <w:rsid w:val="00B53B1B"/>
    <w:rsid w:val="00B57155"/>
    <w:rsid w:val="00B5778B"/>
    <w:rsid w:val="00B64312"/>
    <w:rsid w:val="00B7796C"/>
    <w:rsid w:val="00B94E27"/>
    <w:rsid w:val="00BC767F"/>
    <w:rsid w:val="00BF2713"/>
    <w:rsid w:val="00BF63BC"/>
    <w:rsid w:val="00BF77E7"/>
    <w:rsid w:val="00C1425A"/>
    <w:rsid w:val="00C23AE3"/>
    <w:rsid w:val="00C7056B"/>
    <w:rsid w:val="00C76920"/>
    <w:rsid w:val="00C81B92"/>
    <w:rsid w:val="00C86F37"/>
    <w:rsid w:val="00C90859"/>
    <w:rsid w:val="00CA29FA"/>
    <w:rsid w:val="00CA7B19"/>
    <w:rsid w:val="00CD6615"/>
    <w:rsid w:val="00CE0077"/>
    <w:rsid w:val="00D10C8C"/>
    <w:rsid w:val="00D32ECC"/>
    <w:rsid w:val="00D33743"/>
    <w:rsid w:val="00D40550"/>
    <w:rsid w:val="00D44E05"/>
    <w:rsid w:val="00D463B6"/>
    <w:rsid w:val="00D46677"/>
    <w:rsid w:val="00D53FAA"/>
    <w:rsid w:val="00D64864"/>
    <w:rsid w:val="00D75BA1"/>
    <w:rsid w:val="00D76C4E"/>
    <w:rsid w:val="00D912C9"/>
    <w:rsid w:val="00DA7EB7"/>
    <w:rsid w:val="00DB0AE3"/>
    <w:rsid w:val="00DD1905"/>
    <w:rsid w:val="00DE24DB"/>
    <w:rsid w:val="00DF760C"/>
    <w:rsid w:val="00E0408A"/>
    <w:rsid w:val="00E12DC6"/>
    <w:rsid w:val="00E337EB"/>
    <w:rsid w:val="00E35338"/>
    <w:rsid w:val="00E64796"/>
    <w:rsid w:val="00E94596"/>
    <w:rsid w:val="00E955CE"/>
    <w:rsid w:val="00EA1B17"/>
    <w:rsid w:val="00EA2971"/>
    <w:rsid w:val="00EB0C67"/>
    <w:rsid w:val="00EF434E"/>
    <w:rsid w:val="00F178A3"/>
    <w:rsid w:val="00F26115"/>
    <w:rsid w:val="00F413C7"/>
    <w:rsid w:val="00F54739"/>
    <w:rsid w:val="00F54F8A"/>
    <w:rsid w:val="00F66D78"/>
    <w:rsid w:val="00F8564F"/>
    <w:rsid w:val="00F86348"/>
    <w:rsid w:val="00F92118"/>
    <w:rsid w:val="00FA217E"/>
    <w:rsid w:val="00FA2D00"/>
    <w:rsid w:val="00FC6B4E"/>
    <w:rsid w:val="00FD5908"/>
    <w:rsid w:val="00FD5943"/>
    <w:rsid w:val="00FE4F96"/>
    <w:rsid w:val="00FE7056"/>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6186903"/>
    <w:rsid w:val="062A6E20"/>
    <w:rsid w:val="06790629"/>
    <w:rsid w:val="06BD18CD"/>
    <w:rsid w:val="06E05B73"/>
    <w:rsid w:val="074C6A10"/>
    <w:rsid w:val="075C167D"/>
    <w:rsid w:val="080C5426"/>
    <w:rsid w:val="081D15C4"/>
    <w:rsid w:val="08932548"/>
    <w:rsid w:val="08E46646"/>
    <w:rsid w:val="095F41FF"/>
    <w:rsid w:val="09790F31"/>
    <w:rsid w:val="09943BCA"/>
    <w:rsid w:val="09BE3873"/>
    <w:rsid w:val="0A9F4057"/>
    <w:rsid w:val="0B114150"/>
    <w:rsid w:val="0B2B5475"/>
    <w:rsid w:val="0B45384A"/>
    <w:rsid w:val="0BFF1C88"/>
    <w:rsid w:val="0C230B9E"/>
    <w:rsid w:val="0CD33493"/>
    <w:rsid w:val="0D831253"/>
    <w:rsid w:val="0DCA5DE1"/>
    <w:rsid w:val="0E732050"/>
    <w:rsid w:val="0F4F24AB"/>
    <w:rsid w:val="0FA554CA"/>
    <w:rsid w:val="10A41CED"/>
    <w:rsid w:val="10C43B87"/>
    <w:rsid w:val="111D6972"/>
    <w:rsid w:val="11CA17ED"/>
    <w:rsid w:val="1225668C"/>
    <w:rsid w:val="122660D5"/>
    <w:rsid w:val="1256332B"/>
    <w:rsid w:val="1283031A"/>
    <w:rsid w:val="130C2193"/>
    <w:rsid w:val="130E3903"/>
    <w:rsid w:val="13166809"/>
    <w:rsid w:val="13D552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A835290"/>
    <w:rsid w:val="1B6D5FA5"/>
    <w:rsid w:val="1B79551A"/>
    <w:rsid w:val="1C2D714A"/>
    <w:rsid w:val="1C7707CD"/>
    <w:rsid w:val="1CD55A4A"/>
    <w:rsid w:val="1D1B0AD1"/>
    <w:rsid w:val="1D221FDC"/>
    <w:rsid w:val="1D3941A5"/>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E0472"/>
    <w:rsid w:val="2520642A"/>
    <w:rsid w:val="25462E4B"/>
    <w:rsid w:val="25862011"/>
    <w:rsid w:val="260D7D0C"/>
    <w:rsid w:val="263A71E2"/>
    <w:rsid w:val="26690FCD"/>
    <w:rsid w:val="26963F27"/>
    <w:rsid w:val="269B1693"/>
    <w:rsid w:val="26DF0CD6"/>
    <w:rsid w:val="26ED48AE"/>
    <w:rsid w:val="27A01740"/>
    <w:rsid w:val="27C416DF"/>
    <w:rsid w:val="28870583"/>
    <w:rsid w:val="28D97FCA"/>
    <w:rsid w:val="291B5803"/>
    <w:rsid w:val="29733142"/>
    <w:rsid w:val="29A033E8"/>
    <w:rsid w:val="29BC365E"/>
    <w:rsid w:val="2A1C5137"/>
    <w:rsid w:val="2A6B5300"/>
    <w:rsid w:val="2B80177F"/>
    <w:rsid w:val="2B90159F"/>
    <w:rsid w:val="2B993748"/>
    <w:rsid w:val="2BBE1DE2"/>
    <w:rsid w:val="2DA362F7"/>
    <w:rsid w:val="2DDE1315"/>
    <w:rsid w:val="2E70008E"/>
    <w:rsid w:val="2E795570"/>
    <w:rsid w:val="30F14E48"/>
    <w:rsid w:val="31A23AE0"/>
    <w:rsid w:val="31C37AEC"/>
    <w:rsid w:val="32477ABF"/>
    <w:rsid w:val="325970B3"/>
    <w:rsid w:val="32965412"/>
    <w:rsid w:val="32DF1CBC"/>
    <w:rsid w:val="33816DA8"/>
    <w:rsid w:val="33F469AE"/>
    <w:rsid w:val="34214870"/>
    <w:rsid w:val="34B93037"/>
    <w:rsid w:val="34C2659C"/>
    <w:rsid w:val="35154A6B"/>
    <w:rsid w:val="35212153"/>
    <w:rsid w:val="355B423F"/>
    <w:rsid w:val="36314683"/>
    <w:rsid w:val="36472C7B"/>
    <w:rsid w:val="36753A20"/>
    <w:rsid w:val="36B326B4"/>
    <w:rsid w:val="36CE2123"/>
    <w:rsid w:val="36D9255D"/>
    <w:rsid w:val="373206A1"/>
    <w:rsid w:val="37A32806"/>
    <w:rsid w:val="380B1DFE"/>
    <w:rsid w:val="382E6775"/>
    <w:rsid w:val="385852A1"/>
    <w:rsid w:val="386F48E8"/>
    <w:rsid w:val="38D91E08"/>
    <w:rsid w:val="38E0103A"/>
    <w:rsid w:val="38F230E0"/>
    <w:rsid w:val="393C79BC"/>
    <w:rsid w:val="39CC0DE9"/>
    <w:rsid w:val="3A896034"/>
    <w:rsid w:val="3A9F1F4F"/>
    <w:rsid w:val="3AB45EB9"/>
    <w:rsid w:val="3B493B46"/>
    <w:rsid w:val="3B55625B"/>
    <w:rsid w:val="3BE552CD"/>
    <w:rsid w:val="3C190066"/>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2F5056C"/>
    <w:rsid w:val="42FB7CE0"/>
    <w:rsid w:val="431112AD"/>
    <w:rsid w:val="43561DE5"/>
    <w:rsid w:val="436B4467"/>
    <w:rsid w:val="44406011"/>
    <w:rsid w:val="449C2C79"/>
    <w:rsid w:val="450736B6"/>
    <w:rsid w:val="45532B45"/>
    <w:rsid w:val="46162C84"/>
    <w:rsid w:val="462E0F20"/>
    <w:rsid w:val="46AE7CAE"/>
    <w:rsid w:val="46B80FA9"/>
    <w:rsid w:val="47282F2E"/>
    <w:rsid w:val="476A04B6"/>
    <w:rsid w:val="476A374A"/>
    <w:rsid w:val="47C33349"/>
    <w:rsid w:val="47E54BDD"/>
    <w:rsid w:val="4809270E"/>
    <w:rsid w:val="48155FBD"/>
    <w:rsid w:val="489578D5"/>
    <w:rsid w:val="48C756C4"/>
    <w:rsid w:val="490910CB"/>
    <w:rsid w:val="49672FCD"/>
    <w:rsid w:val="497D1E37"/>
    <w:rsid w:val="49F74AF6"/>
    <w:rsid w:val="4A202CB3"/>
    <w:rsid w:val="4A741CD0"/>
    <w:rsid w:val="4AFF1CE5"/>
    <w:rsid w:val="4B2C2C5C"/>
    <w:rsid w:val="4B542445"/>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31A7701"/>
    <w:rsid w:val="535A4036"/>
    <w:rsid w:val="535E0C0C"/>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C64458"/>
    <w:rsid w:val="5AD56AE1"/>
    <w:rsid w:val="5AF42D65"/>
    <w:rsid w:val="5B721AD3"/>
    <w:rsid w:val="5BAF49EA"/>
    <w:rsid w:val="5C661078"/>
    <w:rsid w:val="5C9167F0"/>
    <w:rsid w:val="5D250AE8"/>
    <w:rsid w:val="5D8562D6"/>
    <w:rsid w:val="5E107A6E"/>
    <w:rsid w:val="5E552402"/>
    <w:rsid w:val="5EA954DA"/>
    <w:rsid w:val="5F165F74"/>
    <w:rsid w:val="5F3E22C2"/>
    <w:rsid w:val="5F8F3F9D"/>
    <w:rsid w:val="5FE44BCC"/>
    <w:rsid w:val="601278AE"/>
    <w:rsid w:val="607F216A"/>
    <w:rsid w:val="614B06AC"/>
    <w:rsid w:val="617C14DD"/>
    <w:rsid w:val="61D62E95"/>
    <w:rsid w:val="61D8581E"/>
    <w:rsid w:val="622218C3"/>
    <w:rsid w:val="6239511B"/>
    <w:rsid w:val="6308246A"/>
    <w:rsid w:val="6308767C"/>
    <w:rsid w:val="63287634"/>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AF6941"/>
    <w:rsid w:val="6C24259C"/>
    <w:rsid w:val="6CFA7874"/>
    <w:rsid w:val="6DBE17E3"/>
    <w:rsid w:val="6E160574"/>
    <w:rsid w:val="6F1A7E1A"/>
    <w:rsid w:val="6FF85E6E"/>
    <w:rsid w:val="70A4763A"/>
    <w:rsid w:val="70D45314"/>
    <w:rsid w:val="717B1403"/>
    <w:rsid w:val="71D842FA"/>
    <w:rsid w:val="71F00255"/>
    <w:rsid w:val="721434B7"/>
    <w:rsid w:val="725F33BF"/>
    <w:rsid w:val="72C251F0"/>
    <w:rsid w:val="72D87B33"/>
    <w:rsid w:val="72DD5B9E"/>
    <w:rsid w:val="7366202F"/>
    <w:rsid w:val="737A786F"/>
    <w:rsid w:val="740D3F11"/>
    <w:rsid w:val="745C550C"/>
    <w:rsid w:val="74D46B08"/>
    <w:rsid w:val="75184790"/>
    <w:rsid w:val="75577D7F"/>
    <w:rsid w:val="755D5C19"/>
    <w:rsid w:val="757022FB"/>
    <w:rsid w:val="75F71F3B"/>
    <w:rsid w:val="766D57C1"/>
    <w:rsid w:val="769714F7"/>
    <w:rsid w:val="76E83D9B"/>
    <w:rsid w:val="77827BF3"/>
    <w:rsid w:val="788F38A7"/>
    <w:rsid w:val="79017261"/>
    <w:rsid w:val="796608A4"/>
    <w:rsid w:val="79CA7D83"/>
    <w:rsid w:val="7A814BA2"/>
    <w:rsid w:val="7AAC5343"/>
    <w:rsid w:val="7C230E82"/>
    <w:rsid w:val="7C5C2009"/>
    <w:rsid w:val="7C6D71FD"/>
    <w:rsid w:val="7C7E2620"/>
    <w:rsid w:val="7CCE3276"/>
    <w:rsid w:val="7CDD6CC4"/>
    <w:rsid w:val="7D374E9E"/>
    <w:rsid w:val="7D82688C"/>
    <w:rsid w:val="7DB41EC3"/>
    <w:rsid w:val="7E930BA3"/>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8"/>
    <w:unhideWhenUsed/>
    <w:qFormat/>
    <w:uiPriority w:val="99"/>
    <w:pPr>
      <w:spacing w:after="120"/>
    </w:p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正文文本 Char"/>
    <w:basedOn w:val="7"/>
    <w:link w:val="2"/>
    <w:qFormat/>
    <w:uiPriority w:val="99"/>
    <w:rPr>
      <w:rFonts w:asciiTheme="minorHAnsi" w:hAnsiTheme="minorHAnsi" w:eastAsiaTheme="minorEastAsia" w:cstheme="minorBidi"/>
      <w:kern w:val="2"/>
      <w:sz w:val="21"/>
      <w:szCs w:val="22"/>
    </w:rPr>
  </w:style>
  <w:style w:type="character" w:customStyle="1" w:styleId="9">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13</Pages>
  <Words>1083</Words>
  <Characters>6174</Characters>
  <Lines>51</Lines>
  <Paragraphs>14</Paragraphs>
  <TotalTime>134</TotalTime>
  <ScaleCrop>false</ScaleCrop>
  <LinksUpToDate>false</LinksUpToDate>
  <CharactersWithSpaces>7243</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2020-09-11T05:38:00Z</dcterms:created>
  <dc:creator>de'l'l</dc:creator>
  <cp:lastModifiedBy>天空中的神话</cp:lastModifiedBy>
  <dcterms:modified xsi:type="dcterms:W3CDTF">2020-09-29T03:12:45Z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