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sz w:val="15"/>
          <w:szCs w:val="15"/>
          <w:lang w:eastAsia="zh-CN"/>
        </w:rPr>
      </w:pP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Theme="minorEastAsia" w:hAnsiTheme="minorEastAsia" w:eastAsiaTheme="minorEastAsia" w:cstheme="minorEastAsia"/>
          <w:b/>
          <w:sz w:val="36"/>
          <w:szCs w:val="36"/>
          <w:lang w:eastAsia="zh-CN"/>
        </w:rPr>
      </w:pPr>
      <w:r>
        <w:rPr>
          <w:rFonts w:hint="eastAsia" w:asciiTheme="minorEastAsia" w:hAnsiTheme="minorEastAsia" w:eastAsiaTheme="minorEastAsia" w:cstheme="minorEastAsia"/>
          <w:b/>
          <w:sz w:val="36"/>
          <w:szCs w:val="36"/>
          <w:lang w:eastAsia="zh-CN"/>
        </w:rPr>
        <w:t>寻甸回族彝族自治县纪律检查委员会2019年巡察、留置人员补助经费及留置点建设项目</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Theme="minorEastAsia" w:hAnsiTheme="minorEastAsia" w:eastAsiaTheme="minorEastAsia" w:cstheme="minorEastAsia"/>
          <w:b/>
          <w:sz w:val="36"/>
          <w:szCs w:val="36"/>
          <w:lang w:eastAsia="zh-CN"/>
        </w:rPr>
      </w:pPr>
      <w:r>
        <w:rPr>
          <w:rFonts w:hint="eastAsia" w:asciiTheme="minorEastAsia" w:hAnsiTheme="minorEastAsia" w:eastAsiaTheme="minorEastAsia" w:cstheme="minorEastAsia"/>
          <w:b/>
          <w:sz w:val="36"/>
          <w:szCs w:val="36"/>
          <w:lang w:eastAsia="zh-CN"/>
        </w:rPr>
        <w:t>绩效再评价报告</w:t>
      </w:r>
    </w:p>
    <w:p>
      <w:pPr>
        <w:spacing w:line="700" w:lineRule="exact"/>
        <w:jc w:val="center"/>
        <w:rPr>
          <w:rFonts w:hint="eastAsia" w:hAnsi="仿宋_GB2312" w:eastAsia="仿宋_GB2312" w:cs="仿宋_GB2312" w:asciiTheme="majorAscii"/>
          <w:spacing w:val="-20"/>
          <w:sz w:val="24"/>
          <w:szCs w:val="24"/>
        </w:rPr>
      </w:pPr>
      <w:bookmarkStart w:id="0" w:name="_Toc502134848"/>
      <w:r>
        <w:rPr>
          <w:rFonts w:hint="eastAsia" w:hAnsi="仿宋_GB2312" w:eastAsia="仿宋_GB2312" w:cs="仿宋_GB2312" w:asciiTheme="majorAscii"/>
          <w:spacing w:val="-20"/>
          <w:sz w:val="24"/>
          <w:szCs w:val="24"/>
        </w:rPr>
        <w:t>中兴财光华（云）审专字(20</w:t>
      </w:r>
      <w:r>
        <w:rPr>
          <w:rFonts w:hint="eastAsia" w:hAnsi="仿宋_GB2312" w:eastAsia="仿宋_GB2312" w:cs="仿宋_GB2312" w:asciiTheme="majorAscii"/>
          <w:spacing w:val="-20"/>
          <w:sz w:val="24"/>
          <w:szCs w:val="24"/>
          <w:lang w:val="en-US" w:eastAsia="zh-CN"/>
        </w:rPr>
        <w:t>20</w:t>
      </w:r>
      <w:r>
        <w:rPr>
          <w:rFonts w:hint="eastAsia" w:hAnsi="仿宋_GB2312" w:eastAsia="仿宋_GB2312" w:cs="仿宋_GB2312" w:asciiTheme="majorAscii"/>
          <w:spacing w:val="-20"/>
          <w:sz w:val="24"/>
          <w:szCs w:val="24"/>
        </w:rPr>
        <w:t>)第</w:t>
      </w:r>
      <w:r>
        <w:rPr>
          <w:rFonts w:hint="eastAsia" w:hAnsi="仿宋_GB2312" w:eastAsia="仿宋_GB2312" w:cs="仿宋_GB2312" w:asciiTheme="majorAscii"/>
          <w:spacing w:val="-20"/>
          <w:sz w:val="24"/>
          <w:szCs w:val="24"/>
          <w:lang w:val="en-US" w:eastAsia="zh-CN"/>
        </w:rPr>
        <w:t xml:space="preserve">      </w:t>
      </w:r>
      <w:r>
        <w:rPr>
          <w:rFonts w:hint="eastAsia" w:hAnsi="仿宋_GB2312" w:eastAsia="仿宋_GB2312" w:cs="仿宋_GB2312" w:asciiTheme="majorAscii"/>
          <w:spacing w:val="-20"/>
          <w:sz w:val="24"/>
          <w:szCs w:val="24"/>
        </w:rPr>
        <w:t>号</w:t>
      </w:r>
    </w:p>
    <w:p>
      <w:pPr>
        <w:spacing w:line="360" w:lineRule="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寻甸回族彝族自治县财政局：</w:t>
      </w:r>
    </w:p>
    <w:p>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受寻甸回族彝族自治县财政局委托，根据《寻甸县财政局关于印发&lt;寻甸县本级部门预算绩效自评管理暂行办法&gt;的通知》（寻财绩〔2018〕9号）、《寻甸回族彝族自治县财政局关于明确预算绩效管理工作职责的通知》(寻财〔2020〕5号)和《寻甸回族彝族自治县财政局关于对2019年度部门整体支出和重大项目支出进行再评价的通知》（寻财绩〔2020〕6号）等文件要求，中兴财光华会计师事务所(特殊普通合伙）云南分所组成审计评价组对</w:t>
      </w:r>
      <w:r>
        <w:rPr>
          <w:rFonts w:hint="eastAsia" w:asciiTheme="minorEastAsia" w:hAnsiTheme="minorEastAsia" w:eastAsiaTheme="minorEastAsia" w:cstheme="minorEastAsia"/>
          <w:sz w:val="28"/>
          <w:szCs w:val="28"/>
          <w:lang w:eastAsia="zh-CN"/>
        </w:rPr>
        <w:t>寻甸回族彝族自治县纪律检查委员会2019年巡察、留置人员补助经费及留置点建设项目</w:t>
      </w:r>
      <w:r>
        <w:rPr>
          <w:rFonts w:hint="eastAsia" w:asciiTheme="minorEastAsia" w:hAnsiTheme="minorEastAsia" w:eastAsiaTheme="minorEastAsia" w:cstheme="minorEastAsia"/>
          <w:sz w:val="28"/>
          <w:szCs w:val="28"/>
        </w:rPr>
        <w:t>支出的管理、使用及效益情况进行了绩效再评价。</w:t>
      </w:r>
      <w:r>
        <w:rPr>
          <w:rFonts w:hint="eastAsia" w:asciiTheme="minorEastAsia" w:hAnsiTheme="minorEastAsia" w:eastAsiaTheme="minorEastAsia" w:cstheme="minorEastAsia"/>
          <w:sz w:val="28"/>
          <w:szCs w:val="28"/>
          <w:lang w:eastAsia="zh-CN"/>
        </w:rPr>
        <w:t xml:space="preserve">寻甸回族彝族自治县纪律检查委员会 </w:t>
      </w:r>
      <w:r>
        <w:rPr>
          <w:rFonts w:hint="eastAsia" w:asciiTheme="minorEastAsia" w:hAnsiTheme="minorEastAsia" w:eastAsiaTheme="minorEastAsia" w:cstheme="minorEastAsia"/>
          <w:sz w:val="28"/>
          <w:szCs w:val="28"/>
        </w:rPr>
        <w:t>（以下简称“</w:t>
      </w:r>
      <w:r>
        <w:rPr>
          <w:rFonts w:hint="eastAsia" w:asciiTheme="minorEastAsia" w:hAnsiTheme="minorEastAsia" w:eastAsiaTheme="minorEastAsia" w:cstheme="minorEastAsia"/>
          <w:sz w:val="28"/>
          <w:szCs w:val="28"/>
          <w:lang w:eastAsia="zh-CN"/>
        </w:rPr>
        <w:t xml:space="preserve">寻甸县纪委 </w:t>
      </w:r>
      <w:r>
        <w:rPr>
          <w:rFonts w:hint="eastAsia" w:asciiTheme="minorEastAsia" w:hAnsiTheme="minorEastAsia" w:eastAsiaTheme="minorEastAsia" w:cstheme="minorEastAsia"/>
          <w:sz w:val="28"/>
          <w:szCs w:val="28"/>
        </w:rPr>
        <w:t>”）对所提供评价资料的真实性、完整性负责。现将再评价情况报告如下：</w:t>
      </w:r>
    </w:p>
    <w:p>
      <w:pPr>
        <w:spacing w:line="360" w:lineRule="auto"/>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一、基本情况</w:t>
      </w:r>
      <w:bookmarkEnd w:id="0"/>
    </w:p>
    <w:p>
      <w:pPr>
        <w:spacing w:line="360" w:lineRule="auto"/>
        <w:ind w:firstLine="562" w:firstLineChars="200"/>
        <w:rPr>
          <w:rFonts w:hint="eastAsia" w:asciiTheme="minorEastAsia" w:hAnsiTheme="minorEastAsia" w:eastAsiaTheme="minorEastAsia" w:cstheme="minorEastAsia"/>
          <w:b/>
          <w:bCs/>
          <w:sz w:val="28"/>
          <w:szCs w:val="28"/>
        </w:rPr>
      </w:pPr>
      <w:bookmarkStart w:id="1" w:name="_Toc502134849"/>
      <w:r>
        <w:rPr>
          <w:rFonts w:hint="eastAsia" w:asciiTheme="minorEastAsia" w:hAnsiTheme="minorEastAsia" w:eastAsiaTheme="minorEastAsia" w:cstheme="minorEastAsia"/>
          <w:b/>
          <w:bCs/>
          <w:sz w:val="28"/>
          <w:szCs w:val="28"/>
        </w:rPr>
        <w:t>（一）项目概况</w:t>
      </w:r>
      <w:bookmarkEnd w:id="1"/>
    </w:p>
    <w:p>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1.项目</w:t>
      </w:r>
      <w:r>
        <w:rPr>
          <w:rFonts w:hint="eastAsia" w:asciiTheme="minorEastAsia" w:hAnsiTheme="minorEastAsia" w:eastAsiaTheme="minorEastAsia" w:cstheme="minorEastAsia"/>
          <w:sz w:val="28"/>
          <w:szCs w:val="28"/>
          <w:lang w:eastAsia="zh-CN"/>
        </w:rPr>
        <w:t>设定</w:t>
      </w:r>
      <w:r>
        <w:rPr>
          <w:rFonts w:hint="eastAsia" w:asciiTheme="minorEastAsia" w:hAnsiTheme="minorEastAsia" w:eastAsiaTheme="minorEastAsia" w:cstheme="minorEastAsia"/>
          <w:sz w:val="28"/>
          <w:szCs w:val="28"/>
        </w:rPr>
        <w:t>背景、目的</w:t>
      </w:r>
    </w:p>
    <w:p>
      <w:pPr>
        <w:spacing w:line="360" w:lineRule="auto"/>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根据《中国共产党巡视工作条例》、《中共中央办公厅印发〈关于市县党委建立巡察制度的意见〉的通知》、《中共云南省委办公厅关于印发〈州（市）、县（市、区）党委巡察制度实施办法〉的通知》，以及中共寻甸回族彝族自治县委印发《关于健全完善巡察制度深入开展巡察工作的实施细则》的通知要求，县委在一届任期内要对所辖单位及部门实现巡察全覆盖，每年应开展不少于三个轮次的巡察工作。</w:t>
      </w:r>
    </w:p>
    <w:p>
      <w:pPr>
        <w:spacing w:line="360" w:lineRule="auto"/>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根据《中华人民共和国监察法》、《中共云南省纪律检查委员会云南省监察委员会关于印发〈云南省纪检监察机关监督执纪监察工作办法（试行）〉等四项制度的通知》（云纪发〔2018〕3号”）等法律和相关工作规范要求，寻甸县监察委没有专门的留置场所，公安机关现有羁押场所目前暂不具备留置功能，根据省市监察委关于另行选址装修改造留置点的相关要求，县监察委多方选址并报市监察委主管部门实地查勘同意，拟借用县档案局(馆)业务楼东楼一层部分闲置房间建设留置场所，经与档案局(馆)协商，该局(馆)同意借用,县监察委与县档案局(馆)签定借用协议并报县国资管理部门备案。</w:t>
      </w:r>
    </w:p>
    <w:p>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2.项目立项依据</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寻甸回族彝族自治县财政局关于下达2019年部门预算批复的通知》（寻财预{2019}1号），下达项目专项资金1,424,000.00元，其中：寻甸纪委巡察经费50,000.00元，留置场所建设经费1,130,000.00元，留置人员经费244,000.00元。</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根据《寻甸回族彝族自治县发展和改革局关于寻甸县监察委员会留置场所装修项目的立项批复》（寻发改投资</w:t>
      </w:r>
      <w:r>
        <w:rPr>
          <w:rFonts w:hint="eastAsia" w:asciiTheme="minorEastAsia" w:hAnsiTheme="minorEastAsia" w:eastAsiaTheme="minorEastAsia" w:cstheme="minorEastAsia"/>
          <w:sz w:val="28"/>
          <w:szCs w:val="28"/>
          <w:lang w:val="en-US" w:eastAsia="zh-CN"/>
        </w:rPr>
        <w:t>[2018]25号</w:t>
      </w:r>
      <w:r>
        <w:rPr>
          <w:rFonts w:hint="eastAsia" w:asciiTheme="minorEastAsia" w:hAnsiTheme="minorEastAsia" w:eastAsiaTheme="minorEastAsia" w:cstheme="minorEastAsia"/>
          <w:sz w:val="28"/>
          <w:szCs w:val="28"/>
          <w:lang w:eastAsia="zh-CN"/>
        </w:rPr>
        <w:t>），项目建设名称为寻甸县监察委员会留置</w:t>
      </w:r>
      <w:r>
        <w:rPr>
          <w:rFonts w:hint="eastAsia" w:asciiTheme="minorEastAsia" w:hAnsiTheme="minorEastAsia" w:cstheme="minorEastAsia"/>
          <w:sz w:val="28"/>
          <w:szCs w:val="28"/>
          <w:lang w:eastAsia="zh-CN"/>
        </w:rPr>
        <w:t>场</w:t>
      </w:r>
      <w:r>
        <w:rPr>
          <w:rFonts w:hint="eastAsia" w:asciiTheme="minorEastAsia" w:hAnsiTheme="minorEastAsia" w:eastAsiaTheme="minorEastAsia" w:cstheme="minorEastAsia"/>
          <w:sz w:val="28"/>
          <w:szCs w:val="28"/>
          <w:lang w:eastAsia="zh-CN"/>
        </w:rPr>
        <w:t>所装修项目，建设地点为寻甸县档案局业务楼东楼一层，建设内容及规模：设置留置室</w:t>
      </w:r>
      <w:r>
        <w:rPr>
          <w:rFonts w:hint="eastAsia" w:asciiTheme="minorEastAsia" w:hAnsiTheme="minorEastAsia" w:eastAsiaTheme="minorEastAsia" w:cstheme="minorEastAsia"/>
          <w:sz w:val="28"/>
          <w:szCs w:val="28"/>
          <w:lang w:val="en-US" w:eastAsia="zh-CN"/>
        </w:rPr>
        <w:t>3个（含卫生间）共113.4㎡，询问（谈话）室2个共50.72平方米、监控室1个25.36㎡、指挥中心（会议室）1个27.99㎡、文印室及涉案物品保管室1个24.4㎡，独立厨房及就餐间1个26.64㎡。项目总投资180万元。</w:t>
      </w:r>
    </w:p>
    <w:p>
      <w:pPr>
        <w:spacing w:line="360" w:lineRule="auto"/>
        <w:ind w:firstLine="562" w:firstLineChars="200"/>
        <w:rPr>
          <w:rFonts w:hint="eastAsia" w:asciiTheme="minorEastAsia" w:hAnsiTheme="minorEastAsia" w:eastAsiaTheme="minorEastAsia" w:cstheme="minorEastAsia"/>
          <w:b/>
          <w:bCs/>
          <w:sz w:val="28"/>
          <w:szCs w:val="28"/>
        </w:rPr>
      </w:pPr>
      <w:bookmarkStart w:id="2" w:name="_Toc502134850"/>
      <w:r>
        <w:rPr>
          <w:rFonts w:hint="eastAsia" w:asciiTheme="minorEastAsia" w:hAnsiTheme="minorEastAsia" w:eastAsiaTheme="minorEastAsia" w:cstheme="minorEastAsia"/>
          <w:b/>
          <w:bCs/>
          <w:sz w:val="28"/>
          <w:szCs w:val="28"/>
        </w:rPr>
        <w:t>（二）项目资金安排情况</w:t>
      </w:r>
      <w:bookmarkEnd w:id="2"/>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寻甸回族彝族自治县财政局关于下达2019年部门预算批复的通知》（寻财预{2019}1号），下达项目专项资金1,424,000.00元，其中：寻甸纪委巡察经费50,000.00元，留置场所建设经费1,130,000.00元，留置人员经费244,000.00元。</w:t>
      </w:r>
      <w:r>
        <w:rPr>
          <w:rFonts w:hint="eastAsia" w:asciiTheme="minorEastAsia" w:hAnsiTheme="minorEastAsia" w:eastAsiaTheme="minorEastAsia" w:cstheme="minorEastAsia"/>
          <w:sz w:val="28"/>
          <w:szCs w:val="28"/>
          <w:lang w:eastAsia="zh-CN"/>
        </w:rPr>
        <w:t>截至</w:t>
      </w:r>
      <w:r>
        <w:rPr>
          <w:rFonts w:hint="eastAsia" w:asciiTheme="minorEastAsia" w:hAnsiTheme="minorEastAsia" w:eastAsiaTheme="minorEastAsia" w:cstheme="minorEastAsia"/>
          <w:sz w:val="28"/>
          <w:szCs w:val="28"/>
          <w:lang w:val="en-US" w:eastAsia="zh-CN"/>
        </w:rPr>
        <w:t>2019年12月31日，项目专项资金已全部支付完。</w:t>
      </w:r>
    </w:p>
    <w:p>
      <w:pPr>
        <w:spacing w:line="360" w:lineRule="auto"/>
        <w:ind w:firstLine="562" w:firstLineChars="200"/>
        <w:rPr>
          <w:rFonts w:hint="eastAsia" w:asciiTheme="minorEastAsia" w:hAnsiTheme="minorEastAsia" w:eastAsiaTheme="minorEastAsia" w:cstheme="minorEastAsia"/>
          <w:b/>
          <w:bCs/>
          <w:sz w:val="28"/>
          <w:szCs w:val="28"/>
        </w:rPr>
      </w:pPr>
      <w:bookmarkStart w:id="3" w:name="_Toc502134851"/>
      <w:r>
        <w:rPr>
          <w:rFonts w:hint="eastAsia" w:asciiTheme="minorEastAsia" w:hAnsiTheme="minorEastAsia" w:eastAsiaTheme="minorEastAsia" w:cstheme="minorEastAsia"/>
          <w:b/>
          <w:bCs/>
          <w:sz w:val="28"/>
          <w:szCs w:val="28"/>
        </w:rPr>
        <w:t>（三）项目实施内容</w:t>
      </w:r>
      <w:bookmarkEnd w:id="3"/>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按照巡视工作条例规定的“六围绕一加强”、“五个持续”巡察工作要求，通过查阅台账、问卷调查、实地走访、个别谈话等方式，对被巡察单位党组织进行政治体检。开展3轮政治巡察，组建巡察组16个，巡察18家单位党组织、36个村（社区）党组织，发现问题333个，提出意见建议118条，第七轮、第八轮被巡察单位整改问题188个，整改率95.43 %，制定整改措施443条，建立健全制度105项。移交问题线索69件，办结22件，党纪政务处分1人，清退违规资金260余万元，巡察利剑威力得以充分彰显。</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2.留置场所装修项目已全面完成，并已投入使用，项目总投资为188万元，超项目批复投资8万元，超支的原因主要是由于增加项目工程量。</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3.全年规范使用审查调查措施1191次，其中：谈话607次，询问178次，讯问129次，查询109次，调取136次，查封2次，扣押14次，搜查7次，鉴定4次，留置5次。</w:t>
      </w:r>
    </w:p>
    <w:p>
      <w:pPr>
        <w:spacing w:line="360" w:lineRule="auto"/>
        <w:ind w:firstLine="562" w:firstLineChars="200"/>
        <w:rPr>
          <w:rFonts w:hint="eastAsia" w:asciiTheme="minorEastAsia" w:hAnsiTheme="minorEastAsia" w:eastAsiaTheme="minorEastAsia" w:cstheme="minorEastAsia"/>
          <w:b/>
          <w:bCs/>
          <w:sz w:val="28"/>
          <w:szCs w:val="28"/>
        </w:rPr>
      </w:pPr>
      <w:bookmarkStart w:id="4" w:name="_Toc502134852"/>
      <w:r>
        <w:rPr>
          <w:rFonts w:hint="eastAsia" w:asciiTheme="minorEastAsia" w:hAnsiTheme="minorEastAsia" w:eastAsiaTheme="minorEastAsia" w:cstheme="minorEastAsia"/>
          <w:b/>
          <w:bCs/>
          <w:sz w:val="28"/>
          <w:szCs w:val="28"/>
        </w:rPr>
        <w:t>（四）项目绩效目标</w:t>
      </w:r>
      <w:r>
        <w:rPr>
          <w:rFonts w:hint="eastAsia" w:asciiTheme="minorEastAsia" w:hAnsiTheme="minorEastAsia" w:eastAsiaTheme="minorEastAsia" w:cstheme="minorEastAsia"/>
          <w:b/>
          <w:bCs/>
          <w:sz w:val="28"/>
          <w:szCs w:val="28"/>
          <w:lang w:eastAsia="zh-CN"/>
        </w:rPr>
        <w:t>设定</w:t>
      </w:r>
      <w:r>
        <w:rPr>
          <w:rFonts w:hint="eastAsia" w:asciiTheme="minorEastAsia" w:hAnsiTheme="minorEastAsia" w:eastAsiaTheme="minorEastAsia" w:cstheme="minorEastAsia"/>
          <w:b/>
          <w:bCs/>
          <w:sz w:val="28"/>
          <w:szCs w:val="28"/>
        </w:rPr>
        <w:t>情况</w:t>
      </w:r>
      <w:bookmarkEnd w:id="4"/>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寻甸县纪委2019年巡察、留置人员补助经费及留置点建设项目预算申报时设定的绩效目标是：1.强化纪律规矩执行情况的监督检查，加大政治纪律审查力度，防范和解决党内政治生活中的突出问题，及时发现和查处“七个有之”等行为，对不守纪律、不讲规矩的一律严肃查处，决不姑息。2.深入开展巡察工作，推动全面从严治党向纵深发展。3.在规定时限内按要求完成留置场所装修改造工程并投入使用。</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设定的绩效指标具体情况如下：</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04"/>
        <w:gridCol w:w="805"/>
        <w:gridCol w:w="1316"/>
        <w:gridCol w:w="3492"/>
        <w:gridCol w:w="19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7"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绩效指标</w:t>
            </w: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一级指标</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二级指标</w:t>
            </w: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三级指标</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7"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0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产出指标</w:t>
            </w:r>
          </w:p>
        </w:tc>
        <w:tc>
          <w:tcPr>
            <w:tcW w:w="1316"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数量指标</w:t>
            </w: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本年巡察轮次</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Style w:val="8"/>
                <w:rFonts w:hint="eastAsia" w:asciiTheme="minorEastAsia" w:hAnsiTheme="minorEastAsia" w:eastAsiaTheme="minorEastAsia" w:cstheme="minorEastAsia"/>
                <w:sz w:val="22"/>
                <w:szCs w:val="22"/>
                <w:lang w:val="en-US" w:eastAsia="zh-CN" w:bidi="ar"/>
              </w:rPr>
              <w:t>3</w:t>
            </w:r>
            <w:r>
              <w:rPr>
                <w:rStyle w:val="9"/>
                <w:rFonts w:hint="eastAsia" w:asciiTheme="minorEastAsia" w:hAnsiTheme="minorEastAsia" w:eastAsiaTheme="minorEastAsia" w:cstheme="minorEastAsia"/>
                <w:sz w:val="22"/>
                <w:szCs w:val="22"/>
                <w:lang w:val="en-US" w:eastAsia="zh-CN" w:bidi="ar"/>
              </w:rPr>
              <w:t>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7"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31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本年留置人员</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Style w:val="9"/>
                <w:rFonts w:hint="eastAsia" w:asciiTheme="minorEastAsia" w:hAnsiTheme="minorEastAsia" w:eastAsiaTheme="minorEastAsia" w:cstheme="minorEastAsia"/>
                <w:sz w:val="22"/>
                <w:szCs w:val="22"/>
                <w:lang w:val="en-US" w:eastAsia="zh-CN" w:bidi="ar"/>
              </w:rPr>
              <w:t>≥</w:t>
            </w:r>
            <w:r>
              <w:rPr>
                <w:rStyle w:val="8"/>
                <w:rFonts w:hint="eastAsia" w:asciiTheme="minorEastAsia" w:hAnsiTheme="minorEastAsia" w:eastAsiaTheme="minorEastAsia" w:cstheme="minorEastAsia"/>
                <w:sz w:val="22"/>
                <w:szCs w:val="22"/>
                <w:lang w:val="en-US" w:eastAsia="zh-CN" w:bidi="ar"/>
              </w:rPr>
              <w:t>5</w:t>
            </w:r>
            <w:r>
              <w:rPr>
                <w:rStyle w:val="9"/>
                <w:rFonts w:hint="eastAsia" w:asciiTheme="minorEastAsia" w:hAnsiTheme="minorEastAsia" w:eastAsiaTheme="minorEastAsia" w:cstheme="minorEastAsia"/>
                <w:sz w:val="22"/>
                <w:szCs w:val="22"/>
                <w:lang w:val="en-US" w:eastAsia="zh-CN" w:bidi="ar"/>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7"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31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装修改造留置场所个数</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Style w:val="8"/>
                <w:rFonts w:hint="eastAsia" w:asciiTheme="minorEastAsia" w:hAnsiTheme="minorEastAsia" w:eastAsiaTheme="minorEastAsia" w:cstheme="minorEastAsia"/>
                <w:sz w:val="22"/>
                <w:szCs w:val="22"/>
                <w:lang w:val="en-US" w:eastAsia="zh-CN" w:bidi="ar"/>
              </w:rPr>
              <w:t>1</w:t>
            </w:r>
            <w:r>
              <w:rPr>
                <w:rStyle w:val="9"/>
                <w:rFonts w:hint="eastAsia" w:asciiTheme="minorEastAsia" w:hAnsiTheme="minorEastAsia" w:eastAsiaTheme="minorEastAsia" w:cstheme="minorEastAsia"/>
                <w:sz w:val="22"/>
                <w:szCs w:val="22"/>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316"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质量指标</w:t>
            </w: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巡察工作任务完成率及整改率</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7"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31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留置案件办结率</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7"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31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留置点建质量设验收合格率</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7"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时效指标</w:t>
            </w: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完成及时率</w:t>
            </w:r>
          </w:p>
        </w:tc>
        <w:tc>
          <w:tcPr>
            <w:tcW w:w="191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7"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316"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成本指标</w:t>
            </w: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3轮巡察经费</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56.62万元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7"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31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留置人员经费</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24.4万元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285"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31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留置场所装修改造经费</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Style w:val="9"/>
                <w:rFonts w:hint="eastAsia" w:asciiTheme="minorEastAsia" w:hAnsiTheme="minorEastAsia" w:eastAsiaTheme="minorEastAsia" w:cstheme="minorEastAsia"/>
                <w:sz w:val="22"/>
                <w:szCs w:val="22"/>
                <w:lang w:val="en-US" w:eastAsia="zh-CN" w:bidi="ar"/>
              </w:rPr>
              <w:t>113万元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5"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0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效益指标</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经济效益指标</w:t>
            </w: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1、查办案件，追回经济损失。2、减少腐败，挽回经济损失</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Style w:val="9"/>
                <w:rFonts w:hint="eastAsia" w:asciiTheme="minorEastAsia" w:hAnsiTheme="minorEastAsia" w:eastAsiaTheme="minorEastAsia" w:cstheme="minorEastAsia"/>
                <w:sz w:val="22"/>
                <w:szCs w:val="22"/>
                <w:lang w:val="en-US" w:eastAsia="zh-CN" w:bidi="ar"/>
              </w:rPr>
              <w:t>50万元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9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0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31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社会效益指标</w:t>
            </w: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震慑腐败分子，减少腐败，挽回经济损失</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显著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5"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满意度指标</w:t>
            </w:r>
          </w:p>
        </w:tc>
        <w:tc>
          <w:tcPr>
            <w:tcW w:w="1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服务对象满意度指标</w:t>
            </w:r>
          </w:p>
        </w:tc>
        <w:tc>
          <w:tcPr>
            <w:tcW w:w="34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Style w:val="7"/>
                <w:rFonts w:hint="eastAsia" w:asciiTheme="minorEastAsia" w:hAnsiTheme="minorEastAsia" w:eastAsiaTheme="minorEastAsia" w:cstheme="minorEastAsia"/>
                <w:sz w:val="22"/>
                <w:szCs w:val="22"/>
                <w:lang w:val="en-US" w:eastAsia="zh-CN" w:bidi="ar"/>
              </w:rPr>
              <w:t>受益对象满意度</w:t>
            </w:r>
          </w:p>
        </w:tc>
        <w:tc>
          <w:tcPr>
            <w:tcW w:w="191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≥90%</w:t>
            </w:r>
          </w:p>
        </w:tc>
      </w:tr>
    </w:tbl>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寻甸县纪委提供的绩效目标申报表，存在申报表填列不规范，绩效目标不明确，未能全面反映预算资金的预期产出和效果，绩效指标不规范、不完整等。绩效再评价小组根据提供的绩效目标申报表，并结合本项目设定的背景、目的及依据等，将本项目绩效目标、绩效指标及指标值设定如下：</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1.绩效目标</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2019年开展3轮政治巡察，留置人员不少于5人，完成留置场所装修改造工程，通过项目的实施，反腐震慑作用不断彰显，人民利益得到有效的维护，群众获得感显著。</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2.绩效指标</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24"/>
        <w:gridCol w:w="824"/>
        <w:gridCol w:w="1400"/>
        <w:gridCol w:w="3820"/>
        <w:gridCol w:w="14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7" w:hRule="atLeast"/>
        </w:trPr>
        <w:tc>
          <w:tcPr>
            <w:tcW w:w="82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bookmarkStart w:id="5" w:name="_Toc502134853"/>
            <w:r>
              <w:rPr>
                <w:rFonts w:hint="eastAsia" w:asciiTheme="minorEastAsia" w:hAnsiTheme="minorEastAsia" w:eastAsiaTheme="minorEastAsia" w:cstheme="minorEastAsia"/>
                <w:i w:val="0"/>
                <w:color w:val="000000"/>
                <w:kern w:val="0"/>
                <w:sz w:val="22"/>
                <w:szCs w:val="22"/>
                <w:u w:val="none"/>
                <w:lang w:val="en-US" w:eastAsia="zh-CN" w:bidi="ar"/>
              </w:rPr>
              <w:t>绩效指标</w:t>
            </w: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一级指标</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二级指标</w:t>
            </w:r>
          </w:p>
        </w:tc>
        <w:tc>
          <w:tcPr>
            <w:tcW w:w="38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三级指标</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7" w:hRule="atLeast"/>
        </w:trPr>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2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产出指标</w:t>
            </w:r>
          </w:p>
        </w:tc>
        <w:tc>
          <w:tcPr>
            <w:tcW w:w="140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数量指标</w:t>
            </w:r>
          </w:p>
        </w:tc>
        <w:tc>
          <w:tcPr>
            <w:tcW w:w="38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本年巡察轮次</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3轮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7" w:hRule="atLeast"/>
        </w:trPr>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hint="eastAsia" w:asciiTheme="minorEastAsia" w:hAnsiTheme="minorEastAsia" w:eastAsiaTheme="minorEastAsia" w:cstheme="minorEastAsia"/>
                <w:i w:val="0"/>
                <w:color w:val="000000"/>
                <w:sz w:val="22"/>
                <w:szCs w:val="22"/>
                <w:u w:val="none"/>
              </w:rPr>
            </w:pPr>
          </w:p>
        </w:tc>
        <w:tc>
          <w:tcPr>
            <w:tcW w:w="38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本年留置人员</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7" w:hRule="atLeast"/>
        </w:trPr>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hint="eastAsia" w:asciiTheme="minorEastAsia" w:hAnsiTheme="minorEastAsia" w:eastAsiaTheme="minorEastAsia" w:cstheme="minorEastAsia"/>
                <w:i w:val="0"/>
                <w:color w:val="000000"/>
                <w:sz w:val="22"/>
                <w:szCs w:val="22"/>
                <w:u w:val="none"/>
              </w:rPr>
            </w:pPr>
          </w:p>
        </w:tc>
        <w:tc>
          <w:tcPr>
            <w:tcW w:w="38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装修改造留置场所个数</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60" w:hRule="atLeast"/>
        </w:trPr>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40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质量指标</w:t>
            </w:r>
          </w:p>
        </w:tc>
        <w:tc>
          <w:tcPr>
            <w:tcW w:w="38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巡察工作任务完成率及整改率</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7" w:hRule="atLeast"/>
        </w:trPr>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hint="eastAsia" w:asciiTheme="minorEastAsia" w:hAnsiTheme="minorEastAsia" w:eastAsiaTheme="minorEastAsia" w:cstheme="minorEastAsia"/>
                <w:i w:val="0"/>
                <w:color w:val="000000"/>
                <w:sz w:val="22"/>
                <w:szCs w:val="22"/>
                <w:u w:val="none"/>
              </w:rPr>
            </w:pPr>
          </w:p>
        </w:tc>
        <w:tc>
          <w:tcPr>
            <w:tcW w:w="38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留置案件办结率</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7" w:hRule="atLeast"/>
        </w:trPr>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40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rPr>
                <w:rFonts w:hint="eastAsia" w:asciiTheme="minorEastAsia" w:hAnsiTheme="minorEastAsia" w:eastAsiaTheme="minorEastAsia" w:cstheme="minorEastAsia"/>
                <w:i w:val="0"/>
                <w:color w:val="000000"/>
                <w:sz w:val="22"/>
                <w:szCs w:val="22"/>
                <w:u w:val="none"/>
              </w:rPr>
            </w:pPr>
          </w:p>
        </w:tc>
        <w:tc>
          <w:tcPr>
            <w:tcW w:w="38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留置点建质量设验收合格率</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7" w:hRule="atLeast"/>
        </w:trPr>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时效指标</w:t>
            </w:r>
          </w:p>
        </w:tc>
        <w:tc>
          <w:tcPr>
            <w:tcW w:w="38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完成及时率</w:t>
            </w: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27" w:hRule="atLeast"/>
        </w:trPr>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4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成本指标</w:t>
            </w:r>
          </w:p>
        </w:tc>
        <w:tc>
          <w:tcPr>
            <w:tcW w:w="38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成本节约率</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95" w:hRule="atLeast"/>
        </w:trPr>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2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效益指标</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经济效益指标</w:t>
            </w:r>
          </w:p>
        </w:tc>
        <w:tc>
          <w:tcPr>
            <w:tcW w:w="38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通过执纪审查和监察调查，挽回经济损失</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≥50万元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60" w:hRule="atLeast"/>
        </w:trPr>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2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4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社会效益指标</w:t>
            </w:r>
          </w:p>
        </w:tc>
        <w:tc>
          <w:tcPr>
            <w:tcW w:w="38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通过项目的实施，反腐震慑作用不断彰显，人民利益得到有效的维护，群众获得感显著</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显著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80" w:hRule="atLeast"/>
        </w:trPr>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24" w:type="dxa"/>
            <w:tcBorders>
              <w:top w:val="nil"/>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40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可持续影响指标</w:t>
            </w:r>
          </w:p>
        </w:tc>
        <w:tc>
          <w:tcPr>
            <w:tcW w:w="38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审查调查安全事故发生率</w:t>
            </w:r>
          </w:p>
        </w:tc>
        <w:tc>
          <w:tcPr>
            <w:tcW w:w="14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00" w:hRule="atLeast"/>
        </w:trPr>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满意度指标</w:t>
            </w:r>
          </w:p>
        </w:tc>
        <w:tc>
          <w:tcPr>
            <w:tcW w:w="14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服务对象满意度指标</w:t>
            </w:r>
          </w:p>
        </w:tc>
        <w:tc>
          <w:tcPr>
            <w:tcW w:w="382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受益对象满意度</w:t>
            </w: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≥95%</w:t>
            </w:r>
          </w:p>
        </w:tc>
      </w:tr>
    </w:tbl>
    <w:p>
      <w:pPr>
        <w:spacing w:line="360" w:lineRule="auto"/>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（五）组织管理情况</w:t>
      </w:r>
      <w:bookmarkEnd w:id="5"/>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1.巡察工作主要由县委巡察办负责组织开展，2019年组建了巡察组16个，巡察了单位党组织18家、村（社区）36个，开展政治巡察3轮。</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2.留置点装修工程由县纪委同意负责监督和管理，留置人员经费由寻甸纪委负责统一管理和核算。</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资金管理上主要执行《政府会计制度》政策。</w:t>
      </w:r>
    </w:p>
    <w:p>
      <w:pPr>
        <w:spacing w:line="360" w:lineRule="auto"/>
        <w:ind w:firstLine="562" w:firstLineChars="200"/>
        <w:rPr>
          <w:rFonts w:hint="eastAsia" w:asciiTheme="minorEastAsia" w:hAnsiTheme="minorEastAsia" w:eastAsiaTheme="minorEastAsia" w:cstheme="minorEastAsia"/>
          <w:b/>
          <w:bCs/>
          <w:sz w:val="28"/>
          <w:szCs w:val="28"/>
        </w:rPr>
      </w:pPr>
      <w:bookmarkStart w:id="6" w:name="_Toc502134854"/>
      <w:r>
        <w:rPr>
          <w:rFonts w:hint="eastAsia" w:asciiTheme="minorEastAsia" w:hAnsiTheme="minorEastAsia" w:eastAsiaTheme="minorEastAsia" w:cstheme="minorEastAsia"/>
          <w:b/>
          <w:bCs/>
          <w:sz w:val="28"/>
          <w:szCs w:val="28"/>
        </w:rPr>
        <w:t>二、绩效自评情况</w:t>
      </w:r>
      <w:bookmarkEnd w:id="6"/>
    </w:p>
    <w:p>
      <w:pPr>
        <w:spacing w:line="360" w:lineRule="auto"/>
        <w:ind w:firstLine="562" w:firstLineChars="200"/>
        <w:rPr>
          <w:rFonts w:hint="eastAsia" w:asciiTheme="minorEastAsia" w:hAnsiTheme="minorEastAsia" w:eastAsiaTheme="minorEastAsia" w:cstheme="minorEastAsia"/>
          <w:b/>
          <w:bCs/>
          <w:sz w:val="28"/>
          <w:szCs w:val="28"/>
        </w:rPr>
      </w:pPr>
      <w:bookmarkStart w:id="7" w:name="_Toc498009772"/>
      <w:bookmarkStart w:id="8" w:name="_Toc502134855"/>
      <w:r>
        <w:rPr>
          <w:rFonts w:hint="eastAsia" w:asciiTheme="minorEastAsia" w:hAnsiTheme="minorEastAsia" w:eastAsiaTheme="minorEastAsia" w:cstheme="minorEastAsia"/>
          <w:b/>
          <w:bCs/>
          <w:sz w:val="28"/>
          <w:szCs w:val="28"/>
        </w:rPr>
        <w:t>（一）绩效自评概述</w:t>
      </w:r>
      <w:bookmarkEnd w:id="7"/>
      <w:bookmarkEnd w:id="8"/>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寻甸回族彝族自治县财政局关于对2019年度部门整体支出和重大项目支出进行再评价的通知》（寻财绩〔2020〕6号）等文件的规定，寻甸县纪委成立了2019年巡察、留置人员补助经费及留置点建设项目支出绩效自评组，并于2020年5月形成了《寻甸县纪委项目支出绩效自评报告》。</w:t>
      </w:r>
    </w:p>
    <w:p>
      <w:pPr>
        <w:spacing w:line="360" w:lineRule="auto"/>
        <w:ind w:firstLine="562" w:firstLineChars="200"/>
        <w:rPr>
          <w:rFonts w:hint="eastAsia" w:asciiTheme="minorEastAsia" w:hAnsiTheme="minorEastAsia" w:eastAsiaTheme="minorEastAsia" w:cstheme="minorEastAsia"/>
          <w:b/>
          <w:bCs/>
          <w:sz w:val="28"/>
          <w:szCs w:val="28"/>
        </w:rPr>
      </w:pPr>
      <w:bookmarkStart w:id="9" w:name="_Toc498009773"/>
      <w:bookmarkStart w:id="10" w:name="_Toc502134856"/>
      <w:r>
        <w:rPr>
          <w:rFonts w:hint="eastAsia" w:asciiTheme="minorEastAsia" w:hAnsiTheme="minorEastAsia" w:eastAsiaTheme="minorEastAsia" w:cstheme="minorEastAsia"/>
          <w:b/>
          <w:bCs/>
          <w:sz w:val="28"/>
          <w:szCs w:val="28"/>
        </w:rPr>
        <w:t>（二）绩效自评结论</w:t>
      </w:r>
      <w:bookmarkEnd w:id="9"/>
      <w:bookmarkEnd w:id="10"/>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寻甸县纪委提供的2019年巡察、留置人员补助经费及留置点建设项目支出绩效自评报告，寻甸县纪委2019年巡察、留置人员补助经费及留置点建设项目支出的管理、使用及效益情况绩效自评综合得分为94.5分，无自评结果等级。</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部门自评综合结论是：从预算完成情况来看，项目指标下达142.4万元，全年实际支出142.39994万元，预算完成率99.99%，从项目实施情况来看，基本完成目标管理，在项目资金保障前提下县委巡察工作圆满完成、留置场所装修改造工程按期完成通过验收并投入使用、留置人员工作正常开展。</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同时，绩效自评提出以下问题：一是制度体系不够健全，部分条款不合理；二是巡察经费实际预算资金短缺，一定程度影响项目质量。</w:t>
      </w:r>
    </w:p>
    <w:p>
      <w:pPr>
        <w:spacing w:line="360" w:lineRule="auto"/>
        <w:ind w:firstLine="562" w:firstLineChars="200"/>
        <w:rPr>
          <w:rFonts w:hint="eastAsia" w:asciiTheme="minorEastAsia" w:hAnsiTheme="minorEastAsia" w:eastAsiaTheme="minorEastAsia" w:cstheme="minorEastAsia"/>
          <w:b/>
          <w:bCs/>
          <w:sz w:val="28"/>
          <w:szCs w:val="28"/>
        </w:rPr>
      </w:pPr>
      <w:bookmarkStart w:id="11" w:name="_Toc502134857"/>
      <w:r>
        <w:rPr>
          <w:rFonts w:hint="eastAsia" w:asciiTheme="minorEastAsia" w:hAnsiTheme="minorEastAsia" w:eastAsiaTheme="minorEastAsia" w:cstheme="minorEastAsia"/>
          <w:b/>
          <w:bCs/>
          <w:sz w:val="28"/>
          <w:szCs w:val="28"/>
        </w:rPr>
        <w:t>三、绩效再评价组织情况</w:t>
      </w:r>
      <w:bookmarkEnd w:id="11"/>
    </w:p>
    <w:p>
      <w:pPr>
        <w:spacing w:line="360" w:lineRule="auto"/>
        <w:ind w:firstLine="562" w:firstLineChars="200"/>
        <w:rPr>
          <w:rFonts w:hint="eastAsia" w:asciiTheme="minorEastAsia" w:hAnsiTheme="minorEastAsia" w:eastAsiaTheme="minorEastAsia" w:cstheme="minorEastAsia"/>
          <w:b/>
          <w:bCs/>
          <w:sz w:val="28"/>
          <w:szCs w:val="28"/>
        </w:rPr>
      </w:pPr>
      <w:bookmarkStart w:id="12" w:name="_Toc502134858"/>
      <w:r>
        <w:rPr>
          <w:rFonts w:hint="eastAsia" w:asciiTheme="minorEastAsia" w:hAnsiTheme="minorEastAsia" w:eastAsiaTheme="minorEastAsia" w:cstheme="minorEastAsia"/>
          <w:b/>
          <w:bCs/>
          <w:sz w:val="28"/>
          <w:szCs w:val="28"/>
        </w:rPr>
        <w:t>（一）绩效再评价依据</w:t>
      </w:r>
      <w:bookmarkEnd w:id="12"/>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1.《中华人民共和国预算法》（2014年修订）；</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2.《中共云南省委、云南省人民政府关于全面实施预算管理绩效的意见》（云发〔2019〕11号）；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3.《云南省省级财政预算绩效管理暂行办法》（云财预〔2015〕295号）；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4.《寻甸回族彝族自治县发展和改革局关于寻甸县监察委员会留置场所装修项目的立项批复》（寻发改投资[2018]25号）；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5.《关于印发中共寻甸县纪委十二届五次全体会议工作报告的通知》（寻纪发[2020]1号）；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6.寻甸回族彝族自治县监察委员会留置场所建设项目工程施工合同；</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7.寻甸县监委办案区建设项目验收会议记录；</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8.根据《寻甸回族彝族自治县财政局关于下达2019年部门预算批复的通知》（寻财预[2019]1号）；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9.其他相关依据文件。</w:t>
      </w:r>
    </w:p>
    <w:p>
      <w:pPr>
        <w:spacing w:line="360" w:lineRule="auto"/>
        <w:ind w:firstLine="562" w:firstLineChars="200"/>
        <w:rPr>
          <w:rFonts w:hint="eastAsia" w:asciiTheme="minorEastAsia" w:hAnsiTheme="minorEastAsia" w:eastAsiaTheme="minorEastAsia" w:cstheme="minorEastAsia"/>
          <w:b/>
          <w:bCs/>
          <w:sz w:val="28"/>
          <w:szCs w:val="28"/>
        </w:rPr>
      </w:pPr>
      <w:bookmarkStart w:id="13" w:name="_Toc502134859"/>
      <w:r>
        <w:rPr>
          <w:rFonts w:hint="eastAsia" w:asciiTheme="minorEastAsia" w:hAnsiTheme="minorEastAsia" w:eastAsiaTheme="minorEastAsia" w:cstheme="minorEastAsia"/>
          <w:b/>
          <w:bCs/>
          <w:sz w:val="28"/>
          <w:szCs w:val="28"/>
        </w:rPr>
        <w:t>（二）绩效再评价方法</w:t>
      </w:r>
      <w:bookmarkEnd w:id="13"/>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次绩效评价中采取定量与定性相结合的方式，具体实施了审阅自评、实地评价、交换和反馈意见、专家会审等程序。通过资料收集、数据填报、案卷研究、实地调研、座谈会、问卷调查等方式，开展实地再评价。对2019年巡察、留置人员补助经费及留置点建设项目相关档案资料进行查阅，结合现场核实情况和资金到位使用及结余情况的分析，进行数据分析和取证。</w:t>
      </w:r>
    </w:p>
    <w:p>
      <w:pPr>
        <w:spacing w:line="360" w:lineRule="auto"/>
        <w:ind w:firstLine="562" w:firstLineChars="200"/>
        <w:rPr>
          <w:rFonts w:hint="eastAsia" w:asciiTheme="minorEastAsia" w:hAnsiTheme="minorEastAsia" w:eastAsiaTheme="minorEastAsia" w:cstheme="minorEastAsia"/>
          <w:b/>
          <w:bCs/>
          <w:sz w:val="28"/>
          <w:szCs w:val="28"/>
        </w:rPr>
      </w:pPr>
      <w:bookmarkStart w:id="14" w:name="_Toc502134860"/>
      <w:r>
        <w:rPr>
          <w:rFonts w:hint="eastAsia" w:asciiTheme="minorEastAsia" w:hAnsiTheme="minorEastAsia" w:eastAsiaTheme="minorEastAsia" w:cstheme="minorEastAsia"/>
          <w:b/>
          <w:bCs/>
          <w:sz w:val="28"/>
          <w:szCs w:val="28"/>
        </w:rPr>
        <w:t>（三）绩效再评价指标体系</w:t>
      </w:r>
      <w:bookmarkEnd w:id="14"/>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1.绩效再评价指标</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项目绩效再评价以100分计，设项目决策、项目管理、项目绩效3个一级指标，权重分别为：20%、20%、60%。在此基础上设定7个二级指标（项目立项、项目目标、投入管理、财务管理、项目实施、项目产出、项目效益）。设20个三级指标。</w:t>
      </w:r>
    </w:p>
    <w:p>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15" w:name="_Toc502134861"/>
      <w:r>
        <w:rPr>
          <w:rFonts w:hint="eastAsia" w:asciiTheme="minorEastAsia" w:hAnsiTheme="minorEastAsia" w:eastAsiaTheme="minorEastAsia" w:cstheme="minorEastAsia"/>
          <w:sz w:val="28"/>
          <w:szCs w:val="28"/>
          <w:lang w:val="en-US" w:eastAsia="zh-CN"/>
        </w:rPr>
        <w:t>2.评价标准</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(1)部门整体评价得分满分为100分。</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(2)由审计评价组根据评价情况，对各单项指标分别进行独立打分。</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(3)总评价分为各单项指标得分总和。</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(4)评价结果：根据最终得分情况将评价结果分为四个等级：优（得分≥90分）；良（80分≤得分＜90分）；中（60≤得分＜80分）；差（得分＜60分）。</w:t>
      </w:r>
    </w:p>
    <w:p>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16" w:name="_Toc7874"/>
      <w:bookmarkStart w:id="17" w:name="_Toc25624"/>
      <w:r>
        <w:rPr>
          <w:rFonts w:hint="eastAsia" w:asciiTheme="minorEastAsia" w:hAnsiTheme="minorEastAsia" w:eastAsiaTheme="minorEastAsia" w:cstheme="minorEastAsia"/>
          <w:sz w:val="28"/>
          <w:szCs w:val="28"/>
          <w:lang w:val="en-US" w:eastAsia="zh-CN"/>
        </w:rPr>
        <w:t>3.数据来源</w:t>
      </w:r>
      <w:bookmarkEnd w:id="16"/>
      <w:bookmarkEnd w:id="17"/>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绩效再评价评分数据来源于由寻甸县纪委提供的资料。</w:t>
      </w:r>
    </w:p>
    <w:bookmarkEnd w:id="15"/>
    <w:p>
      <w:pPr>
        <w:spacing w:line="360" w:lineRule="auto"/>
        <w:ind w:firstLine="562" w:firstLineChars="200"/>
        <w:rPr>
          <w:rFonts w:hint="eastAsia" w:asciiTheme="minorEastAsia" w:hAnsiTheme="minorEastAsia" w:eastAsiaTheme="minorEastAsia" w:cstheme="minorEastAsia"/>
          <w:b/>
          <w:bCs/>
          <w:sz w:val="28"/>
          <w:szCs w:val="28"/>
        </w:rPr>
      </w:pPr>
      <w:bookmarkStart w:id="18" w:name="_Toc502134862"/>
      <w:r>
        <w:rPr>
          <w:rFonts w:hint="eastAsia" w:asciiTheme="minorEastAsia" w:hAnsiTheme="minorEastAsia" w:eastAsiaTheme="minorEastAsia" w:cstheme="minorEastAsia"/>
          <w:b/>
          <w:bCs/>
          <w:sz w:val="28"/>
          <w:szCs w:val="28"/>
        </w:rPr>
        <w:t>四、绩效再评价结论</w:t>
      </w:r>
      <w:bookmarkEnd w:id="18"/>
    </w:p>
    <w:p>
      <w:pPr>
        <w:spacing w:line="360" w:lineRule="auto"/>
        <w:ind w:firstLine="562" w:firstLineChars="200"/>
        <w:rPr>
          <w:rFonts w:hint="eastAsia" w:asciiTheme="minorEastAsia" w:hAnsiTheme="minorEastAsia" w:eastAsiaTheme="minorEastAsia" w:cstheme="minorEastAsia"/>
          <w:b/>
          <w:bCs/>
          <w:sz w:val="28"/>
          <w:szCs w:val="28"/>
        </w:rPr>
      </w:pPr>
      <w:bookmarkStart w:id="19" w:name="_Toc502134863"/>
      <w:bookmarkStart w:id="20" w:name="_Toc498009780"/>
      <w:r>
        <w:rPr>
          <w:rFonts w:hint="eastAsia" w:asciiTheme="minorEastAsia" w:hAnsiTheme="minorEastAsia" w:eastAsiaTheme="minorEastAsia" w:cstheme="minorEastAsia"/>
          <w:b/>
          <w:bCs/>
          <w:sz w:val="28"/>
          <w:szCs w:val="28"/>
        </w:rPr>
        <w:t>（一）绩效再评价综合结论</w:t>
      </w:r>
      <w:bookmarkEnd w:id="19"/>
      <w:bookmarkEnd w:id="20"/>
    </w:p>
    <w:p>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21" w:name="_Toc498009781"/>
      <w:r>
        <w:rPr>
          <w:rFonts w:hint="eastAsia" w:asciiTheme="minorEastAsia" w:hAnsiTheme="minorEastAsia" w:eastAsiaTheme="minorEastAsia" w:cstheme="minorEastAsia"/>
          <w:sz w:val="28"/>
          <w:szCs w:val="28"/>
          <w:lang w:val="en-US" w:eastAsia="zh-CN"/>
        </w:rPr>
        <w:t>2019年巡察、留置人员补助经费及留置点建设项目绩效再评价综合评分84.5分，评价等级“良”。综合评价结论：留置点建设项目已全面建设完成，全年组建了巡察组16个，巡察了单位党组织18家、村（社区）36个，开展政治巡察3轮等，项目社会效益较高，有效的挽回了经济损失，反腐震慑作用不断彰显，人民利益得到有效的维护，群众获得感显著等。</w:t>
      </w:r>
    </w:p>
    <w:p>
      <w:pPr>
        <w:spacing w:line="360" w:lineRule="auto"/>
        <w:ind w:firstLine="562" w:firstLineChars="200"/>
        <w:rPr>
          <w:rFonts w:hint="eastAsia" w:asciiTheme="minorEastAsia" w:hAnsiTheme="minorEastAsia" w:eastAsiaTheme="minorEastAsia" w:cstheme="minorEastAsia"/>
          <w:b/>
          <w:bCs/>
          <w:sz w:val="28"/>
          <w:szCs w:val="28"/>
        </w:rPr>
      </w:pPr>
      <w:bookmarkStart w:id="22" w:name="_Toc502134864"/>
      <w:r>
        <w:rPr>
          <w:rFonts w:hint="eastAsia" w:asciiTheme="minorEastAsia" w:hAnsiTheme="minorEastAsia" w:eastAsiaTheme="minorEastAsia" w:cstheme="minorEastAsia"/>
          <w:b/>
          <w:bCs/>
          <w:sz w:val="28"/>
          <w:szCs w:val="28"/>
        </w:rPr>
        <w:t>（二）绩效目标实现情况</w:t>
      </w:r>
      <w:bookmarkEnd w:id="21"/>
      <w:bookmarkEnd w:id="22"/>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绩效目标实现情况综合结论：本次再评价中设定4个绩效目标，分解为12个绩效指标。主要绩效目标基本实现。项目实施社会效益显著，可持续性影响认可率高，年度目标完成率达100%，受益对象满意度较高等。</w:t>
      </w:r>
    </w:p>
    <w:p>
      <w:pPr>
        <w:spacing w:line="360" w:lineRule="auto"/>
        <w:ind w:firstLine="562" w:firstLineChars="200"/>
        <w:rPr>
          <w:rFonts w:hint="eastAsia" w:asciiTheme="minorEastAsia" w:hAnsiTheme="minorEastAsia" w:eastAsiaTheme="minorEastAsia" w:cstheme="minorEastAsia"/>
          <w:b/>
          <w:bCs/>
          <w:sz w:val="28"/>
          <w:szCs w:val="28"/>
          <w:highlight w:val="none"/>
        </w:rPr>
      </w:pPr>
      <w:bookmarkStart w:id="23" w:name="_Toc498009782"/>
      <w:bookmarkStart w:id="24" w:name="_Toc502134865"/>
      <w:r>
        <w:rPr>
          <w:rFonts w:hint="eastAsia" w:asciiTheme="minorEastAsia" w:hAnsiTheme="minorEastAsia" w:eastAsiaTheme="minorEastAsia" w:cstheme="minorEastAsia"/>
          <w:b/>
          <w:bCs/>
          <w:sz w:val="28"/>
          <w:szCs w:val="28"/>
          <w:highlight w:val="none"/>
        </w:rPr>
        <w:t>（三）绩效自评与再评价差异分析</w:t>
      </w:r>
      <w:bookmarkEnd w:id="23"/>
      <w:bookmarkEnd w:id="24"/>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一是评价程序存在差异。绩效自评由寻甸县纪委 汇总相关资料，得出自评结论，未进行现场抽查。绩效再评价通过收集与部门整体相关资料、编制实施方案、开展实地评价、数据汇总分析、撰写报告的方式开展。二是再评价完善了绩效指标，提高了量化指标的比例，再评价指标将自评的定性指标设置为定量指标，使评价的范围、尺度更加明确。</w:t>
      </w:r>
    </w:p>
    <w:p>
      <w:pPr>
        <w:spacing w:line="360" w:lineRule="auto"/>
        <w:ind w:firstLine="562" w:firstLineChars="200"/>
        <w:rPr>
          <w:rFonts w:hint="eastAsia" w:asciiTheme="minorEastAsia" w:hAnsiTheme="minorEastAsia" w:eastAsiaTheme="minorEastAsia" w:cstheme="minorEastAsia"/>
          <w:b/>
          <w:bCs/>
          <w:sz w:val="28"/>
          <w:szCs w:val="28"/>
        </w:rPr>
      </w:pPr>
      <w:bookmarkStart w:id="25" w:name="_Toc502134866"/>
      <w:bookmarkStart w:id="26" w:name="_Toc498009783"/>
      <w:r>
        <w:rPr>
          <w:rFonts w:hint="eastAsia" w:asciiTheme="minorEastAsia" w:hAnsiTheme="minorEastAsia" w:eastAsiaTheme="minorEastAsia" w:cstheme="minorEastAsia"/>
          <w:b/>
          <w:bCs/>
          <w:sz w:val="28"/>
          <w:szCs w:val="28"/>
        </w:rPr>
        <w:t>五、绩效再评价情况分析</w:t>
      </w:r>
      <w:bookmarkEnd w:id="25"/>
      <w:bookmarkEnd w:id="26"/>
    </w:p>
    <w:p>
      <w:pPr>
        <w:spacing w:line="360" w:lineRule="auto"/>
        <w:ind w:firstLine="562" w:firstLineChars="200"/>
        <w:rPr>
          <w:rFonts w:hint="eastAsia" w:asciiTheme="minorEastAsia" w:hAnsiTheme="minorEastAsia" w:eastAsiaTheme="minorEastAsia" w:cstheme="minorEastAsia"/>
          <w:b/>
          <w:bCs/>
          <w:sz w:val="28"/>
          <w:szCs w:val="28"/>
          <w:highlight w:val="none"/>
        </w:rPr>
      </w:pPr>
      <w:bookmarkStart w:id="27" w:name="_Toc502134867"/>
      <w:bookmarkStart w:id="28" w:name="_Toc498009784"/>
      <w:r>
        <w:rPr>
          <w:rFonts w:hint="eastAsia" w:asciiTheme="minorEastAsia" w:hAnsiTheme="minorEastAsia" w:eastAsiaTheme="minorEastAsia" w:cstheme="minorEastAsia"/>
          <w:b/>
          <w:bCs/>
          <w:sz w:val="28"/>
          <w:szCs w:val="28"/>
          <w:highlight w:val="none"/>
        </w:rPr>
        <w:t>（一）项目决策分析</w:t>
      </w:r>
      <w:bookmarkEnd w:id="27"/>
      <w:bookmarkEnd w:id="28"/>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项目决策指标满分20分，再评价综合评分12分（占该项满分值的60%），具体情况分析如下：</w:t>
      </w:r>
      <w:bookmarkStart w:id="29" w:name="_Toc502134868"/>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1.寻甸纪委未提供部门中长期规划相关资料，但根据项目的实施情况，基本能够与寻甸县</w:t>
      </w:r>
      <w:r>
        <w:rPr>
          <w:rFonts w:hint="eastAsia" w:asciiTheme="minorEastAsia" w:hAnsiTheme="minorEastAsia" w:eastAsiaTheme="minorEastAsia" w:cstheme="minorEastAsia"/>
          <w:sz w:val="28"/>
          <w:szCs w:val="28"/>
          <w:highlight w:val="none"/>
          <w:lang w:val="en-US" w:eastAsia="zh-CN"/>
        </w:rPr>
        <w:t>“十三五”规划及部门职能职责</w:t>
      </w:r>
      <w:r>
        <w:rPr>
          <w:rFonts w:hint="eastAsia" w:asciiTheme="minorEastAsia" w:hAnsiTheme="minorEastAsia" w:eastAsiaTheme="minorEastAsia" w:cstheme="minorEastAsia"/>
          <w:sz w:val="28"/>
          <w:szCs w:val="28"/>
          <w:lang w:val="en-US" w:eastAsia="zh-CN"/>
        </w:rPr>
        <w:t>等相匹配、适应等。项目的申请、设立过程基本合法合规，所提交的文件、材料符合相关要求，项目通过必要的可行性研究、专家论证等集体决策程序。</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项目所设定的绩效目标依据充分，符合客观实际、国家相关法律法规、国民经济发展规划和党委政府决策等。但根据提供的绩效目标申报表，存在绩效目标表填列不规范，设定的绩效目标不明确、不能完整反映项目产出效益和效果，绩效指标不完整及绩效指标值不合理等情况。</w:t>
      </w:r>
    </w:p>
    <w:p>
      <w:pPr>
        <w:spacing w:line="360" w:lineRule="auto"/>
        <w:ind w:firstLine="562"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（二）</w:t>
      </w:r>
      <w:bookmarkStart w:id="30" w:name="_Toc498009785"/>
      <w:r>
        <w:rPr>
          <w:rFonts w:hint="eastAsia" w:asciiTheme="minorEastAsia" w:hAnsiTheme="minorEastAsia" w:eastAsiaTheme="minorEastAsia" w:cstheme="minorEastAsia"/>
          <w:b/>
          <w:bCs/>
          <w:sz w:val="28"/>
          <w:szCs w:val="28"/>
          <w:highlight w:val="none"/>
        </w:rPr>
        <w:t>项目管理情况分析</w:t>
      </w:r>
      <w:bookmarkEnd w:id="29"/>
      <w:bookmarkEnd w:id="30"/>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项目管理满分20分，再评价综合评分16.5分（占该项满分值的82.50%），具体情况分析如下：</w:t>
      </w:r>
      <w:bookmarkStart w:id="31" w:name="_Toc498009786"/>
      <w:bookmarkStart w:id="32" w:name="_Toc502134869"/>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项目支出预算依据充分、合理，基本能够与预算确定的项目投资额相匹配；2019年项目预算收入1,424,000.00元，其中：寻甸纪委巡察经费50,000.00元，留置场所建设经费1,130,000.00元，留置人员经费244,000.00元。截至2019年12月31日，项目专项资金已全部支付完，预算执行率为100.00%。2019年项目</w:t>
      </w:r>
      <w:r>
        <w:rPr>
          <w:rFonts w:hint="eastAsia" w:asciiTheme="minorEastAsia" w:hAnsiTheme="minorEastAsia" w:cstheme="minorEastAsia"/>
          <w:sz w:val="28"/>
          <w:szCs w:val="28"/>
          <w:lang w:val="en-US" w:eastAsia="zh-CN"/>
        </w:rPr>
        <w:t>预算</w:t>
      </w:r>
      <w:r>
        <w:rPr>
          <w:rFonts w:hint="eastAsia" w:asciiTheme="minorEastAsia" w:hAnsiTheme="minorEastAsia" w:eastAsiaTheme="minorEastAsia" w:cstheme="minorEastAsia"/>
          <w:sz w:val="28"/>
          <w:szCs w:val="28"/>
          <w:lang w:val="en-US" w:eastAsia="zh-CN"/>
        </w:rPr>
        <w:t>未存在调整。</w:t>
      </w:r>
    </w:p>
    <w:p>
      <w:pPr>
        <w:spacing w:line="360" w:lineRule="auto"/>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2.项</w:t>
      </w:r>
      <w:r>
        <w:rPr>
          <w:rFonts w:hint="eastAsia" w:asciiTheme="minorEastAsia" w:hAnsiTheme="minorEastAsia" w:eastAsiaTheme="minorEastAsia" w:cstheme="minorEastAsia"/>
          <w:color w:val="auto"/>
          <w:sz w:val="28"/>
          <w:szCs w:val="28"/>
          <w:highlight w:val="none"/>
          <w:lang w:val="en-US" w:eastAsia="zh-CN"/>
        </w:rPr>
        <w:t>目财务管理执行国家级寻甸纪委《机关内部管理规定汇编》等有</w:t>
      </w:r>
      <w:r>
        <w:rPr>
          <w:rFonts w:hint="eastAsia" w:asciiTheme="minorEastAsia" w:hAnsiTheme="minorEastAsia" w:eastAsiaTheme="minorEastAsia" w:cstheme="minorEastAsia"/>
          <w:sz w:val="28"/>
          <w:szCs w:val="28"/>
          <w:highlight w:val="none"/>
          <w:lang w:val="en-US" w:eastAsia="zh-CN"/>
        </w:rPr>
        <w:t>关规定，相关制度基本能够得到有效的执行，但存在留置点费用支出无报表标准及费用报销发票不合规等情况。</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3.项目资金使用基本符合预算批复的用途，无截留、挤占、挪用、虚列支出等情况。</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4.项目在业务管理方面执行国家有关法律法规，相关管理制度基本能够得到有效的执行。项目实施的人员条件、场地设备、执行能力、信息支撑等落实到位。但存在未扣质量保证金及项目先使用后验收等情况。</w:t>
      </w:r>
    </w:p>
    <w:p>
      <w:pPr>
        <w:spacing w:line="360" w:lineRule="auto"/>
        <w:ind w:firstLine="562"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（三）项目绩效情况分析</w:t>
      </w:r>
      <w:bookmarkEnd w:id="31"/>
      <w:bookmarkEnd w:id="32"/>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项目绩效指标满分60分，再评价综合评分56分（占该项满分值的93.33%），具体情况分析如下：</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1.项目产出</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寻甸纪委2019年组建了巡察组16个，巡察了单位党组织18家、村（社区）36个，开展政治巡察3轮，留置次数为5次，全面完成了留置场所装修改造工程等。</w:t>
      </w:r>
      <w:bookmarkStart w:id="33" w:name="_Toc502134870"/>
      <w:bookmarkStart w:id="34" w:name="_Toc498009787"/>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2.项目效益</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通过项目的实施，有效的挽回了国家经济损失，反腐震慑作用不断彰显，人民利益得到有效的维护，群众获得感显著等。</w:t>
      </w:r>
    </w:p>
    <w:bookmarkEnd w:id="33"/>
    <w:bookmarkEnd w:id="34"/>
    <w:p>
      <w:pPr>
        <w:spacing w:line="360" w:lineRule="auto"/>
        <w:ind w:firstLine="562" w:firstLineChars="200"/>
        <w:rPr>
          <w:rFonts w:hint="eastAsia" w:asciiTheme="minorEastAsia" w:hAnsiTheme="minorEastAsia" w:eastAsiaTheme="minorEastAsia" w:cstheme="minorEastAsia"/>
          <w:b/>
          <w:bCs/>
          <w:sz w:val="28"/>
          <w:szCs w:val="28"/>
        </w:rPr>
      </w:pPr>
      <w:bookmarkStart w:id="35" w:name="_Toc498009788"/>
      <w:bookmarkStart w:id="36" w:name="_Toc502134871"/>
      <w:r>
        <w:rPr>
          <w:rFonts w:hint="eastAsia" w:asciiTheme="minorEastAsia" w:hAnsiTheme="minorEastAsia" w:eastAsiaTheme="minorEastAsia" w:cstheme="minorEastAsia"/>
          <w:b/>
          <w:bCs/>
          <w:sz w:val="28"/>
          <w:szCs w:val="28"/>
        </w:rPr>
        <w:t>六、主要经验及做法</w:t>
      </w:r>
      <w:bookmarkEnd w:id="35"/>
      <w:bookmarkEnd w:id="36"/>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是加强预算及绩效管理，使财务管理进一步实精细化，切实提高依法理财水平；二是加强财政政策法规宣传，深入贯彻有关财政法律法规；三是加强财政资金监管，完善财政内部控制制度，自觉接受财政、审计及社会各界的监督；四是全面实行综合预算，政府采购，费用支出申报制度。</w:t>
      </w:r>
    </w:p>
    <w:p>
      <w:pPr>
        <w:spacing w:line="360" w:lineRule="auto"/>
        <w:ind w:firstLine="562" w:firstLineChars="200"/>
        <w:rPr>
          <w:rFonts w:hint="eastAsia" w:asciiTheme="minorEastAsia" w:hAnsiTheme="minorEastAsia" w:eastAsiaTheme="minorEastAsia" w:cstheme="minorEastAsia"/>
          <w:b/>
          <w:bCs/>
          <w:sz w:val="28"/>
          <w:szCs w:val="28"/>
        </w:rPr>
      </w:pPr>
      <w:bookmarkStart w:id="37" w:name="_Toc502134872"/>
      <w:bookmarkStart w:id="38" w:name="_Toc498009789"/>
      <w:r>
        <w:rPr>
          <w:rFonts w:hint="eastAsia" w:asciiTheme="minorEastAsia" w:hAnsiTheme="minorEastAsia" w:eastAsiaTheme="minorEastAsia" w:cstheme="minorEastAsia"/>
          <w:b/>
          <w:bCs/>
          <w:sz w:val="28"/>
          <w:szCs w:val="28"/>
        </w:rPr>
        <w:t>七、存在问题及原因分析</w:t>
      </w:r>
      <w:bookmarkEnd w:id="37"/>
      <w:bookmarkEnd w:id="38"/>
    </w:p>
    <w:p>
      <w:pPr>
        <w:spacing w:line="360" w:lineRule="auto"/>
        <w:ind w:firstLine="562" w:firstLineChars="200"/>
        <w:rPr>
          <w:rFonts w:hint="eastAsia" w:asciiTheme="minorEastAsia" w:hAnsiTheme="minorEastAsia" w:eastAsiaTheme="minorEastAsia" w:cstheme="minorEastAsia"/>
          <w:b/>
          <w:bCs/>
          <w:sz w:val="28"/>
          <w:szCs w:val="28"/>
          <w:highlight w:val="none"/>
          <w:lang w:eastAsia="zh-CN"/>
        </w:rPr>
      </w:pPr>
      <w:bookmarkStart w:id="39" w:name="_Toc500440025"/>
      <w:bookmarkStart w:id="40" w:name="_Toc500364179"/>
      <w:bookmarkStart w:id="41" w:name="_Toc500589022"/>
      <w:bookmarkStart w:id="42" w:name="_Toc500849310"/>
      <w:bookmarkStart w:id="43" w:name="_Toc502134873"/>
      <w:bookmarkStart w:id="44" w:name="_Toc500202563"/>
      <w:r>
        <w:rPr>
          <w:rFonts w:hint="eastAsia" w:asciiTheme="minorEastAsia" w:hAnsiTheme="minorEastAsia" w:eastAsiaTheme="minorEastAsia" w:cstheme="minorEastAsia"/>
          <w:b/>
          <w:bCs/>
          <w:sz w:val="28"/>
          <w:szCs w:val="28"/>
          <w:highlight w:val="none"/>
        </w:rPr>
        <w:t>（一）绩效管理落实不够好</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1.根据寻甸县纪委提供的绩效目标申报表，存在填报格式不规范，绩效目标不完整、明确，绩效指标设置不完整，绩效指标值设置不合理等情况。</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2.未建立绩效运行跟踪监控机制，未对绩效目标运行情况进行跟踪管理和督促检查等。</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上述做法与《关于推进预算绩效管理的指导意见》（财预[2011]416号）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各级财政部门和预算单位要建立绩效运行跟踪监控机制，定期采集绩效运行信息并汇总分析，对绩效目标运行情况进行跟踪管理和督促检查，纠偏扬长，促进绩效目标的顺利实现。跟踪监控中发现绩效运行目标与预期绩效目标发生偏离时，要及时采取措施予以纠正……。”规定不符。</w:t>
      </w:r>
    </w:p>
    <w:p>
      <w:pPr>
        <w:spacing w:line="360" w:lineRule="auto"/>
        <w:ind w:firstLine="562" w:firstLineChars="200"/>
        <w:rPr>
          <w:rFonts w:hint="eastAsia" w:asciiTheme="minorEastAsia" w:hAnsiTheme="minorEastAsia" w:eastAsiaTheme="minorEastAsia" w:cstheme="minorEastAsia"/>
          <w:b/>
          <w:bCs/>
          <w:sz w:val="28"/>
          <w:szCs w:val="28"/>
          <w:highlight w:val="none"/>
          <w:lang w:val="en-US" w:eastAsia="zh-CN"/>
        </w:rPr>
      </w:pPr>
      <w:r>
        <w:rPr>
          <w:rFonts w:hint="eastAsia" w:asciiTheme="minorEastAsia" w:hAnsiTheme="minorEastAsia" w:eastAsiaTheme="minorEastAsia" w:cstheme="minorEastAsia"/>
          <w:b/>
          <w:bCs/>
          <w:sz w:val="28"/>
          <w:szCs w:val="28"/>
          <w:highlight w:val="none"/>
          <w:lang w:val="en-US" w:eastAsia="zh-CN"/>
        </w:rPr>
        <w:t>（二）存在未扣工程质保金的情况</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寻甸纪委留置场所建设项目于2018年8月3日开工，2019年11月22日完成验收，项目确定总投资为1,880,000.00元,截至2019年12月31日，项目工程款已全部支付完成，未扣除工程质保金。</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上述做法与《寻甸回族彝族自治县监察委员会留置场所建设项目工程施工合同》中，“6.12.支付方式：……甲方在签订合同验收后支付合同款的30%给乙方，甲方在签订合同项目验收一年后支付合同款的5%支付给乙方”规定不符。</w:t>
      </w:r>
    </w:p>
    <w:p>
      <w:pPr>
        <w:pStyle w:val="2"/>
        <w:rPr>
          <w:rFonts w:hint="eastAsia" w:asciiTheme="minorEastAsia" w:hAnsiTheme="minorEastAsia" w:eastAsiaTheme="minorEastAsia" w:cstheme="minorEastAsia"/>
          <w:b/>
          <w:bCs/>
          <w:kern w:val="2"/>
          <w:sz w:val="28"/>
          <w:szCs w:val="28"/>
          <w:highlight w:val="none"/>
          <w:lang w:val="en-US" w:eastAsia="zh-CN" w:bidi="ar-SA"/>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b/>
          <w:bCs/>
          <w:kern w:val="2"/>
          <w:sz w:val="28"/>
          <w:szCs w:val="28"/>
          <w:highlight w:val="none"/>
          <w:lang w:val="en-US" w:eastAsia="zh-CN" w:bidi="ar-SA"/>
        </w:rPr>
        <w:t>（三）存在项目先使用后验收的情况</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寻甸纪委留置场所建设项目于2018年8月3日开工，2018年11月27日完工，完工后就投入了使用，项目的验收时间为2019年11月22日。</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上述做法与《中华人民共和国建筑法》</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主席令第46号</w:t>
      </w:r>
      <w:r>
        <w:rPr>
          <w:rFonts w:hint="eastAsia" w:asciiTheme="minorEastAsia" w:hAnsiTheme="minorEastAsia" w:cstheme="minorEastAsia"/>
          <w:sz w:val="28"/>
          <w:szCs w:val="28"/>
          <w:lang w:val="en-US" w:eastAsia="zh-CN"/>
        </w:rPr>
        <w:t>)</w:t>
      </w:r>
      <w:r>
        <w:rPr>
          <w:rFonts w:hint="eastAsia" w:asciiTheme="minorEastAsia" w:hAnsiTheme="minorEastAsia" w:eastAsiaTheme="minorEastAsia" w:cstheme="minorEastAsia"/>
          <w:sz w:val="28"/>
          <w:szCs w:val="28"/>
          <w:lang w:val="en-US" w:eastAsia="zh-CN"/>
        </w:rPr>
        <w:t>中，“第六十一条交付竣工验收的建筑工程，必须符合规定的建筑工程质量标准，有完整的工程技术经济资料和经签署的工程保修书，并具备国家规定的其他竣工条件。建筑工程竣工经验收合格后，方可交付使用；未经验收或者验收不合格的，不得交付使用”规定不符。</w:t>
      </w:r>
    </w:p>
    <w:p>
      <w:pPr>
        <w:pStyle w:val="2"/>
        <w:ind w:firstLine="562" w:firstLineChars="200"/>
        <w:rPr>
          <w:rFonts w:hint="eastAsia" w:asciiTheme="minorEastAsia" w:hAnsiTheme="minorEastAsia" w:eastAsiaTheme="minorEastAsia" w:cstheme="minorEastAsia"/>
          <w:b/>
          <w:bCs/>
          <w:kern w:val="2"/>
          <w:sz w:val="28"/>
          <w:szCs w:val="28"/>
          <w:highlight w:val="none"/>
          <w:lang w:val="en-US" w:eastAsia="zh-CN" w:bidi="ar-SA"/>
        </w:rPr>
      </w:pPr>
      <w:r>
        <w:rPr>
          <w:rFonts w:hint="eastAsia" w:asciiTheme="minorEastAsia" w:hAnsiTheme="minorEastAsia" w:eastAsiaTheme="minorEastAsia" w:cstheme="minorEastAsia"/>
          <w:b/>
          <w:bCs/>
          <w:kern w:val="2"/>
          <w:sz w:val="28"/>
          <w:szCs w:val="28"/>
          <w:highlight w:val="none"/>
          <w:lang w:val="en-US" w:eastAsia="zh-CN" w:bidi="ar-SA"/>
        </w:rPr>
        <w:t>（四）存在费用报销发票不合规</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如：2019年1月10号凭证，支付留置点经费11,005.90元，其中：支付餐费798.00元，发票付款单位名称为个人。</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上述情况与《中华人民共和国会计法》第十四条规定：“会计机构、会计人员必须按照国家统一的会计制度的规定对原始凭证进行审核……对记载不准确、不完整的原始凭证予以退回，并要求按照国家统一的会计制度的规定更正、补充”不符。</w:t>
      </w:r>
    </w:p>
    <w:bookmarkEnd w:id="39"/>
    <w:bookmarkEnd w:id="40"/>
    <w:bookmarkEnd w:id="41"/>
    <w:bookmarkEnd w:id="42"/>
    <w:bookmarkEnd w:id="43"/>
    <w:bookmarkEnd w:id="44"/>
    <w:p>
      <w:pPr>
        <w:numPr>
          <w:ilvl w:val="0"/>
          <w:numId w:val="1"/>
        </w:numPr>
        <w:spacing w:line="360" w:lineRule="auto"/>
        <w:ind w:firstLine="562" w:firstLineChars="200"/>
        <w:rPr>
          <w:rFonts w:hint="eastAsia" w:asciiTheme="minorEastAsia" w:hAnsiTheme="minorEastAsia" w:eastAsiaTheme="minorEastAsia" w:cstheme="minorEastAsia"/>
          <w:b/>
          <w:bCs/>
          <w:sz w:val="28"/>
          <w:szCs w:val="28"/>
        </w:rPr>
      </w:pPr>
      <w:bookmarkStart w:id="45" w:name="_Toc498009790"/>
      <w:bookmarkStart w:id="46" w:name="_Toc502134879"/>
      <w:r>
        <w:rPr>
          <w:rFonts w:hint="eastAsia" w:asciiTheme="minorEastAsia" w:hAnsiTheme="minorEastAsia" w:eastAsiaTheme="minorEastAsia" w:cstheme="minorEastAsia"/>
          <w:b/>
          <w:bCs/>
          <w:sz w:val="28"/>
          <w:szCs w:val="28"/>
        </w:rPr>
        <w:t>建议</w:t>
      </w:r>
      <w:bookmarkEnd w:id="45"/>
      <w:bookmarkEnd w:id="46"/>
      <w:bookmarkStart w:id="47" w:name="_Toc502134880"/>
      <w:bookmarkStart w:id="48" w:name="_Toc500440031"/>
      <w:bookmarkStart w:id="49" w:name="_Toc500589028"/>
      <w:bookmarkStart w:id="50" w:name="_Toc500202569"/>
      <w:bookmarkStart w:id="51" w:name="_Toc500849317"/>
      <w:bookmarkStart w:id="52" w:name="_Toc500364185"/>
      <w:bookmarkStart w:id="53" w:name="_Toc498009791"/>
    </w:p>
    <w:p>
      <w:pPr>
        <w:numPr>
          <w:ilvl w:val="0"/>
          <w:numId w:val="0"/>
        </w:numPr>
        <w:spacing w:line="360" w:lineRule="auto"/>
        <w:ind w:firstLine="562" w:firstLineChars="200"/>
        <w:rPr>
          <w:rFonts w:hint="eastAsia" w:asciiTheme="minorEastAsia" w:hAnsiTheme="minorEastAsia" w:eastAsiaTheme="minorEastAsia" w:cstheme="minorEastAsia"/>
          <w:b/>
          <w:bCs/>
          <w:sz w:val="28"/>
          <w:szCs w:val="28"/>
          <w:highlight w:val="none"/>
          <w:lang w:val="en-US" w:eastAsia="zh-CN"/>
        </w:rPr>
      </w:pPr>
      <w:r>
        <w:rPr>
          <w:rFonts w:hint="eastAsia" w:asciiTheme="minorEastAsia" w:hAnsiTheme="minorEastAsia" w:eastAsiaTheme="minorEastAsia" w:cstheme="minorEastAsia"/>
          <w:b/>
          <w:bCs/>
          <w:sz w:val="28"/>
          <w:szCs w:val="28"/>
          <w:highlight w:val="none"/>
          <w:lang w:val="en-US" w:eastAsia="zh-CN"/>
        </w:rPr>
        <w:t>（一）</w:t>
      </w:r>
      <w:bookmarkEnd w:id="47"/>
      <w:bookmarkEnd w:id="48"/>
      <w:bookmarkEnd w:id="49"/>
      <w:bookmarkEnd w:id="50"/>
      <w:bookmarkEnd w:id="51"/>
      <w:bookmarkEnd w:id="52"/>
      <w:r>
        <w:rPr>
          <w:rFonts w:hint="eastAsia" w:asciiTheme="minorEastAsia" w:hAnsiTheme="minorEastAsia" w:eastAsiaTheme="minorEastAsia" w:cstheme="minorEastAsia"/>
          <w:b/>
          <w:bCs/>
          <w:sz w:val="28"/>
          <w:szCs w:val="28"/>
          <w:highlight w:val="none"/>
          <w:lang w:val="en-US" w:eastAsia="zh-CN"/>
        </w:rPr>
        <w:t>加强预算绩效管理</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首先，对部门的职能进行梳理，确定部门履职的各项具体工作职责；其次，结合部门中长期规划和年度工作计划，预计部门在本年度内履职所要达到的总体产出和结果，将其确定为部门总体绩效目标，以定量和定性指标相结合的方式进行表述；再次，将所要实现的部门总体绩效目标转化为具体的实施内容，落实到具体的工作岗位和责任人，并设定衡量工作任务实现程度的绩效指标；最后，依据预算支出标准和要求测算出完成工作任务所需的工作成本。通过绩效目标的细化、量化编制，不断丰富政府绩效考核、部门岗位责任制、财政预算绩效管理、审计绩效监督的工作内涵，充分发挥结果导向作用，做到预算执行有据可依，绩效审计有据可查，逐步达到财政支出科学精细化管理要求。</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进一步加大绩效评价制度建设和完善绩效评价指标体系建设，在制度上加强规范管理，在执行中加大督促力度，让绩效评价工作真正走上制度化、规范化、标准化的新台阶，同时提高部门整体绩效管理水平，加强领导，统一思想、明确责任，制定由相关部门牵头、各部门参与的绩效评价管理制度，为绩效评价工作开展创造好的条件；加强队伍建设，抓好绩效评价管理队伍的建设和业务指导，培育组建专家队伍，并加强业务培训；建立长效机制，把绩效评价作为各部门的日常性工作，建立绩效评价管理工作考核的长效机制。</w:t>
      </w:r>
    </w:p>
    <w:p>
      <w:pPr>
        <w:numPr>
          <w:ilvl w:val="0"/>
          <w:numId w:val="2"/>
        </w:numPr>
        <w:spacing w:line="360" w:lineRule="auto"/>
        <w:ind w:firstLine="562" w:firstLineChars="200"/>
        <w:rPr>
          <w:rFonts w:hint="eastAsia" w:asciiTheme="minorEastAsia" w:hAnsiTheme="minorEastAsia" w:eastAsiaTheme="minorEastAsia" w:cstheme="minorEastAsia"/>
          <w:b/>
          <w:bCs/>
          <w:sz w:val="28"/>
          <w:szCs w:val="28"/>
          <w:highlight w:val="none"/>
          <w:lang w:val="en-US" w:eastAsia="zh-CN"/>
        </w:rPr>
      </w:pPr>
      <w:r>
        <w:rPr>
          <w:rFonts w:hint="eastAsia" w:asciiTheme="minorEastAsia" w:hAnsiTheme="minorEastAsia" w:eastAsiaTheme="minorEastAsia" w:cstheme="minorEastAsia"/>
          <w:b/>
          <w:bCs/>
          <w:sz w:val="28"/>
          <w:szCs w:val="28"/>
          <w:highlight w:val="none"/>
          <w:lang w:val="en-US" w:eastAsia="zh-CN"/>
        </w:rPr>
        <w:t>加强项目管理，应及时的组织交工验收和进行决算审计</w:t>
      </w:r>
      <w:bookmarkEnd w:id="53"/>
      <w:r>
        <w:rPr>
          <w:rFonts w:hint="eastAsia" w:asciiTheme="minorEastAsia" w:hAnsiTheme="minorEastAsia" w:eastAsiaTheme="minorEastAsia" w:cstheme="minorEastAsia"/>
          <w:b/>
          <w:bCs/>
          <w:sz w:val="28"/>
          <w:szCs w:val="28"/>
          <w:highlight w:val="none"/>
          <w:lang w:val="en-US" w:eastAsia="zh-CN"/>
        </w:rPr>
        <w:t>；对于未扣质量保证金的，应及时的收取项目质量保证金。</w:t>
      </w:r>
    </w:p>
    <w:p>
      <w:pPr>
        <w:numPr>
          <w:ilvl w:val="0"/>
          <w:numId w:val="3"/>
        </w:numPr>
        <w:spacing w:line="360" w:lineRule="auto"/>
        <w:ind w:firstLine="562" w:firstLineChars="200"/>
        <w:rPr>
          <w:rFonts w:hint="eastAsia" w:asciiTheme="minorEastAsia" w:hAnsiTheme="minorEastAsia" w:eastAsiaTheme="minorEastAsia" w:cstheme="minorEastAsia"/>
          <w:b/>
          <w:bCs/>
          <w:sz w:val="28"/>
          <w:szCs w:val="28"/>
          <w:highlight w:val="none"/>
          <w:lang w:val="en-US" w:eastAsia="zh-CN"/>
        </w:rPr>
      </w:pPr>
      <w:r>
        <w:rPr>
          <w:rFonts w:hint="eastAsia" w:asciiTheme="minorEastAsia" w:hAnsiTheme="minorEastAsia" w:eastAsiaTheme="minorEastAsia" w:cstheme="minorEastAsia"/>
          <w:b/>
          <w:bCs/>
          <w:sz w:val="28"/>
          <w:szCs w:val="28"/>
          <w:highlight w:val="none"/>
          <w:lang w:val="en-US" w:eastAsia="zh-CN"/>
        </w:rPr>
        <w:t>财务应加强对各项费用支出票据进行审核，对于不完整、不合规的票据应予以退回，要求重新提供合格票据。</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附件1：寻甸回族彝族自治县纪律检查委员会 2019年巡察、留置人员补助经费及留置点建设项目支出绩效评价指标体系</w:t>
      </w:r>
    </w:p>
    <w:p>
      <w:pPr>
        <w:pStyle w:val="2"/>
        <w:rPr>
          <w:rFonts w:hint="eastAsia" w:asciiTheme="minorEastAsia" w:hAnsiTheme="minorEastAsia" w:eastAsiaTheme="minorEastAsia" w:cstheme="minorEastAsia"/>
          <w:sz w:val="28"/>
          <w:szCs w:val="28"/>
          <w:highlight w:val="none"/>
          <w:lang w:val="en-US" w:eastAsia="zh-CN"/>
        </w:rPr>
      </w:pPr>
    </w:p>
    <w:p>
      <w:pPr>
        <w:rPr>
          <w:rFonts w:hint="eastAsia" w:asciiTheme="minorEastAsia" w:hAnsiTheme="minorEastAsia" w:eastAsiaTheme="minorEastAsia" w:cstheme="minorEastAsia"/>
          <w:sz w:val="28"/>
          <w:szCs w:val="28"/>
        </w:rPr>
      </w:pPr>
    </w:p>
    <w:p>
      <w:pPr>
        <w:pStyle w:val="2"/>
        <w:rPr>
          <w:rFonts w:hint="eastAsia" w:asciiTheme="minorEastAsia" w:hAnsiTheme="minorEastAsia" w:eastAsiaTheme="minorEastAsia" w:cstheme="minorEastAsia"/>
          <w:sz w:val="28"/>
          <w:szCs w:val="28"/>
        </w:rPr>
      </w:pPr>
    </w:p>
    <w:p>
      <w:pPr>
        <w:pStyle w:val="2"/>
        <w:rPr>
          <w:rFonts w:hint="eastAsia" w:asciiTheme="minorEastAsia" w:hAnsiTheme="minorEastAsia" w:eastAsiaTheme="minorEastAsia" w:cstheme="minorEastAsia"/>
          <w:sz w:val="28"/>
          <w:szCs w:val="28"/>
        </w:rPr>
      </w:pPr>
      <w:bookmarkStart w:id="54" w:name="_GoBack"/>
      <w:bookmarkEnd w:id="54"/>
    </w:p>
    <w:p>
      <w:pPr>
        <w:pStyle w:val="2"/>
        <w:rPr>
          <w:rFonts w:hint="eastAsia" w:asciiTheme="minorEastAsia" w:hAnsiTheme="minorEastAsia" w:eastAsiaTheme="minorEastAsia" w:cstheme="minorEastAsia"/>
          <w:sz w:val="28"/>
          <w:szCs w:val="28"/>
        </w:rPr>
      </w:pPr>
    </w:p>
    <w:p>
      <w:pPr>
        <w:pStyle w:val="2"/>
        <w:rPr>
          <w:rFonts w:hint="eastAsia" w:asciiTheme="minorEastAsia" w:hAnsiTheme="minorEastAsia" w:eastAsiaTheme="minorEastAsia" w:cstheme="minorEastAsia"/>
          <w:sz w:val="28"/>
          <w:szCs w:val="28"/>
        </w:rPr>
      </w:pPr>
    </w:p>
    <w:p>
      <w:pPr>
        <w:pStyle w:val="2"/>
        <w:rPr>
          <w:rFonts w:hint="eastAsia" w:asciiTheme="minorEastAsia" w:hAnsiTheme="minorEastAsia" w:eastAsiaTheme="minorEastAsia" w:cstheme="minorEastAsia"/>
          <w:sz w:val="28"/>
          <w:szCs w:val="28"/>
        </w:rPr>
      </w:pPr>
    </w:p>
    <w:p>
      <w:pPr>
        <w:pStyle w:val="2"/>
        <w:rPr>
          <w:rFonts w:hint="eastAsia" w:asciiTheme="minorEastAsia" w:hAnsiTheme="minorEastAsia" w:eastAsiaTheme="minorEastAsia" w:cstheme="minorEastAsia"/>
          <w:sz w:val="28"/>
          <w:szCs w:val="28"/>
        </w:rPr>
      </w:pPr>
    </w:p>
    <w:p>
      <w:pPr>
        <w:wordWrap w:val="0"/>
        <w:spacing w:line="600" w:lineRule="exact"/>
        <w:ind w:right="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中国注册会计师：</w:t>
      </w:r>
    </w:p>
    <w:p>
      <w:pPr>
        <w:wordWrap w:val="0"/>
        <w:spacing w:line="600" w:lineRule="exact"/>
        <w:ind w:right="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20"/>
          <w:sz w:val="28"/>
          <w:szCs w:val="28"/>
          <w:lang w:eastAsia="zh-CN"/>
        </w:rPr>
        <w:t>中兴财光华会计师事务所(特殊普通合伙）云南分所</w:t>
      </w:r>
      <w:r>
        <w:rPr>
          <w:rFonts w:hint="eastAsia" w:asciiTheme="minorEastAsia" w:hAnsiTheme="minorEastAsia" w:eastAsiaTheme="minorEastAsia" w:cstheme="minorEastAsia"/>
          <w:sz w:val="28"/>
          <w:szCs w:val="28"/>
        </w:rPr>
        <w:t xml:space="preserve">    </w:t>
      </w:r>
    </w:p>
    <w:p>
      <w:pPr>
        <w:spacing w:line="600" w:lineRule="exact"/>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中国注册会计师：</w:t>
      </w:r>
    </w:p>
    <w:p>
      <w:pPr>
        <w:rPr>
          <w:rFonts w:hint="eastAsia" w:asciiTheme="minorEastAsia" w:hAnsiTheme="minorEastAsia" w:eastAsiaTheme="minorEastAsia" w:cstheme="minorEastAsia"/>
          <w:sz w:val="28"/>
          <w:szCs w:val="28"/>
        </w:rPr>
      </w:pPr>
    </w:p>
    <w:p>
      <w:pPr>
        <w:ind w:firstLine="280" w:firstLineChars="100"/>
      </w:pPr>
      <w:r>
        <w:rPr>
          <w:rFonts w:hint="eastAsia" w:asciiTheme="minorEastAsia" w:hAnsiTheme="minorEastAsia" w:eastAsiaTheme="minorEastAsia" w:cstheme="minorEastAsia"/>
          <w:sz w:val="28"/>
          <w:szCs w:val="28"/>
        </w:rPr>
        <w:t>中国•昆明                         二〇</w:t>
      </w:r>
      <w:r>
        <w:rPr>
          <w:rFonts w:hint="eastAsia" w:asciiTheme="minorEastAsia" w:hAnsiTheme="minorEastAsia" w:eastAsiaTheme="minorEastAsia" w:cstheme="minorEastAsia"/>
          <w:sz w:val="28"/>
          <w:szCs w:val="28"/>
          <w:lang w:eastAsia="zh-CN"/>
        </w:rPr>
        <w:t>二〇</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eastAsia="zh-CN"/>
        </w:rPr>
        <w:t>九</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eastAsia="zh-CN"/>
        </w:rPr>
        <w:t>二</w:t>
      </w:r>
      <w:r>
        <w:rPr>
          <w:rFonts w:hint="eastAsia" w:asciiTheme="minorEastAsia" w:hAnsiTheme="minorEastAsia" w:eastAsiaTheme="minorEastAsia" w:cstheme="minorEastAsia"/>
          <w:sz w:val="28"/>
          <w:szCs w:val="28"/>
        </w:rPr>
        <w:t>十</w:t>
      </w:r>
      <w:r>
        <w:rPr>
          <w:rFonts w:hint="eastAsia" w:asciiTheme="minorEastAsia" w:hAnsiTheme="minorEastAsia" w:cstheme="minorEastAsia"/>
          <w:sz w:val="28"/>
          <w:szCs w:val="28"/>
          <w:lang w:eastAsia="zh-CN"/>
        </w:rPr>
        <w:t>八</w:t>
      </w:r>
      <w:r>
        <w:rPr>
          <w:rFonts w:hint="eastAsia" w:asciiTheme="minorEastAsia" w:hAnsiTheme="minorEastAsia" w:eastAsiaTheme="minorEastAsia" w:cstheme="minorEastAsia"/>
          <w:sz w:val="28"/>
          <w:szCs w:val="28"/>
        </w:rPr>
        <w:t xml:space="preserve">日       </w:t>
      </w:r>
      <w:r>
        <w:rPr>
          <w:rFonts w:hint="eastAsia" w:ascii="仿宋_GB2312" w:hAnsi="仿宋_GB2312" w:eastAsia="仿宋_GB2312" w:cs="仿宋_GB2312"/>
          <w:sz w:val="24"/>
        </w:rPr>
        <w:t xml:space="preserve">      </w:t>
      </w:r>
    </w:p>
    <w:sectPr>
      <w:headerReference r:id="rId3" w:type="default"/>
      <w:footerReference r:id="rId4" w:type="default"/>
      <w:pgSz w:w="11906" w:h="16838"/>
      <w:pgMar w:top="1440" w:right="1800" w:bottom="1440" w:left="1800" w:header="1020" w:footer="510"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2204085</wp:posOffset>
              </wp:positionH>
              <wp:positionV relativeFrom="paragraph">
                <wp:posOffset>-266700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3.55pt;margin-top:-21pt;height:144pt;width:144pt;mso-position-horizontal-relative:margin;mso-wrap-style:none;z-index:251659264;mso-width-relative:page;mso-height-relative:page;" filled="f" stroked="f" coordsize="21600,21600" o:gfxdata="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Yri1NdgAAAALAQAADwAAAAAA&#10;AAABACAAAAAiAAAAZHJzL2Rvd25yZXYueG1sUEsBAhQAFAAAAAgAh07iQAXccrATAgAAEwQAAA4A&#10;AAAAAAAAAQAgAAAAJwEAAGRycy9lMm9Eb2MueG1sUEsFBgAAAAAGAAYAWQEAAKw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15</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right"/>
    </w:pPr>
    <w:r>
      <w:rPr>
        <w:rFonts w:hint="eastAsia" w:ascii="隶书" w:eastAsia="隶书"/>
        <w:spacing w:val="-20"/>
        <w:sz w:val="28"/>
        <w:szCs w:val="28"/>
      </w:rPr>
      <w:drawing>
        <wp:anchor distT="0" distB="0" distL="114300" distR="114300" simplePos="0" relativeHeight="251658240" behindDoc="1" locked="0" layoutInCell="1" allowOverlap="1">
          <wp:simplePos x="0" y="0"/>
          <wp:positionH relativeFrom="column">
            <wp:posOffset>-9525</wp:posOffset>
          </wp:positionH>
          <wp:positionV relativeFrom="paragraph">
            <wp:posOffset>20320</wp:posOffset>
          </wp:positionV>
          <wp:extent cx="1151890" cy="177165"/>
          <wp:effectExtent l="0" t="0" r="10160" b="13335"/>
          <wp:wrapNone/>
          <wp:docPr id="1" name="图片 1"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USER-20170507AS\Desktop\图片1.jpg"/>
                  <pic:cNvPicPr>
                    <a:picLocks noChangeAspect="1"/>
                  </pic:cNvPicPr>
                </pic:nvPicPr>
                <pic:blipFill>
                  <a:blip r:embed="rId1"/>
                  <a:stretch>
                    <a:fillRect/>
                  </a:stretch>
                </pic:blipFill>
                <pic:spPr>
                  <a:xfrm>
                    <a:off x="0" y="0"/>
                    <a:ext cx="1151890" cy="177165"/>
                  </a:xfrm>
                  <a:prstGeom prst="rect">
                    <a:avLst/>
                  </a:prstGeom>
                  <a:noFill/>
                  <a:ln>
                    <a:noFill/>
                  </a:ln>
                </pic:spPr>
              </pic:pic>
            </a:graphicData>
          </a:graphic>
        </wp:anchor>
      </w:drawing>
    </w:r>
    <w:r>
      <w:rPr>
        <w:rFonts w:hint="eastAsia" w:ascii="隶书" w:eastAsia="隶书"/>
        <w:spacing w:val="-20"/>
        <w:sz w:val="28"/>
        <w:szCs w:val="28"/>
      </w:rPr>
      <w:t>中兴财光华会计师事务所（特普）云南分所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8176F0"/>
    <w:multiLevelType w:val="singleLevel"/>
    <w:tmpl w:val="9B8176F0"/>
    <w:lvl w:ilvl="0" w:tentative="0">
      <w:start w:val="2"/>
      <w:numFmt w:val="chineseCounting"/>
      <w:suff w:val="space"/>
      <w:lvlText w:val="（%1）"/>
      <w:lvlJc w:val="left"/>
      <w:rPr>
        <w:rFonts w:hint="eastAsia"/>
      </w:rPr>
    </w:lvl>
  </w:abstractNum>
  <w:abstractNum w:abstractNumId="1">
    <w:nsid w:val="B03FFE2D"/>
    <w:multiLevelType w:val="singleLevel"/>
    <w:tmpl w:val="B03FFE2D"/>
    <w:lvl w:ilvl="0" w:tentative="0">
      <w:start w:val="8"/>
      <w:numFmt w:val="chineseCounting"/>
      <w:suff w:val="nothing"/>
      <w:lvlText w:val="%1、"/>
      <w:lvlJc w:val="left"/>
      <w:rPr>
        <w:rFonts w:hint="eastAsia"/>
      </w:rPr>
    </w:lvl>
  </w:abstractNum>
  <w:abstractNum w:abstractNumId="2">
    <w:nsid w:val="C7321B26"/>
    <w:multiLevelType w:val="singleLevel"/>
    <w:tmpl w:val="C7321B26"/>
    <w:lvl w:ilvl="0" w:tentative="0">
      <w:start w:val="2"/>
      <w:numFmt w:val="chineseCounting"/>
      <w:suff w:val="space"/>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24B3C"/>
    <w:rsid w:val="001239EA"/>
    <w:rsid w:val="00237405"/>
    <w:rsid w:val="002F42E5"/>
    <w:rsid w:val="004D6964"/>
    <w:rsid w:val="009444DF"/>
    <w:rsid w:val="00B22112"/>
    <w:rsid w:val="00C36906"/>
    <w:rsid w:val="00D10C8C"/>
    <w:rsid w:val="00F048D4"/>
    <w:rsid w:val="012C7DC0"/>
    <w:rsid w:val="012F3B23"/>
    <w:rsid w:val="01432CF3"/>
    <w:rsid w:val="01436F9F"/>
    <w:rsid w:val="016C373C"/>
    <w:rsid w:val="016D63FA"/>
    <w:rsid w:val="017C167E"/>
    <w:rsid w:val="01880A19"/>
    <w:rsid w:val="018C388B"/>
    <w:rsid w:val="019554A3"/>
    <w:rsid w:val="01B65C30"/>
    <w:rsid w:val="01BA1D3B"/>
    <w:rsid w:val="01C639B8"/>
    <w:rsid w:val="01C64855"/>
    <w:rsid w:val="01E26F97"/>
    <w:rsid w:val="02147BE1"/>
    <w:rsid w:val="02151E80"/>
    <w:rsid w:val="022E0963"/>
    <w:rsid w:val="0257031E"/>
    <w:rsid w:val="02684EB4"/>
    <w:rsid w:val="02704915"/>
    <w:rsid w:val="02A02758"/>
    <w:rsid w:val="02A3463C"/>
    <w:rsid w:val="02A70805"/>
    <w:rsid w:val="02BC2BBA"/>
    <w:rsid w:val="02EA73E1"/>
    <w:rsid w:val="0307577D"/>
    <w:rsid w:val="034A7C6C"/>
    <w:rsid w:val="03BD28D6"/>
    <w:rsid w:val="03FA61B5"/>
    <w:rsid w:val="045C346D"/>
    <w:rsid w:val="048A2A24"/>
    <w:rsid w:val="049401D8"/>
    <w:rsid w:val="04AC5FBE"/>
    <w:rsid w:val="04E77027"/>
    <w:rsid w:val="05145211"/>
    <w:rsid w:val="0521507F"/>
    <w:rsid w:val="055C6AE7"/>
    <w:rsid w:val="05634866"/>
    <w:rsid w:val="057F1E81"/>
    <w:rsid w:val="0590444B"/>
    <w:rsid w:val="06186903"/>
    <w:rsid w:val="062A6E20"/>
    <w:rsid w:val="06404308"/>
    <w:rsid w:val="06790629"/>
    <w:rsid w:val="068376C8"/>
    <w:rsid w:val="06BD18CD"/>
    <w:rsid w:val="06DD1B0A"/>
    <w:rsid w:val="06DE5211"/>
    <w:rsid w:val="070077AC"/>
    <w:rsid w:val="07014EC2"/>
    <w:rsid w:val="074C6A10"/>
    <w:rsid w:val="075C167D"/>
    <w:rsid w:val="07A63657"/>
    <w:rsid w:val="07F53CEB"/>
    <w:rsid w:val="080C5426"/>
    <w:rsid w:val="081D15C4"/>
    <w:rsid w:val="08281E83"/>
    <w:rsid w:val="08310243"/>
    <w:rsid w:val="08932548"/>
    <w:rsid w:val="08BE1A5F"/>
    <w:rsid w:val="08E46646"/>
    <w:rsid w:val="09176047"/>
    <w:rsid w:val="095F41FF"/>
    <w:rsid w:val="09790F31"/>
    <w:rsid w:val="09811723"/>
    <w:rsid w:val="098C3C7E"/>
    <w:rsid w:val="09943BCA"/>
    <w:rsid w:val="09BE3873"/>
    <w:rsid w:val="09D850BF"/>
    <w:rsid w:val="0A177A6F"/>
    <w:rsid w:val="0A9F4057"/>
    <w:rsid w:val="0A9F5410"/>
    <w:rsid w:val="0ABE41EE"/>
    <w:rsid w:val="0ABE7C42"/>
    <w:rsid w:val="0AD41505"/>
    <w:rsid w:val="0B114150"/>
    <w:rsid w:val="0B2B5475"/>
    <w:rsid w:val="0B45384A"/>
    <w:rsid w:val="0BFF1C88"/>
    <w:rsid w:val="0C016446"/>
    <w:rsid w:val="0C1D7C13"/>
    <w:rsid w:val="0C230B9E"/>
    <w:rsid w:val="0C45114E"/>
    <w:rsid w:val="0C4F19D8"/>
    <w:rsid w:val="0C7C4D54"/>
    <w:rsid w:val="0CC071D9"/>
    <w:rsid w:val="0CD226F8"/>
    <w:rsid w:val="0CD33493"/>
    <w:rsid w:val="0CEA47A0"/>
    <w:rsid w:val="0CED7F3F"/>
    <w:rsid w:val="0D260395"/>
    <w:rsid w:val="0D4940A8"/>
    <w:rsid w:val="0D5E6C31"/>
    <w:rsid w:val="0D654235"/>
    <w:rsid w:val="0D67046D"/>
    <w:rsid w:val="0D831253"/>
    <w:rsid w:val="0DBA5E70"/>
    <w:rsid w:val="0DCA5DE1"/>
    <w:rsid w:val="0DE47989"/>
    <w:rsid w:val="0DFA4270"/>
    <w:rsid w:val="0E023CCD"/>
    <w:rsid w:val="0E4873B8"/>
    <w:rsid w:val="0E516EAF"/>
    <w:rsid w:val="0E69015E"/>
    <w:rsid w:val="0E732050"/>
    <w:rsid w:val="0E7379E9"/>
    <w:rsid w:val="0F3026BC"/>
    <w:rsid w:val="0F4F24AB"/>
    <w:rsid w:val="0F6F0C3D"/>
    <w:rsid w:val="0FA554CA"/>
    <w:rsid w:val="100B3C94"/>
    <w:rsid w:val="106516A2"/>
    <w:rsid w:val="106C2346"/>
    <w:rsid w:val="106C7654"/>
    <w:rsid w:val="10762E0B"/>
    <w:rsid w:val="10A3523B"/>
    <w:rsid w:val="10A41CED"/>
    <w:rsid w:val="10AD2C55"/>
    <w:rsid w:val="10C43B87"/>
    <w:rsid w:val="110B1D5E"/>
    <w:rsid w:val="11110358"/>
    <w:rsid w:val="111D6972"/>
    <w:rsid w:val="11352493"/>
    <w:rsid w:val="11686341"/>
    <w:rsid w:val="11A9654B"/>
    <w:rsid w:val="11CA17ED"/>
    <w:rsid w:val="11E920D6"/>
    <w:rsid w:val="11FC619A"/>
    <w:rsid w:val="1208045B"/>
    <w:rsid w:val="1225668C"/>
    <w:rsid w:val="122660D5"/>
    <w:rsid w:val="12320C01"/>
    <w:rsid w:val="1251568D"/>
    <w:rsid w:val="1256332B"/>
    <w:rsid w:val="1283031A"/>
    <w:rsid w:val="12DB208F"/>
    <w:rsid w:val="12ED67D7"/>
    <w:rsid w:val="12FC68FF"/>
    <w:rsid w:val="130C2193"/>
    <w:rsid w:val="130E3903"/>
    <w:rsid w:val="13166809"/>
    <w:rsid w:val="13943B2C"/>
    <w:rsid w:val="13D5523A"/>
    <w:rsid w:val="13DF48A7"/>
    <w:rsid w:val="14322947"/>
    <w:rsid w:val="144D3492"/>
    <w:rsid w:val="144D747C"/>
    <w:rsid w:val="14554B96"/>
    <w:rsid w:val="145A1383"/>
    <w:rsid w:val="14805E1C"/>
    <w:rsid w:val="14A14B4C"/>
    <w:rsid w:val="14AD7B3E"/>
    <w:rsid w:val="14D5415A"/>
    <w:rsid w:val="14D9678B"/>
    <w:rsid w:val="14FC5A91"/>
    <w:rsid w:val="14FE4F08"/>
    <w:rsid w:val="156D056F"/>
    <w:rsid w:val="15E25909"/>
    <w:rsid w:val="15EE2E40"/>
    <w:rsid w:val="16052897"/>
    <w:rsid w:val="16446A3C"/>
    <w:rsid w:val="16523EA2"/>
    <w:rsid w:val="16B0110B"/>
    <w:rsid w:val="16DC0019"/>
    <w:rsid w:val="16E01397"/>
    <w:rsid w:val="16EA3483"/>
    <w:rsid w:val="1752026A"/>
    <w:rsid w:val="175A563C"/>
    <w:rsid w:val="179C442C"/>
    <w:rsid w:val="17C94A25"/>
    <w:rsid w:val="17D26242"/>
    <w:rsid w:val="186561F9"/>
    <w:rsid w:val="18724759"/>
    <w:rsid w:val="18736211"/>
    <w:rsid w:val="18772165"/>
    <w:rsid w:val="188A32AC"/>
    <w:rsid w:val="18B6616D"/>
    <w:rsid w:val="18E933C9"/>
    <w:rsid w:val="18F01815"/>
    <w:rsid w:val="18FD2189"/>
    <w:rsid w:val="19250992"/>
    <w:rsid w:val="19351E51"/>
    <w:rsid w:val="19BA7F53"/>
    <w:rsid w:val="19BE25D1"/>
    <w:rsid w:val="19EB2EA3"/>
    <w:rsid w:val="1A032ECE"/>
    <w:rsid w:val="1A17016E"/>
    <w:rsid w:val="1A1F29A8"/>
    <w:rsid w:val="1A291815"/>
    <w:rsid w:val="1A3C7AF1"/>
    <w:rsid w:val="1A3D12CC"/>
    <w:rsid w:val="1A545436"/>
    <w:rsid w:val="1A6C6495"/>
    <w:rsid w:val="1A760FF2"/>
    <w:rsid w:val="1AA362D6"/>
    <w:rsid w:val="1AE02712"/>
    <w:rsid w:val="1AE80A5A"/>
    <w:rsid w:val="1AEA56AB"/>
    <w:rsid w:val="1AF104DA"/>
    <w:rsid w:val="1AF2458D"/>
    <w:rsid w:val="1B045886"/>
    <w:rsid w:val="1B082591"/>
    <w:rsid w:val="1B2D20AE"/>
    <w:rsid w:val="1B3E28E5"/>
    <w:rsid w:val="1B552716"/>
    <w:rsid w:val="1B6D5FA5"/>
    <w:rsid w:val="1B6F0F2D"/>
    <w:rsid w:val="1B79551A"/>
    <w:rsid w:val="1BF5110A"/>
    <w:rsid w:val="1C2D714A"/>
    <w:rsid w:val="1C4147AE"/>
    <w:rsid w:val="1C6D0C27"/>
    <w:rsid w:val="1C6D274D"/>
    <w:rsid w:val="1C7707CD"/>
    <w:rsid w:val="1CA977BE"/>
    <w:rsid w:val="1CC9627E"/>
    <w:rsid w:val="1CD55A4A"/>
    <w:rsid w:val="1CDD29DD"/>
    <w:rsid w:val="1D0F7A8E"/>
    <w:rsid w:val="1D1B0AD1"/>
    <w:rsid w:val="1D221FDC"/>
    <w:rsid w:val="1D2F1285"/>
    <w:rsid w:val="1D3941A5"/>
    <w:rsid w:val="1D7736C9"/>
    <w:rsid w:val="1D8D6A3B"/>
    <w:rsid w:val="1D904FA5"/>
    <w:rsid w:val="1DC03EC1"/>
    <w:rsid w:val="1DD14027"/>
    <w:rsid w:val="1DE925A7"/>
    <w:rsid w:val="1E010BC0"/>
    <w:rsid w:val="1E2C4E59"/>
    <w:rsid w:val="1EB01ACB"/>
    <w:rsid w:val="1ED05892"/>
    <w:rsid w:val="1EE8779D"/>
    <w:rsid w:val="1F591721"/>
    <w:rsid w:val="1F6F6360"/>
    <w:rsid w:val="1F91086F"/>
    <w:rsid w:val="1FE2356A"/>
    <w:rsid w:val="200244D1"/>
    <w:rsid w:val="20104A66"/>
    <w:rsid w:val="201E59ED"/>
    <w:rsid w:val="2025021C"/>
    <w:rsid w:val="20356024"/>
    <w:rsid w:val="2038096B"/>
    <w:rsid w:val="203A5DFB"/>
    <w:rsid w:val="20536DBE"/>
    <w:rsid w:val="20694D65"/>
    <w:rsid w:val="20804F82"/>
    <w:rsid w:val="20A14E27"/>
    <w:rsid w:val="20D60287"/>
    <w:rsid w:val="20DE53CC"/>
    <w:rsid w:val="20FC17FA"/>
    <w:rsid w:val="2114179F"/>
    <w:rsid w:val="21197B5A"/>
    <w:rsid w:val="215E26D2"/>
    <w:rsid w:val="216A2D40"/>
    <w:rsid w:val="216C7D24"/>
    <w:rsid w:val="21B96FEE"/>
    <w:rsid w:val="21CB0D2F"/>
    <w:rsid w:val="21E17F5C"/>
    <w:rsid w:val="21E23314"/>
    <w:rsid w:val="21EC0A72"/>
    <w:rsid w:val="21EF780B"/>
    <w:rsid w:val="221055AD"/>
    <w:rsid w:val="223F479F"/>
    <w:rsid w:val="223F5AC1"/>
    <w:rsid w:val="22583D0D"/>
    <w:rsid w:val="225F634C"/>
    <w:rsid w:val="229064AC"/>
    <w:rsid w:val="22C67807"/>
    <w:rsid w:val="22C92735"/>
    <w:rsid w:val="22CB5EF7"/>
    <w:rsid w:val="22E86417"/>
    <w:rsid w:val="230C5D84"/>
    <w:rsid w:val="231435FF"/>
    <w:rsid w:val="23B177E1"/>
    <w:rsid w:val="24211347"/>
    <w:rsid w:val="24310DD4"/>
    <w:rsid w:val="246D2625"/>
    <w:rsid w:val="24900048"/>
    <w:rsid w:val="2494627F"/>
    <w:rsid w:val="24BB522A"/>
    <w:rsid w:val="24F37529"/>
    <w:rsid w:val="250F2C31"/>
    <w:rsid w:val="251E0472"/>
    <w:rsid w:val="2520642A"/>
    <w:rsid w:val="25286AA1"/>
    <w:rsid w:val="252B25EC"/>
    <w:rsid w:val="25364DC1"/>
    <w:rsid w:val="253C3631"/>
    <w:rsid w:val="25462E4B"/>
    <w:rsid w:val="25572608"/>
    <w:rsid w:val="258309B4"/>
    <w:rsid w:val="25862011"/>
    <w:rsid w:val="260D7D0C"/>
    <w:rsid w:val="261C3DE4"/>
    <w:rsid w:val="263A71E2"/>
    <w:rsid w:val="26690FCD"/>
    <w:rsid w:val="26963F27"/>
    <w:rsid w:val="269B1693"/>
    <w:rsid w:val="26D0331A"/>
    <w:rsid w:val="26DF0CD6"/>
    <w:rsid w:val="26ED48AE"/>
    <w:rsid w:val="272A5B4E"/>
    <w:rsid w:val="279C587E"/>
    <w:rsid w:val="27A01740"/>
    <w:rsid w:val="27C416DF"/>
    <w:rsid w:val="27EF7121"/>
    <w:rsid w:val="28192057"/>
    <w:rsid w:val="281D28B1"/>
    <w:rsid w:val="283519AE"/>
    <w:rsid w:val="283C3A8D"/>
    <w:rsid w:val="2884724B"/>
    <w:rsid w:val="28870583"/>
    <w:rsid w:val="28911DE4"/>
    <w:rsid w:val="28A44474"/>
    <w:rsid w:val="28D97FCA"/>
    <w:rsid w:val="291B5803"/>
    <w:rsid w:val="296E5DBC"/>
    <w:rsid w:val="29733142"/>
    <w:rsid w:val="29951847"/>
    <w:rsid w:val="29A033E8"/>
    <w:rsid w:val="29B20C5B"/>
    <w:rsid w:val="29BC365E"/>
    <w:rsid w:val="29E547EE"/>
    <w:rsid w:val="2A1C5137"/>
    <w:rsid w:val="2A2029CA"/>
    <w:rsid w:val="2A3E70CF"/>
    <w:rsid w:val="2A4332D5"/>
    <w:rsid w:val="2A522CC2"/>
    <w:rsid w:val="2A6B5300"/>
    <w:rsid w:val="2AC250CD"/>
    <w:rsid w:val="2B3602D5"/>
    <w:rsid w:val="2B80177F"/>
    <w:rsid w:val="2B90159F"/>
    <w:rsid w:val="2B993748"/>
    <w:rsid w:val="2B9E72B7"/>
    <w:rsid w:val="2BA85B61"/>
    <w:rsid w:val="2BAE482F"/>
    <w:rsid w:val="2BBE1DE2"/>
    <w:rsid w:val="2BE36683"/>
    <w:rsid w:val="2C706F8B"/>
    <w:rsid w:val="2C9B3A25"/>
    <w:rsid w:val="2CBF668D"/>
    <w:rsid w:val="2CC24680"/>
    <w:rsid w:val="2DA362F7"/>
    <w:rsid w:val="2DC42BAC"/>
    <w:rsid w:val="2DDE1315"/>
    <w:rsid w:val="2E70008E"/>
    <w:rsid w:val="2E795570"/>
    <w:rsid w:val="2EB4177E"/>
    <w:rsid w:val="2EEF032B"/>
    <w:rsid w:val="2F32229C"/>
    <w:rsid w:val="2F474DB3"/>
    <w:rsid w:val="2F504E0F"/>
    <w:rsid w:val="2FA63331"/>
    <w:rsid w:val="2FAC3EB9"/>
    <w:rsid w:val="308D7FA8"/>
    <w:rsid w:val="30AB3BDE"/>
    <w:rsid w:val="30B1378E"/>
    <w:rsid w:val="30C96FB0"/>
    <w:rsid w:val="30EB05F2"/>
    <w:rsid w:val="30F14E48"/>
    <w:rsid w:val="30F25A6D"/>
    <w:rsid w:val="30FD077F"/>
    <w:rsid w:val="31202692"/>
    <w:rsid w:val="312A5619"/>
    <w:rsid w:val="31A23AE0"/>
    <w:rsid w:val="31C37AEC"/>
    <w:rsid w:val="31FE5EF2"/>
    <w:rsid w:val="32145CC4"/>
    <w:rsid w:val="32350A5C"/>
    <w:rsid w:val="32477ABF"/>
    <w:rsid w:val="325970B3"/>
    <w:rsid w:val="32CC0E3B"/>
    <w:rsid w:val="32DF1CBC"/>
    <w:rsid w:val="330827FC"/>
    <w:rsid w:val="33656E24"/>
    <w:rsid w:val="33816DA8"/>
    <w:rsid w:val="33855A30"/>
    <w:rsid w:val="33F469AE"/>
    <w:rsid w:val="340B3A91"/>
    <w:rsid w:val="34213EBA"/>
    <w:rsid w:val="34214870"/>
    <w:rsid w:val="345A637A"/>
    <w:rsid w:val="34960E51"/>
    <w:rsid w:val="34B93037"/>
    <w:rsid w:val="34C2659C"/>
    <w:rsid w:val="350911FE"/>
    <w:rsid w:val="35212153"/>
    <w:rsid w:val="3544533E"/>
    <w:rsid w:val="354C0B93"/>
    <w:rsid w:val="355B423F"/>
    <w:rsid w:val="357D6768"/>
    <w:rsid w:val="3583397B"/>
    <w:rsid w:val="35A24966"/>
    <w:rsid w:val="35E23F6E"/>
    <w:rsid w:val="35EC067D"/>
    <w:rsid w:val="35F31D68"/>
    <w:rsid w:val="36174062"/>
    <w:rsid w:val="36215071"/>
    <w:rsid w:val="36314683"/>
    <w:rsid w:val="36472C7B"/>
    <w:rsid w:val="367073D5"/>
    <w:rsid w:val="36753A20"/>
    <w:rsid w:val="36B326B4"/>
    <w:rsid w:val="36BA2A0E"/>
    <w:rsid w:val="36C17BFE"/>
    <w:rsid w:val="36C366E8"/>
    <w:rsid w:val="36CE2123"/>
    <w:rsid w:val="36D60122"/>
    <w:rsid w:val="36D9255D"/>
    <w:rsid w:val="37290822"/>
    <w:rsid w:val="373206A1"/>
    <w:rsid w:val="375726F9"/>
    <w:rsid w:val="376810B7"/>
    <w:rsid w:val="378E3DE6"/>
    <w:rsid w:val="37A32806"/>
    <w:rsid w:val="37D751E2"/>
    <w:rsid w:val="380B1DFE"/>
    <w:rsid w:val="382E6775"/>
    <w:rsid w:val="385852A1"/>
    <w:rsid w:val="386F48E8"/>
    <w:rsid w:val="3898363E"/>
    <w:rsid w:val="38A16914"/>
    <w:rsid w:val="38A718AB"/>
    <w:rsid w:val="38B069CA"/>
    <w:rsid w:val="38D91E08"/>
    <w:rsid w:val="38E0103A"/>
    <w:rsid w:val="38E063FB"/>
    <w:rsid w:val="38F230E0"/>
    <w:rsid w:val="393C79BC"/>
    <w:rsid w:val="394F4212"/>
    <w:rsid w:val="3971570C"/>
    <w:rsid w:val="39945652"/>
    <w:rsid w:val="39B234B0"/>
    <w:rsid w:val="39CC0DE9"/>
    <w:rsid w:val="39EF0CAB"/>
    <w:rsid w:val="3A056E55"/>
    <w:rsid w:val="3A440895"/>
    <w:rsid w:val="3A5860F9"/>
    <w:rsid w:val="3A896034"/>
    <w:rsid w:val="3A9F1F4F"/>
    <w:rsid w:val="3AA23B34"/>
    <w:rsid w:val="3AB45EB9"/>
    <w:rsid w:val="3ACE7B41"/>
    <w:rsid w:val="3AD018DF"/>
    <w:rsid w:val="3AD410D0"/>
    <w:rsid w:val="3B013692"/>
    <w:rsid w:val="3B0E0D2F"/>
    <w:rsid w:val="3B1667F3"/>
    <w:rsid w:val="3B305D83"/>
    <w:rsid w:val="3B3358B7"/>
    <w:rsid w:val="3B493B46"/>
    <w:rsid w:val="3B55625B"/>
    <w:rsid w:val="3B597FFC"/>
    <w:rsid w:val="3B760DD2"/>
    <w:rsid w:val="3B86620D"/>
    <w:rsid w:val="3BB421DB"/>
    <w:rsid w:val="3BE552CD"/>
    <w:rsid w:val="3BF2764E"/>
    <w:rsid w:val="3C021C37"/>
    <w:rsid w:val="3C0540D6"/>
    <w:rsid w:val="3C215ABF"/>
    <w:rsid w:val="3C693243"/>
    <w:rsid w:val="3C7C7EF1"/>
    <w:rsid w:val="3C976231"/>
    <w:rsid w:val="3CAA0274"/>
    <w:rsid w:val="3CBD2868"/>
    <w:rsid w:val="3D1746DC"/>
    <w:rsid w:val="3D237BE8"/>
    <w:rsid w:val="3D2C4D79"/>
    <w:rsid w:val="3D2F7E2F"/>
    <w:rsid w:val="3D366EF4"/>
    <w:rsid w:val="3D511084"/>
    <w:rsid w:val="3D642282"/>
    <w:rsid w:val="3D7B5779"/>
    <w:rsid w:val="3D8A5584"/>
    <w:rsid w:val="3D9B2911"/>
    <w:rsid w:val="3D9C39EF"/>
    <w:rsid w:val="3DA235BF"/>
    <w:rsid w:val="3DB15E99"/>
    <w:rsid w:val="3DB46368"/>
    <w:rsid w:val="3DD8680E"/>
    <w:rsid w:val="3DF741A6"/>
    <w:rsid w:val="3DFD5343"/>
    <w:rsid w:val="3E3062DB"/>
    <w:rsid w:val="3E5A58BC"/>
    <w:rsid w:val="3E850F52"/>
    <w:rsid w:val="3E9B2E8A"/>
    <w:rsid w:val="3E9E4944"/>
    <w:rsid w:val="3E9F6A9D"/>
    <w:rsid w:val="3EA27A49"/>
    <w:rsid w:val="3F05449D"/>
    <w:rsid w:val="3F210B9B"/>
    <w:rsid w:val="3F231079"/>
    <w:rsid w:val="3F3B2967"/>
    <w:rsid w:val="3F3D64E2"/>
    <w:rsid w:val="3F4B41E0"/>
    <w:rsid w:val="3F5D0E23"/>
    <w:rsid w:val="3F8245EF"/>
    <w:rsid w:val="3F8B2040"/>
    <w:rsid w:val="3F913ED2"/>
    <w:rsid w:val="3F9D2C01"/>
    <w:rsid w:val="3FAC1725"/>
    <w:rsid w:val="3FAD78C2"/>
    <w:rsid w:val="3FEA40C8"/>
    <w:rsid w:val="3FF47E41"/>
    <w:rsid w:val="40615229"/>
    <w:rsid w:val="40733563"/>
    <w:rsid w:val="40B10190"/>
    <w:rsid w:val="40B74800"/>
    <w:rsid w:val="411613DD"/>
    <w:rsid w:val="41516E1E"/>
    <w:rsid w:val="416E5398"/>
    <w:rsid w:val="418862CD"/>
    <w:rsid w:val="41A449A2"/>
    <w:rsid w:val="421B2713"/>
    <w:rsid w:val="42284FC8"/>
    <w:rsid w:val="42770C8F"/>
    <w:rsid w:val="429B2E0A"/>
    <w:rsid w:val="42AA5444"/>
    <w:rsid w:val="42D52B87"/>
    <w:rsid w:val="42E524D7"/>
    <w:rsid w:val="42ED4BD2"/>
    <w:rsid w:val="42F5056C"/>
    <w:rsid w:val="42FB7CE0"/>
    <w:rsid w:val="431112AD"/>
    <w:rsid w:val="43232F1C"/>
    <w:rsid w:val="43561DE5"/>
    <w:rsid w:val="436B4467"/>
    <w:rsid w:val="43AA7E48"/>
    <w:rsid w:val="440138B3"/>
    <w:rsid w:val="44154208"/>
    <w:rsid w:val="44394D1C"/>
    <w:rsid w:val="44406011"/>
    <w:rsid w:val="445451F2"/>
    <w:rsid w:val="44620BD2"/>
    <w:rsid w:val="4463052B"/>
    <w:rsid w:val="446D7633"/>
    <w:rsid w:val="4488315B"/>
    <w:rsid w:val="4493471C"/>
    <w:rsid w:val="449C2C79"/>
    <w:rsid w:val="44B00229"/>
    <w:rsid w:val="44C4215E"/>
    <w:rsid w:val="44C9118E"/>
    <w:rsid w:val="44DF23A8"/>
    <w:rsid w:val="44F341FA"/>
    <w:rsid w:val="450736B6"/>
    <w:rsid w:val="45532B45"/>
    <w:rsid w:val="45934454"/>
    <w:rsid w:val="459D705A"/>
    <w:rsid w:val="45C42CBF"/>
    <w:rsid w:val="45DA2707"/>
    <w:rsid w:val="45FA1738"/>
    <w:rsid w:val="46162C84"/>
    <w:rsid w:val="462E0F20"/>
    <w:rsid w:val="465F798A"/>
    <w:rsid w:val="46AC1B1A"/>
    <w:rsid w:val="46B80FA9"/>
    <w:rsid w:val="46CD7454"/>
    <w:rsid w:val="46FD0BBA"/>
    <w:rsid w:val="47620B5A"/>
    <w:rsid w:val="476A374A"/>
    <w:rsid w:val="478A6E8F"/>
    <w:rsid w:val="47A205D6"/>
    <w:rsid w:val="47C33349"/>
    <w:rsid w:val="47E54BDD"/>
    <w:rsid w:val="47E62852"/>
    <w:rsid w:val="4809270E"/>
    <w:rsid w:val="48117E58"/>
    <w:rsid w:val="48155FBD"/>
    <w:rsid w:val="484F1501"/>
    <w:rsid w:val="48616542"/>
    <w:rsid w:val="487C4B5B"/>
    <w:rsid w:val="488B3ADA"/>
    <w:rsid w:val="489578D5"/>
    <w:rsid w:val="48C32A27"/>
    <w:rsid w:val="48C756C4"/>
    <w:rsid w:val="48F347C2"/>
    <w:rsid w:val="48F40872"/>
    <w:rsid w:val="490910CB"/>
    <w:rsid w:val="49672FCD"/>
    <w:rsid w:val="496B2921"/>
    <w:rsid w:val="497D1E37"/>
    <w:rsid w:val="49C079A0"/>
    <w:rsid w:val="49E56842"/>
    <w:rsid w:val="4A133BBA"/>
    <w:rsid w:val="4A202CB3"/>
    <w:rsid w:val="4A4C0BBD"/>
    <w:rsid w:val="4A741CD0"/>
    <w:rsid w:val="4AB169D3"/>
    <w:rsid w:val="4AE523B5"/>
    <w:rsid w:val="4AF32944"/>
    <w:rsid w:val="4AFF1CE5"/>
    <w:rsid w:val="4B2C2C5C"/>
    <w:rsid w:val="4B3948BD"/>
    <w:rsid w:val="4B542445"/>
    <w:rsid w:val="4B8633C6"/>
    <w:rsid w:val="4B897894"/>
    <w:rsid w:val="4BA072A5"/>
    <w:rsid w:val="4BAE6978"/>
    <w:rsid w:val="4BF85767"/>
    <w:rsid w:val="4C4609B9"/>
    <w:rsid w:val="4C5A69C3"/>
    <w:rsid w:val="4C6B50F5"/>
    <w:rsid w:val="4C7613FB"/>
    <w:rsid w:val="4C9A610C"/>
    <w:rsid w:val="4CAB4A57"/>
    <w:rsid w:val="4CAF036C"/>
    <w:rsid w:val="4CB545C0"/>
    <w:rsid w:val="4CBB7439"/>
    <w:rsid w:val="4CBE1C08"/>
    <w:rsid w:val="4CC01AB6"/>
    <w:rsid w:val="4CFA12DC"/>
    <w:rsid w:val="4D1C7BCF"/>
    <w:rsid w:val="4D317C9E"/>
    <w:rsid w:val="4D356131"/>
    <w:rsid w:val="4D521D49"/>
    <w:rsid w:val="4D635CDE"/>
    <w:rsid w:val="4D7C15EC"/>
    <w:rsid w:val="4D8020C0"/>
    <w:rsid w:val="4DA21BCB"/>
    <w:rsid w:val="4E022AED"/>
    <w:rsid w:val="4E0F5AA6"/>
    <w:rsid w:val="4E4C601D"/>
    <w:rsid w:val="4E557DAE"/>
    <w:rsid w:val="4E7B47FF"/>
    <w:rsid w:val="4EC57FA6"/>
    <w:rsid w:val="4EDF50DA"/>
    <w:rsid w:val="4EE759E0"/>
    <w:rsid w:val="4EE7733C"/>
    <w:rsid w:val="4EEF1AD6"/>
    <w:rsid w:val="4EFC0E40"/>
    <w:rsid w:val="4F32383F"/>
    <w:rsid w:val="4F4201F9"/>
    <w:rsid w:val="4F596DC1"/>
    <w:rsid w:val="4F5B18B4"/>
    <w:rsid w:val="4F746E17"/>
    <w:rsid w:val="4F7E527E"/>
    <w:rsid w:val="4F9948BE"/>
    <w:rsid w:val="4F9A7281"/>
    <w:rsid w:val="4FAE6D31"/>
    <w:rsid w:val="4FB16A86"/>
    <w:rsid w:val="50173009"/>
    <w:rsid w:val="50206210"/>
    <w:rsid w:val="503147B2"/>
    <w:rsid w:val="504B0595"/>
    <w:rsid w:val="508470D2"/>
    <w:rsid w:val="50CC2E3A"/>
    <w:rsid w:val="50E37FBB"/>
    <w:rsid w:val="50EB685A"/>
    <w:rsid w:val="513D7D44"/>
    <w:rsid w:val="516C1EC9"/>
    <w:rsid w:val="51A35549"/>
    <w:rsid w:val="51C96CF8"/>
    <w:rsid w:val="51E16B22"/>
    <w:rsid w:val="51E71584"/>
    <w:rsid w:val="520134A4"/>
    <w:rsid w:val="525A2598"/>
    <w:rsid w:val="528D2D69"/>
    <w:rsid w:val="529D0739"/>
    <w:rsid w:val="52A72CB9"/>
    <w:rsid w:val="52C645C7"/>
    <w:rsid w:val="5308234F"/>
    <w:rsid w:val="531A7701"/>
    <w:rsid w:val="533527C2"/>
    <w:rsid w:val="533536F9"/>
    <w:rsid w:val="535A4036"/>
    <w:rsid w:val="535E0C0C"/>
    <w:rsid w:val="53682576"/>
    <w:rsid w:val="536F55E2"/>
    <w:rsid w:val="53EE2B63"/>
    <w:rsid w:val="541259A4"/>
    <w:rsid w:val="54221113"/>
    <w:rsid w:val="543625D7"/>
    <w:rsid w:val="54410718"/>
    <w:rsid w:val="547C59B6"/>
    <w:rsid w:val="549242BC"/>
    <w:rsid w:val="5506526C"/>
    <w:rsid w:val="55497B99"/>
    <w:rsid w:val="55672B7A"/>
    <w:rsid w:val="556F44BF"/>
    <w:rsid w:val="55717504"/>
    <w:rsid w:val="55981C1E"/>
    <w:rsid w:val="559E43DB"/>
    <w:rsid w:val="55CC0E83"/>
    <w:rsid w:val="5615080D"/>
    <w:rsid w:val="56387BE6"/>
    <w:rsid w:val="566A5330"/>
    <w:rsid w:val="568024C8"/>
    <w:rsid w:val="5688200B"/>
    <w:rsid w:val="568E4BF3"/>
    <w:rsid w:val="568F79BF"/>
    <w:rsid w:val="56A33FC4"/>
    <w:rsid w:val="56A763F2"/>
    <w:rsid w:val="56CD2153"/>
    <w:rsid w:val="56E75D17"/>
    <w:rsid w:val="56F312B5"/>
    <w:rsid w:val="572B04F0"/>
    <w:rsid w:val="572B4176"/>
    <w:rsid w:val="573725FE"/>
    <w:rsid w:val="575A3A3C"/>
    <w:rsid w:val="57664E51"/>
    <w:rsid w:val="5769400A"/>
    <w:rsid w:val="577603E3"/>
    <w:rsid w:val="5789602C"/>
    <w:rsid w:val="580649F2"/>
    <w:rsid w:val="58226B70"/>
    <w:rsid w:val="58230A94"/>
    <w:rsid w:val="58351BA6"/>
    <w:rsid w:val="584F5D9B"/>
    <w:rsid w:val="58795EFF"/>
    <w:rsid w:val="58835B9A"/>
    <w:rsid w:val="58F23A2C"/>
    <w:rsid w:val="58F33BD7"/>
    <w:rsid w:val="595950A7"/>
    <w:rsid w:val="5983654E"/>
    <w:rsid w:val="599B6043"/>
    <w:rsid w:val="59A07BF0"/>
    <w:rsid w:val="59AB446D"/>
    <w:rsid w:val="59B14EED"/>
    <w:rsid w:val="59F44E33"/>
    <w:rsid w:val="5A1437A3"/>
    <w:rsid w:val="5A321CCA"/>
    <w:rsid w:val="5A4031BD"/>
    <w:rsid w:val="5A742FCA"/>
    <w:rsid w:val="5A7557BC"/>
    <w:rsid w:val="5A801F1C"/>
    <w:rsid w:val="5AAB0EAB"/>
    <w:rsid w:val="5AAD5E4B"/>
    <w:rsid w:val="5AC64458"/>
    <w:rsid w:val="5AD56AE1"/>
    <w:rsid w:val="5AF42D65"/>
    <w:rsid w:val="5AF96C92"/>
    <w:rsid w:val="5AFA00AB"/>
    <w:rsid w:val="5B495C5E"/>
    <w:rsid w:val="5B5906C9"/>
    <w:rsid w:val="5B721AD3"/>
    <w:rsid w:val="5B7D6F20"/>
    <w:rsid w:val="5B90701E"/>
    <w:rsid w:val="5BA5390B"/>
    <w:rsid w:val="5BAF49EA"/>
    <w:rsid w:val="5C331F55"/>
    <w:rsid w:val="5C3978AE"/>
    <w:rsid w:val="5C42303D"/>
    <w:rsid w:val="5C431630"/>
    <w:rsid w:val="5C483040"/>
    <w:rsid w:val="5C661078"/>
    <w:rsid w:val="5C6A2D7C"/>
    <w:rsid w:val="5C7A4320"/>
    <w:rsid w:val="5C9167F0"/>
    <w:rsid w:val="5C930CB2"/>
    <w:rsid w:val="5CAE6718"/>
    <w:rsid w:val="5CBD5B40"/>
    <w:rsid w:val="5CED33FE"/>
    <w:rsid w:val="5CFE4B36"/>
    <w:rsid w:val="5D152663"/>
    <w:rsid w:val="5D250AE8"/>
    <w:rsid w:val="5D755C64"/>
    <w:rsid w:val="5D810B69"/>
    <w:rsid w:val="5D8562D6"/>
    <w:rsid w:val="5DB26B1C"/>
    <w:rsid w:val="5DC77A74"/>
    <w:rsid w:val="5DD80BA4"/>
    <w:rsid w:val="5DE51F9E"/>
    <w:rsid w:val="5DE65906"/>
    <w:rsid w:val="5DF10DD6"/>
    <w:rsid w:val="5DF87904"/>
    <w:rsid w:val="5E107A6E"/>
    <w:rsid w:val="5E240474"/>
    <w:rsid w:val="5E552402"/>
    <w:rsid w:val="5E8A1D2B"/>
    <w:rsid w:val="5EA954DA"/>
    <w:rsid w:val="5EF60C22"/>
    <w:rsid w:val="5F165F74"/>
    <w:rsid w:val="5F3854C6"/>
    <w:rsid w:val="5F3E22C2"/>
    <w:rsid w:val="5F474EA9"/>
    <w:rsid w:val="5F8F3F9D"/>
    <w:rsid w:val="5FD61C59"/>
    <w:rsid w:val="5FE44BCC"/>
    <w:rsid w:val="601278AE"/>
    <w:rsid w:val="602074C3"/>
    <w:rsid w:val="60342152"/>
    <w:rsid w:val="60557214"/>
    <w:rsid w:val="607F216A"/>
    <w:rsid w:val="609D0C9B"/>
    <w:rsid w:val="60B16B12"/>
    <w:rsid w:val="60D3361E"/>
    <w:rsid w:val="60F942D1"/>
    <w:rsid w:val="612912AD"/>
    <w:rsid w:val="613220FF"/>
    <w:rsid w:val="61446D7C"/>
    <w:rsid w:val="614B06AC"/>
    <w:rsid w:val="617C14DD"/>
    <w:rsid w:val="61B844A8"/>
    <w:rsid w:val="61D62E95"/>
    <w:rsid w:val="61D8581E"/>
    <w:rsid w:val="61FF2F13"/>
    <w:rsid w:val="622218C3"/>
    <w:rsid w:val="6222364C"/>
    <w:rsid w:val="6239511B"/>
    <w:rsid w:val="62641F1A"/>
    <w:rsid w:val="627B7180"/>
    <w:rsid w:val="6308246A"/>
    <w:rsid w:val="6308767C"/>
    <w:rsid w:val="63287634"/>
    <w:rsid w:val="63396070"/>
    <w:rsid w:val="634867D2"/>
    <w:rsid w:val="63525AAC"/>
    <w:rsid w:val="63531E3F"/>
    <w:rsid w:val="639768D2"/>
    <w:rsid w:val="63F95E7B"/>
    <w:rsid w:val="64047A76"/>
    <w:rsid w:val="64107C83"/>
    <w:rsid w:val="641761B2"/>
    <w:rsid w:val="6429437B"/>
    <w:rsid w:val="648A2DED"/>
    <w:rsid w:val="64AA5921"/>
    <w:rsid w:val="64E965E9"/>
    <w:rsid w:val="64F613A1"/>
    <w:rsid w:val="64FB67B9"/>
    <w:rsid w:val="650F0297"/>
    <w:rsid w:val="651E5598"/>
    <w:rsid w:val="65311AE8"/>
    <w:rsid w:val="65372FB5"/>
    <w:rsid w:val="6579788B"/>
    <w:rsid w:val="659D7B92"/>
    <w:rsid w:val="65A56F80"/>
    <w:rsid w:val="65CD5AEB"/>
    <w:rsid w:val="65D200C7"/>
    <w:rsid w:val="65D31262"/>
    <w:rsid w:val="65DE71F4"/>
    <w:rsid w:val="65E36CDD"/>
    <w:rsid w:val="65E7615B"/>
    <w:rsid w:val="66067D88"/>
    <w:rsid w:val="665479A6"/>
    <w:rsid w:val="667B0CCD"/>
    <w:rsid w:val="669B2A9B"/>
    <w:rsid w:val="669F55F1"/>
    <w:rsid w:val="67157EB9"/>
    <w:rsid w:val="672079A8"/>
    <w:rsid w:val="673B62F2"/>
    <w:rsid w:val="67454F43"/>
    <w:rsid w:val="674F16A7"/>
    <w:rsid w:val="678163E5"/>
    <w:rsid w:val="67906BAE"/>
    <w:rsid w:val="679D3EE7"/>
    <w:rsid w:val="67D56B92"/>
    <w:rsid w:val="67E5573D"/>
    <w:rsid w:val="68245DE2"/>
    <w:rsid w:val="683E687F"/>
    <w:rsid w:val="68430FB9"/>
    <w:rsid w:val="6859329D"/>
    <w:rsid w:val="68725FC8"/>
    <w:rsid w:val="688616A0"/>
    <w:rsid w:val="68C61A50"/>
    <w:rsid w:val="68E311B2"/>
    <w:rsid w:val="68FF3ACA"/>
    <w:rsid w:val="6900055E"/>
    <w:rsid w:val="6908783D"/>
    <w:rsid w:val="690A6C79"/>
    <w:rsid w:val="69170F81"/>
    <w:rsid w:val="69223AE7"/>
    <w:rsid w:val="69251ED4"/>
    <w:rsid w:val="6927316B"/>
    <w:rsid w:val="692A4AFD"/>
    <w:rsid w:val="69326652"/>
    <w:rsid w:val="69347AF7"/>
    <w:rsid w:val="693A50E1"/>
    <w:rsid w:val="694B43D1"/>
    <w:rsid w:val="694E7F3D"/>
    <w:rsid w:val="695C3CBA"/>
    <w:rsid w:val="696E1979"/>
    <w:rsid w:val="69966F7D"/>
    <w:rsid w:val="69AA7B28"/>
    <w:rsid w:val="69B14B4E"/>
    <w:rsid w:val="69C175E5"/>
    <w:rsid w:val="6A036F9B"/>
    <w:rsid w:val="6A1221A1"/>
    <w:rsid w:val="6A233920"/>
    <w:rsid w:val="6A8B6B18"/>
    <w:rsid w:val="6A9352A2"/>
    <w:rsid w:val="6A9A1577"/>
    <w:rsid w:val="6AA338E6"/>
    <w:rsid w:val="6AC86E77"/>
    <w:rsid w:val="6AF13C0D"/>
    <w:rsid w:val="6B4501C0"/>
    <w:rsid w:val="6B627C0E"/>
    <w:rsid w:val="6B654FB0"/>
    <w:rsid w:val="6B8E7635"/>
    <w:rsid w:val="6BAF6941"/>
    <w:rsid w:val="6BCC1F13"/>
    <w:rsid w:val="6BD91EBE"/>
    <w:rsid w:val="6BE1101B"/>
    <w:rsid w:val="6BED6ACD"/>
    <w:rsid w:val="6BFD0A6F"/>
    <w:rsid w:val="6C24259C"/>
    <w:rsid w:val="6C3219E1"/>
    <w:rsid w:val="6C5579CA"/>
    <w:rsid w:val="6C72726E"/>
    <w:rsid w:val="6CB44AB8"/>
    <w:rsid w:val="6CD509C5"/>
    <w:rsid w:val="6CE4138B"/>
    <w:rsid w:val="6CFA7874"/>
    <w:rsid w:val="6D514C03"/>
    <w:rsid w:val="6D65093F"/>
    <w:rsid w:val="6D69125F"/>
    <w:rsid w:val="6DA81CE8"/>
    <w:rsid w:val="6DB213A0"/>
    <w:rsid w:val="6DBE17E3"/>
    <w:rsid w:val="6DCC1FAB"/>
    <w:rsid w:val="6E160574"/>
    <w:rsid w:val="6E816BBF"/>
    <w:rsid w:val="6E9134A9"/>
    <w:rsid w:val="6E963D90"/>
    <w:rsid w:val="6EC00FDC"/>
    <w:rsid w:val="6ED41046"/>
    <w:rsid w:val="6ED5286B"/>
    <w:rsid w:val="6F1A7E1A"/>
    <w:rsid w:val="6F314155"/>
    <w:rsid w:val="6F326644"/>
    <w:rsid w:val="6F5624B7"/>
    <w:rsid w:val="6FA93321"/>
    <w:rsid w:val="6FE744A5"/>
    <w:rsid w:val="6FF85E6E"/>
    <w:rsid w:val="700A48AB"/>
    <w:rsid w:val="70245076"/>
    <w:rsid w:val="705A51FE"/>
    <w:rsid w:val="70935E14"/>
    <w:rsid w:val="70A160B6"/>
    <w:rsid w:val="70A4763A"/>
    <w:rsid w:val="70B93491"/>
    <w:rsid w:val="70D45314"/>
    <w:rsid w:val="70DB1C8A"/>
    <w:rsid w:val="717B1403"/>
    <w:rsid w:val="71D842FA"/>
    <w:rsid w:val="71F00255"/>
    <w:rsid w:val="721434B7"/>
    <w:rsid w:val="725F33BF"/>
    <w:rsid w:val="729C267B"/>
    <w:rsid w:val="72B23E6D"/>
    <w:rsid w:val="72C251F0"/>
    <w:rsid w:val="72D87B33"/>
    <w:rsid w:val="72DD5B9E"/>
    <w:rsid w:val="72F54E01"/>
    <w:rsid w:val="731A2D6E"/>
    <w:rsid w:val="73374395"/>
    <w:rsid w:val="7366202F"/>
    <w:rsid w:val="737A786F"/>
    <w:rsid w:val="73B461E3"/>
    <w:rsid w:val="73B604ED"/>
    <w:rsid w:val="73EC46CB"/>
    <w:rsid w:val="73EE50F4"/>
    <w:rsid w:val="73F569AC"/>
    <w:rsid w:val="740D3F11"/>
    <w:rsid w:val="741257AC"/>
    <w:rsid w:val="7441199D"/>
    <w:rsid w:val="74420B02"/>
    <w:rsid w:val="745C550C"/>
    <w:rsid w:val="746F0E22"/>
    <w:rsid w:val="74D46B08"/>
    <w:rsid w:val="74D96958"/>
    <w:rsid w:val="74FE6B71"/>
    <w:rsid w:val="74FE774A"/>
    <w:rsid w:val="75184790"/>
    <w:rsid w:val="75577D7F"/>
    <w:rsid w:val="755B18DA"/>
    <w:rsid w:val="755D5C19"/>
    <w:rsid w:val="757022FB"/>
    <w:rsid w:val="75A15325"/>
    <w:rsid w:val="75B2473D"/>
    <w:rsid w:val="75C03D91"/>
    <w:rsid w:val="75D36F51"/>
    <w:rsid w:val="75EF6235"/>
    <w:rsid w:val="75F71F3B"/>
    <w:rsid w:val="763563F5"/>
    <w:rsid w:val="765606CE"/>
    <w:rsid w:val="766D57C1"/>
    <w:rsid w:val="76744CDA"/>
    <w:rsid w:val="76801850"/>
    <w:rsid w:val="769714F7"/>
    <w:rsid w:val="76975840"/>
    <w:rsid w:val="76AC2318"/>
    <w:rsid w:val="76E17F51"/>
    <w:rsid w:val="76E83D9B"/>
    <w:rsid w:val="76F7624B"/>
    <w:rsid w:val="77043193"/>
    <w:rsid w:val="774839AC"/>
    <w:rsid w:val="77742983"/>
    <w:rsid w:val="77827BF3"/>
    <w:rsid w:val="77AF7D16"/>
    <w:rsid w:val="77C232DA"/>
    <w:rsid w:val="77D973E1"/>
    <w:rsid w:val="77EA3464"/>
    <w:rsid w:val="780C1E19"/>
    <w:rsid w:val="78295A4A"/>
    <w:rsid w:val="78573915"/>
    <w:rsid w:val="78652F5D"/>
    <w:rsid w:val="786B70AF"/>
    <w:rsid w:val="78760913"/>
    <w:rsid w:val="7881477B"/>
    <w:rsid w:val="78817B5C"/>
    <w:rsid w:val="788F38A7"/>
    <w:rsid w:val="78A46720"/>
    <w:rsid w:val="78AD0AA4"/>
    <w:rsid w:val="78D61294"/>
    <w:rsid w:val="78F86C7D"/>
    <w:rsid w:val="78FD09AB"/>
    <w:rsid w:val="79010BD2"/>
    <w:rsid w:val="79017261"/>
    <w:rsid w:val="79346435"/>
    <w:rsid w:val="79602614"/>
    <w:rsid w:val="796608A4"/>
    <w:rsid w:val="797C698A"/>
    <w:rsid w:val="799332CC"/>
    <w:rsid w:val="7999176C"/>
    <w:rsid w:val="79B661E6"/>
    <w:rsid w:val="79CA7D83"/>
    <w:rsid w:val="79FB3D57"/>
    <w:rsid w:val="7A3A62F5"/>
    <w:rsid w:val="7A461590"/>
    <w:rsid w:val="7A506505"/>
    <w:rsid w:val="7A814BA2"/>
    <w:rsid w:val="7A942566"/>
    <w:rsid w:val="7AAC5343"/>
    <w:rsid w:val="7B2C4DEF"/>
    <w:rsid w:val="7B3A1E3A"/>
    <w:rsid w:val="7B4D10C0"/>
    <w:rsid w:val="7B555C1E"/>
    <w:rsid w:val="7B5E19E1"/>
    <w:rsid w:val="7B8D502D"/>
    <w:rsid w:val="7BD55037"/>
    <w:rsid w:val="7BEA41E2"/>
    <w:rsid w:val="7C1C27D8"/>
    <w:rsid w:val="7C230E82"/>
    <w:rsid w:val="7C304BF8"/>
    <w:rsid w:val="7C461A40"/>
    <w:rsid w:val="7C5C2009"/>
    <w:rsid w:val="7C655175"/>
    <w:rsid w:val="7C6D71FD"/>
    <w:rsid w:val="7C7E2620"/>
    <w:rsid w:val="7C8243CE"/>
    <w:rsid w:val="7C9B318C"/>
    <w:rsid w:val="7CCE3276"/>
    <w:rsid w:val="7CDD6CC4"/>
    <w:rsid w:val="7D374E9E"/>
    <w:rsid w:val="7D617FEB"/>
    <w:rsid w:val="7D82688C"/>
    <w:rsid w:val="7D936B21"/>
    <w:rsid w:val="7DB41EC3"/>
    <w:rsid w:val="7E141252"/>
    <w:rsid w:val="7E930BA3"/>
    <w:rsid w:val="7E985166"/>
    <w:rsid w:val="7EFE7213"/>
    <w:rsid w:val="7F171BCC"/>
    <w:rsid w:val="7F1C29CA"/>
    <w:rsid w:val="7F37013C"/>
    <w:rsid w:val="7F5F1232"/>
    <w:rsid w:val="7F7316D3"/>
    <w:rsid w:val="7F755C75"/>
    <w:rsid w:val="7FA119C3"/>
    <w:rsid w:val="7FA3150B"/>
    <w:rsid w:val="7FC239A0"/>
    <w:rsid w:val="7FEB5D35"/>
    <w:rsid w:val="7FEB6D9F"/>
    <w:rsid w:val="7FF002DE"/>
    <w:rsid w:val="7FF84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41"/>
    <w:basedOn w:val="6"/>
    <w:qFormat/>
    <w:uiPriority w:val="0"/>
    <w:rPr>
      <w:rFonts w:hint="eastAsia" w:ascii="宋体" w:hAnsi="宋体" w:eastAsia="宋体" w:cs="宋体"/>
      <w:color w:val="000000"/>
      <w:sz w:val="14"/>
      <w:szCs w:val="14"/>
      <w:u w:val="none"/>
    </w:rPr>
  </w:style>
  <w:style w:type="character" w:customStyle="1" w:styleId="8">
    <w:name w:val="font31"/>
    <w:basedOn w:val="6"/>
    <w:qFormat/>
    <w:uiPriority w:val="0"/>
    <w:rPr>
      <w:rFonts w:hint="default" w:ascii="Arial" w:hAnsi="Arial" w:cs="Arial"/>
      <w:color w:val="000000"/>
      <w:sz w:val="14"/>
      <w:szCs w:val="14"/>
      <w:u w:val="none"/>
    </w:rPr>
  </w:style>
  <w:style w:type="character" w:customStyle="1" w:styleId="9">
    <w:name w:val="font21"/>
    <w:basedOn w:val="6"/>
    <w:qFormat/>
    <w:uiPriority w:val="0"/>
    <w:rPr>
      <w:rFonts w:hint="eastAsia" w:ascii="宋体" w:hAnsi="宋体" w:eastAsia="宋体" w:cs="宋体"/>
      <w:color w:val="000000"/>
      <w:sz w:val="14"/>
      <w:szCs w:val="1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2020-08-18T02:52:00Z</dcterms:created>
  <dc:creator>de'l'l</dc:creator>
  <cp:lastModifiedBy>天空中的神话</cp:lastModifiedBy>
  <dcterms:modified xsi:type="dcterms:W3CDTF">2020-09-28T02:16:48Z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