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sz w:val="36"/>
          <w:szCs w:val="36"/>
        </w:rPr>
      </w:pPr>
      <w:r>
        <w:rPr>
          <w:rFonts w:hint="eastAsia" w:ascii="宋体" w:hAnsi="宋体" w:eastAsia="宋体" w:cs="宋体"/>
          <w:b/>
          <w:sz w:val="36"/>
          <w:szCs w:val="36"/>
        </w:rPr>
        <w:t>寻甸回族彝族自治县住房和城乡规划建设局绿化站2019年城乡社区环境卫生项目绩效再评价报告</w:t>
      </w:r>
    </w:p>
    <w:p>
      <w:pPr>
        <w:spacing w:line="360" w:lineRule="auto"/>
        <w:jc w:val="center"/>
        <w:rPr>
          <w:rFonts w:ascii="宋体" w:hAnsi="宋体" w:eastAsia="宋体" w:cs="宋体"/>
          <w:spacing w:val="-20"/>
          <w:sz w:val="24"/>
          <w:szCs w:val="24"/>
        </w:rPr>
      </w:pPr>
      <w:bookmarkStart w:id="0" w:name="_Toc502134848"/>
      <w:r>
        <w:rPr>
          <w:rFonts w:hint="eastAsia" w:ascii="宋体" w:hAnsi="宋体" w:eastAsia="宋体" w:cs="宋体"/>
          <w:spacing w:val="-20"/>
          <w:sz w:val="24"/>
          <w:szCs w:val="24"/>
        </w:rPr>
        <w:t>中兴财光华（云）审专字(2020)第      号</w:t>
      </w:r>
    </w:p>
    <w:p>
      <w:pPr>
        <w:spacing w:line="360" w:lineRule="auto"/>
        <w:rPr>
          <w:rFonts w:ascii="宋体" w:hAnsi="宋体" w:eastAsia="宋体" w:cs="宋体"/>
          <w:b/>
          <w:sz w:val="28"/>
          <w:szCs w:val="28"/>
        </w:rPr>
      </w:pPr>
      <w:r>
        <w:rPr>
          <w:rFonts w:hint="eastAsia" w:ascii="宋体" w:hAnsi="宋体" w:eastAsia="宋体" w:cs="宋体"/>
          <w:b/>
          <w:sz w:val="28"/>
          <w:szCs w:val="28"/>
        </w:rPr>
        <w:t>寻甸回族彝族自治县财政局：</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寻甸回族彝族自治县住房和城乡规划建设局绿化站2019年度城乡社区环境卫生项目支出的管理、资金使用及效益情况进行了绩效再评价。寻甸回族彝族自治县住房和城乡规划建设局绿化站（以下简称“寻甸县绿化站”）对所提供评价资料的真实性、完整性负责。现将再评价情况报告如下：</w:t>
      </w:r>
    </w:p>
    <w:p>
      <w:pPr>
        <w:spacing w:line="360" w:lineRule="auto"/>
        <w:ind w:firstLine="562" w:firstLineChars="200"/>
        <w:rPr>
          <w:rFonts w:ascii="宋体" w:hAnsi="宋体" w:eastAsia="宋体" w:cs="宋体"/>
          <w:sz w:val="28"/>
          <w:szCs w:val="28"/>
        </w:rPr>
      </w:pPr>
      <w:r>
        <w:rPr>
          <w:rFonts w:hint="eastAsia" w:ascii="宋体" w:hAnsi="宋体" w:eastAsia="宋体" w:cs="宋体"/>
          <w:b/>
          <w:bCs/>
          <w:sz w:val="28"/>
          <w:szCs w:val="28"/>
        </w:rPr>
        <w:t>一、基本情况</w:t>
      </w:r>
      <w:bookmarkEnd w:id="0"/>
      <w:r>
        <w:rPr>
          <w:rFonts w:hint="eastAsia" w:ascii="宋体" w:hAnsi="宋体" w:eastAsia="宋体" w:cs="宋体"/>
          <w:sz w:val="28"/>
          <w:szCs w:val="28"/>
        </w:rPr>
        <w:t xml:space="preserve">   </w:t>
      </w:r>
    </w:p>
    <w:p>
      <w:pPr>
        <w:spacing w:line="360" w:lineRule="auto"/>
        <w:ind w:firstLine="562" w:firstLineChars="200"/>
        <w:rPr>
          <w:rFonts w:ascii="宋体" w:hAnsi="宋体" w:eastAsia="宋体" w:cs="宋体"/>
          <w:b/>
          <w:bCs/>
          <w:sz w:val="28"/>
          <w:szCs w:val="28"/>
        </w:rPr>
      </w:pPr>
      <w:bookmarkStart w:id="1" w:name="_Toc502134849"/>
      <w:r>
        <w:rPr>
          <w:rFonts w:hint="eastAsia" w:ascii="宋体" w:hAnsi="宋体" w:eastAsia="宋体" w:cs="宋体"/>
          <w:b/>
          <w:bCs/>
          <w:sz w:val="28"/>
          <w:szCs w:val="28"/>
        </w:rPr>
        <w:t>（一）</w:t>
      </w:r>
      <w:bookmarkEnd w:id="1"/>
      <w:r>
        <w:rPr>
          <w:rFonts w:hint="eastAsia" w:ascii="宋体" w:hAnsi="宋体" w:eastAsia="宋体" w:cs="宋体"/>
          <w:b/>
          <w:bCs/>
          <w:sz w:val="28"/>
          <w:szCs w:val="28"/>
        </w:rPr>
        <w:t>项目概况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1、立项背景及目的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城乡社区环境卫生项目的实施，可以改善生态环境，美化生活环境，增进人民身心健康。2014年，国务院近日印发了《关于进一步加强新时期爱国卫生工作的意见》（国发〔2014〕66号），文件要求，以农村垃圾污水处理和城市环境卫生薄弱地段整治为重点，持续深入开展整洁行动……落实清扫保洁制度，组织开展义务劳动，清理乱堆乱放，拆除违章建筑，疏浚坑塘河道，营造清洁有序、健康宜居的生产生活环境。</w:t>
      </w:r>
    </w:p>
    <w:p>
      <w:pPr>
        <w:pStyle w:val="2"/>
        <w:spacing w:line="360" w:lineRule="auto"/>
        <w:rPr>
          <w:rFonts w:ascii="宋体" w:hAnsi="宋体" w:eastAsia="宋体" w:cs="宋体"/>
          <w:sz w:val="28"/>
          <w:szCs w:val="28"/>
        </w:rPr>
      </w:pPr>
      <w:r>
        <w:rPr>
          <w:rFonts w:hint="eastAsia" w:ascii="宋体" w:hAnsi="宋体" w:eastAsia="宋体" w:cs="宋体"/>
          <w:sz w:val="28"/>
          <w:szCs w:val="28"/>
        </w:rPr>
        <w:t xml:space="preserve">     云南省人民政府办公厅《关于加快推进全省城乡绿化工作的实施意见》（云政办函〔2016〕68号）第二条第三款规定“加快城镇绿化，打造宜居城镇。要从实际出发，根据地域特色，编制城乡绿化及生态建设保护规划，加强城镇周边的林（草）植被保护，重点抓好城镇周边、城乡结合部、集镇的绿化……。以打造森林城市、园林城市、绿化模范城市为契机，创造良好的人居环境，构建绿色和谐城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w:t>
      </w:r>
      <w:bookmarkStart w:id="2" w:name="_Toc502134850"/>
      <w:r>
        <w:rPr>
          <w:rFonts w:hint="eastAsia" w:ascii="宋体" w:hAnsi="宋体" w:eastAsia="宋体" w:cs="宋体"/>
          <w:sz w:val="28"/>
          <w:szCs w:val="28"/>
        </w:rPr>
        <w:t>2、项目立项依据</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 xml:space="preserve"> 根据国务院《关于加强城市绿化建设的通知》(国发〔2001〕20号)第三条第三款规定“建立稳定的、多元化的资金渠道。城市绿化建设资金是城市公共财政支出的重要组成部分，要坚持以政府投入为主的方针。城市各级财政应安排必要的资金保证城市绿化工作的需要，尤其要加大城市绿化隔离林带和大型公园绿地建设的投入，特别是要增加管理维护资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云南省人民政府《关于进一步加强新时期爱国卫生工作的意见》（云政发〔2001〕77号）文件第四条第一款规定“……各级财政要统筹安排项目资金,为爱国卫生事业发展提供必要的经费保障”。</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（二）项目资金安排情况</w:t>
      </w:r>
      <w:bookmarkEnd w:id="2"/>
    </w:p>
    <w:p>
      <w:pPr>
        <w:pStyle w:val="2"/>
        <w:spacing w:line="360" w:lineRule="auto"/>
        <w:ind w:firstLine="560" w:firstLineChars="200"/>
        <w:rPr>
          <w:rFonts w:ascii="宋体" w:hAnsi="宋体" w:eastAsia="宋体" w:cs="宋体"/>
          <w:sz w:val="28"/>
          <w:szCs w:val="28"/>
        </w:rPr>
      </w:pPr>
      <w:bookmarkStart w:id="3" w:name="_Toc502134851"/>
      <w:r>
        <w:rPr>
          <w:rFonts w:hint="eastAsia" w:ascii="宋体" w:hAnsi="宋体" w:eastAsia="宋体" w:cs="宋体"/>
          <w:sz w:val="28"/>
          <w:szCs w:val="28"/>
        </w:rPr>
        <w:t>根据寻甸绿化站提供的预算批复《寻甸回族彝族自治县财政局关于下达2019年部门预算批复的通知》寻财预{2019}1号文件，绿化站2019年城乡社区环境卫生项目项目预算资金为1,000,000.00元，县级预算资金1,000,000.00元，实际使用资金为1,000,000.00元。</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（三）项目实施内容</w:t>
      </w:r>
      <w:bookmarkEnd w:id="3"/>
    </w:p>
    <w:p>
      <w:pPr>
        <w:spacing w:line="360" w:lineRule="auto"/>
        <w:ind w:firstLine="560" w:firstLineChars="200"/>
        <w:rPr>
          <w:rFonts w:ascii="宋体" w:hAnsi="宋体" w:eastAsia="宋体" w:cs="宋体"/>
          <w:sz w:val="28"/>
          <w:szCs w:val="28"/>
        </w:rPr>
      </w:pPr>
      <w:bookmarkStart w:id="4" w:name="_Toc502134852"/>
      <w:r>
        <w:rPr>
          <w:rFonts w:hint="eastAsia" w:ascii="宋体" w:hAnsi="宋体" w:eastAsia="宋体" w:cs="宋体"/>
          <w:sz w:val="28"/>
          <w:szCs w:val="28"/>
        </w:rPr>
        <w:t>一是开展病虫防治工作；二是全面落实抗旱保苗工作；三是全面落实中耕除草工作；四是全面清除绿化带、河滨公园垃圾、行道树枯木；五是绿化植物景观造型修剪；六是巩固成果，建立长效管理机制；七是县城绿化补植补造；八是做好植物防寒防冻工作。</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（四）项目绩效目标设定情况</w:t>
      </w:r>
      <w:bookmarkEnd w:id="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寻甸县绿化站2019年城乡社区环境卫生项目预算申报时设定的绩效目标是：</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城镇总体规划，负责对绿化工程设计、施工、验收进行管理，参与制定本县绿化管护标准，负责绿地遭受水、火、旱、风、虫病、霜冻等灾害防止，以及发生自然灾害时的组织补救工作，指导辖区内的绿化工作，直接管理县属公园、街道绿化，绿化范围内的清扫保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寻甸县绿化站根据上述绩效目标设定了年度绩效指标具体情况如下：</w:t>
      </w:r>
    </w:p>
    <w:tbl>
      <w:tblPr>
        <w:tblStyle w:val="6"/>
        <w:tblW w:w="8452" w:type="dxa"/>
        <w:tblInd w:w="108" w:type="dxa"/>
        <w:tblLayout w:type="fixed"/>
        <w:tblCellMar>
          <w:top w:w="0" w:type="dxa"/>
          <w:left w:w="108" w:type="dxa"/>
          <w:bottom w:w="0" w:type="dxa"/>
          <w:right w:w="108" w:type="dxa"/>
        </w:tblCellMar>
      </w:tblPr>
      <w:tblGrid>
        <w:gridCol w:w="1134"/>
        <w:gridCol w:w="1134"/>
        <w:gridCol w:w="993"/>
        <w:gridCol w:w="3103"/>
        <w:gridCol w:w="2088"/>
      </w:tblGrid>
      <w:tr>
        <w:tblPrEx>
          <w:tblLayout w:type="fixed"/>
          <w:tblCellMar>
            <w:top w:w="0" w:type="dxa"/>
            <w:left w:w="108" w:type="dxa"/>
            <w:bottom w:w="0" w:type="dxa"/>
            <w:right w:w="108" w:type="dxa"/>
          </w:tblCellMar>
        </w:tblPrEx>
        <w:trPr>
          <w:trHeight w:val="522" w:hRule="atLeast"/>
        </w:trPr>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绩效指标</w:t>
            </w: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一级指标</w:t>
            </w:r>
          </w:p>
        </w:tc>
        <w:tc>
          <w:tcPr>
            <w:tcW w:w="99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二级指标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三级指标</w:t>
            </w:r>
          </w:p>
        </w:tc>
        <w:tc>
          <w:tcPr>
            <w:tcW w:w="2088"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指标值</w:t>
            </w:r>
          </w:p>
        </w:tc>
      </w:tr>
      <w:tr>
        <w:tblPrEx>
          <w:tblLayout w:type="fixed"/>
          <w:tblCellMar>
            <w:top w:w="0" w:type="dxa"/>
            <w:left w:w="108" w:type="dxa"/>
            <w:bottom w:w="0" w:type="dxa"/>
            <w:right w:w="108" w:type="dxa"/>
          </w:tblCellMar>
        </w:tblPrEx>
        <w:trPr>
          <w:trHeight w:val="37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产出指标</w:t>
            </w: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数量指标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城市绿化道路</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18条</w:t>
            </w:r>
          </w:p>
        </w:tc>
      </w:tr>
      <w:tr>
        <w:tblPrEx>
          <w:tblLayout w:type="fixed"/>
          <w:tblCellMar>
            <w:top w:w="0" w:type="dxa"/>
            <w:left w:w="108" w:type="dxa"/>
            <w:bottom w:w="0" w:type="dxa"/>
            <w:right w:w="108" w:type="dxa"/>
          </w:tblCellMar>
        </w:tblPrEx>
        <w:trPr>
          <w:trHeight w:val="326"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绿化广场数</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10个</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公园绿地面积</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73857㎡</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管护绿地面积</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147820.29（平方米）</w:t>
            </w:r>
          </w:p>
        </w:tc>
      </w:tr>
      <w:tr>
        <w:tblPrEx>
          <w:tblLayout w:type="fixed"/>
          <w:tblCellMar>
            <w:top w:w="0" w:type="dxa"/>
            <w:left w:w="108" w:type="dxa"/>
            <w:bottom w:w="0" w:type="dxa"/>
            <w:right w:w="108" w:type="dxa"/>
          </w:tblCellMar>
        </w:tblPrEx>
        <w:trPr>
          <w:trHeight w:val="360"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质量指标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有效防治绿化树遭遇病虫害，保障绿化树成活率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90%</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绿化种植成活率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90%</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绿化树剪修美化及防寒防冻处理覆盖率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90%</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区域清洁覆盖率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90%</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时效指标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完成及时率</w:t>
            </w:r>
          </w:p>
        </w:tc>
        <w:tc>
          <w:tcPr>
            <w:tcW w:w="2088" w:type="dxa"/>
            <w:tcBorders>
              <w:top w:val="nil"/>
              <w:left w:val="nil"/>
              <w:bottom w:val="single" w:color="000000" w:sz="4" w:space="0"/>
              <w:right w:val="single" w:color="000000" w:sz="4" w:space="0"/>
            </w:tcBorders>
            <w:shd w:val="clear" w:color="auto" w:fill="auto"/>
            <w:noWrap/>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100%</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成本指标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投入人工工时费（元</w:t>
            </w:r>
            <w:r>
              <w:rPr>
                <w:rFonts w:cs="宋体" w:asciiTheme="minorEastAsia" w:hAnsiTheme="minorEastAsia"/>
                <w:sz w:val="24"/>
                <w:szCs w:val="24"/>
              </w:rPr>
              <w:t>/人/次）</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 xml:space="preserve">2400 </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投入沙水浇灌车辆</w:t>
            </w:r>
            <w:r>
              <w:rPr>
                <w:rFonts w:cs="宋体" w:asciiTheme="minorEastAsia" w:hAnsiTheme="minorEastAsia"/>
                <w:sz w:val="24"/>
                <w:szCs w:val="24"/>
              </w:rPr>
              <w:t>(车辆保险及维修、)</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 xml:space="preserve">3.31 </w:t>
            </w:r>
            <w:r>
              <w:rPr>
                <w:rFonts w:hint="eastAsia" w:cs="宋体" w:asciiTheme="minorEastAsia" w:hAnsiTheme="minorEastAsia"/>
                <w:sz w:val="24"/>
                <w:szCs w:val="24"/>
              </w:rPr>
              <w:t>（万元</w:t>
            </w:r>
            <w:r>
              <w:rPr>
                <w:rFonts w:cs="宋体" w:asciiTheme="minorEastAsia" w:hAnsiTheme="minorEastAsia"/>
                <w:sz w:val="24"/>
                <w:szCs w:val="24"/>
              </w:rPr>
              <w:t>/4辆）</w:t>
            </w:r>
          </w:p>
        </w:tc>
      </w:tr>
      <w:tr>
        <w:tblPrEx>
          <w:tblLayout w:type="fixed"/>
          <w:tblCellMar>
            <w:top w:w="0" w:type="dxa"/>
            <w:left w:w="108" w:type="dxa"/>
            <w:bottom w:w="0" w:type="dxa"/>
            <w:right w:w="108" w:type="dxa"/>
          </w:tblCellMar>
        </w:tblPrEx>
        <w:trPr>
          <w:trHeight w:val="385"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绿化作业用水水费</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 xml:space="preserve">7.6 </w:t>
            </w:r>
            <w:r>
              <w:rPr>
                <w:rFonts w:hint="eastAsia" w:cs="宋体" w:asciiTheme="minorEastAsia" w:hAnsiTheme="minorEastAsia"/>
                <w:sz w:val="24"/>
                <w:szCs w:val="24"/>
              </w:rPr>
              <w:t>（万元</w:t>
            </w:r>
            <w:r>
              <w:rPr>
                <w:rFonts w:cs="宋体" w:asciiTheme="minorEastAsia" w:hAnsiTheme="minorEastAsia"/>
                <w:sz w:val="24"/>
                <w:szCs w:val="24"/>
              </w:rPr>
              <w:t>/年）</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其他日常维护及办公运行费用</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 xml:space="preserve">4.74（万元/年） </w:t>
            </w:r>
          </w:p>
        </w:tc>
      </w:tr>
      <w:tr>
        <w:tblPrEx>
          <w:tblLayout w:type="fixed"/>
          <w:tblCellMar>
            <w:top w:w="0" w:type="dxa"/>
            <w:left w:w="108" w:type="dxa"/>
            <w:bottom w:w="0" w:type="dxa"/>
            <w:right w:w="108" w:type="dxa"/>
          </w:tblCellMar>
        </w:tblPrEx>
        <w:trPr>
          <w:trHeight w:val="754"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效益指标</w:t>
            </w:r>
          </w:p>
        </w:tc>
        <w:tc>
          <w:tcPr>
            <w:tcW w:w="993"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经济效益指标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项目实施带动人民经济发展，有利于寻甸县现代化经济建设，提高了项目区群众收入，提高地方财政收入，促进地区经济发展，提升区域竞争力。</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显著</w:t>
            </w:r>
          </w:p>
        </w:tc>
      </w:tr>
      <w:tr>
        <w:tblPrEx>
          <w:tblLayout w:type="fixed"/>
          <w:tblCellMar>
            <w:top w:w="0" w:type="dxa"/>
            <w:left w:w="108" w:type="dxa"/>
            <w:bottom w:w="0" w:type="dxa"/>
            <w:right w:w="108" w:type="dxa"/>
          </w:tblCellMar>
        </w:tblPrEx>
        <w:trPr>
          <w:trHeight w:val="495"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社会效益指标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有利于提高当地居民生活质量和改善居民生活环境，增强居民环境意识。</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显著</w:t>
            </w:r>
          </w:p>
        </w:tc>
      </w:tr>
      <w:tr>
        <w:tblPrEx>
          <w:tblLayout w:type="fixed"/>
          <w:tblCellMar>
            <w:top w:w="0" w:type="dxa"/>
            <w:left w:w="108" w:type="dxa"/>
            <w:bottom w:w="0" w:type="dxa"/>
            <w:right w:w="108" w:type="dxa"/>
          </w:tblCellMar>
        </w:tblPrEx>
        <w:trPr>
          <w:trHeight w:val="327"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城镇就业率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50%</w:t>
            </w:r>
          </w:p>
        </w:tc>
      </w:tr>
      <w:tr>
        <w:tblPrEx>
          <w:tblLayout w:type="fixed"/>
          <w:tblCellMar>
            <w:top w:w="0" w:type="dxa"/>
            <w:left w:w="108" w:type="dxa"/>
            <w:bottom w:w="0" w:type="dxa"/>
            <w:right w:w="108" w:type="dxa"/>
          </w:tblCellMar>
        </w:tblPrEx>
        <w:trPr>
          <w:trHeight w:val="360"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生态效益指标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城市绿化覆盖率</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30%</w:t>
            </w:r>
          </w:p>
        </w:tc>
      </w:tr>
      <w:tr>
        <w:tblPrEx>
          <w:tblLayout w:type="fixed"/>
          <w:tblCellMar>
            <w:top w:w="0" w:type="dxa"/>
            <w:left w:w="108" w:type="dxa"/>
            <w:bottom w:w="0" w:type="dxa"/>
            <w:right w:w="108" w:type="dxa"/>
          </w:tblCellMar>
        </w:tblPrEx>
        <w:trPr>
          <w:trHeight w:val="600"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sz w:val="24"/>
                <w:szCs w:val="24"/>
              </w:rPr>
            </w:pPr>
          </w:p>
        </w:tc>
        <w:tc>
          <w:tcPr>
            <w:tcW w:w="993"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可持续影响指标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寻甸县仁德街道绿化站具备后续的管理措施及机构人员，对项目实施进行可持续发展分析，积极宣传绿化维护管理相关法规，项目影响持续周期不低于</w:t>
            </w:r>
            <w:r>
              <w:rPr>
                <w:rFonts w:cs="宋体" w:asciiTheme="minorEastAsia" w:hAnsiTheme="minorEastAsia"/>
                <w:sz w:val="24"/>
                <w:szCs w:val="24"/>
              </w:rPr>
              <w:t>3年。</w:t>
            </w:r>
          </w:p>
        </w:tc>
        <w:tc>
          <w:tcPr>
            <w:tcW w:w="2088"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cs="宋体" w:asciiTheme="minorEastAsia" w:hAnsiTheme="minorEastAsia"/>
                <w:sz w:val="24"/>
                <w:szCs w:val="24"/>
              </w:rPr>
            </w:pPr>
            <w:r>
              <w:rPr>
                <w:rFonts w:hint="eastAsia" w:cs="宋体" w:asciiTheme="minorEastAsia" w:hAnsiTheme="minorEastAsia"/>
                <w:sz w:val="24"/>
                <w:szCs w:val="24"/>
              </w:rPr>
              <w:t>≥</w:t>
            </w:r>
            <w:r>
              <w:rPr>
                <w:rFonts w:cs="宋体" w:asciiTheme="minorEastAsia" w:hAnsiTheme="minorEastAsia"/>
                <w:sz w:val="24"/>
                <w:szCs w:val="24"/>
              </w:rPr>
              <w:t>3年</w:t>
            </w:r>
          </w:p>
        </w:tc>
      </w:tr>
      <w:tr>
        <w:tblPrEx>
          <w:tblLayout w:type="fixed"/>
          <w:tblCellMar>
            <w:top w:w="0" w:type="dxa"/>
            <w:left w:w="108" w:type="dxa"/>
            <w:bottom w:w="0" w:type="dxa"/>
            <w:right w:w="108" w:type="dxa"/>
          </w:tblCellMar>
        </w:tblPrEx>
        <w:trPr>
          <w:trHeight w:val="420" w:hRule="atLeast"/>
        </w:trPr>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cs="宋体" w:asciiTheme="minorEastAsia" w:hAnsiTheme="minorEastAsia"/>
                <w:kern w:val="0"/>
                <w:sz w:val="24"/>
                <w:szCs w:val="24"/>
              </w:rPr>
            </w:pPr>
          </w:p>
        </w:tc>
        <w:tc>
          <w:tcPr>
            <w:tcW w:w="1134"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满意度指标</w:t>
            </w:r>
          </w:p>
        </w:tc>
        <w:tc>
          <w:tcPr>
            <w:tcW w:w="993"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服务对象满意度指标</w:t>
            </w:r>
          </w:p>
        </w:tc>
        <w:tc>
          <w:tcPr>
            <w:tcW w:w="310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cs="宋体" w:asciiTheme="minorEastAsia" w:hAnsiTheme="minorEastAsia"/>
                <w:sz w:val="24"/>
                <w:szCs w:val="24"/>
              </w:rPr>
            </w:pPr>
            <w:r>
              <w:rPr>
                <w:rFonts w:hint="eastAsia" w:cs="宋体" w:asciiTheme="minorEastAsia" w:hAnsiTheme="minorEastAsia"/>
                <w:sz w:val="24"/>
                <w:szCs w:val="24"/>
              </w:rPr>
              <w:t>受益对象满意度</w:t>
            </w:r>
          </w:p>
        </w:tc>
        <w:tc>
          <w:tcPr>
            <w:tcW w:w="2088" w:type="dxa"/>
            <w:tcBorders>
              <w:top w:val="nil"/>
              <w:left w:val="nil"/>
              <w:bottom w:val="single" w:color="000000" w:sz="4" w:space="0"/>
              <w:right w:val="single" w:color="000000" w:sz="4" w:space="0"/>
            </w:tcBorders>
            <w:shd w:val="clear" w:color="auto" w:fill="auto"/>
            <w:noWrap/>
            <w:vAlign w:val="center"/>
          </w:tcPr>
          <w:p>
            <w:pPr>
              <w:widowControl/>
              <w:spacing w:line="360" w:lineRule="auto"/>
              <w:jc w:val="center"/>
              <w:rPr>
                <w:rFonts w:cs="宋体" w:asciiTheme="minorEastAsia" w:hAnsiTheme="minorEastAsia"/>
                <w:sz w:val="24"/>
                <w:szCs w:val="24"/>
              </w:rPr>
            </w:pPr>
            <w:r>
              <w:rPr>
                <w:rFonts w:cs="宋体" w:asciiTheme="minorEastAsia" w:hAnsiTheme="minorEastAsia"/>
                <w:sz w:val="24"/>
                <w:szCs w:val="24"/>
              </w:rPr>
              <w:t>92%</w:t>
            </w:r>
          </w:p>
        </w:tc>
      </w:tr>
    </w:tbl>
    <w:p>
      <w:pPr>
        <w:pStyle w:val="2"/>
        <w:spacing w:line="360" w:lineRule="auto"/>
        <w:ind w:firstLine="280" w:firstLineChars="100"/>
        <w:rPr>
          <w:rFonts w:ascii="宋体" w:hAnsi="宋体" w:eastAsia="宋体" w:cs="宋体"/>
          <w:sz w:val="28"/>
          <w:szCs w:val="28"/>
        </w:rPr>
      </w:pPr>
      <w:bookmarkStart w:id="5" w:name="_Toc502134853"/>
      <w:r>
        <w:rPr>
          <w:rFonts w:hint="eastAsia" w:ascii="宋体" w:hAnsi="宋体" w:eastAsia="宋体" w:cs="宋体"/>
          <w:sz w:val="28"/>
          <w:szCs w:val="28"/>
        </w:rPr>
        <w:t>绩效再评价小组根据寻甸县绿化站提供的绩效目标申报表，并结合本项目设定的背景、目的及依据等，绩效再评价将采用本项目预算申报时设定的绩效目标、绩效指标及指标值。</w:t>
      </w:r>
    </w:p>
    <w:p>
      <w:pPr>
        <w:pStyle w:val="2"/>
        <w:spacing w:line="360" w:lineRule="auto"/>
        <w:ind w:firstLine="281" w:firstLineChars="100"/>
        <w:rPr>
          <w:rFonts w:ascii="宋体" w:hAnsi="宋体" w:eastAsia="宋体" w:cs="宋体"/>
          <w:b/>
          <w:bCs/>
          <w:sz w:val="28"/>
          <w:szCs w:val="28"/>
        </w:rPr>
      </w:pPr>
      <w:r>
        <w:rPr>
          <w:rFonts w:hint="eastAsia" w:ascii="宋体" w:hAnsi="宋体" w:eastAsia="宋体" w:cs="宋体"/>
          <w:b/>
          <w:bCs/>
          <w:sz w:val="28"/>
          <w:szCs w:val="28"/>
        </w:rPr>
        <w:t>（五）组织管理情况</w:t>
      </w:r>
      <w:bookmarkEnd w:id="5"/>
    </w:p>
    <w:p>
      <w:pPr>
        <w:spacing w:line="360" w:lineRule="auto"/>
        <w:ind w:firstLine="560" w:firstLineChars="200"/>
        <w:rPr>
          <w:rFonts w:ascii="宋体" w:hAnsi="宋体" w:eastAsia="宋体" w:cs="宋体"/>
          <w:sz w:val="28"/>
          <w:szCs w:val="28"/>
        </w:rPr>
      </w:pPr>
      <w:bookmarkStart w:id="6" w:name="_Toc502134854"/>
      <w:r>
        <w:rPr>
          <w:rFonts w:hint="eastAsia" w:ascii="宋体" w:hAnsi="宋体" w:eastAsia="宋体" w:cs="宋体"/>
          <w:sz w:val="28"/>
          <w:szCs w:val="28"/>
        </w:rPr>
        <w:t>项目日常工作由寻甸县城市管理局主管，仁德街道办绿化站负责具体实施。仁德财政所负责项目资金申报、监督等监管工作。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县城市管理局，作为项目主管部门，承担县城绿化管理的责任，包括：起草园林绿化管理的地方性法规、规章草案，拟订相关政策；编制园林绿化行业中长期发展规划和年度计划；拟订园林绿化年度建设计划并组织实施；仁德财政所负责编制绿化专项经费预算并负责经费的监管和核算；县城管局绿化站，作为项目具体实施单位，主要负责：贯彻落实县城绿化有关法律、法规、规章、政策和行业标准，参与有关行业规划和标准的研究拟定工作；指导城市绿化业务管理工作，对绿化工程质量管理工作等进行监督检查；负责县管绿地的日常管理、绿化养护考核，承担城市绿化行政许可事项的前期踏勘工作；负责城市绿化工程的质量监督、质量评定和竣工备案管理工作，承担城市绿化赔偿、投诉工作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项目资金的使用，主要由绿化站人员负责提供临时工工资材料，其他支出发票等，经分管领导和主要领导签批后，报财政所绿化经费核算会计进行报账，并监督资金的使用。</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二、绩效自评情况</w:t>
      </w:r>
      <w:bookmarkEnd w:id="6"/>
    </w:p>
    <w:p>
      <w:pPr>
        <w:spacing w:line="360" w:lineRule="auto"/>
        <w:ind w:firstLine="562" w:firstLineChars="200"/>
        <w:rPr>
          <w:rFonts w:ascii="宋体" w:hAnsi="宋体" w:eastAsia="宋体" w:cs="宋体"/>
          <w:b/>
          <w:bCs/>
          <w:sz w:val="28"/>
          <w:szCs w:val="28"/>
        </w:rPr>
      </w:pPr>
      <w:bookmarkStart w:id="7" w:name="_Toc498009772"/>
      <w:bookmarkStart w:id="8" w:name="_Toc502134855"/>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回族彝族自治县财政局关于对2019年度部门整体支出和重大项目支出进行再评价的通知》（寻财绩〔2020〕6号）等文件的规定，寻甸县绿化站成立了2019年部门整体财政支出绩效自评组，并于2020年5月分别形成了《城乡社区环境卫生项目支出绩效自评报告》。</w:t>
      </w:r>
    </w:p>
    <w:p>
      <w:pPr>
        <w:spacing w:line="360" w:lineRule="auto"/>
        <w:ind w:firstLine="562" w:firstLineChars="200"/>
        <w:rPr>
          <w:rFonts w:ascii="宋体" w:hAnsi="宋体" w:eastAsia="宋体" w:cs="宋体"/>
          <w:b/>
          <w:bCs/>
          <w:sz w:val="28"/>
          <w:szCs w:val="28"/>
        </w:rPr>
      </w:pPr>
      <w:bookmarkStart w:id="9" w:name="_Toc502134856"/>
      <w:bookmarkStart w:id="10" w:name="_Toc498009773"/>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根据寻甸县绿化站提供的城乡社区环境卫生项目支出绩效自评报告，寻甸县绿化站项目2019年城乡社区环境卫生项目支出的管理、使用及效益情况绩效自评综合得分为92.00分，自评结果为“优”。</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部门自评综合结论是：从预算完成情况来看，项目指标下达100万元，全年实际支出100万元，预算完成率100%，从项目实施情况来看，基本完成目标管理，保证县城绿化区域达到预期效果，创造了一个良好的宜居环境。全面完成景观绿化提升和整治目标任务，推进城市绿色发展；强化监管，有效提升资金使用率，节约行政运营成本；高度重安全管理，严把安全生产关，制定突发事件预案，确保养护工作可持续运转。</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同时，绩效自评提出以下问题：制度体系不够健全，部分条款不合理，难操作；多因素导致少数绿地养护不到位，景观效果不理想。</w:t>
      </w:r>
      <w:bookmarkStart w:id="11" w:name="_Toc502134857"/>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三、绩效再评价组织情况</w:t>
      </w:r>
      <w:bookmarkEnd w:id="11"/>
    </w:p>
    <w:p>
      <w:pPr>
        <w:spacing w:line="360" w:lineRule="auto"/>
        <w:ind w:firstLine="562" w:firstLineChars="200"/>
        <w:rPr>
          <w:rFonts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1.《中华人民共和国预算法》（2014年修订）；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2.《中共云南省委、云南省人民政府关于全面实施预算管理绩效的意见》（云发〔2019〕11号）；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3.《云南省省级财政预算绩效管理暂行办法》（云财预〔2015〕295号）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4.《《寻甸回族彝族自治县财政局关于下达2019年部门预算批复的通知》寻财预〔2019〕1号；</w:t>
      </w:r>
    </w:p>
    <w:p>
      <w:pPr>
        <w:pStyle w:val="2"/>
        <w:spacing w:line="360" w:lineRule="auto"/>
        <w:rPr>
          <w:rFonts w:ascii="宋体" w:hAnsi="宋体" w:eastAsia="宋体" w:cs="宋体"/>
          <w:sz w:val="28"/>
          <w:szCs w:val="28"/>
        </w:rPr>
      </w:pPr>
      <w:r>
        <w:rPr>
          <w:rFonts w:hint="eastAsia" w:ascii="宋体" w:hAnsi="宋体" w:eastAsia="宋体" w:cs="宋体"/>
          <w:sz w:val="28"/>
          <w:szCs w:val="28"/>
        </w:rPr>
        <w:t xml:space="preserve">    5. 中共仁德街道工作委员会仁德街道办事处关于印发《寻甸回族彝族自治县仁德街道办事处财务管理制度》的通知 仁发〔2019〕59号；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6.其他相关依据文件。</w:t>
      </w:r>
    </w:p>
    <w:p>
      <w:pPr>
        <w:spacing w:line="360" w:lineRule="auto"/>
        <w:ind w:firstLine="562" w:firstLineChars="200"/>
        <w:rPr>
          <w:rFonts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次绩效评价中采取定量与定性相结合的方式，具体实施了审阅自评报告、实地评价、交换和反馈意见、专家会审等程序。通过资料收集、数据填报、案卷研究、实地调研、座谈会、问卷调查等方式，开展实地再评价。对项目相关档案资料进行查阅，结合现场核实情况和资金到位使用及结余情况的分析，进行数据分析和取证。</w:t>
      </w:r>
    </w:p>
    <w:p>
      <w:pPr>
        <w:spacing w:line="360" w:lineRule="auto"/>
        <w:ind w:firstLine="562" w:firstLineChars="200"/>
        <w:rPr>
          <w:rFonts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1.绩效再评价指标</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项目绩效再评价以项目实施地为标准设定子项目，每个子项目以100分计，设定项目决策、项目管理、项目绩效3个一级指标，权重分别为：20%、20%、60%。在此基础上设定7个二级指标（项目立项、项目目标、投入管理、财务管理、项目实施、项目产出、项目效益）。设21个三级指标。</w:t>
      </w:r>
    </w:p>
    <w:p>
      <w:pPr>
        <w:spacing w:line="360" w:lineRule="auto"/>
        <w:ind w:firstLine="560" w:firstLineChars="200"/>
        <w:rPr>
          <w:rFonts w:ascii="宋体" w:hAnsi="宋体" w:eastAsia="宋体" w:cs="宋体"/>
          <w:sz w:val="28"/>
          <w:szCs w:val="28"/>
        </w:rPr>
      </w:pPr>
      <w:bookmarkStart w:id="15" w:name="_Toc502134861"/>
      <w:r>
        <w:rPr>
          <w:rFonts w:hint="eastAsia" w:ascii="宋体" w:hAnsi="宋体" w:eastAsia="宋体" w:cs="宋体"/>
          <w:sz w:val="28"/>
          <w:szCs w:val="28"/>
        </w:rPr>
        <w:t>2.评价标准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(1)项目绩效评价得分满分为100分。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(2)由审计评价组根据评价情况，对各单项指标分别进行独立打分。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(3)总评价分为各单项指标得分总和。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(4)评价结果：根据最终得分情况将评价结果分为四个等级：优（得分≥90分）；良（80分≤得分＜90分）；中（60≤得分＜80分）；差（得分＜60分）。</w:t>
      </w:r>
    </w:p>
    <w:p>
      <w:pPr>
        <w:spacing w:line="360" w:lineRule="auto"/>
        <w:ind w:firstLine="560" w:firstLineChars="200"/>
        <w:rPr>
          <w:rFonts w:ascii="宋体" w:hAnsi="宋体" w:eastAsia="宋体" w:cs="宋体"/>
          <w:color w:val="000000" w:themeColor="text1"/>
          <w:sz w:val="28"/>
          <w:szCs w:val="28"/>
        </w:rPr>
      </w:pPr>
      <w:bookmarkStart w:id="16" w:name="_Toc7874"/>
      <w:bookmarkStart w:id="17" w:name="_Toc25624"/>
      <w:r>
        <w:rPr>
          <w:rFonts w:hint="eastAsia" w:ascii="宋体" w:hAnsi="宋体" w:eastAsia="宋体" w:cs="宋体"/>
          <w:color w:val="000000" w:themeColor="text1"/>
          <w:sz w:val="28"/>
          <w:szCs w:val="28"/>
        </w:rPr>
        <w:t>3.数据来源</w:t>
      </w:r>
      <w:bookmarkEnd w:id="16"/>
      <w:bookmarkEnd w:id="17"/>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绩效再评价评分数据来源于分别由寻甸县绿化站提供的资料。</w:t>
      </w:r>
    </w:p>
    <w:bookmarkEnd w:id="15"/>
    <w:p>
      <w:pPr>
        <w:spacing w:line="360" w:lineRule="auto"/>
        <w:ind w:firstLine="562" w:firstLineChars="200"/>
        <w:rPr>
          <w:rFonts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ascii="宋体" w:hAnsi="宋体" w:eastAsia="宋体" w:cs="宋体"/>
          <w:b/>
          <w:bCs/>
          <w:sz w:val="28"/>
          <w:szCs w:val="28"/>
        </w:rPr>
      </w:pPr>
      <w:bookmarkStart w:id="19" w:name="_Toc498009780"/>
      <w:bookmarkStart w:id="20" w:name="_Toc502134863"/>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ascii="宋体" w:hAnsi="宋体" w:eastAsia="宋体" w:cs="宋体"/>
          <w:sz w:val="28"/>
          <w:szCs w:val="28"/>
        </w:rPr>
      </w:pPr>
      <w:bookmarkStart w:id="21" w:name="_Toc498009781"/>
      <w:r>
        <w:rPr>
          <w:rFonts w:hint="eastAsia" w:ascii="宋体" w:hAnsi="宋体" w:eastAsia="宋体" w:cs="宋体"/>
          <w:sz w:val="28"/>
          <w:szCs w:val="28"/>
        </w:rPr>
        <w:t>2019年仁德街道城乡社区环境卫生项目绩效再评价综合评分6</w:t>
      </w:r>
      <w:r>
        <w:rPr>
          <w:rFonts w:hint="eastAsia" w:ascii="宋体" w:hAnsi="宋体" w:eastAsia="宋体" w:cs="宋体"/>
          <w:sz w:val="28"/>
          <w:szCs w:val="28"/>
          <w:lang w:val="en-US" w:eastAsia="zh-CN"/>
        </w:rPr>
        <w:t>1</w:t>
      </w:r>
      <w:r>
        <w:rPr>
          <w:rFonts w:hint="eastAsia" w:ascii="宋体" w:hAnsi="宋体" w:eastAsia="宋体" w:cs="宋体"/>
          <w:sz w:val="28"/>
          <w:szCs w:val="28"/>
        </w:rPr>
        <w:t>.10分，评价等级“中”。综合评价结论：2019年城乡社区环境卫生项目清扫保洁部分已实施完成，绿化部分未实施。已实施部分，效果良好，推动了县城人居环境的改善，推动了全县经济社会事业发展。但在绩效管理等方面待进一步加强。</w:t>
      </w:r>
      <w:bookmarkStart w:id="22" w:name="_Toc502134864"/>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绩效目标实现情况综合结论：本次再评价中设定3个绩效目标，分解为7个绩效指标。清扫保洁绩效目标基本实现。已完成部分项目实施社会效益显著，可持续性影响认可率高，行道树成活率达到100%，绿化区清扫保洁率完成100%，及时率达100%。绿化项目未实施。</w:t>
      </w:r>
      <w:bookmarkStart w:id="23" w:name="_Toc498009782"/>
      <w:bookmarkStart w:id="24" w:name="_Toc502134865"/>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（三）绩效自评与再评价差异分析</w:t>
      </w:r>
      <w:bookmarkEnd w:id="23"/>
      <w:bookmarkEnd w:id="24"/>
    </w:p>
    <w:p>
      <w:pPr>
        <w:spacing w:line="360" w:lineRule="auto"/>
        <w:ind w:firstLine="560" w:firstLineChars="200"/>
      </w:pPr>
      <w:r>
        <w:rPr>
          <w:rFonts w:hint="eastAsia" w:ascii="宋体" w:hAnsi="宋体" w:eastAsia="宋体" w:cs="宋体"/>
          <w:sz w:val="28"/>
          <w:szCs w:val="28"/>
        </w:rPr>
        <w:t>绩效自评与再评价程序存在差异。绩效自评由县城管局汇总相关资料，得出自评结论，未进行现场抽查。绩效再评价通过收集与部门整体相关资料、编制实施方案、开展实地评价、数据汇总分析、撰写报告的方式开展。</w:t>
      </w:r>
    </w:p>
    <w:p>
      <w:pPr>
        <w:spacing w:line="360" w:lineRule="auto"/>
        <w:ind w:firstLine="562" w:firstLineChars="200"/>
        <w:rPr>
          <w:rFonts w:ascii="宋体" w:hAnsi="宋体" w:eastAsia="宋体" w:cs="宋体"/>
          <w:b/>
          <w:bCs/>
          <w:sz w:val="28"/>
          <w:szCs w:val="28"/>
        </w:rPr>
      </w:pPr>
      <w:bookmarkStart w:id="25" w:name="_Toc502134866"/>
      <w:bookmarkStart w:id="26" w:name="_Toc498009783"/>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ascii="宋体" w:hAnsi="宋体" w:eastAsia="宋体" w:cs="宋体"/>
          <w:b/>
          <w:bCs/>
          <w:sz w:val="28"/>
          <w:szCs w:val="28"/>
        </w:rPr>
      </w:pPr>
      <w:bookmarkStart w:id="27" w:name="_Toc502134867"/>
      <w:bookmarkStart w:id="28" w:name="_Toc498009784"/>
      <w:r>
        <w:rPr>
          <w:rFonts w:hint="eastAsia" w:ascii="宋体" w:hAnsi="宋体" w:eastAsia="宋体" w:cs="宋体"/>
          <w:b/>
          <w:bCs/>
          <w:sz w:val="28"/>
          <w:szCs w:val="28"/>
        </w:rPr>
        <w:t>（一）项目决策分析</w:t>
      </w:r>
      <w:bookmarkEnd w:id="27"/>
      <w:bookmarkEnd w:id="2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项目决策指标满分20分，再评价综合评分1</w:t>
      </w:r>
      <w:r>
        <w:rPr>
          <w:rFonts w:hint="eastAsia" w:ascii="宋体" w:hAnsi="宋体" w:eastAsia="宋体" w:cs="宋体"/>
          <w:sz w:val="28"/>
          <w:szCs w:val="28"/>
          <w:lang w:val="en-US" w:eastAsia="zh-CN"/>
        </w:rPr>
        <w:t>4</w:t>
      </w:r>
      <w:r>
        <w:rPr>
          <w:rFonts w:hint="eastAsia" w:ascii="宋体" w:hAnsi="宋体" w:eastAsia="宋体" w:cs="宋体"/>
          <w:sz w:val="28"/>
          <w:szCs w:val="28"/>
        </w:rPr>
        <w:t>分（占该项满分值的7</w:t>
      </w:r>
      <w:r>
        <w:rPr>
          <w:rFonts w:hint="eastAsia" w:ascii="宋体" w:hAnsi="宋体" w:eastAsia="宋体" w:cs="宋体"/>
          <w:sz w:val="28"/>
          <w:szCs w:val="28"/>
          <w:lang w:val="en-US" w:eastAsia="zh-CN"/>
        </w:rPr>
        <w:t>0</w:t>
      </w:r>
      <w:r>
        <w:rPr>
          <w:rFonts w:hint="eastAsia" w:ascii="宋体" w:hAnsi="宋体" w:eastAsia="宋体" w:cs="宋体"/>
          <w:sz w:val="28"/>
          <w:szCs w:val="28"/>
        </w:rPr>
        <w:t>%），具体情况分析如下：</w:t>
      </w:r>
      <w:bookmarkStart w:id="29" w:name="_Toc50213486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寻甸县绿化站未提供部门中长期规划，但根据提供的寻甸县人民政府印发的《寻甸回族彝族自治县国民经济和社会发展第十三个五年规划纲要》，项目基本能够与寻甸县十三五规划、县住建局绿化站的职能职责等相匹配、适应；具体项目的申请、设立过程基本合法合规，所提交的文件、材料符合相关要求，绿化、清扫保洁项目均由县住建局、仁德街道办按民主决策程序决策。因绿化、清扫保洁属长期的民生项目，一般由上级下达维护任务由绿化站执行。仁德街道和绿化站均未提供城乡社区环境卫生项目立项申请、设立的相关资料，仅提供预算批复文件作为项目立项的依据。</w:t>
      </w:r>
    </w:p>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2）项目所设定的绩效目标依据充分，符合客观实际、国家相关法律法规、国民经济发展规划和党委政府决策等。但根据提供的绩效目标申报表，绩效目标表填列规范，设定的绩效目标能完整反映项目产出效益和效果，绩效目标细化分解为清晰、可衡量的绩效指标等。</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w:t>
      </w:r>
      <w:bookmarkStart w:id="30" w:name="_Toc498009785"/>
      <w:r>
        <w:rPr>
          <w:rFonts w:hint="eastAsia" w:ascii="宋体" w:hAnsi="宋体" w:eastAsia="宋体" w:cs="宋体"/>
          <w:b/>
          <w:bCs/>
          <w:sz w:val="28"/>
          <w:szCs w:val="28"/>
        </w:rPr>
        <w:t>项目管理情况分析</w:t>
      </w:r>
      <w:bookmarkEnd w:id="29"/>
      <w:bookmarkEnd w:id="3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项目管理满分20分，再评价综合评分17.50分（占该项满分值的87.50%），具体情况分析如下：</w:t>
      </w:r>
      <w:bookmarkStart w:id="31" w:name="_Toc502134869"/>
      <w:bookmarkStart w:id="32" w:name="_Toc498009786"/>
    </w:p>
    <w:p>
      <w:pPr>
        <w:spacing w:line="360" w:lineRule="auto"/>
        <w:ind w:firstLine="560" w:firstLineChars="200"/>
        <w:rPr>
          <w:rFonts w:cs="仿宋_GB2312" w:asciiTheme="minorEastAsia" w:hAnsiTheme="minorEastAsia"/>
          <w:sz w:val="28"/>
          <w:szCs w:val="28"/>
        </w:rPr>
      </w:pPr>
      <w:r>
        <w:rPr>
          <w:rFonts w:hint="eastAsia" w:ascii="宋体" w:hAnsi="宋体" w:eastAsia="宋体" w:cs="宋体"/>
          <w:sz w:val="28"/>
          <w:szCs w:val="28"/>
        </w:rPr>
        <w:t>（1）项目支出预算依据充分、合理，基本能够与预算确定的项目投资额相匹配；2019年项目年初预算1,000,000.00元，项目实际支出1,000,000.00元，预算执行率为100%。</w:t>
      </w:r>
      <w:r>
        <w:rPr>
          <w:rFonts w:hint="eastAsia" w:cs="仿宋_GB2312" w:asciiTheme="minorEastAsia" w:hAnsiTheme="minorEastAsia"/>
          <w:sz w:val="28"/>
          <w:szCs w:val="28"/>
        </w:rPr>
        <w:t>2019年项目未存在预算调整情况。</w:t>
      </w:r>
      <w:r>
        <w:rPr>
          <w:rFonts w:hint="eastAsia" w:ascii="宋体" w:hAnsi="宋体" w:eastAsia="宋体" w:cs="宋体"/>
          <w:color w:val="000000" w:themeColor="text1"/>
          <w:sz w:val="28"/>
          <w:szCs w:val="28"/>
        </w:rPr>
        <w:t>（2）项目执行中共仁德街道工作委员会仁德街道办事处关于印发《寻甸回族彝族自治县仁德街道办事处财务管理制度》的通知 （仁发</w:t>
      </w:r>
      <w:r>
        <w:rPr>
          <w:rFonts w:hint="eastAsia" w:ascii="宋体" w:hAnsi="宋体" w:eastAsia="宋体" w:cs="宋体"/>
          <w:sz w:val="28"/>
          <w:szCs w:val="28"/>
        </w:rPr>
        <w:t>〔2019〕59号）、《公园保洁员考核管理制度》、《湿地公园管理制度》及《企业会计准则》有关规定</w:t>
      </w:r>
      <w:r>
        <w:rPr>
          <w:rFonts w:hint="eastAsia" w:ascii="宋体" w:hAnsi="宋体" w:eastAsia="宋体" w:cs="宋体"/>
          <w:color w:val="000000" w:themeColor="text1"/>
          <w:sz w:val="28"/>
          <w:szCs w:val="28"/>
        </w:rPr>
        <w:t>，相关制度基本能够得到有效的执行。</w:t>
      </w:r>
      <w:r>
        <w:rPr>
          <w:rFonts w:hint="eastAsia" w:cs="仿宋_GB2312" w:asciiTheme="minorEastAsia" w:hAnsiTheme="minorEastAsia"/>
          <w:sz w:val="28"/>
          <w:szCs w:val="28"/>
        </w:rPr>
        <w:t>但也存在会计核算不规范等情况。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（3）2019年项目年初预算资金1,000,000.00元，项目实际支出资金1,000,000.00元，资金使用基本符合预算批复的用途，无截留、挤占、挪用、虚列支出等情况。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（三）项目绩效情况分析</w:t>
      </w:r>
      <w:bookmarkEnd w:id="31"/>
      <w:bookmarkEnd w:id="3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项目绩效指标满分60分，再评价综合评分29.60分（占该项满分值的49.33%），具体情况分析如下：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（1）项目产出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绿化站仅完成了绿化区内项目清扫保洁</w:t>
      </w:r>
      <w:bookmarkStart w:id="33" w:name="_Toc502134870"/>
      <w:bookmarkStart w:id="34" w:name="_Toc498009787"/>
      <w:r>
        <w:rPr>
          <w:rFonts w:hint="eastAsia" w:ascii="宋体" w:hAnsi="宋体" w:eastAsia="宋体" w:cs="宋体"/>
          <w:sz w:val="28"/>
          <w:szCs w:val="28"/>
        </w:rPr>
        <w:t>年度目标任务。2019年绿化站制定了《公园保洁员管理制度》、《湿地公园管理制度》、《保洁人员考核管理制度》等制度，实行每半年考核一次，得分90分以上为优秀、79-89分为合格、69分以下为不合格，将予以辞退；设立了《2019年公园日常清扫保洁记录表》，将清扫保洁任务落实到人头、路段；建立了《清扫保洁人员考勤签到表》，每天进行签到考核。通过以上措施的实施，全年18条道路、10个广场、公园，共73857平方米实现了清扫保洁，完成及时率100%。</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（2）项目效益</w:t>
      </w:r>
    </w:p>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生态效益方面，通过城乡社区环境卫生项目的实施，显著提升了寻甸县城生态环境良性循环能力，为县城基本实现可持续发展准备卫生环境条件，有效改善了县城居民的生产、生活环境条件，提升了县城功能；经济效益方面，通过城乡清洁工程项目的实施，因县城卫生环境条件的改善，创业条件随之改善，既能留住原有创业者，又能吸引新的创业者到寻甸投资兴业，同时，通过项目的实施，直接解决了26名弱势群体的就业问题，由于财政的投入，必然引导部分社会资本的加入，部分人员从事清洁卫生行业，既解决了部分人员的就业问题，又能促进县域经济发展；社会效益方面，通过项目实施，提高了县城卫生环境质量和水平，引导县城居民树立卫生环境保护意识，提高县城居民对县城的认同感、归属感，提高了县城的宜居度，同时，可减少因卫生原因引起的疾病的发生。</w:t>
      </w:r>
      <w:bookmarkEnd w:id="33"/>
      <w:bookmarkEnd w:id="34"/>
      <w:bookmarkStart w:id="35" w:name="_Toc498009788"/>
      <w:bookmarkStart w:id="36" w:name="_Toc502134871"/>
      <w:r>
        <w:rPr>
          <w:rFonts w:hint="eastAsia" w:ascii="宋体" w:hAnsi="宋体" w:eastAsia="宋体" w:cs="宋体"/>
          <w:sz w:val="28"/>
          <w:szCs w:val="28"/>
        </w:rPr>
        <w:t>但考察社会公众或服务对象对项目实效果的满意程度只达到80%。</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六、主要经验及做法</w:t>
      </w:r>
      <w:bookmarkEnd w:id="35"/>
      <w:bookmarkEnd w:id="36"/>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1.仁德绿化站把提高专业理论水平，掌握园林绿化相关政策、法规</w:t>
      </w:r>
      <w:bookmarkStart w:id="54" w:name="_GoBack"/>
      <w:bookmarkEnd w:id="54"/>
      <w:r>
        <w:rPr>
          <w:rFonts w:hint="eastAsia" w:ascii="宋体" w:hAnsi="宋体" w:eastAsia="宋体" w:cs="宋体"/>
          <w:sz w:val="28"/>
          <w:szCs w:val="28"/>
        </w:rPr>
        <w:t>作为一项非常迫切的任务来抓。多次组织全站人员认真学习国家有关园林绿化工作的方针、政策、法规、做到有法可依、依法行政；认真学习病虫害防治知识，绿化植物修剪整形景观造型，植物生长各个时期的生物学特性，增长理论指导实践的能力，进一步提高全站干部职工的专业理论和技术运用水平。</w:t>
      </w:r>
    </w:p>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2.根据年初工作目标，长效有序开展各项绿化业务工作。如，开展病虫害防治工作；全面落实抗旱保苗工作；全面落实中耕除草工作；全面清除绿化带、河滨公园垃圾、街道树死树；绿化植物景观造型修剪；巩固成果，建立长效管理机制；县城绿化补植补造；做好植物防寒防冻工作等。</w:t>
      </w:r>
      <w:bookmarkStart w:id="37" w:name="_Toc502134872"/>
      <w:bookmarkStart w:id="38" w:name="_Toc498009789"/>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ascii="宋体" w:hAnsi="宋体" w:eastAsia="宋体" w:cs="宋体"/>
          <w:b/>
          <w:bCs/>
          <w:sz w:val="28"/>
          <w:szCs w:val="28"/>
        </w:rPr>
      </w:pPr>
      <w:bookmarkStart w:id="39" w:name="_Toc502134873"/>
      <w:bookmarkStart w:id="40" w:name="_Toc500202563"/>
      <w:bookmarkStart w:id="41" w:name="_Toc500589022"/>
      <w:bookmarkStart w:id="42" w:name="_Toc500849310"/>
      <w:bookmarkStart w:id="43" w:name="_Toc500440025"/>
      <w:bookmarkStart w:id="44" w:name="_Toc500364179"/>
      <w:r>
        <w:rPr>
          <w:rFonts w:hint="eastAsia" w:ascii="宋体" w:hAnsi="宋体" w:eastAsia="宋体" w:cs="宋体"/>
          <w:b/>
          <w:bCs/>
          <w:sz w:val="28"/>
          <w:szCs w:val="28"/>
        </w:rPr>
        <w:t>（一）绩效管理落实不够好</w:t>
      </w:r>
    </w:p>
    <w:p>
      <w:pPr>
        <w:spacing w:line="360" w:lineRule="auto"/>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1.未建立绩效运行跟踪监控机制，未对绩效目标运行情况进行跟踪管理和督促检查等。</w:t>
      </w:r>
    </w:p>
    <w:p>
      <w:pPr>
        <w:spacing w:line="360" w:lineRule="auto"/>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2.绩效自评未全部落实</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根据寻甸县绿化站提供的《城乡社区环境卫生项目支出绩效自评报告》，内容极其简单，部分内容与要求不符，如：项目立项未调查，但自评仍评2分，未扣分。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上述做法与《寻甸县本级部门预算绩效自评管理暂行办法》第三十六条“建立责任追究制度。……在贯彻执行预算绩效管理工作中，有令不行、有禁不止，落实不力、执行走样，或不按要求开展绩效自评工作的。”规定不符。</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（二）会计核算不规范</w:t>
      </w:r>
    </w:p>
    <w:p>
      <w:pPr>
        <w:spacing w:line="360" w:lineRule="auto"/>
        <w:ind w:firstLine="560" w:firstLineChars="200"/>
        <w:rPr>
          <w:rFonts w:ascii="仿宋_GB2312" w:hAnsi="仿宋_GB2312" w:eastAsia="仿宋_GB2312" w:cs="仿宋_GB2312"/>
          <w:b/>
          <w:bCs/>
          <w:sz w:val="24"/>
          <w:szCs w:val="24"/>
        </w:rPr>
      </w:pPr>
      <w:r>
        <w:rPr>
          <w:rFonts w:hint="eastAsia" w:cs="仿宋_GB2312" w:asciiTheme="minorEastAsia" w:hAnsiTheme="minorEastAsia"/>
          <w:sz w:val="28"/>
          <w:szCs w:val="28"/>
        </w:rPr>
        <w:t>1.</w:t>
      </w:r>
      <w:r>
        <w:rPr>
          <w:rFonts w:hint="eastAsia" w:cs="仿宋_GB2312" w:asciiTheme="minorEastAsia" w:hAnsiTheme="minorEastAsia"/>
          <w:sz w:val="28"/>
          <w:szCs w:val="28"/>
          <w:lang w:eastAsia="zh-CN"/>
        </w:rPr>
        <w:t>存在项目原始单据不规范的情况</w:t>
      </w:r>
      <w:r>
        <w:rPr>
          <w:rFonts w:hint="eastAsia" w:ascii="宋体" w:hAnsi="宋体" w:eastAsia="宋体" w:cs="宋体"/>
          <w:sz w:val="28"/>
          <w:szCs w:val="28"/>
        </w:rPr>
        <w:t>，如：2019年0</w:t>
      </w:r>
      <w:r>
        <w:rPr>
          <w:rFonts w:hint="eastAsia" w:ascii="宋体" w:hAnsi="宋体" w:cs="宋体"/>
          <w:sz w:val="28"/>
          <w:szCs w:val="28"/>
        </w:rPr>
        <w:t>3</w:t>
      </w:r>
      <w:r>
        <w:rPr>
          <w:rFonts w:hint="eastAsia" w:ascii="宋体" w:hAnsi="宋体" w:eastAsia="宋体" w:cs="宋体"/>
          <w:sz w:val="28"/>
          <w:szCs w:val="28"/>
        </w:rPr>
        <w:t>月31日，第</w:t>
      </w:r>
      <w:r>
        <w:rPr>
          <w:rFonts w:hint="eastAsia" w:ascii="宋体" w:hAnsi="宋体" w:cs="宋体"/>
          <w:sz w:val="28"/>
          <w:szCs w:val="28"/>
        </w:rPr>
        <w:t>3</w:t>
      </w:r>
      <w:r>
        <w:rPr>
          <w:rFonts w:hint="eastAsia" w:ascii="宋体" w:hAnsi="宋体" w:eastAsia="宋体" w:cs="宋体"/>
          <w:sz w:val="28"/>
          <w:szCs w:val="28"/>
        </w:rPr>
        <w:t>号凭证支付201</w:t>
      </w:r>
      <w:r>
        <w:rPr>
          <w:rFonts w:hint="eastAsia" w:ascii="宋体" w:hAnsi="宋体" w:eastAsia="宋体" w:cs="宋体"/>
          <w:sz w:val="28"/>
          <w:szCs w:val="28"/>
          <w:lang w:val="en-US" w:eastAsia="zh-CN"/>
        </w:rPr>
        <w:t>8</w:t>
      </w:r>
      <w:r>
        <w:rPr>
          <w:rFonts w:hint="eastAsia" w:ascii="宋体" w:hAnsi="宋体" w:eastAsia="宋体" w:cs="宋体"/>
          <w:sz w:val="28"/>
          <w:szCs w:val="28"/>
        </w:rPr>
        <w:t>年</w:t>
      </w:r>
      <w:r>
        <w:rPr>
          <w:rFonts w:hint="eastAsia" w:ascii="宋体" w:hAnsi="宋体" w:eastAsia="宋体" w:cs="宋体"/>
          <w:sz w:val="28"/>
          <w:szCs w:val="28"/>
          <w:lang w:val="en-US" w:eastAsia="zh-CN"/>
        </w:rPr>
        <w:t>11</w:t>
      </w:r>
      <w:r>
        <w:rPr>
          <w:rFonts w:hint="eastAsia" w:ascii="宋体" w:hAnsi="宋体" w:eastAsia="宋体" w:cs="宋体"/>
          <w:sz w:val="28"/>
          <w:szCs w:val="28"/>
        </w:rPr>
        <w:t>月份的</w:t>
      </w:r>
      <w:r>
        <w:rPr>
          <w:rFonts w:hint="eastAsia" w:ascii="宋体" w:hAnsi="宋体" w:eastAsia="宋体" w:cs="宋体"/>
          <w:sz w:val="28"/>
          <w:szCs w:val="28"/>
          <w:lang w:eastAsia="zh-CN"/>
        </w:rPr>
        <w:t>用工工时费</w:t>
      </w:r>
      <w:r>
        <w:rPr>
          <w:rFonts w:hint="eastAsia" w:ascii="宋体" w:hAnsi="宋体" w:eastAsia="宋体" w:cs="宋体"/>
          <w:sz w:val="28"/>
          <w:szCs w:val="28"/>
        </w:rPr>
        <w:t>，后附附件“2018年县城绿化树管护工时费（11月份）</w:t>
      </w:r>
      <w:r>
        <w:rPr>
          <w:rFonts w:hint="eastAsia" w:ascii="宋体" w:hAnsi="宋体" w:eastAsia="宋体" w:cs="宋体"/>
          <w:sz w:val="28"/>
          <w:szCs w:val="28"/>
          <w:lang w:eastAsia="zh-CN"/>
        </w:rPr>
        <w:t>”中</w:t>
      </w:r>
      <w:r>
        <w:rPr>
          <w:rFonts w:hint="eastAsia" w:ascii="宋体" w:hAnsi="宋体" w:eastAsia="宋体" w:cs="宋体"/>
          <w:sz w:val="28"/>
          <w:szCs w:val="28"/>
        </w:rPr>
        <w:t>管护工赵云巧、马恩顺等6人只有管护工时费总合计数没有用工天数与用工单价。</w:t>
      </w:r>
    </w:p>
    <w:p>
      <w:pPr>
        <w:pStyle w:val="2"/>
        <w:spacing w:line="360" w:lineRule="auto"/>
        <w:rPr>
          <w:rFonts w:ascii="宋体" w:hAnsi="宋体" w:eastAsia="宋体" w:cs="宋体"/>
          <w:sz w:val="28"/>
          <w:szCs w:val="28"/>
        </w:rPr>
      </w:pPr>
      <w:r>
        <w:rPr>
          <w:rFonts w:hint="eastAsia" w:ascii="宋体" w:hAnsi="宋体" w:eastAsia="宋体" w:cs="宋体"/>
          <w:sz w:val="28"/>
          <w:szCs w:val="28"/>
        </w:rPr>
        <w:t>上述情况不符合《中华人民共和国会计法》第十四条“……会计机构、会计人员必须按照国家统一的会计制度的规定对原始凭证进行审核，……对记载不准确、不完整的原始凭证予以退回，并要求按照国家统一的会计制度的规定更正、补充……”和《中华人民共和国发票管理办法》第二十二条“不符合规定的发票，不得作为财务报销凭证，任何单位和个人有权拒收”以及《中华人民共和国发票管理办法实施细则》第四条“发票的基本内容包括:发票的名称、发票代码和号码、联次及用途、客户名称、开户银行及账号、商品名称或经营项目、计量单位、数量、单价、大小写金额、开票人、开票日期、开票单位(个人)名称(章)等”的规定。</w:t>
      </w:r>
    </w:p>
    <w:p>
      <w:pPr>
        <w:pStyle w:val="2"/>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 xml:space="preserve">八、 </w:t>
      </w:r>
      <w:bookmarkEnd w:id="39"/>
      <w:bookmarkEnd w:id="40"/>
      <w:bookmarkEnd w:id="41"/>
      <w:bookmarkEnd w:id="42"/>
      <w:bookmarkEnd w:id="43"/>
      <w:bookmarkEnd w:id="44"/>
      <w:bookmarkStart w:id="45" w:name="_Toc498009790"/>
      <w:bookmarkStart w:id="46" w:name="_Toc502134879"/>
      <w:r>
        <w:rPr>
          <w:rFonts w:hint="eastAsia" w:ascii="宋体" w:hAnsi="宋体" w:eastAsia="宋体" w:cs="宋体"/>
          <w:b/>
          <w:bCs/>
          <w:sz w:val="28"/>
          <w:szCs w:val="28"/>
        </w:rPr>
        <w:t>建议</w:t>
      </w:r>
      <w:bookmarkEnd w:id="45"/>
      <w:bookmarkEnd w:id="46"/>
      <w:bookmarkStart w:id="47" w:name="_Toc500364185"/>
      <w:bookmarkStart w:id="48" w:name="_Toc500440031"/>
      <w:bookmarkStart w:id="49" w:name="_Toc502134880"/>
      <w:bookmarkStart w:id="50" w:name="_Toc500202569"/>
      <w:bookmarkStart w:id="51" w:name="_Toc500589028"/>
      <w:bookmarkStart w:id="52" w:name="_Toc500849317"/>
      <w:bookmarkStart w:id="53" w:name="_Toc498009791"/>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一）加强预算绩效管理。在编制年度绩效目标时，应结合部门中长期规划、部门职能职责及年度项目工作任务，梳理完善项目中期绩效目标和年度绩效目标，根据绩效目标确定具体的绩效指标，并设定明确可考核的绩效指标值；预算管理部门应加强预算编制的审核工作。</w:t>
      </w:r>
    </w:p>
    <w:bookmarkEnd w:id="47"/>
    <w:bookmarkEnd w:id="48"/>
    <w:bookmarkEnd w:id="49"/>
    <w:bookmarkEnd w:id="50"/>
    <w:bookmarkEnd w:id="51"/>
    <w:bookmarkEnd w:id="52"/>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（二）加强原始凭证审核，对记载不准确、不完整的原始凭证予以退回，并要求按照国家统一的会计制度的规定更正、补充。</w:t>
      </w:r>
    </w:p>
    <w:bookmarkEnd w:id="53"/>
    <w:p>
      <w:pPr>
        <w:spacing w:line="360" w:lineRule="auto"/>
        <w:ind w:firstLine="560" w:firstLineChars="200"/>
        <w:rPr>
          <w:rFonts w:ascii="宋体" w:hAnsi="宋体" w:eastAsia="宋体" w:cs="宋体"/>
          <w:sz w:val="28"/>
          <w:szCs w:val="28"/>
        </w:rPr>
      </w:pPr>
    </w:p>
    <w:p>
      <w:pPr>
        <w:spacing w:line="360" w:lineRule="auto"/>
        <w:ind w:firstLine="560" w:firstLineChars="200"/>
        <w:rPr>
          <w:rFonts w:ascii="宋体" w:hAnsi="宋体" w:eastAsia="宋体" w:cs="宋体"/>
          <w:sz w:val="28"/>
          <w:szCs w:val="28"/>
        </w:rPr>
      </w:pPr>
    </w:p>
    <w:p>
      <w:pPr>
        <w:spacing w:line="360" w:lineRule="auto"/>
        <w:ind w:firstLine="560" w:firstLineChars="200"/>
        <w:rPr>
          <w:rFonts w:ascii="宋体" w:hAnsi="宋体" w:eastAsia="宋体" w:cs="宋体"/>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附件1：寻甸县绿化站2019年城乡社区环境卫生项目支出绩效评价指标体系</w:t>
      </w:r>
    </w:p>
    <w:p>
      <w:pPr>
        <w:pStyle w:val="2"/>
        <w:spacing w:line="360" w:lineRule="auto"/>
        <w:rPr>
          <w:rFonts w:ascii="宋体" w:hAnsi="宋体" w:eastAsia="宋体" w:cs="宋体"/>
          <w:sz w:val="28"/>
          <w:szCs w:val="28"/>
        </w:rPr>
      </w:pPr>
    </w:p>
    <w:p>
      <w:pPr>
        <w:pStyle w:val="2"/>
        <w:spacing w:line="360" w:lineRule="auto"/>
        <w:rPr>
          <w:rFonts w:ascii="宋体" w:hAnsi="宋体" w:eastAsia="宋体" w:cs="宋体"/>
          <w:sz w:val="28"/>
          <w:szCs w:val="28"/>
        </w:rPr>
      </w:pPr>
    </w:p>
    <w:p>
      <w:pPr>
        <w:pStyle w:val="2"/>
        <w:spacing w:line="360" w:lineRule="auto"/>
        <w:rPr>
          <w:rFonts w:ascii="宋体" w:hAnsi="宋体" w:eastAsia="宋体" w:cs="宋体"/>
          <w:sz w:val="28"/>
          <w:szCs w:val="28"/>
        </w:rPr>
      </w:pPr>
    </w:p>
    <w:p>
      <w:pPr>
        <w:wordWrap w:val="0"/>
        <w:spacing w:line="360" w:lineRule="auto"/>
        <w:ind w:right="420"/>
        <w:rPr>
          <w:rFonts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360" w:lineRule="auto"/>
        <w:ind w:right="420"/>
        <w:rPr>
          <w:rFonts w:ascii="宋体" w:hAnsi="宋体" w:eastAsia="宋体" w:cs="宋体"/>
          <w:sz w:val="28"/>
          <w:szCs w:val="28"/>
        </w:rPr>
      </w:pPr>
      <w:r>
        <w:rPr>
          <w:rFonts w:hint="eastAsia" w:ascii="宋体" w:hAnsi="宋体" w:eastAsia="宋体" w:cs="宋体"/>
          <w:spacing w:val="-20"/>
          <w:sz w:val="28"/>
          <w:szCs w:val="28"/>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                                       中国注册会计师：</w:t>
      </w:r>
    </w:p>
    <w:p>
      <w:pPr>
        <w:rPr>
          <w:rFonts w:ascii="宋体" w:hAnsi="宋体" w:eastAsia="宋体" w:cs="宋体"/>
          <w:sz w:val="28"/>
          <w:szCs w:val="28"/>
        </w:rPr>
      </w:pPr>
    </w:p>
    <w:p>
      <w:pPr>
        <w:ind w:firstLine="280" w:firstLineChars="100"/>
        <w:jc w:val="center"/>
        <w:rPr>
          <w:rFonts w:ascii="宋体" w:hAnsi="宋体" w:eastAsia="宋体" w:cs="宋体"/>
        </w:rPr>
      </w:pPr>
      <w:r>
        <w:rPr>
          <w:rFonts w:hint="eastAsia" w:ascii="宋体" w:hAnsi="宋体" w:eastAsia="宋体" w:cs="宋体"/>
          <w:sz w:val="28"/>
          <w:szCs w:val="28"/>
        </w:rPr>
        <w:t xml:space="preserve">     中国•昆明                     二〇二〇年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日</w:t>
      </w:r>
    </w:p>
    <w:sectPr>
      <w:headerReference r:id="rId3" w:type="default"/>
      <w:footerReference r:id="rId4" w:type="default"/>
      <w:pgSz w:w="11906" w:h="16838"/>
      <w:pgMar w:top="1984" w:right="1134" w:bottom="1134" w:left="1701" w:header="737"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65408;mso-width-relative:page;mso-height-relative:page;" fillcolor="#FFFFFF"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path/>
          <v:fill on="f" focussize="0,0"/>
          <v:stroke on="f" weight="0.5pt" joinstyle="miter"/>
          <v:imagedata o:title=""/>
          <o:lock v:ext="edit"/>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14</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隶书" w:hAnsi="隶书" w:eastAsia="隶书" w:cs="隶书"/>
        <w:sz w:val="10"/>
        <w:szCs w:val="10"/>
      </w:rPr>
    </w:pPr>
  </w:p>
  <w:p>
    <w:pPr>
      <w:pStyle w:val="5"/>
      <w:spacing w:line="240" w:lineRule="exact"/>
      <w:jc w:val="right"/>
      <w:rPr>
        <w:rFonts w:ascii="隶书" w:hAnsi="隶书" w:eastAsia="隶书" w:cs="隶书"/>
        <w:sz w:val="10"/>
        <w:szCs w:val="10"/>
      </w:rPr>
    </w:pPr>
    <w:r>
      <w:rPr>
        <w:rFonts w:hint="eastAsia" w:ascii="隶书" w:eastAsia="隶书"/>
        <w:spacing w:val="-20"/>
        <w:sz w:val="28"/>
        <w:szCs w:val="28"/>
      </w:rPr>
      <w:t xml:space="preserve">                     </w:t>
    </w:r>
  </w:p>
  <w:p>
    <w:pPr>
      <w:pStyle w:val="5"/>
      <w:pBdr>
        <w:bottom w:val="single" w:color="auto" w:sz="4" w:space="1"/>
      </w:pBdr>
      <w:tabs>
        <w:tab w:val="left" w:pos="1290"/>
        <w:tab w:val="left" w:pos="3686"/>
        <w:tab w:val="left" w:pos="3828"/>
        <w:tab w:val="right" w:pos="8392"/>
      </w:tabs>
      <w:jc w:val="right"/>
    </w:pPr>
    <w:r>
      <w:rPr>
        <w:rFonts w:hint="eastAsia" w:ascii="隶书" w:eastAsia="隶书"/>
        <w:spacing w:val="-20"/>
        <w:sz w:val="28"/>
        <w:szCs w:val="28"/>
      </w:rPr>
      <w:drawing>
        <wp:anchor distT="0" distB="0" distL="114300" distR="114300" simplePos="0" relativeHeight="251664384" behindDoc="1" locked="0" layoutInCell="1" allowOverlap="1">
          <wp:simplePos x="0" y="0"/>
          <wp:positionH relativeFrom="column">
            <wp:posOffset>-27940</wp:posOffset>
          </wp:positionH>
          <wp:positionV relativeFrom="paragraph">
            <wp:posOffset>50800</wp:posOffset>
          </wp:positionV>
          <wp:extent cx="1233805" cy="189865"/>
          <wp:effectExtent l="0" t="0" r="4445" b="635"/>
          <wp:wrapTight wrapText="bothSides">
            <wp:wrapPolygon>
              <wp:start x="0" y="0"/>
              <wp:lineTo x="0" y="19505"/>
              <wp:lineTo x="21344" y="19505"/>
              <wp:lineTo x="21344" y="0"/>
              <wp:lineTo x="0" y="0"/>
            </wp:wrapPolygon>
          </wp:wrapTight>
          <wp:docPr id="4" name="图片 2"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ministrator.USER-20170507AS\Desktop\图片1.jpg"/>
                  <pic:cNvPicPr>
                    <a:picLocks noChangeAspect="1"/>
                  </pic:cNvPicPr>
                </pic:nvPicPr>
                <pic:blipFill>
                  <a:blip r:embed="rId1"/>
                  <a:stretch>
                    <a:fillRect/>
                  </a:stretch>
                </pic:blipFill>
                <pic:spPr>
                  <a:xfrm>
                    <a:off x="0" y="0"/>
                    <a:ext cx="1233805" cy="189865"/>
                  </a:xfrm>
                  <a:prstGeom prst="rect">
                    <a:avLst/>
                  </a:prstGeom>
                  <a:noFill/>
                  <a:ln>
                    <a:noFill/>
                  </a:ln>
                </pic:spPr>
              </pic:pic>
            </a:graphicData>
          </a:graphic>
        </wp:anchor>
      </w:drawing>
    </w:r>
    <w:r>
      <w:rPr>
        <w:rFonts w:ascii="隶书" w:eastAsia="隶书"/>
        <w:spacing w:val="-20"/>
        <w:sz w:val="28"/>
        <w:szCs w:val="28"/>
      </w:rPr>
      <w:tab/>
    </w:r>
    <w:r>
      <w:rPr>
        <w:rFonts w:ascii="隶书" w:eastAsia="隶书"/>
        <w:spacing w:val="-20"/>
        <w:sz w:val="28"/>
        <w:szCs w:val="28"/>
      </w:rPr>
      <w:tab/>
    </w:r>
    <w:r>
      <w:rPr>
        <w:rFonts w:hint="eastAsia" w:ascii="隶书" w:eastAsia="隶书"/>
        <w:spacing w:val="-20"/>
        <w:sz w:val="28"/>
        <w:szCs w:val="28"/>
      </w:rPr>
      <w:t xml:space="preserve"> </w:t>
    </w:r>
    <w:r>
      <w:rPr>
        <w:rFonts w:ascii="隶书" w:eastAsia="隶书"/>
        <w:spacing w:val="-20"/>
        <w:sz w:val="28"/>
        <w:szCs w:val="28"/>
      </w:rPr>
      <w:t xml:space="preserve">   </w:t>
    </w:r>
    <w:r>
      <w:rPr>
        <w:rFonts w:hint="eastAsia" w:ascii="隶书" w:eastAsia="隶书"/>
        <w:spacing w:val="-20"/>
        <w:sz w:val="28"/>
        <w:szCs w:val="28"/>
      </w:rPr>
      <w:t>中兴财光华会计师事务所（特普）云南分所</w:t>
    </w:r>
    <w:r>
      <w:rPr>
        <w:rFonts w:ascii="隶书" w:eastAsia="隶书"/>
        <w:spacing w:val="-20"/>
        <w:sz w:val="28"/>
        <w:szCs w:val="28"/>
      </w:rPr>
      <w:t xml:space="preserve"> </w:t>
    </w:r>
  </w:p>
  <w:p>
    <w:pPr>
      <w:pStyle w:val="5"/>
    </w:pP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1425A"/>
    <w:rsid w:val="0002496C"/>
    <w:rsid w:val="00041575"/>
    <w:rsid w:val="0005155F"/>
    <w:rsid w:val="00051B09"/>
    <w:rsid w:val="000613D9"/>
    <w:rsid w:val="00096516"/>
    <w:rsid w:val="000A6D7A"/>
    <w:rsid w:val="000C654E"/>
    <w:rsid w:val="000D278C"/>
    <w:rsid w:val="000D7BF6"/>
    <w:rsid w:val="000E6572"/>
    <w:rsid w:val="001043E2"/>
    <w:rsid w:val="00115503"/>
    <w:rsid w:val="001173FF"/>
    <w:rsid w:val="00133FD6"/>
    <w:rsid w:val="00143C20"/>
    <w:rsid w:val="00150A80"/>
    <w:rsid w:val="00152A72"/>
    <w:rsid w:val="001569F2"/>
    <w:rsid w:val="001703ED"/>
    <w:rsid w:val="001A1F5C"/>
    <w:rsid w:val="001A3886"/>
    <w:rsid w:val="001A57D9"/>
    <w:rsid w:val="001B3130"/>
    <w:rsid w:val="001C5FC1"/>
    <w:rsid w:val="00203271"/>
    <w:rsid w:val="00206CAF"/>
    <w:rsid w:val="00207834"/>
    <w:rsid w:val="002138DF"/>
    <w:rsid w:val="00220D99"/>
    <w:rsid w:val="00273EAD"/>
    <w:rsid w:val="00287491"/>
    <w:rsid w:val="002965B8"/>
    <w:rsid w:val="002B3589"/>
    <w:rsid w:val="002C0A3E"/>
    <w:rsid w:val="002E68F6"/>
    <w:rsid w:val="002F3578"/>
    <w:rsid w:val="002F42E5"/>
    <w:rsid w:val="0031765C"/>
    <w:rsid w:val="0034115F"/>
    <w:rsid w:val="00343768"/>
    <w:rsid w:val="00367AC2"/>
    <w:rsid w:val="003971F9"/>
    <w:rsid w:val="003A2AE6"/>
    <w:rsid w:val="003A4A7E"/>
    <w:rsid w:val="003C6544"/>
    <w:rsid w:val="003F1EBF"/>
    <w:rsid w:val="0040113B"/>
    <w:rsid w:val="00402216"/>
    <w:rsid w:val="004156B9"/>
    <w:rsid w:val="004263D4"/>
    <w:rsid w:val="004414F1"/>
    <w:rsid w:val="00447CCD"/>
    <w:rsid w:val="0045678E"/>
    <w:rsid w:val="00466EE3"/>
    <w:rsid w:val="004777BA"/>
    <w:rsid w:val="00484CCD"/>
    <w:rsid w:val="004921B6"/>
    <w:rsid w:val="00494EC6"/>
    <w:rsid w:val="004A11B5"/>
    <w:rsid w:val="004C443E"/>
    <w:rsid w:val="004E6F5E"/>
    <w:rsid w:val="005019B2"/>
    <w:rsid w:val="00502BB7"/>
    <w:rsid w:val="005054E0"/>
    <w:rsid w:val="00516DB4"/>
    <w:rsid w:val="005244EB"/>
    <w:rsid w:val="00532FFD"/>
    <w:rsid w:val="0055411A"/>
    <w:rsid w:val="00572A5F"/>
    <w:rsid w:val="00574512"/>
    <w:rsid w:val="00576EEA"/>
    <w:rsid w:val="00592D31"/>
    <w:rsid w:val="00593C06"/>
    <w:rsid w:val="005C0404"/>
    <w:rsid w:val="0060153A"/>
    <w:rsid w:val="006143B0"/>
    <w:rsid w:val="006176A7"/>
    <w:rsid w:val="0066282E"/>
    <w:rsid w:val="00665CE8"/>
    <w:rsid w:val="0067279F"/>
    <w:rsid w:val="00690E08"/>
    <w:rsid w:val="006A3A64"/>
    <w:rsid w:val="006B6415"/>
    <w:rsid w:val="006C7150"/>
    <w:rsid w:val="00711DB9"/>
    <w:rsid w:val="00726CC6"/>
    <w:rsid w:val="007505DC"/>
    <w:rsid w:val="00753CC0"/>
    <w:rsid w:val="00757A95"/>
    <w:rsid w:val="00765FB3"/>
    <w:rsid w:val="00771166"/>
    <w:rsid w:val="00775D5B"/>
    <w:rsid w:val="00777F93"/>
    <w:rsid w:val="0078398E"/>
    <w:rsid w:val="007A66BD"/>
    <w:rsid w:val="007B0013"/>
    <w:rsid w:val="007D5140"/>
    <w:rsid w:val="007D5486"/>
    <w:rsid w:val="007E7F90"/>
    <w:rsid w:val="008010A3"/>
    <w:rsid w:val="00811062"/>
    <w:rsid w:val="00811403"/>
    <w:rsid w:val="00847675"/>
    <w:rsid w:val="00873DB7"/>
    <w:rsid w:val="0087600B"/>
    <w:rsid w:val="008773CC"/>
    <w:rsid w:val="008A58DD"/>
    <w:rsid w:val="008A6407"/>
    <w:rsid w:val="008B600E"/>
    <w:rsid w:val="008C10A9"/>
    <w:rsid w:val="008C196A"/>
    <w:rsid w:val="008C29F7"/>
    <w:rsid w:val="008C46B8"/>
    <w:rsid w:val="008C7A8F"/>
    <w:rsid w:val="00911819"/>
    <w:rsid w:val="009401A3"/>
    <w:rsid w:val="00947BC8"/>
    <w:rsid w:val="009571FF"/>
    <w:rsid w:val="00965CD5"/>
    <w:rsid w:val="00966FF5"/>
    <w:rsid w:val="00970BE0"/>
    <w:rsid w:val="00971A9B"/>
    <w:rsid w:val="0098088A"/>
    <w:rsid w:val="00986B47"/>
    <w:rsid w:val="0099071E"/>
    <w:rsid w:val="0099525C"/>
    <w:rsid w:val="009A2CCB"/>
    <w:rsid w:val="009D22A6"/>
    <w:rsid w:val="009F6AD5"/>
    <w:rsid w:val="00A01339"/>
    <w:rsid w:val="00A338B0"/>
    <w:rsid w:val="00A34F1E"/>
    <w:rsid w:val="00A407E0"/>
    <w:rsid w:val="00A428A3"/>
    <w:rsid w:val="00A70D31"/>
    <w:rsid w:val="00A73C8E"/>
    <w:rsid w:val="00A769FF"/>
    <w:rsid w:val="00AB2BE8"/>
    <w:rsid w:val="00AB7EE4"/>
    <w:rsid w:val="00AD77AB"/>
    <w:rsid w:val="00AF7503"/>
    <w:rsid w:val="00B17C85"/>
    <w:rsid w:val="00B211A7"/>
    <w:rsid w:val="00B26C3A"/>
    <w:rsid w:val="00B46F35"/>
    <w:rsid w:val="00B53B1B"/>
    <w:rsid w:val="00B57155"/>
    <w:rsid w:val="00B5778B"/>
    <w:rsid w:val="00B6193E"/>
    <w:rsid w:val="00B64312"/>
    <w:rsid w:val="00B7796C"/>
    <w:rsid w:val="00B82F58"/>
    <w:rsid w:val="00B94E27"/>
    <w:rsid w:val="00BA0799"/>
    <w:rsid w:val="00BE69BD"/>
    <w:rsid w:val="00BF2713"/>
    <w:rsid w:val="00BF63BC"/>
    <w:rsid w:val="00C1425A"/>
    <w:rsid w:val="00C23AE3"/>
    <w:rsid w:val="00C31D63"/>
    <w:rsid w:val="00C62ACF"/>
    <w:rsid w:val="00C7056B"/>
    <w:rsid w:val="00C76920"/>
    <w:rsid w:val="00C81B92"/>
    <w:rsid w:val="00C86F37"/>
    <w:rsid w:val="00C97B3D"/>
    <w:rsid w:val="00CA29FA"/>
    <w:rsid w:val="00CD2A62"/>
    <w:rsid w:val="00CD3A2A"/>
    <w:rsid w:val="00CE0077"/>
    <w:rsid w:val="00D00648"/>
    <w:rsid w:val="00D10C8C"/>
    <w:rsid w:val="00D27961"/>
    <w:rsid w:val="00D32ECC"/>
    <w:rsid w:val="00D33743"/>
    <w:rsid w:val="00D40550"/>
    <w:rsid w:val="00D44E05"/>
    <w:rsid w:val="00D463B6"/>
    <w:rsid w:val="00D46677"/>
    <w:rsid w:val="00D53FAA"/>
    <w:rsid w:val="00D64864"/>
    <w:rsid w:val="00D76C4E"/>
    <w:rsid w:val="00D817AF"/>
    <w:rsid w:val="00D912C9"/>
    <w:rsid w:val="00DE24DB"/>
    <w:rsid w:val="00DF760C"/>
    <w:rsid w:val="00E0408A"/>
    <w:rsid w:val="00E07BA2"/>
    <w:rsid w:val="00E205DF"/>
    <w:rsid w:val="00E337EB"/>
    <w:rsid w:val="00E64796"/>
    <w:rsid w:val="00E85C1D"/>
    <w:rsid w:val="00E94596"/>
    <w:rsid w:val="00E955CE"/>
    <w:rsid w:val="00EA2971"/>
    <w:rsid w:val="00EB6C06"/>
    <w:rsid w:val="00EF3771"/>
    <w:rsid w:val="00F178A3"/>
    <w:rsid w:val="00F413C7"/>
    <w:rsid w:val="00F46297"/>
    <w:rsid w:val="00F507C6"/>
    <w:rsid w:val="00F54F8A"/>
    <w:rsid w:val="00F63212"/>
    <w:rsid w:val="00F66D78"/>
    <w:rsid w:val="00F8564F"/>
    <w:rsid w:val="00F92118"/>
    <w:rsid w:val="00FA217E"/>
    <w:rsid w:val="00FA2D00"/>
    <w:rsid w:val="00FB3818"/>
    <w:rsid w:val="00FC6B4E"/>
    <w:rsid w:val="00FD5908"/>
    <w:rsid w:val="00FD5943"/>
    <w:rsid w:val="00FE4F96"/>
    <w:rsid w:val="00FF01AD"/>
    <w:rsid w:val="00FF6353"/>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6186903"/>
    <w:rsid w:val="062A6E20"/>
    <w:rsid w:val="06790629"/>
    <w:rsid w:val="06BD18CD"/>
    <w:rsid w:val="074C6A10"/>
    <w:rsid w:val="075C167D"/>
    <w:rsid w:val="080C5426"/>
    <w:rsid w:val="081D15C4"/>
    <w:rsid w:val="08267577"/>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A554CA"/>
    <w:rsid w:val="103148C7"/>
    <w:rsid w:val="10A41CED"/>
    <w:rsid w:val="10C43B87"/>
    <w:rsid w:val="111D6972"/>
    <w:rsid w:val="11CA17ED"/>
    <w:rsid w:val="1225668C"/>
    <w:rsid w:val="122660D5"/>
    <w:rsid w:val="1256332B"/>
    <w:rsid w:val="1283031A"/>
    <w:rsid w:val="130C2193"/>
    <w:rsid w:val="130E3903"/>
    <w:rsid w:val="13166809"/>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B0AD1"/>
    <w:rsid w:val="1D221FDC"/>
    <w:rsid w:val="1D3941A5"/>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B7F454A"/>
    <w:rsid w:val="2B80177F"/>
    <w:rsid w:val="2B90159F"/>
    <w:rsid w:val="2B993748"/>
    <w:rsid w:val="2BBE1DE2"/>
    <w:rsid w:val="2DA362F7"/>
    <w:rsid w:val="2DDE1315"/>
    <w:rsid w:val="2E70008E"/>
    <w:rsid w:val="2E795570"/>
    <w:rsid w:val="30F14E48"/>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2F5056C"/>
    <w:rsid w:val="42FB7CE0"/>
    <w:rsid w:val="431112AD"/>
    <w:rsid w:val="43561DE5"/>
    <w:rsid w:val="436B4467"/>
    <w:rsid w:val="44406011"/>
    <w:rsid w:val="449C2C79"/>
    <w:rsid w:val="450736B6"/>
    <w:rsid w:val="452A51D7"/>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FF1CE5"/>
    <w:rsid w:val="4B2C2C5C"/>
    <w:rsid w:val="4B542445"/>
    <w:rsid w:val="4B782F01"/>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F42D65"/>
    <w:rsid w:val="5B721AD3"/>
    <w:rsid w:val="5BAF49EA"/>
    <w:rsid w:val="5C661078"/>
    <w:rsid w:val="5C9167F0"/>
    <w:rsid w:val="5D250AE8"/>
    <w:rsid w:val="5D8562D6"/>
    <w:rsid w:val="5E107A6E"/>
    <w:rsid w:val="5E552402"/>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33632FF"/>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615283"/>
    <w:rsid w:val="6CFA7874"/>
    <w:rsid w:val="6DBE17E3"/>
    <w:rsid w:val="6E160574"/>
    <w:rsid w:val="6F1A7E1A"/>
    <w:rsid w:val="6F7A65DC"/>
    <w:rsid w:val="6FF85E6E"/>
    <w:rsid w:val="700B63AB"/>
    <w:rsid w:val="70A4763A"/>
    <w:rsid w:val="70D45314"/>
    <w:rsid w:val="70E141BC"/>
    <w:rsid w:val="717B1403"/>
    <w:rsid w:val="718C46BB"/>
    <w:rsid w:val="71D842FA"/>
    <w:rsid w:val="71F00255"/>
    <w:rsid w:val="721434B7"/>
    <w:rsid w:val="725F33BF"/>
    <w:rsid w:val="72C251F0"/>
    <w:rsid w:val="72D87B33"/>
    <w:rsid w:val="72DD5B9E"/>
    <w:rsid w:val="7366202F"/>
    <w:rsid w:val="737A786F"/>
    <w:rsid w:val="740D3F11"/>
    <w:rsid w:val="745307BE"/>
    <w:rsid w:val="745C550C"/>
    <w:rsid w:val="74D46B08"/>
    <w:rsid w:val="75184790"/>
    <w:rsid w:val="75577D7F"/>
    <w:rsid w:val="755D5C19"/>
    <w:rsid w:val="757022FB"/>
    <w:rsid w:val="75F71F3B"/>
    <w:rsid w:val="766D57C1"/>
    <w:rsid w:val="769714F7"/>
    <w:rsid w:val="76E83D9B"/>
    <w:rsid w:val="77827BF3"/>
    <w:rsid w:val="77A330E7"/>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unhideWhenUsed/>
    <w:qFormat/>
    <w:uiPriority w:val="99"/>
    <w:pPr>
      <w:spacing w:after="12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正文文本 Char"/>
    <w:basedOn w:val="7"/>
    <w:link w:val="2"/>
    <w:qFormat/>
    <w:uiPriority w:val="99"/>
    <w:rPr>
      <w:rFonts w:asciiTheme="minorHAnsi" w:hAnsiTheme="minorHAnsi" w:eastAsiaTheme="minorEastAsia" w:cstheme="minorBidi"/>
      <w:kern w:val="2"/>
      <w:sz w:val="21"/>
      <w:szCs w:val="22"/>
    </w:rPr>
  </w:style>
  <w:style w:type="character" w:customStyle="1" w:styleId="9">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1143</Words>
  <Characters>6520</Characters>
  <Lines>54</Lines>
  <Paragraphs>15</Paragraphs>
  <TotalTime>815</TotalTime>
  <ScaleCrop>false</ScaleCrop>
  <LinksUpToDate>false</LinksUpToDate>
  <CharactersWithSpaces>7648</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2020-09-11T05:38:00Z</dcterms:created>
  <dc:creator>de'l'l</dc:creator>
  <cp:lastModifiedBy>天空中的神话</cp:lastModifiedBy>
  <dcterms:modified xsi:type="dcterms:W3CDTF">2020-09-29T09:05:21Z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