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29E20">
      <w:pPr>
        <w:widowControl/>
        <w:spacing w:line="360" w:lineRule="auto"/>
        <w:jc w:val="center"/>
        <w:outlineLvl w:val="0"/>
        <w:rPr>
          <w:rFonts w:ascii="仿宋_GB2312" w:hAnsi="仿宋_GB2312" w:eastAsia="仿宋_GB2312" w:cs="仿宋_GB2312"/>
          <w:b/>
          <w:sz w:val="52"/>
          <w:szCs w:val="52"/>
        </w:rPr>
      </w:pPr>
      <w:bookmarkStart w:id="55" w:name="_GoBack"/>
      <w:bookmarkEnd w:id="55"/>
    </w:p>
    <w:p w14:paraId="5F96F155">
      <w:pPr>
        <w:widowControl/>
        <w:spacing w:line="360" w:lineRule="auto"/>
        <w:jc w:val="center"/>
        <w:outlineLvl w:val="0"/>
        <w:rPr>
          <w:rFonts w:ascii="仿宋_GB2312" w:hAnsi="仿宋_GB2312" w:eastAsia="仿宋_GB2312" w:cs="仿宋_GB2312"/>
          <w:b/>
          <w:sz w:val="44"/>
          <w:szCs w:val="44"/>
        </w:rPr>
      </w:pPr>
    </w:p>
    <w:p w14:paraId="225F51FC">
      <w:pPr>
        <w:spacing w:line="360" w:lineRule="auto"/>
        <w:jc w:val="center"/>
        <w:rPr>
          <w:rFonts w:ascii="仿宋_GB2312" w:hAnsi="仿宋_GB2312" w:eastAsia="仿宋_GB2312" w:cs="仿宋_GB2312"/>
          <w:b/>
          <w:sz w:val="44"/>
          <w:szCs w:val="44"/>
        </w:rPr>
      </w:pPr>
      <w:r>
        <w:rPr>
          <w:rFonts w:hint="eastAsia" w:ascii="仿宋_GB2312" w:hAnsi="仿宋_GB2312" w:eastAsia="仿宋_GB2312" w:cs="仿宋_GB2312"/>
          <w:b/>
          <w:sz w:val="44"/>
          <w:szCs w:val="44"/>
        </w:rPr>
        <w:t>寻甸回族彝族自治县城市管理局2020年倘甸镇区管理专项经费项目绩效再评价报告</w:t>
      </w:r>
    </w:p>
    <w:p w14:paraId="3ED9A867">
      <w:pPr>
        <w:spacing w:line="360" w:lineRule="auto"/>
        <w:ind w:left="357"/>
        <w:jc w:val="center"/>
        <w:rPr>
          <w:rFonts w:ascii="仿宋_GB2312" w:hAnsi="仿宋_GB2312" w:eastAsia="仿宋_GB2312" w:cs="仿宋_GB2312"/>
          <w:sz w:val="32"/>
          <w:szCs w:val="32"/>
        </w:rPr>
      </w:pPr>
    </w:p>
    <w:p w14:paraId="1F91A2FF">
      <w:pPr>
        <w:pStyle w:val="2"/>
      </w:pPr>
    </w:p>
    <w:p w14:paraId="08B4F331">
      <w:pPr>
        <w:pStyle w:val="2"/>
      </w:pPr>
    </w:p>
    <w:p w14:paraId="604CF68A">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中兴财光华（云）审专字（2021）第02055号</w:t>
      </w:r>
    </w:p>
    <w:p w14:paraId="18409694">
      <w:pPr>
        <w:jc w:val="center"/>
        <w:rPr>
          <w:rFonts w:ascii="仿宋_GB2312" w:hAnsi="仿宋_GB2312" w:eastAsia="仿宋_GB2312" w:cs="仿宋_GB2312"/>
        </w:rPr>
      </w:pPr>
    </w:p>
    <w:p w14:paraId="51B81DC1">
      <w:pPr>
        <w:jc w:val="center"/>
        <w:rPr>
          <w:rFonts w:ascii="仿宋_GB2312" w:hAnsi="仿宋_GB2312" w:eastAsia="仿宋_GB2312" w:cs="仿宋_GB2312"/>
        </w:rPr>
      </w:pPr>
    </w:p>
    <w:p w14:paraId="57B624AC">
      <w:pPr>
        <w:jc w:val="center"/>
        <w:rPr>
          <w:rFonts w:ascii="仿宋_GB2312" w:hAnsi="仿宋_GB2312" w:eastAsia="仿宋_GB2312" w:cs="仿宋_GB2312"/>
        </w:rPr>
      </w:pPr>
    </w:p>
    <w:p w14:paraId="5ABDAFCE">
      <w:pPr>
        <w:jc w:val="center"/>
        <w:rPr>
          <w:rFonts w:ascii="仿宋_GB2312" w:hAnsi="仿宋_GB2312" w:eastAsia="仿宋_GB2312" w:cs="仿宋_GB2312"/>
        </w:rPr>
      </w:pPr>
    </w:p>
    <w:p w14:paraId="4B323D84">
      <w:pPr>
        <w:jc w:val="center"/>
        <w:rPr>
          <w:rFonts w:ascii="仿宋_GB2312" w:hAnsi="仿宋_GB2312" w:eastAsia="仿宋_GB2312" w:cs="仿宋_GB2312"/>
        </w:rPr>
      </w:pPr>
    </w:p>
    <w:p w14:paraId="33DBEC89">
      <w:pPr>
        <w:jc w:val="center"/>
        <w:rPr>
          <w:rFonts w:ascii="仿宋_GB2312" w:hAnsi="仿宋_GB2312" w:eastAsia="仿宋_GB2312" w:cs="仿宋_GB2312"/>
        </w:rPr>
      </w:pPr>
    </w:p>
    <w:p w14:paraId="78D2997A">
      <w:pPr>
        <w:jc w:val="center"/>
        <w:rPr>
          <w:rFonts w:ascii="仿宋_GB2312" w:hAnsi="仿宋_GB2312" w:eastAsia="仿宋_GB2312" w:cs="仿宋_GB2312"/>
        </w:rPr>
      </w:pPr>
    </w:p>
    <w:p w14:paraId="6213229F">
      <w:pPr>
        <w:jc w:val="center"/>
        <w:rPr>
          <w:rFonts w:ascii="仿宋_GB2312" w:hAnsi="仿宋_GB2312" w:eastAsia="仿宋_GB2312" w:cs="仿宋_GB2312"/>
        </w:rPr>
      </w:pPr>
    </w:p>
    <w:p w14:paraId="1E474B42">
      <w:pPr>
        <w:jc w:val="center"/>
        <w:rPr>
          <w:rFonts w:ascii="仿宋_GB2312" w:hAnsi="仿宋_GB2312" w:eastAsia="仿宋_GB2312" w:cs="仿宋_GB2312"/>
        </w:rPr>
      </w:pPr>
    </w:p>
    <w:p w14:paraId="43440032">
      <w:pPr>
        <w:jc w:val="center"/>
        <w:rPr>
          <w:rFonts w:ascii="仿宋_GB2312" w:hAnsi="仿宋_GB2312" w:eastAsia="仿宋_GB2312" w:cs="仿宋_GB2312"/>
        </w:rPr>
      </w:pPr>
    </w:p>
    <w:p w14:paraId="70414044">
      <w:pPr>
        <w:jc w:val="center"/>
        <w:rPr>
          <w:rFonts w:ascii="仿宋_GB2312" w:hAnsi="仿宋_GB2312" w:eastAsia="仿宋_GB2312" w:cs="仿宋_GB2312"/>
        </w:rPr>
      </w:pPr>
    </w:p>
    <w:p w14:paraId="066DA35D">
      <w:pPr>
        <w:jc w:val="center"/>
        <w:rPr>
          <w:rFonts w:ascii="仿宋_GB2312" w:hAnsi="仿宋_GB2312" w:eastAsia="仿宋_GB2312" w:cs="仿宋_GB2312"/>
        </w:rPr>
      </w:pPr>
    </w:p>
    <w:p w14:paraId="5EFCD13D">
      <w:pPr>
        <w:jc w:val="center"/>
        <w:rPr>
          <w:rFonts w:ascii="仿宋_GB2312" w:hAnsi="仿宋_GB2312" w:eastAsia="仿宋_GB2312" w:cs="仿宋_GB2312"/>
        </w:rPr>
      </w:pPr>
    </w:p>
    <w:p w14:paraId="7AD04223">
      <w:pPr>
        <w:pStyle w:val="2"/>
      </w:pPr>
    </w:p>
    <w:p w14:paraId="6DD16234">
      <w:pPr>
        <w:pStyle w:val="2"/>
      </w:pPr>
    </w:p>
    <w:p w14:paraId="76C61B0C">
      <w:pPr>
        <w:pStyle w:val="2"/>
      </w:pPr>
    </w:p>
    <w:p w14:paraId="0231983F">
      <w:pPr>
        <w:jc w:val="center"/>
        <w:rPr>
          <w:rFonts w:ascii="仿宋_GB2312" w:hAnsi="仿宋_GB2312" w:eastAsia="仿宋_GB2312" w:cs="仿宋_GB2312"/>
        </w:rPr>
      </w:pPr>
    </w:p>
    <w:p w14:paraId="54DB2ABC">
      <w:pPr>
        <w:jc w:val="center"/>
        <w:rPr>
          <w:rFonts w:ascii="仿宋_GB2312" w:hAnsi="仿宋_GB2312" w:eastAsia="仿宋_GB2312" w:cs="仿宋_GB2312"/>
        </w:rPr>
      </w:pPr>
    </w:p>
    <w:p w14:paraId="16156EB7">
      <w:pPr>
        <w:jc w:val="center"/>
        <w:rPr>
          <w:rFonts w:ascii="仿宋_GB2312" w:hAnsi="仿宋_GB2312" w:eastAsia="仿宋_GB2312" w:cs="仿宋_GB2312"/>
        </w:rPr>
      </w:pPr>
    </w:p>
    <w:p w14:paraId="1981C7F6">
      <w:pPr>
        <w:spacing w:line="360" w:lineRule="auto"/>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中兴财光华会计师事务所（特殊普通合伙）云南分所 </w:t>
      </w:r>
    </w:p>
    <w:p w14:paraId="28F9E778">
      <w:pPr>
        <w:spacing w:line="360" w:lineRule="auto"/>
        <w:ind w:left="357"/>
        <w:jc w:val="center"/>
        <w:rPr>
          <w:rFonts w:ascii="仿宋_GB2312" w:hAnsi="仿宋_GB2312" w:eastAsia="仿宋_GB2312" w:cs="仿宋_GB2312"/>
          <w:b/>
          <w:sz w:val="36"/>
          <w:szCs w:val="36"/>
        </w:rPr>
        <w:sectPr>
          <w:headerReference r:id="rId3" w:type="default"/>
          <w:footerReference r:id="rId4" w:type="default"/>
          <w:pgSz w:w="11906" w:h="16838"/>
          <w:pgMar w:top="1984" w:right="1134" w:bottom="1134" w:left="1701" w:header="1020" w:footer="510" w:gutter="0"/>
          <w:pgNumType w:start="1"/>
          <w:cols w:space="425" w:num="1"/>
          <w:titlePg/>
          <w:docGrid w:type="lines" w:linePitch="312" w:charSpace="0"/>
        </w:sectPr>
      </w:pPr>
    </w:p>
    <w:p w14:paraId="2A097904">
      <w:pPr>
        <w:pStyle w:val="2"/>
        <w:rPr>
          <w:rFonts w:ascii="仿宋_GB2312" w:hAnsi="仿宋_GB2312" w:eastAsia="仿宋_GB2312" w:cs="仿宋_GB2312"/>
        </w:rPr>
      </w:pPr>
    </w:p>
    <w:p w14:paraId="514C0A16">
      <w:pPr>
        <w:pStyle w:val="2"/>
        <w:rPr>
          <w:rFonts w:ascii="仿宋_GB2312" w:hAnsi="仿宋_GB2312" w:eastAsia="仿宋_GB2312" w:cs="仿宋_GB2312"/>
        </w:rPr>
      </w:pPr>
    </w:p>
    <w:p w14:paraId="1EE0FB23">
      <w:pPr>
        <w:pStyle w:val="2"/>
        <w:rPr>
          <w:rFonts w:ascii="仿宋_GB2312" w:hAnsi="仿宋_GB2312" w:eastAsia="仿宋_GB2312" w:cs="仿宋_GB2312"/>
        </w:rPr>
      </w:pPr>
    </w:p>
    <w:p w14:paraId="6A31BC61">
      <w:pPr>
        <w:pStyle w:val="2"/>
        <w:rPr>
          <w:rFonts w:ascii="仿宋_GB2312" w:hAnsi="仿宋_GB2312" w:eastAsia="仿宋_GB2312" w:cs="仿宋_GB2312"/>
        </w:rPr>
      </w:pPr>
    </w:p>
    <w:p w14:paraId="2DECE962">
      <w:pPr>
        <w:pStyle w:val="10"/>
        <w:keepNext w:val="0"/>
        <w:keepLines w:val="0"/>
        <w:jc w:val="center"/>
        <w:rPr>
          <w:rFonts w:ascii="黑体" w:hAnsi="黑体" w:eastAsia="黑体"/>
          <w:sz w:val="36"/>
          <w:szCs w:val="36"/>
          <w:lang w:val="zh-CN"/>
        </w:rPr>
      </w:pPr>
      <w:r>
        <w:rPr>
          <w:rFonts w:ascii="黑体" w:hAnsi="黑体" w:eastAsia="黑体"/>
          <w:sz w:val="36"/>
          <w:szCs w:val="36"/>
          <w:lang w:val="zh-CN"/>
        </w:rPr>
        <w:t>目</w:t>
      </w:r>
      <w:r>
        <w:rPr>
          <w:rFonts w:hint="eastAsia" w:ascii="黑体" w:hAnsi="黑体" w:eastAsia="黑体"/>
          <w:sz w:val="36"/>
          <w:szCs w:val="36"/>
          <w:lang w:val="zh-CN"/>
        </w:rPr>
        <w:t xml:space="preserve"> </w:t>
      </w:r>
      <w:r>
        <w:rPr>
          <w:rFonts w:ascii="黑体" w:hAnsi="黑体" w:eastAsia="黑体"/>
          <w:sz w:val="36"/>
          <w:szCs w:val="36"/>
          <w:lang w:val="zh-CN"/>
        </w:rPr>
        <w:t xml:space="preserve">   </w:t>
      </w:r>
      <w:r>
        <w:rPr>
          <w:rFonts w:hint="eastAsia" w:ascii="黑体" w:hAnsi="黑体" w:eastAsia="黑体"/>
          <w:sz w:val="36"/>
          <w:szCs w:val="36"/>
          <w:lang w:val="zh-CN"/>
        </w:rPr>
        <w:t xml:space="preserve">  </w:t>
      </w:r>
      <w:r>
        <w:rPr>
          <w:rFonts w:ascii="黑体" w:hAnsi="黑体" w:eastAsia="黑体"/>
          <w:sz w:val="36"/>
          <w:szCs w:val="36"/>
          <w:lang w:val="zh-CN"/>
        </w:rPr>
        <w:t>录</w:t>
      </w:r>
    </w:p>
    <w:p w14:paraId="74D6D828">
      <w:pPr>
        <w:rPr>
          <w:lang w:val="zh-CN"/>
        </w:rPr>
      </w:pPr>
    </w:p>
    <w:p w14:paraId="28CD7419">
      <w:pPr>
        <w:pStyle w:val="2"/>
      </w:pPr>
    </w:p>
    <w:p w14:paraId="3C390DDB">
      <w:pPr>
        <w:pStyle w:val="2"/>
      </w:pPr>
    </w:p>
    <w:p w14:paraId="24652EFA">
      <w:pPr>
        <w:tabs>
          <w:tab w:val="right" w:leader="dot" w:pos="9071"/>
        </w:tabs>
        <w:spacing w:before="120" w:after="120"/>
        <w:ind w:firstLine="280" w:firstLineChars="100"/>
        <w:rPr>
          <w:rFonts w:ascii="Arial Narrow" w:hAnsi="Arial Narrow" w:eastAsia="华文仿宋"/>
          <w:bCs/>
          <w:sz w:val="28"/>
          <w:szCs w:val="28"/>
        </w:rPr>
      </w:pPr>
      <w:r>
        <w:rPr>
          <w:rFonts w:hint="eastAsia" w:ascii="华文仿宋" w:hAnsi="华文仿宋" w:eastAsia="华文仿宋"/>
          <w:sz w:val="28"/>
          <w:szCs w:val="28"/>
        </w:rPr>
        <w:t>项目支</w:t>
      </w:r>
      <w:r>
        <w:rPr>
          <w:rFonts w:ascii="Arial Narrow" w:hAnsi="Arial Narrow" w:eastAsia="华文仿宋"/>
          <w:sz w:val="28"/>
          <w:szCs w:val="28"/>
        </w:rPr>
        <w:t>出绩效再评价报告</w:t>
      </w:r>
      <w:r>
        <w:rPr>
          <w:rFonts w:ascii="Arial Narrow" w:hAnsi="Arial Narrow" w:eastAsia="华文仿宋"/>
          <w:kern w:val="0"/>
          <w:sz w:val="28"/>
          <w:szCs w:val="28"/>
        </w:rPr>
        <w:t xml:space="preserve">                </w:t>
      </w:r>
      <w:r>
        <w:rPr>
          <w:rFonts w:hint="eastAsia" w:ascii="Arial Narrow" w:hAnsi="Arial Narrow" w:eastAsia="华文仿宋"/>
          <w:kern w:val="0"/>
          <w:sz w:val="28"/>
          <w:szCs w:val="28"/>
        </w:rPr>
        <w:t xml:space="preserve">          </w:t>
      </w:r>
      <w:r>
        <w:rPr>
          <w:rFonts w:ascii="Arial Narrow" w:hAnsi="Arial Narrow" w:eastAsia="华文仿宋"/>
          <w:sz w:val="28"/>
          <w:szCs w:val="28"/>
        </w:rPr>
        <w:t>1-</w:t>
      </w:r>
      <w:r>
        <w:rPr>
          <w:rFonts w:hint="eastAsia" w:ascii="Arial Narrow" w:hAnsi="Arial Narrow" w:eastAsia="华文仿宋"/>
          <w:sz w:val="28"/>
          <w:szCs w:val="28"/>
        </w:rPr>
        <w:t xml:space="preserve"> 13</w:t>
      </w:r>
    </w:p>
    <w:p w14:paraId="53BA0F5B">
      <w:pPr>
        <w:pStyle w:val="2"/>
      </w:pPr>
    </w:p>
    <w:p w14:paraId="4C999DFE">
      <w:pPr>
        <w:spacing w:line="360" w:lineRule="auto"/>
        <w:ind w:left="357"/>
        <w:rPr>
          <w:rFonts w:ascii="仿宋_GB2312" w:hAnsi="仿宋_GB2312" w:eastAsia="仿宋_GB2312" w:cs="仿宋_GB2312"/>
          <w:b/>
          <w:sz w:val="32"/>
          <w:szCs w:val="32"/>
        </w:rPr>
        <w:sectPr>
          <w:pgSz w:w="11906" w:h="16838"/>
          <w:pgMar w:top="1984" w:right="1134" w:bottom="1134" w:left="1701" w:header="737" w:footer="737" w:gutter="0"/>
          <w:pgNumType w:start="1"/>
          <w:cols w:space="425" w:num="1"/>
          <w:docGrid w:type="lines" w:linePitch="312" w:charSpace="0"/>
        </w:sectPr>
      </w:pPr>
      <w:r>
        <w:rPr>
          <w:rFonts w:hint="eastAsia" w:ascii="Arial Narrow" w:hAnsi="Arial Narrow" w:eastAsia="华文仿宋"/>
          <w:sz w:val="28"/>
          <w:szCs w:val="28"/>
        </w:rPr>
        <w:t>项目</w:t>
      </w:r>
      <w:r>
        <w:rPr>
          <w:rFonts w:ascii="Arial Narrow" w:hAnsi="Arial Narrow" w:eastAsia="华文仿宋"/>
          <w:sz w:val="28"/>
          <w:szCs w:val="28"/>
        </w:rPr>
        <w:t>支出绩效评价指标体系及评分表</w:t>
      </w:r>
      <w:r>
        <w:rPr>
          <w:rFonts w:ascii="Arial Narrow" w:hAnsi="Arial Narrow"/>
          <w:b/>
          <w:lang w:val="zh-CN"/>
        </w:rPr>
        <w:t xml:space="preserve">        </w:t>
      </w:r>
      <w:r>
        <w:rPr>
          <w:rFonts w:hint="eastAsia" w:ascii="Arial Narrow" w:hAnsi="Arial Narrow"/>
          <w:b/>
          <w:lang w:val="zh-CN"/>
        </w:rPr>
        <w:t xml:space="preserve">     </w:t>
      </w:r>
      <w:r>
        <w:rPr>
          <w:rFonts w:ascii="Arial Narrow" w:hAnsi="Arial Narrow"/>
          <w:b/>
          <w:lang w:val="zh-CN"/>
        </w:rPr>
        <w:t xml:space="preserve">  </w:t>
      </w:r>
      <w:r>
        <w:rPr>
          <w:rFonts w:hint="eastAsia" w:ascii="Arial Narrow" w:hAnsi="Arial Narrow"/>
          <w:b/>
          <w:lang w:val="zh-CN"/>
        </w:rPr>
        <w:t xml:space="preserve">    </w:t>
      </w:r>
      <w:r>
        <w:rPr>
          <w:rFonts w:ascii="Arial Narrow" w:hAnsi="Arial Narrow"/>
          <w:b/>
          <w:lang w:val="zh-CN"/>
        </w:rPr>
        <w:t xml:space="preserve">  </w:t>
      </w:r>
      <w:r>
        <w:rPr>
          <w:rFonts w:hint="eastAsia" w:ascii="Arial Narrow" w:hAnsi="Arial Narrow" w:eastAsia="华文仿宋"/>
          <w:sz w:val="28"/>
          <w:szCs w:val="28"/>
        </w:rPr>
        <w:t>14 -15</w:t>
      </w:r>
    </w:p>
    <w:p w14:paraId="18140D46">
      <w:pPr>
        <w:spacing w:line="360" w:lineRule="auto"/>
        <w:jc w:val="center"/>
        <w:rPr>
          <w:rFonts w:ascii="仿宋_GB2312" w:hAnsi="仿宋_GB2312" w:eastAsia="仿宋_GB2312" w:cs="仿宋_GB2312"/>
          <w:b/>
          <w:sz w:val="28"/>
          <w:szCs w:val="28"/>
        </w:rPr>
      </w:pPr>
    </w:p>
    <w:p w14:paraId="70A8D65C">
      <w:pPr>
        <w:spacing w:line="360" w:lineRule="auto"/>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寻甸回族彝族自治县城市管理局2020年倘甸镇区管理专项经费</w:t>
      </w:r>
    </w:p>
    <w:p w14:paraId="461A9E5A">
      <w:pPr>
        <w:spacing w:line="360" w:lineRule="auto"/>
        <w:jc w:val="center"/>
        <w:rPr>
          <w:rFonts w:ascii="仿宋_GB2312" w:hAnsi="仿宋_GB2312" w:eastAsia="仿宋_GB2312" w:cs="仿宋_GB2312"/>
          <w:b/>
          <w:sz w:val="36"/>
          <w:szCs w:val="36"/>
        </w:rPr>
      </w:pPr>
      <w:r>
        <w:rPr>
          <w:rFonts w:hint="eastAsia" w:ascii="仿宋_GB2312" w:hAnsi="仿宋_GB2312" w:eastAsia="仿宋_GB2312" w:cs="仿宋_GB2312"/>
          <w:b/>
          <w:sz w:val="36"/>
          <w:szCs w:val="36"/>
        </w:rPr>
        <w:t>项目绩效再评价报告</w:t>
      </w:r>
    </w:p>
    <w:p w14:paraId="49EB6C60">
      <w:pPr>
        <w:pStyle w:val="2"/>
        <w:jc w:val="center"/>
        <w:rPr>
          <w:rFonts w:ascii="仿宋_GB2312" w:hAnsi="仿宋_GB2312" w:eastAsia="仿宋_GB2312" w:cs="仿宋_GB2312"/>
          <w:b/>
          <w:sz w:val="36"/>
          <w:szCs w:val="36"/>
        </w:rPr>
      </w:pPr>
    </w:p>
    <w:p w14:paraId="031812FF">
      <w:pPr>
        <w:pStyle w:val="2"/>
        <w:jc w:val="center"/>
        <w:rPr>
          <w:rFonts w:ascii="仿宋_GB2312" w:hAnsi="仿宋_GB2312" w:eastAsia="仿宋_GB2312" w:cs="仿宋_GB2312"/>
        </w:rPr>
      </w:pPr>
    </w:p>
    <w:p w14:paraId="56192ED8">
      <w:pPr>
        <w:spacing w:line="360" w:lineRule="auto"/>
        <w:ind w:firstLine="424" w:firstLineChars="177"/>
        <w:jc w:val="right"/>
        <w:rPr>
          <w:rFonts w:ascii="仿宋_GB2312" w:hAnsi="仿宋_GB2312" w:eastAsia="仿宋_GB2312" w:cs="仿宋_GB2312"/>
          <w:sz w:val="24"/>
          <w:szCs w:val="24"/>
        </w:rPr>
      </w:pPr>
      <w:bookmarkStart w:id="0" w:name="_Toc502134848"/>
      <w:r>
        <w:rPr>
          <w:rFonts w:hint="eastAsia" w:ascii="仿宋_GB2312" w:hAnsi="仿宋_GB2312" w:eastAsia="仿宋_GB2312" w:cs="仿宋_GB2312"/>
          <w:sz w:val="24"/>
          <w:szCs w:val="24"/>
        </w:rPr>
        <w:t>中兴财光华（云）审专字（2021）第02055号</w:t>
      </w:r>
    </w:p>
    <w:p w14:paraId="2BC55649">
      <w:pPr>
        <w:pStyle w:val="2"/>
      </w:pPr>
    </w:p>
    <w:p w14:paraId="4C375CDF">
      <w:pPr>
        <w:spacing w:line="360" w:lineRule="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寻甸回族彝族自治县财政局：</w:t>
      </w:r>
    </w:p>
    <w:p w14:paraId="671C10FB">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受寻甸回族彝族自治县财政局委托，根据《关于全面推进预算绩效管理改革的实施意见》寻政发[2016]122号、《寻甸县财政局关于印发&lt;寻甸县本级部门预算绩效自评管理暂行办法&gt;的通知》（寻财绩〔2018〕9号）、《寻甸回族彝族自治县财政局关于明确预算绩效管理工作职责的通知》（寻财〔2020〕5号）和《寻甸县财政局关于对2020年度部门整体支出和重大项目支出绩效再评价业务委托社会中介机构的通知》（寻财绩〔2021〕6号）等文件要求，中兴财光华会计师事务所（特殊普通合伙）云南分所组成审计评价组对寻甸回族彝族自治县城市管理局2020年倘甸镇区管理专项经费项目（以下简称“项目”）支出的管理、使用及效益情况进行了绩效再评价。寻甸回族彝族自治县城市管理局 （以下简称“城市管理局 ”）对所提供评价资料的真实性、完整性负责。现将再评价情况报告如下：</w:t>
      </w:r>
    </w:p>
    <w:p w14:paraId="21CEA317">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一、基本情况</w:t>
      </w:r>
      <w:bookmarkEnd w:id="0"/>
    </w:p>
    <w:p w14:paraId="56EC25DE">
      <w:pPr>
        <w:spacing w:after="240" w:line="360" w:lineRule="auto"/>
        <w:ind w:firstLine="426" w:firstLineChars="177"/>
        <w:rPr>
          <w:rFonts w:ascii="仿宋_GB2312" w:hAnsi="仿宋_GB2312" w:eastAsia="仿宋_GB2312" w:cs="仿宋_GB2312"/>
          <w:b/>
          <w:bCs/>
          <w:sz w:val="24"/>
          <w:szCs w:val="24"/>
        </w:rPr>
      </w:pPr>
      <w:bookmarkStart w:id="1" w:name="_Toc502134849"/>
      <w:r>
        <w:rPr>
          <w:rFonts w:hint="eastAsia" w:ascii="仿宋_GB2312" w:hAnsi="仿宋_GB2312" w:eastAsia="仿宋_GB2312" w:cs="仿宋_GB2312"/>
          <w:b/>
          <w:bCs/>
          <w:sz w:val="24"/>
          <w:szCs w:val="24"/>
        </w:rPr>
        <w:t>（一）项目概况</w:t>
      </w:r>
      <w:bookmarkEnd w:id="1"/>
    </w:p>
    <w:p w14:paraId="190A813B">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1.项目设定背景、目的</w:t>
      </w:r>
    </w:p>
    <w:p w14:paraId="5E9820FC">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随着原两区机制体制的调整，倘甸镇从</w:t>
      </w:r>
      <w:r>
        <w:rPr>
          <w:rFonts w:ascii="Arial Narrow" w:hAnsi="Arial Narrow" w:eastAsia="仿宋_GB2312" w:cs="仿宋_GB2312"/>
          <w:sz w:val="24"/>
          <w:szCs w:val="24"/>
        </w:rPr>
        <w:t>原两区管委会经济开发建设的主战场变为寻甸县“一主三次多点”的发展次中心。倘甸镇原管辖范围区为倘甸老集镇片区3平方公里，原两区管委会工作移交后，现管辖规划区面积11. 7平方公里。为健全完善“组保洁、村收集、乡运转、县处置”的立体环卫工作体系，逐步形成“管干分开、</w:t>
      </w:r>
      <w:r>
        <w:rPr>
          <w:rFonts w:hint="eastAsia" w:ascii="仿宋_GB2312" w:hAnsi="仿宋_GB2312" w:eastAsia="仿宋_GB2312" w:cs="仿宋_GB2312"/>
          <w:sz w:val="24"/>
          <w:szCs w:val="24"/>
        </w:rPr>
        <w:t>费随事转、市场运作、运转有序”的有机体制，逐步实现“全面覆盖、不留死角、长效管理、永久保洁”的环卫目标，对倘甸镇区主街道、小街小巷、出入城道路清扫、保洁，垃圾收集、清运、转运；道路洒水、冲洗降尘；垃圾亭、桶、果皮箱的清理及道路隔离栏、绿化防护栏的清洗、保洁；城区绿地、小游园、休闲广场绿化养护及保洁服务，不断提升环境卫生管理水平。为了更好地管理好倘甸城镇城市管理事务，依托老城建新城，新区与老城相互依托，管理模式上我镇将把老城与新城融合。</w:t>
      </w:r>
    </w:p>
    <w:p w14:paraId="664828D0">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2.项目立项依据</w:t>
      </w:r>
    </w:p>
    <w:p w14:paraId="67FB6C66">
      <w:pPr>
        <w:spacing w:line="360" w:lineRule="auto"/>
        <w:ind w:firstLine="424" w:firstLineChars="177"/>
        <w:rPr>
          <w:rFonts w:ascii="仿宋_GB2312" w:hAnsi="仿宋_GB2312" w:eastAsia="仿宋_GB2312" w:cs="仿宋_GB2312"/>
          <w:sz w:val="24"/>
          <w:szCs w:val="24"/>
        </w:rPr>
      </w:pPr>
      <w:bookmarkStart w:id="2" w:name="_Toc502134850"/>
      <w:r>
        <w:rPr>
          <w:rFonts w:hint="eastAsia" w:ascii="仿宋_GB2312" w:hAnsi="仿宋_GB2312" w:eastAsia="仿宋_GB2312" w:cs="仿宋_GB2312"/>
          <w:sz w:val="24"/>
          <w:szCs w:val="24"/>
        </w:rPr>
        <w:t>（1）《国务院城市市容和环境卫生管理条例》；</w:t>
      </w:r>
    </w:p>
    <w:p w14:paraId="23F81844">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（2）《昆明市城市市容和环境卫生管理条例》；</w:t>
      </w:r>
    </w:p>
    <w:p w14:paraId="1363256E">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（3）《昆明市人民政府关于加强环境卫生管理工作的实施意见》；</w:t>
      </w:r>
    </w:p>
    <w:p w14:paraId="5F29F5AF">
      <w:pPr>
        <w:spacing w:after="240" w:line="360" w:lineRule="auto"/>
        <w:ind w:firstLine="424" w:firstLineChars="177"/>
        <w:rPr>
          <w:rFonts w:ascii="仿宋_GB2312" w:hAnsi="仿宋_GB2312" w:eastAsia="仿宋_GB2312" w:cs="仿宋_GB2312"/>
          <w:color w:val="FF0000"/>
          <w:sz w:val="24"/>
          <w:szCs w:val="24"/>
        </w:rPr>
      </w:pPr>
      <w:r>
        <w:rPr>
          <w:rFonts w:hint="eastAsia" w:ascii="仿宋_GB2312" w:hAnsi="仿宋_GB2312" w:eastAsia="仿宋_GB2312" w:cs="仿宋_GB2312"/>
          <w:sz w:val="24"/>
          <w:szCs w:val="24"/>
        </w:rPr>
        <w:t>（4）《寻甸回族彝族自治县关于进一步完善环卫体制机制的实施意见（试行）》。</w:t>
      </w:r>
    </w:p>
    <w:p w14:paraId="3DE29298">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（二）项目资金安排情况</w:t>
      </w:r>
      <w:bookmarkEnd w:id="2"/>
    </w:p>
    <w:p w14:paraId="2816A281">
      <w:pPr>
        <w:spacing w:after="240" w:line="360" w:lineRule="auto"/>
        <w:ind w:firstLine="424" w:firstLineChars="177"/>
        <w:rPr>
          <w:rFonts w:ascii="仿宋_GB2312" w:hAnsi="仿宋_GB2312" w:eastAsia="仿宋_GB2312" w:cs="仿宋_GB2312"/>
          <w:color w:val="FF0000"/>
          <w:sz w:val="24"/>
          <w:szCs w:val="24"/>
        </w:rPr>
      </w:pPr>
      <w:bookmarkStart w:id="3" w:name="_Toc502134851"/>
      <w:r>
        <w:rPr>
          <w:rFonts w:hint="eastAsia" w:ascii="仿宋_GB2312" w:hAnsi="仿宋_GB2312" w:eastAsia="仿宋_GB2312" w:cs="仿宋_GB2312"/>
          <w:sz w:val="24"/>
          <w:szCs w:val="24"/>
        </w:rPr>
        <w:t>根</w:t>
      </w:r>
      <w:r>
        <w:rPr>
          <w:rFonts w:ascii="Arial Narrow" w:hAnsi="Arial Narrow" w:eastAsia="仿宋_GB2312" w:cs="仿宋_GB2312"/>
          <w:sz w:val="24"/>
          <w:szCs w:val="24"/>
        </w:rPr>
        <w:t>据《寻甸回族彝族自治县财政局关于批复2020年部门预算的通知》（寻财预〔2020〕2号）、《重点领域财政项目文本公开-县城市管理局2020年倘甸镇区管理专项经费项目》，项目预算资金为1,000,000.00元，根据项目支出台账，截至2020年12月31日，共计支付相关费用999,995.00元，无项目结余资金5.00元，已调减财政支付</w:t>
      </w:r>
      <w:r>
        <w:rPr>
          <w:rFonts w:hint="eastAsia" w:ascii="仿宋_GB2312" w:hAnsi="仿宋_GB2312" w:eastAsia="仿宋_GB2312" w:cs="仿宋_GB2312"/>
          <w:sz w:val="24"/>
          <w:szCs w:val="24"/>
        </w:rPr>
        <w:t>额度。</w:t>
      </w:r>
    </w:p>
    <w:p w14:paraId="6E08C11E">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（三）项目实施内容</w:t>
      </w:r>
      <w:bookmarkEnd w:id="3"/>
    </w:p>
    <w:p w14:paraId="6BD20310">
      <w:pPr>
        <w:spacing w:after="240" w:line="360" w:lineRule="auto"/>
        <w:ind w:firstLine="424" w:firstLineChars="177"/>
        <w:rPr>
          <w:rFonts w:ascii="仿宋_GB2312" w:hAnsi="仿宋_GB2312" w:eastAsia="仿宋_GB2312" w:cs="仿宋_GB2312"/>
          <w:sz w:val="24"/>
          <w:szCs w:val="24"/>
        </w:rPr>
      </w:pPr>
      <w:bookmarkStart w:id="4" w:name="_Toc502134852"/>
      <w:r>
        <w:rPr>
          <w:rFonts w:hint="eastAsia" w:ascii="仿宋_GB2312" w:hAnsi="仿宋_GB2312" w:eastAsia="仿宋_GB2312" w:cs="仿宋_GB2312"/>
          <w:sz w:val="24"/>
          <w:szCs w:val="24"/>
        </w:rPr>
        <w:t>项目由城市管理局主管，城市管理局综合行政执法大队倘甸中队和昆明林桦物业服务有限公司具体实施，项目的具体实施内容为：</w:t>
      </w:r>
    </w:p>
    <w:p w14:paraId="33C56C5F">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昆明林桦物业服务有限公司具体实施对倘甸镇区主街道、小街小巷、出入城道路清扫、保洁，垃圾收集、清运、转运；道路洒水、冲洗降尘；垃圾亭、桶、果皮箱的清理及道路隔离栏、绿化防护栏的清洗、保洁；城区绿地、小游园、休闲广场绿化养护及保洁服务。</w:t>
      </w:r>
    </w:p>
    <w:p w14:paraId="49432EF6">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2.城市管理局综合行政执法大队倘甸中队除监督检查昆明林桦物业服务有限公司的实施情况外，全面负责倘甸镇区的市容市貌管理，脏、乱、差、违治理、市政基础实施管护等城市管理工作。</w:t>
      </w:r>
    </w:p>
    <w:p w14:paraId="4EDCBFFB">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（四）项目绩效目标设定情况</w:t>
      </w:r>
      <w:bookmarkEnd w:id="4"/>
    </w:p>
    <w:p w14:paraId="72FD7072">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城市管理局根据上述项目实施内容，设定了项目总体目标和年度目标。总体目标：积极推动城市管理及城乡环境综合治理目标的实现，保障城乡环境综合治理工作的顺利开展，发挥城乡环境综合治理，营造城镇良好的良好的形象及卫生环境。年度目标：倘甸镇管辖规划区面积为11.7平方公里的32条市政道路设施、环境卫生保洁，市容市貌、绿化带、园博园绿化及镇内雨污管道管理，以及倘甸中队的日常运转保障。</w:t>
      </w:r>
    </w:p>
    <w:p w14:paraId="56F47905">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城市管理局根据上述项目年度目标，设定绩效指标及指标值的具体情况如下：</w:t>
      </w:r>
    </w:p>
    <w:tbl>
      <w:tblPr>
        <w:tblStyle w:val="6"/>
        <w:tblW w:w="5000" w:type="pct"/>
        <w:tblInd w:w="0" w:type="dxa"/>
        <w:tblLayout w:type="autofit"/>
        <w:tblCellMar>
          <w:top w:w="0" w:type="dxa"/>
          <w:left w:w="108" w:type="dxa"/>
          <w:bottom w:w="0" w:type="dxa"/>
          <w:right w:w="108" w:type="dxa"/>
        </w:tblCellMar>
      </w:tblPr>
      <w:tblGrid>
        <w:gridCol w:w="1192"/>
        <w:gridCol w:w="1363"/>
        <w:gridCol w:w="1363"/>
        <w:gridCol w:w="3295"/>
        <w:gridCol w:w="2074"/>
      </w:tblGrid>
      <w:tr w14:paraId="55FE0813">
        <w:tblPrEx>
          <w:tblCellMar>
            <w:top w:w="0" w:type="dxa"/>
            <w:left w:w="108" w:type="dxa"/>
            <w:bottom w:w="0" w:type="dxa"/>
            <w:right w:w="108" w:type="dxa"/>
          </w:tblCellMar>
        </w:tblPrEx>
        <w:trPr>
          <w:trHeight w:val="504" w:hRule="atLeast"/>
        </w:trPr>
        <w:tc>
          <w:tcPr>
            <w:tcW w:w="642"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0C84C40B">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绩效指标</w:t>
            </w:r>
          </w:p>
        </w:tc>
        <w:tc>
          <w:tcPr>
            <w:tcW w:w="734" w:type="pct"/>
            <w:tcBorders>
              <w:top w:val="single" w:color="000000" w:sz="8" w:space="0"/>
              <w:left w:val="nil"/>
              <w:bottom w:val="single" w:color="000000" w:sz="8" w:space="0"/>
              <w:right w:val="single" w:color="000000" w:sz="8" w:space="0"/>
            </w:tcBorders>
            <w:shd w:val="clear" w:color="auto" w:fill="auto"/>
            <w:vAlign w:val="center"/>
          </w:tcPr>
          <w:p w14:paraId="5DF64FAC">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一级指标</w:t>
            </w:r>
          </w:p>
        </w:tc>
        <w:tc>
          <w:tcPr>
            <w:tcW w:w="734" w:type="pct"/>
            <w:tcBorders>
              <w:top w:val="single" w:color="000000" w:sz="8" w:space="0"/>
              <w:left w:val="nil"/>
              <w:bottom w:val="single" w:color="000000" w:sz="8" w:space="0"/>
              <w:right w:val="single" w:color="000000" w:sz="8" w:space="0"/>
            </w:tcBorders>
            <w:shd w:val="clear" w:color="auto" w:fill="auto"/>
            <w:vAlign w:val="center"/>
          </w:tcPr>
          <w:p w14:paraId="53FC319F">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二级指标</w:t>
            </w:r>
          </w:p>
        </w:tc>
        <w:tc>
          <w:tcPr>
            <w:tcW w:w="1774" w:type="pct"/>
            <w:tcBorders>
              <w:top w:val="single" w:color="000000" w:sz="8" w:space="0"/>
              <w:left w:val="nil"/>
              <w:bottom w:val="single" w:color="000000" w:sz="8" w:space="0"/>
              <w:right w:val="single" w:color="000000" w:sz="8" w:space="0"/>
            </w:tcBorders>
            <w:shd w:val="clear" w:color="auto" w:fill="auto"/>
            <w:vAlign w:val="center"/>
          </w:tcPr>
          <w:p w14:paraId="6DD59A05">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三级指标</w:t>
            </w:r>
          </w:p>
        </w:tc>
        <w:tc>
          <w:tcPr>
            <w:tcW w:w="1116" w:type="pct"/>
            <w:tcBorders>
              <w:top w:val="single" w:color="000000" w:sz="8" w:space="0"/>
              <w:left w:val="nil"/>
              <w:bottom w:val="single" w:color="000000" w:sz="8" w:space="0"/>
              <w:right w:val="single" w:color="000000" w:sz="8" w:space="0"/>
            </w:tcBorders>
            <w:shd w:val="clear" w:color="auto" w:fill="auto"/>
            <w:vAlign w:val="center"/>
          </w:tcPr>
          <w:p w14:paraId="7A9A4E24">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指标值</w:t>
            </w:r>
          </w:p>
        </w:tc>
      </w:tr>
      <w:tr w14:paraId="24405D4C">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7F5AA7F4">
            <w:pPr>
              <w:widowControl/>
              <w:jc w:val="left"/>
              <w:rPr>
                <w:rFonts w:ascii="仿宋_GB2312" w:hAnsi="宋体" w:eastAsia="仿宋_GB2312" w:cs="宋体"/>
                <w:color w:val="000000"/>
                <w:kern w:val="0"/>
                <w:sz w:val="18"/>
                <w:szCs w:val="18"/>
              </w:rPr>
            </w:pPr>
          </w:p>
        </w:tc>
        <w:tc>
          <w:tcPr>
            <w:tcW w:w="734" w:type="pct"/>
            <w:vMerge w:val="restart"/>
            <w:tcBorders>
              <w:top w:val="nil"/>
              <w:left w:val="single" w:color="000000" w:sz="8" w:space="0"/>
              <w:bottom w:val="single" w:color="000000" w:sz="8" w:space="0"/>
              <w:right w:val="single" w:color="000000" w:sz="8" w:space="0"/>
            </w:tcBorders>
            <w:shd w:val="clear" w:color="auto" w:fill="auto"/>
            <w:vAlign w:val="center"/>
          </w:tcPr>
          <w:p w14:paraId="6EF25CBC">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产出指标</w:t>
            </w:r>
          </w:p>
        </w:tc>
        <w:tc>
          <w:tcPr>
            <w:tcW w:w="734" w:type="pct"/>
            <w:vMerge w:val="restart"/>
            <w:tcBorders>
              <w:top w:val="nil"/>
              <w:left w:val="single" w:color="000000" w:sz="8" w:space="0"/>
              <w:bottom w:val="single" w:color="000000" w:sz="8" w:space="0"/>
              <w:right w:val="single" w:color="000000" w:sz="8" w:space="0"/>
            </w:tcBorders>
            <w:shd w:val="clear" w:color="auto" w:fill="auto"/>
            <w:vAlign w:val="center"/>
          </w:tcPr>
          <w:p w14:paraId="44182C5D">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数量指标</w:t>
            </w:r>
          </w:p>
        </w:tc>
        <w:tc>
          <w:tcPr>
            <w:tcW w:w="1774" w:type="pct"/>
            <w:tcBorders>
              <w:top w:val="nil"/>
              <w:left w:val="nil"/>
              <w:bottom w:val="single" w:color="000000" w:sz="8" w:space="0"/>
              <w:right w:val="single" w:color="000000" w:sz="8" w:space="0"/>
            </w:tcBorders>
            <w:shd w:val="clear" w:color="auto" w:fill="auto"/>
            <w:vAlign w:val="center"/>
          </w:tcPr>
          <w:p w14:paraId="67E37164">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清扫保洁面积</w:t>
            </w:r>
          </w:p>
        </w:tc>
        <w:tc>
          <w:tcPr>
            <w:tcW w:w="1116" w:type="pct"/>
            <w:tcBorders>
              <w:top w:val="nil"/>
              <w:left w:val="nil"/>
              <w:bottom w:val="single" w:color="000000" w:sz="8" w:space="0"/>
              <w:right w:val="single" w:color="000000" w:sz="8" w:space="0"/>
            </w:tcBorders>
            <w:shd w:val="clear" w:color="auto" w:fill="auto"/>
            <w:vAlign w:val="center"/>
          </w:tcPr>
          <w:p w14:paraId="3C3CFE5D">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335360</w:t>
            </w:r>
            <w:r>
              <w:rPr>
                <w:rFonts w:hint="eastAsia" w:ascii="仿宋_GB2312" w:hAnsi="Arial Narrow" w:eastAsia="仿宋_GB2312" w:cs="宋体"/>
                <w:color w:val="000000"/>
                <w:kern w:val="0"/>
                <w:sz w:val="18"/>
                <w:szCs w:val="18"/>
              </w:rPr>
              <w:t>平方米</w:t>
            </w:r>
          </w:p>
        </w:tc>
      </w:tr>
      <w:tr w14:paraId="4D861E03">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205F2C8A">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75490D65">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6CB0B48D">
            <w:pPr>
              <w:widowControl/>
              <w:jc w:val="left"/>
              <w:rPr>
                <w:rFonts w:ascii="仿宋_GB2312" w:hAnsi="宋体" w:eastAsia="仿宋_GB2312" w:cs="宋体"/>
                <w:color w:val="000000"/>
                <w:kern w:val="0"/>
                <w:sz w:val="18"/>
                <w:szCs w:val="18"/>
              </w:rPr>
            </w:pPr>
          </w:p>
        </w:tc>
        <w:tc>
          <w:tcPr>
            <w:tcW w:w="1774" w:type="pct"/>
            <w:tcBorders>
              <w:top w:val="nil"/>
              <w:left w:val="nil"/>
              <w:bottom w:val="single" w:color="000000" w:sz="8" w:space="0"/>
              <w:right w:val="single" w:color="000000" w:sz="8" w:space="0"/>
            </w:tcBorders>
            <w:shd w:val="clear" w:color="auto" w:fill="auto"/>
            <w:vAlign w:val="center"/>
          </w:tcPr>
          <w:p w14:paraId="2DA5A94B">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镇区管理覆盖面积</w:t>
            </w:r>
          </w:p>
        </w:tc>
        <w:tc>
          <w:tcPr>
            <w:tcW w:w="1116" w:type="pct"/>
            <w:tcBorders>
              <w:top w:val="nil"/>
              <w:left w:val="nil"/>
              <w:bottom w:val="single" w:color="000000" w:sz="8" w:space="0"/>
              <w:right w:val="single" w:color="000000" w:sz="8" w:space="0"/>
            </w:tcBorders>
            <w:shd w:val="clear" w:color="auto" w:fill="auto"/>
            <w:vAlign w:val="center"/>
          </w:tcPr>
          <w:p w14:paraId="5222387B">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11700000</w:t>
            </w:r>
            <w:r>
              <w:rPr>
                <w:rFonts w:hint="eastAsia" w:ascii="仿宋_GB2312" w:hAnsi="Arial Narrow" w:eastAsia="仿宋_GB2312" w:cs="宋体"/>
                <w:color w:val="000000"/>
                <w:kern w:val="0"/>
                <w:sz w:val="18"/>
                <w:szCs w:val="18"/>
              </w:rPr>
              <w:t>平方米</w:t>
            </w:r>
          </w:p>
        </w:tc>
      </w:tr>
      <w:tr w14:paraId="5F78A261">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03355CF8">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1059D792">
            <w:pPr>
              <w:widowControl/>
              <w:jc w:val="left"/>
              <w:rPr>
                <w:rFonts w:ascii="仿宋_GB2312" w:hAnsi="宋体" w:eastAsia="仿宋_GB2312" w:cs="宋体"/>
                <w:color w:val="000000"/>
                <w:kern w:val="0"/>
                <w:sz w:val="18"/>
                <w:szCs w:val="18"/>
              </w:rPr>
            </w:pPr>
          </w:p>
        </w:tc>
        <w:tc>
          <w:tcPr>
            <w:tcW w:w="734" w:type="pct"/>
            <w:tcBorders>
              <w:top w:val="nil"/>
              <w:left w:val="nil"/>
              <w:bottom w:val="nil"/>
              <w:right w:val="single" w:color="000000" w:sz="8" w:space="0"/>
            </w:tcBorders>
            <w:shd w:val="clear" w:color="auto" w:fill="auto"/>
            <w:vAlign w:val="center"/>
          </w:tcPr>
          <w:p w14:paraId="199C1276">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质量指标</w:t>
            </w:r>
          </w:p>
        </w:tc>
        <w:tc>
          <w:tcPr>
            <w:tcW w:w="1774" w:type="pct"/>
            <w:tcBorders>
              <w:top w:val="nil"/>
              <w:left w:val="nil"/>
              <w:bottom w:val="single" w:color="000000" w:sz="8" w:space="0"/>
              <w:right w:val="single" w:color="000000" w:sz="8" w:space="0"/>
            </w:tcBorders>
            <w:shd w:val="clear" w:color="auto" w:fill="auto"/>
            <w:vAlign w:val="center"/>
          </w:tcPr>
          <w:p w14:paraId="27DCA19E">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环卫清扫保洁检查通过率</w:t>
            </w:r>
          </w:p>
        </w:tc>
        <w:tc>
          <w:tcPr>
            <w:tcW w:w="1116" w:type="pct"/>
            <w:tcBorders>
              <w:top w:val="nil"/>
              <w:left w:val="nil"/>
              <w:bottom w:val="single" w:color="000000" w:sz="8" w:space="0"/>
              <w:right w:val="single" w:color="000000" w:sz="8" w:space="0"/>
            </w:tcBorders>
            <w:shd w:val="clear" w:color="auto" w:fill="auto"/>
            <w:vAlign w:val="center"/>
          </w:tcPr>
          <w:p w14:paraId="5C2C6BE8">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90%</w:t>
            </w:r>
          </w:p>
        </w:tc>
      </w:tr>
      <w:tr w14:paraId="715C67D3">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3904D37E">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7F08E172">
            <w:pPr>
              <w:widowControl/>
              <w:jc w:val="left"/>
              <w:rPr>
                <w:rFonts w:ascii="仿宋_GB2312" w:hAnsi="宋体" w:eastAsia="仿宋_GB2312" w:cs="宋体"/>
                <w:color w:val="000000"/>
                <w:kern w:val="0"/>
                <w:sz w:val="18"/>
                <w:szCs w:val="18"/>
              </w:rPr>
            </w:pPr>
          </w:p>
        </w:tc>
        <w:tc>
          <w:tcPr>
            <w:tcW w:w="73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1FC07571">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时效指标</w:t>
            </w:r>
          </w:p>
        </w:tc>
        <w:tc>
          <w:tcPr>
            <w:tcW w:w="1774" w:type="pct"/>
            <w:tcBorders>
              <w:top w:val="nil"/>
              <w:left w:val="nil"/>
              <w:bottom w:val="single" w:color="000000" w:sz="8" w:space="0"/>
              <w:right w:val="single" w:color="000000" w:sz="8" w:space="0"/>
            </w:tcBorders>
            <w:shd w:val="clear" w:color="auto" w:fill="auto"/>
            <w:vAlign w:val="center"/>
          </w:tcPr>
          <w:p w14:paraId="60372222">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清扫保洁及时率</w:t>
            </w:r>
          </w:p>
        </w:tc>
        <w:tc>
          <w:tcPr>
            <w:tcW w:w="1116" w:type="pct"/>
            <w:tcBorders>
              <w:top w:val="nil"/>
              <w:left w:val="nil"/>
              <w:bottom w:val="single" w:color="000000" w:sz="8" w:space="0"/>
              <w:right w:val="single" w:color="000000" w:sz="8" w:space="0"/>
            </w:tcBorders>
            <w:shd w:val="clear" w:color="auto" w:fill="auto"/>
            <w:vAlign w:val="center"/>
          </w:tcPr>
          <w:p w14:paraId="25CFB23D">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93%</w:t>
            </w:r>
          </w:p>
        </w:tc>
      </w:tr>
      <w:tr w14:paraId="12F7BB16">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5ECC5D3B">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4ACBCDBE">
            <w:pPr>
              <w:widowControl/>
              <w:jc w:val="left"/>
              <w:rPr>
                <w:rFonts w:ascii="仿宋_GB2312" w:hAnsi="宋体" w:eastAsia="仿宋_GB2312" w:cs="宋体"/>
                <w:color w:val="000000"/>
                <w:kern w:val="0"/>
                <w:sz w:val="18"/>
                <w:szCs w:val="18"/>
              </w:rPr>
            </w:pPr>
          </w:p>
        </w:tc>
        <w:tc>
          <w:tcPr>
            <w:tcW w:w="734" w:type="pct"/>
            <w:vMerge w:val="continue"/>
            <w:tcBorders>
              <w:top w:val="single" w:color="000000" w:sz="8" w:space="0"/>
              <w:left w:val="single" w:color="000000" w:sz="8" w:space="0"/>
              <w:bottom w:val="single" w:color="000000" w:sz="8" w:space="0"/>
              <w:right w:val="single" w:color="000000" w:sz="8" w:space="0"/>
            </w:tcBorders>
            <w:vAlign w:val="center"/>
          </w:tcPr>
          <w:p w14:paraId="41B7A2E4">
            <w:pPr>
              <w:widowControl/>
              <w:jc w:val="left"/>
              <w:rPr>
                <w:rFonts w:ascii="仿宋_GB2312" w:hAnsi="宋体" w:eastAsia="仿宋_GB2312" w:cs="宋体"/>
                <w:color w:val="000000"/>
                <w:kern w:val="0"/>
                <w:sz w:val="18"/>
                <w:szCs w:val="18"/>
              </w:rPr>
            </w:pPr>
          </w:p>
        </w:tc>
        <w:tc>
          <w:tcPr>
            <w:tcW w:w="1774" w:type="pct"/>
            <w:tcBorders>
              <w:top w:val="nil"/>
              <w:left w:val="nil"/>
              <w:bottom w:val="single" w:color="000000" w:sz="8" w:space="0"/>
              <w:right w:val="single" w:color="000000" w:sz="8" w:space="0"/>
            </w:tcBorders>
            <w:shd w:val="clear" w:color="auto" w:fill="auto"/>
            <w:vAlign w:val="center"/>
          </w:tcPr>
          <w:p w14:paraId="3ECB48F2">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城区管理覆盖率</w:t>
            </w:r>
          </w:p>
        </w:tc>
        <w:tc>
          <w:tcPr>
            <w:tcW w:w="1116" w:type="pct"/>
            <w:tcBorders>
              <w:top w:val="nil"/>
              <w:left w:val="nil"/>
              <w:bottom w:val="single" w:color="000000" w:sz="8" w:space="0"/>
              <w:right w:val="single" w:color="000000" w:sz="8" w:space="0"/>
            </w:tcBorders>
            <w:shd w:val="clear" w:color="auto" w:fill="auto"/>
            <w:vAlign w:val="center"/>
          </w:tcPr>
          <w:p w14:paraId="7EED64F0">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90%</w:t>
            </w:r>
          </w:p>
        </w:tc>
      </w:tr>
      <w:tr w14:paraId="66637B54">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1F800BC2">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119B764B">
            <w:pPr>
              <w:widowControl/>
              <w:jc w:val="left"/>
              <w:rPr>
                <w:rFonts w:ascii="仿宋_GB2312" w:hAnsi="宋体" w:eastAsia="仿宋_GB2312" w:cs="宋体"/>
                <w:color w:val="000000"/>
                <w:kern w:val="0"/>
                <w:sz w:val="18"/>
                <w:szCs w:val="18"/>
              </w:rPr>
            </w:pPr>
          </w:p>
        </w:tc>
        <w:tc>
          <w:tcPr>
            <w:tcW w:w="734" w:type="pct"/>
            <w:tcBorders>
              <w:top w:val="nil"/>
              <w:left w:val="nil"/>
              <w:bottom w:val="single" w:color="000000" w:sz="8" w:space="0"/>
              <w:right w:val="single" w:color="000000" w:sz="8" w:space="0"/>
            </w:tcBorders>
            <w:shd w:val="clear" w:color="auto" w:fill="auto"/>
            <w:vAlign w:val="center"/>
          </w:tcPr>
          <w:p w14:paraId="1649138F">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成本指标</w:t>
            </w:r>
          </w:p>
        </w:tc>
        <w:tc>
          <w:tcPr>
            <w:tcW w:w="1774" w:type="pct"/>
            <w:tcBorders>
              <w:top w:val="nil"/>
              <w:left w:val="nil"/>
              <w:bottom w:val="single" w:color="000000" w:sz="8" w:space="0"/>
              <w:right w:val="single" w:color="000000" w:sz="8" w:space="0"/>
            </w:tcBorders>
            <w:shd w:val="clear" w:color="auto" w:fill="auto"/>
            <w:vAlign w:val="center"/>
          </w:tcPr>
          <w:p w14:paraId="223B87CB">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城镇管养成本费</w:t>
            </w:r>
          </w:p>
        </w:tc>
        <w:tc>
          <w:tcPr>
            <w:tcW w:w="1116" w:type="pct"/>
            <w:tcBorders>
              <w:top w:val="nil"/>
              <w:left w:val="nil"/>
              <w:bottom w:val="single" w:color="000000" w:sz="8" w:space="0"/>
              <w:right w:val="single" w:color="000000" w:sz="8" w:space="0"/>
            </w:tcBorders>
            <w:shd w:val="clear" w:color="auto" w:fill="auto"/>
            <w:vAlign w:val="center"/>
          </w:tcPr>
          <w:p w14:paraId="0C6B3ABC">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100</w:t>
            </w:r>
            <w:r>
              <w:rPr>
                <w:rFonts w:hint="eastAsia" w:ascii="仿宋_GB2312" w:hAnsi="Arial Narrow" w:eastAsia="仿宋_GB2312" w:cs="宋体"/>
                <w:color w:val="000000"/>
                <w:kern w:val="0"/>
                <w:sz w:val="18"/>
                <w:szCs w:val="18"/>
              </w:rPr>
              <w:t>万元</w:t>
            </w:r>
          </w:p>
        </w:tc>
      </w:tr>
      <w:tr w14:paraId="20688F59">
        <w:tblPrEx>
          <w:tblCellMar>
            <w:top w:w="0" w:type="dxa"/>
            <w:left w:w="108" w:type="dxa"/>
            <w:bottom w:w="0" w:type="dxa"/>
            <w:right w:w="108" w:type="dxa"/>
          </w:tblCellMar>
        </w:tblPrEx>
        <w:trPr>
          <w:trHeight w:val="876"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4FA1F7F3">
            <w:pPr>
              <w:widowControl/>
              <w:jc w:val="left"/>
              <w:rPr>
                <w:rFonts w:ascii="仿宋_GB2312" w:hAnsi="宋体" w:eastAsia="仿宋_GB2312" w:cs="宋体"/>
                <w:color w:val="000000"/>
                <w:kern w:val="0"/>
                <w:sz w:val="18"/>
                <w:szCs w:val="18"/>
              </w:rPr>
            </w:pPr>
          </w:p>
        </w:tc>
        <w:tc>
          <w:tcPr>
            <w:tcW w:w="734" w:type="pct"/>
            <w:vMerge w:val="restart"/>
            <w:tcBorders>
              <w:top w:val="nil"/>
              <w:left w:val="single" w:color="000000" w:sz="8" w:space="0"/>
              <w:bottom w:val="single" w:color="000000" w:sz="8" w:space="0"/>
              <w:right w:val="single" w:color="000000" w:sz="8" w:space="0"/>
            </w:tcBorders>
            <w:shd w:val="clear" w:color="auto" w:fill="auto"/>
            <w:noWrap/>
            <w:vAlign w:val="center"/>
          </w:tcPr>
          <w:p w14:paraId="63DA27EE">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效益指标</w:t>
            </w:r>
          </w:p>
        </w:tc>
        <w:tc>
          <w:tcPr>
            <w:tcW w:w="734" w:type="pct"/>
            <w:tcBorders>
              <w:top w:val="nil"/>
              <w:left w:val="nil"/>
              <w:bottom w:val="nil"/>
              <w:right w:val="single" w:color="000000" w:sz="8" w:space="0"/>
            </w:tcBorders>
            <w:shd w:val="clear" w:color="auto" w:fill="auto"/>
            <w:vAlign w:val="center"/>
          </w:tcPr>
          <w:p w14:paraId="57215B44">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经济效益指标</w:t>
            </w:r>
          </w:p>
        </w:tc>
        <w:tc>
          <w:tcPr>
            <w:tcW w:w="1774" w:type="pct"/>
            <w:tcBorders>
              <w:top w:val="nil"/>
              <w:left w:val="nil"/>
              <w:bottom w:val="single" w:color="000000" w:sz="8" w:space="0"/>
              <w:right w:val="single" w:color="000000" w:sz="8" w:space="0"/>
            </w:tcBorders>
            <w:shd w:val="clear" w:color="auto" w:fill="auto"/>
            <w:vAlign w:val="center"/>
          </w:tcPr>
          <w:p w14:paraId="316D2CD5">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项目的实施有利于提高地方财政收放，促进地方经济发展，提升区域竞争力。</w:t>
            </w:r>
          </w:p>
        </w:tc>
        <w:tc>
          <w:tcPr>
            <w:tcW w:w="1116" w:type="pct"/>
            <w:tcBorders>
              <w:top w:val="nil"/>
              <w:left w:val="nil"/>
              <w:bottom w:val="single" w:color="000000" w:sz="8" w:space="0"/>
              <w:right w:val="single" w:color="000000" w:sz="8" w:space="0"/>
            </w:tcBorders>
            <w:shd w:val="clear" w:color="auto" w:fill="auto"/>
            <w:vAlign w:val="center"/>
          </w:tcPr>
          <w:p w14:paraId="5214D03E">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显著</w:t>
            </w:r>
          </w:p>
        </w:tc>
      </w:tr>
      <w:tr w14:paraId="12AFAFB6">
        <w:tblPrEx>
          <w:tblCellMar>
            <w:top w:w="0" w:type="dxa"/>
            <w:left w:w="108" w:type="dxa"/>
            <w:bottom w:w="0" w:type="dxa"/>
            <w:right w:w="108" w:type="dxa"/>
          </w:tblCellMar>
        </w:tblPrEx>
        <w:trPr>
          <w:trHeight w:val="660"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52458FA3">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09B75B70">
            <w:pPr>
              <w:widowControl/>
              <w:jc w:val="left"/>
              <w:rPr>
                <w:rFonts w:ascii="仿宋_GB2312" w:hAnsi="宋体" w:eastAsia="仿宋_GB2312" w:cs="宋体"/>
                <w:color w:val="000000"/>
                <w:kern w:val="0"/>
                <w:sz w:val="18"/>
                <w:szCs w:val="18"/>
              </w:rPr>
            </w:pPr>
          </w:p>
        </w:tc>
        <w:tc>
          <w:tcPr>
            <w:tcW w:w="73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7EC5C720">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社会效益指标</w:t>
            </w:r>
          </w:p>
        </w:tc>
        <w:tc>
          <w:tcPr>
            <w:tcW w:w="1774" w:type="pct"/>
            <w:tcBorders>
              <w:top w:val="nil"/>
              <w:left w:val="nil"/>
              <w:bottom w:val="single" w:color="000000" w:sz="8" w:space="0"/>
              <w:right w:val="single" w:color="000000" w:sz="8" w:space="0"/>
            </w:tcBorders>
            <w:shd w:val="clear" w:color="auto" w:fill="auto"/>
            <w:vAlign w:val="center"/>
          </w:tcPr>
          <w:p w14:paraId="499D1D56">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有利于提高当地居民生活质量和改善居民生活环境，增强居民环境意识</w:t>
            </w:r>
          </w:p>
        </w:tc>
        <w:tc>
          <w:tcPr>
            <w:tcW w:w="1116" w:type="pct"/>
            <w:tcBorders>
              <w:top w:val="nil"/>
              <w:left w:val="nil"/>
              <w:bottom w:val="single" w:color="000000" w:sz="8" w:space="0"/>
              <w:right w:val="single" w:color="000000" w:sz="8" w:space="0"/>
            </w:tcBorders>
            <w:shd w:val="clear" w:color="auto" w:fill="auto"/>
            <w:vAlign w:val="center"/>
          </w:tcPr>
          <w:p w14:paraId="7F57F6C7">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显著</w:t>
            </w:r>
          </w:p>
        </w:tc>
      </w:tr>
      <w:tr w14:paraId="71363FFC">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3C5687FF">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0F3F2244">
            <w:pPr>
              <w:widowControl/>
              <w:jc w:val="left"/>
              <w:rPr>
                <w:rFonts w:ascii="仿宋_GB2312" w:hAnsi="宋体" w:eastAsia="仿宋_GB2312" w:cs="宋体"/>
                <w:color w:val="000000"/>
                <w:kern w:val="0"/>
                <w:sz w:val="18"/>
                <w:szCs w:val="18"/>
              </w:rPr>
            </w:pPr>
          </w:p>
        </w:tc>
        <w:tc>
          <w:tcPr>
            <w:tcW w:w="734" w:type="pct"/>
            <w:vMerge w:val="continue"/>
            <w:tcBorders>
              <w:top w:val="single" w:color="000000" w:sz="8" w:space="0"/>
              <w:left w:val="single" w:color="000000" w:sz="8" w:space="0"/>
              <w:bottom w:val="single" w:color="000000" w:sz="8" w:space="0"/>
              <w:right w:val="single" w:color="000000" w:sz="8" w:space="0"/>
            </w:tcBorders>
            <w:vAlign w:val="center"/>
          </w:tcPr>
          <w:p w14:paraId="7D442F0F">
            <w:pPr>
              <w:widowControl/>
              <w:jc w:val="left"/>
              <w:rPr>
                <w:rFonts w:ascii="仿宋_GB2312" w:hAnsi="宋体" w:eastAsia="仿宋_GB2312" w:cs="宋体"/>
                <w:color w:val="000000"/>
                <w:kern w:val="0"/>
                <w:sz w:val="18"/>
                <w:szCs w:val="18"/>
              </w:rPr>
            </w:pPr>
          </w:p>
        </w:tc>
        <w:tc>
          <w:tcPr>
            <w:tcW w:w="1774" w:type="pct"/>
            <w:tcBorders>
              <w:top w:val="nil"/>
              <w:left w:val="nil"/>
              <w:bottom w:val="single" w:color="000000" w:sz="8" w:space="0"/>
              <w:right w:val="single" w:color="000000" w:sz="8" w:space="0"/>
            </w:tcBorders>
            <w:shd w:val="clear" w:color="auto" w:fill="auto"/>
            <w:vAlign w:val="center"/>
          </w:tcPr>
          <w:p w14:paraId="1519E8F1">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城乡清洁指数</w:t>
            </w:r>
          </w:p>
        </w:tc>
        <w:tc>
          <w:tcPr>
            <w:tcW w:w="1116" w:type="pct"/>
            <w:tcBorders>
              <w:top w:val="nil"/>
              <w:left w:val="nil"/>
              <w:bottom w:val="single" w:color="000000" w:sz="8" w:space="0"/>
              <w:right w:val="single" w:color="000000" w:sz="8" w:space="0"/>
            </w:tcBorders>
            <w:shd w:val="clear" w:color="auto" w:fill="auto"/>
            <w:vAlign w:val="center"/>
          </w:tcPr>
          <w:p w14:paraId="220039D6">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92%</w:t>
            </w:r>
          </w:p>
        </w:tc>
      </w:tr>
      <w:tr w14:paraId="46B297E2">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08E17DCC">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61D23EB6">
            <w:pPr>
              <w:widowControl/>
              <w:jc w:val="left"/>
              <w:rPr>
                <w:rFonts w:ascii="仿宋_GB2312" w:hAnsi="宋体" w:eastAsia="仿宋_GB2312" w:cs="宋体"/>
                <w:color w:val="000000"/>
                <w:kern w:val="0"/>
                <w:sz w:val="18"/>
                <w:szCs w:val="18"/>
              </w:rPr>
            </w:pPr>
          </w:p>
        </w:tc>
        <w:tc>
          <w:tcPr>
            <w:tcW w:w="734" w:type="pct"/>
            <w:vMerge w:val="continue"/>
            <w:tcBorders>
              <w:top w:val="single" w:color="000000" w:sz="8" w:space="0"/>
              <w:left w:val="single" w:color="000000" w:sz="8" w:space="0"/>
              <w:bottom w:val="single" w:color="000000" w:sz="8" w:space="0"/>
              <w:right w:val="single" w:color="000000" w:sz="8" w:space="0"/>
            </w:tcBorders>
            <w:vAlign w:val="center"/>
          </w:tcPr>
          <w:p w14:paraId="73522C92">
            <w:pPr>
              <w:widowControl/>
              <w:jc w:val="left"/>
              <w:rPr>
                <w:rFonts w:ascii="仿宋_GB2312" w:hAnsi="宋体" w:eastAsia="仿宋_GB2312" w:cs="宋体"/>
                <w:color w:val="000000"/>
                <w:kern w:val="0"/>
                <w:sz w:val="18"/>
                <w:szCs w:val="18"/>
              </w:rPr>
            </w:pPr>
          </w:p>
        </w:tc>
        <w:tc>
          <w:tcPr>
            <w:tcW w:w="1774" w:type="pct"/>
            <w:tcBorders>
              <w:top w:val="nil"/>
              <w:left w:val="nil"/>
              <w:bottom w:val="single" w:color="000000" w:sz="8" w:space="0"/>
              <w:right w:val="single" w:color="000000" w:sz="8" w:space="0"/>
            </w:tcBorders>
            <w:shd w:val="clear" w:color="auto" w:fill="auto"/>
            <w:vAlign w:val="center"/>
          </w:tcPr>
          <w:p w14:paraId="51888079">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人民幸福指数提升率</w:t>
            </w:r>
          </w:p>
        </w:tc>
        <w:tc>
          <w:tcPr>
            <w:tcW w:w="1116" w:type="pct"/>
            <w:tcBorders>
              <w:top w:val="nil"/>
              <w:left w:val="nil"/>
              <w:bottom w:val="single" w:color="000000" w:sz="8" w:space="0"/>
              <w:right w:val="single" w:color="000000" w:sz="8" w:space="0"/>
            </w:tcBorders>
            <w:shd w:val="clear" w:color="auto" w:fill="auto"/>
            <w:vAlign w:val="center"/>
          </w:tcPr>
          <w:p w14:paraId="6BC9902F">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10</w:t>
            </w:r>
          </w:p>
        </w:tc>
      </w:tr>
      <w:tr w14:paraId="3224CEE3">
        <w:tblPrEx>
          <w:tblCellMar>
            <w:top w:w="0" w:type="dxa"/>
            <w:left w:w="108" w:type="dxa"/>
            <w:bottom w:w="0" w:type="dxa"/>
            <w:right w:w="108" w:type="dxa"/>
          </w:tblCellMar>
        </w:tblPrEx>
        <w:trPr>
          <w:trHeight w:val="660"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2B6DBF69">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23AB40A7">
            <w:pPr>
              <w:widowControl/>
              <w:jc w:val="left"/>
              <w:rPr>
                <w:rFonts w:ascii="仿宋_GB2312" w:hAnsi="宋体" w:eastAsia="仿宋_GB2312" w:cs="宋体"/>
                <w:color w:val="000000"/>
                <w:kern w:val="0"/>
                <w:sz w:val="18"/>
                <w:szCs w:val="18"/>
              </w:rPr>
            </w:pPr>
          </w:p>
        </w:tc>
        <w:tc>
          <w:tcPr>
            <w:tcW w:w="734" w:type="pct"/>
            <w:tcBorders>
              <w:top w:val="nil"/>
              <w:left w:val="nil"/>
              <w:bottom w:val="single" w:color="auto" w:sz="8" w:space="0"/>
              <w:right w:val="single" w:color="000000" w:sz="8" w:space="0"/>
            </w:tcBorders>
            <w:shd w:val="clear" w:color="auto" w:fill="auto"/>
            <w:vAlign w:val="center"/>
          </w:tcPr>
          <w:p w14:paraId="33DD5227">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生态效益指标</w:t>
            </w:r>
          </w:p>
        </w:tc>
        <w:tc>
          <w:tcPr>
            <w:tcW w:w="1774" w:type="pct"/>
            <w:tcBorders>
              <w:top w:val="nil"/>
              <w:left w:val="nil"/>
              <w:bottom w:val="single" w:color="000000" w:sz="8" w:space="0"/>
              <w:right w:val="single" w:color="000000" w:sz="8" w:space="0"/>
            </w:tcBorders>
            <w:shd w:val="clear" w:color="auto" w:fill="auto"/>
            <w:vAlign w:val="center"/>
          </w:tcPr>
          <w:p w14:paraId="2B21018A">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项目的实施美化了环境，对促进当地社会和谐发展有一定的促进作用</w:t>
            </w:r>
          </w:p>
        </w:tc>
        <w:tc>
          <w:tcPr>
            <w:tcW w:w="1116" w:type="pct"/>
            <w:tcBorders>
              <w:top w:val="nil"/>
              <w:left w:val="nil"/>
              <w:bottom w:val="single" w:color="000000" w:sz="8" w:space="0"/>
              <w:right w:val="single" w:color="000000" w:sz="8" w:space="0"/>
            </w:tcBorders>
            <w:shd w:val="clear" w:color="auto" w:fill="auto"/>
            <w:vAlign w:val="center"/>
          </w:tcPr>
          <w:p w14:paraId="585BFBC0">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显著</w:t>
            </w:r>
          </w:p>
        </w:tc>
      </w:tr>
      <w:tr w14:paraId="75B0F286">
        <w:tblPrEx>
          <w:tblCellMar>
            <w:top w:w="0" w:type="dxa"/>
            <w:left w:w="108" w:type="dxa"/>
            <w:bottom w:w="0" w:type="dxa"/>
            <w:right w:w="108" w:type="dxa"/>
          </w:tblCellMar>
        </w:tblPrEx>
        <w:trPr>
          <w:trHeight w:val="504" w:hRule="atLeast"/>
        </w:trPr>
        <w:tc>
          <w:tcPr>
            <w:tcW w:w="642" w:type="pct"/>
            <w:vMerge w:val="continue"/>
            <w:tcBorders>
              <w:top w:val="single" w:color="000000" w:sz="8" w:space="0"/>
              <w:left w:val="single" w:color="000000" w:sz="8" w:space="0"/>
              <w:bottom w:val="single" w:color="000000" w:sz="8" w:space="0"/>
              <w:right w:val="single" w:color="000000" w:sz="8" w:space="0"/>
            </w:tcBorders>
            <w:vAlign w:val="center"/>
          </w:tcPr>
          <w:p w14:paraId="04E82F2B">
            <w:pPr>
              <w:widowControl/>
              <w:jc w:val="left"/>
              <w:rPr>
                <w:rFonts w:ascii="仿宋_GB2312" w:hAnsi="宋体" w:eastAsia="仿宋_GB2312" w:cs="宋体"/>
                <w:color w:val="000000"/>
                <w:kern w:val="0"/>
                <w:sz w:val="18"/>
                <w:szCs w:val="18"/>
              </w:rPr>
            </w:pPr>
          </w:p>
        </w:tc>
        <w:tc>
          <w:tcPr>
            <w:tcW w:w="734" w:type="pct"/>
            <w:vMerge w:val="continue"/>
            <w:tcBorders>
              <w:top w:val="nil"/>
              <w:left w:val="single" w:color="000000" w:sz="8" w:space="0"/>
              <w:bottom w:val="single" w:color="000000" w:sz="8" w:space="0"/>
              <w:right w:val="single" w:color="000000" w:sz="8" w:space="0"/>
            </w:tcBorders>
            <w:vAlign w:val="center"/>
          </w:tcPr>
          <w:p w14:paraId="1930DEF0">
            <w:pPr>
              <w:widowControl/>
              <w:jc w:val="left"/>
              <w:rPr>
                <w:rFonts w:ascii="仿宋_GB2312" w:hAnsi="宋体" w:eastAsia="仿宋_GB2312" w:cs="宋体"/>
                <w:color w:val="000000"/>
                <w:kern w:val="0"/>
                <w:sz w:val="18"/>
                <w:szCs w:val="18"/>
              </w:rPr>
            </w:pPr>
          </w:p>
        </w:tc>
        <w:tc>
          <w:tcPr>
            <w:tcW w:w="734" w:type="pct"/>
            <w:tcBorders>
              <w:top w:val="nil"/>
              <w:left w:val="nil"/>
              <w:bottom w:val="single" w:color="000000" w:sz="8" w:space="0"/>
              <w:right w:val="single" w:color="000000" w:sz="8" w:space="0"/>
            </w:tcBorders>
            <w:shd w:val="clear" w:color="auto" w:fill="auto"/>
            <w:vAlign w:val="center"/>
          </w:tcPr>
          <w:p w14:paraId="0AD0F298">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满意度指标</w:t>
            </w:r>
          </w:p>
        </w:tc>
        <w:tc>
          <w:tcPr>
            <w:tcW w:w="1774" w:type="pct"/>
            <w:tcBorders>
              <w:top w:val="nil"/>
              <w:left w:val="nil"/>
              <w:bottom w:val="single" w:color="000000" w:sz="8" w:space="0"/>
              <w:right w:val="single" w:color="000000" w:sz="8" w:space="0"/>
            </w:tcBorders>
            <w:shd w:val="clear" w:color="auto" w:fill="auto"/>
            <w:vAlign w:val="center"/>
          </w:tcPr>
          <w:p w14:paraId="18E12303">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服务对象满意度</w:t>
            </w:r>
          </w:p>
        </w:tc>
        <w:tc>
          <w:tcPr>
            <w:tcW w:w="1116" w:type="pct"/>
            <w:tcBorders>
              <w:top w:val="nil"/>
              <w:left w:val="nil"/>
              <w:bottom w:val="single" w:color="000000" w:sz="8" w:space="0"/>
              <w:right w:val="single" w:color="000000" w:sz="8" w:space="0"/>
            </w:tcBorders>
            <w:shd w:val="clear" w:color="auto" w:fill="auto"/>
            <w:vAlign w:val="center"/>
          </w:tcPr>
          <w:p w14:paraId="6E90D6C5">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96%</w:t>
            </w:r>
          </w:p>
        </w:tc>
      </w:tr>
    </w:tbl>
    <w:p w14:paraId="20B64AA5">
      <w:pPr>
        <w:spacing w:before="240"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根据城市管理局提供的绩效目标资料，存在申报表填列不规范，部分绩效目标未通过清晰、可衡量的指标及指标值予以体现，未设定最能体现项目绩效目标实现程度和项目实施部门职能履职情况的关键的、核心的绩效指标，个别绩效指标及指标值不便于监控和评价的情况。</w:t>
      </w:r>
    </w:p>
    <w:p w14:paraId="544915DF">
      <w:pPr>
        <w:spacing w:after="240" w:line="360" w:lineRule="auto"/>
        <w:ind w:firstLine="424" w:firstLineChars="177"/>
      </w:pPr>
      <w:r>
        <w:rPr>
          <w:rFonts w:hint="eastAsia" w:ascii="仿宋_GB2312" w:hAnsi="仿宋_GB2312" w:eastAsia="仿宋_GB2312" w:cs="仿宋_GB2312"/>
          <w:sz w:val="24"/>
          <w:szCs w:val="24"/>
        </w:rPr>
        <w:t>绩效再评价小组</w:t>
      </w:r>
      <w:r>
        <w:rPr>
          <w:rFonts w:hint="eastAsia" w:ascii="仿宋_GB2312" w:hAnsi="仿宋_GB2312" w:eastAsia="仿宋_GB2312" w:cs="仿宋_GB2312"/>
          <w:sz w:val="24"/>
        </w:rPr>
        <w:t>在与城市管理局充分沟通后，</w:t>
      </w:r>
      <w:r>
        <w:rPr>
          <w:rFonts w:hint="eastAsia" w:ascii="仿宋_GB2312" w:hAnsi="仿宋_GB2312" w:eastAsia="仿宋_GB2312" w:cs="仿宋_GB2312"/>
          <w:sz w:val="24"/>
          <w:szCs w:val="24"/>
        </w:rPr>
        <w:t>根据项目具体实施内容，并结合本项目设定的背景、目的及依据等，将项目效益绩效指标及指标值设定如下：</w:t>
      </w:r>
    </w:p>
    <w:tbl>
      <w:tblPr>
        <w:tblStyle w:val="6"/>
        <w:tblW w:w="5000" w:type="pct"/>
        <w:tblInd w:w="0" w:type="dxa"/>
        <w:tblLayout w:type="autofit"/>
        <w:tblCellMar>
          <w:top w:w="0" w:type="dxa"/>
          <w:left w:w="108" w:type="dxa"/>
          <w:bottom w:w="0" w:type="dxa"/>
          <w:right w:w="108" w:type="dxa"/>
        </w:tblCellMar>
      </w:tblPr>
      <w:tblGrid>
        <w:gridCol w:w="1144"/>
        <w:gridCol w:w="1308"/>
        <w:gridCol w:w="1688"/>
        <w:gridCol w:w="3159"/>
        <w:gridCol w:w="1988"/>
      </w:tblGrid>
      <w:tr w14:paraId="022B8A3E">
        <w:tblPrEx>
          <w:tblCellMar>
            <w:top w:w="0" w:type="dxa"/>
            <w:left w:w="108" w:type="dxa"/>
            <w:bottom w:w="0" w:type="dxa"/>
            <w:right w:w="108" w:type="dxa"/>
          </w:tblCellMar>
        </w:tblPrEx>
        <w:trPr>
          <w:trHeight w:val="516" w:hRule="atLeast"/>
        </w:trPr>
        <w:tc>
          <w:tcPr>
            <w:tcW w:w="61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3171220F">
            <w:pPr>
              <w:widowControl/>
              <w:rPr>
                <w:rFonts w:ascii="仿宋_GB2312" w:hAnsi="宋体" w:eastAsia="仿宋_GB2312" w:cs="宋体"/>
                <w:color w:val="000000"/>
                <w:kern w:val="0"/>
                <w:sz w:val="18"/>
                <w:szCs w:val="18"/>
              </w:rPr>
            </w:pPr>
            <w:bookmarkStart w:id="5" w:name="_Toc502134853"/>
            <w:r>
              <w:rPr>
                <w:rFonts w:hint="eastAsia" w:ascii="仿宋_GB2312" w:hAnsi="宋体" w:eastAsia="仿宋_GB2312" w:cs="宋体"/>
                <w:color w:val="000000"/>
                <w:kern w:val="0"/>
                <w:sz w:val="18"/>
                <w:szCs w:val="18"/>
              </w:rPr>
              <w:t>绩效指标</w:t>
            </w:r>
          </w:p>
        </w:tc>
        <w:tc>
          <w:tcPr>
            <w:tcW w:w="704" w:type="pct"/>
            <w:tcBorders>
              <w:top w:val="single" w:color="000000" w:sz="8" w:space="0"/>
              <w:left w:val="nil"/>
              <w:bottom w:val="single" w:color="000000" w:sz="8" w:space="0"/>
              <w:right w:val="single" w:color="000000" w:sz="8" w:space="0"/>
            </w:tcBorders>
            <w:shd w:val="clear" w:color="auto" w:fill="auto"/>
            <w:vAlign w:val="center"/>
          </w:tcPr>
          <w:p w14:paraId="260D9611">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一级指标</w:t>
            </w:r>
          </w:p>
        </w:tc>
        <w:tc>
          <w:tcPr>
            <w:tcW w:w="909" w:type="pct"/>
            <w:tcBorders>
              <w:top w:val="single" w:color="000000" w:sz="8" w:space="0"/>
              <w:left w:val="nil"/>
              <w:bottom w:val="single" w:color="000000" w:sz="8" w:space="0"/>
              <w:right w:val="single" w:color="000000" w:sz="8" w:space="0"/>
            </w:tcBorders>
            <w:shd w:val="clear" w:color="auto" w:fill="auto"/>
            <w:vAlign w:val="center"/>
          </w:tcPr>
          <w:p w14:paraId="6FED366A">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二级指标</w:t>
            </w:r>
          </w:p>
        </w:tc>
        <w:tc>
          <w:tcPr>
            <w:tcW w:w="1701" w:type="pct"/>
            <w:tcBorders>
              <w:top w:val="single" w:color="000000" w:sz="8" w:space="0"/>
              <w:left w:val="nil"/>
              <w:bottom w:val="single" w:color="000000" w:sz="8" w:space="0"/>
              <w:right w:val="single" w:color="000000" w:sz="8" w:space="0"/>
            </w:tcBorders>
            <w:shd w:val="clear" w:color="auto" w:fill="auto"/>
            <w:vAlign w:val="center"/>
          </w:tcPr>
          <w:p w14:paraId="0D588ABA">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三级指标</w:t>
            </w:r>
          </w:p>
        </w:tc>
        <w:tc>
          <w:tcPr>
            <w:tcW w:w="1070" w:type="pct"/>
            <w:tcBorders>
              <w:top w:val="single" w:color="000000" w:sz="8" w:space="0"/>
              <w:left w:val="nil"/>
              <w:bottom w:val="single" w:color="000000" w:sz="8" w:space="0"/>
              <w:right w:val="single" w:color="000000" w:sz="8" w:space="0"/>
            </w:tcBorders>
            <w:shd w:val="clear" w:color="auto" w:fill="auto"/>
            <w:vAlign w:val="center"/>
          </w:tcPr>
          <w:p w14:paraId="1CB27897">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指标值</w:t>
            </w:r>
          </w:p>
        </w:tc>
      </w:tr>
      <w:tr w14:paraId="6D3C271B">
        <w:tblPrEx>
          <w:tblCellMar>
            <w:top w:w="0" w:type="dxa"/>
            <w:left w:w="108" w:type="dxa"/>
            <w:bottom w:w="0" w:type="dxa"/>
            <w:right w:w="108" w:type="dxa"/>
          </w:tblCellMar>
        </w:tblPrEx>
        <w:trPr>
          <w:trHeight w:val="516" w:hRule="atLeast"/>
        </w:trPr>
        <w:tc>
          <w:tcPr>
            <w:tcW w:w="616" w:type="pct"/>
            <w:vMerge w:val="continue"/>
            <w:tcBorders>
              <w:top w:val="single" w:color="000000" w:sz="8" w:space="0"/>
              <w:left w:val="single" w:color="000000" w:sz="8" w:space="0"/>
              <w:bottom w:val="single" w:color="000000" w:sz="8" w:space="0"/>
              <w:right w:val="single" w:color="000000" w:sz="8" w:space="0"/>
            </w:tcBorders>
            <w:vAlign w:val="center"/>
          </w:tcPr>
          <w:p w14:paraId="3BAF71AA">
            <w:pPr>
              <w:widowControl/>
              <w:jc w:val="left"/>
              <w:rPr>
                <w:rFonts w:ascii="仿宋_GB2312" w:hAnsi="宋体" w:eastAsia="仿宋_GB2312" w:cs="宋体"/>
                <w:color w:val="000000"/>
                <w:kern w:val="0"/>
                <w:sz w:val="18"/>
                <w:szCs w:val="18"/>
              </w:rPr>
            </w:pPr>
          </w:p>
        </w:tc>
        <w:tc>
          <w:tcPr>
            <w:tcW w:w="704" w:type="pct"/>
            <w:vMerge w:val="restart"/>
            <w:tcBorders>
              <w:top w:val="nil"/>
              <w:left w:val="single" w:color="000000" w:sz="8" w:space="0"/>
              <w:bottom w:val="single" w:color="000000" w:sz="8" w:space="0"/>
              <w:right w:val="single" w:color="000000" w:sz="8" w:space="0"/>
            </w:tcBorders>
            <w:shd w:val="clear" w:color="auto" w:fill="auto"/>
            <w:noWrap/>
            <w:vAlign w:val="center"/>
          </w:tcPr>
          <w:p w14:paraId="3BDCD1CB">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效益指标</w:t>
            </w:r>
          </w:p>
        </w:tc>
        <w:tc>
          <w:tcPr>
            <w:tcW w:w="909" w:type="pct"/>
            <w:vMerge w:val="restart"/>
            <w:tcBorders>
              <w:top w:val="nil"/>
              <w:left w:val="single" w:color="000000" w:sz="8" w:space="0"/>
              <w:bottom w:val="single" w:color="000000" w:sz="8" w:space="0"/>
              <w:right w:val="single" w:color="000000" w:sz="8" w:space="0"/>
            </w:tcBorders>
            <w:shd w:val="clear" w:color="auto" w:fill="auto"/>
            <w:vAlign w:val="center"/>
          </w:tcPr>
          <w:p w14:paraId="33A6E731">
            <w:pPr>
              <w:widowControl/>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社会效益指标</w:t>
            </w:r>
          </w:p>
        </w:tc>
        <w:tc>
          <w:tcPr>
            <w:tcW w:w="1701" w:type="pct"/>
            <w:tcBorders>
              <w:top w:val="nil"/>
              <w:left w:val="nil"/>
              <w:bottom w:val="single" w:color="000000" w:sz="8" w:space="0"/>
              <w:right w:val="single" w:color="000000" w:sz="8" w:space="0"/>
            </w:tcBorders>
            <w:shd w:val="clear" w:color="auto" w:fill="auto"/>
            <w:vAlign w:val="center"/>
          </w:tcPr>
          <w:p w14:paraId="4682333C">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镇区管理覆盖率</w:t>
            </w:r>
          </w:p>
        </w:tc>
        <w:tc>
          <w:tcPr>
            <w:tcW w:w="1070" w:type="pct"/>
            <w:tcBorders>
              <w:top w:val="nil"/>
              <w:left w:val="nil"/>
              <w:bottom w:val="single" w:color="000000" w:sz="8" w:space="0"/>
              <w:right w:val="single" w:color="000000" w:sz="8" w:space="0"/>
            </w:tcBorders>
            <w:shd w:val="clear" w:color="auto" w:fill="auto"/>
            <w:vAlign w:val="center"/>
          </w:tcPr>
          <w:p w14:paraId="288DAF73">
            <w:pPr>
              <w:widowControl/>
              <w:jc w:val="center"/>
              <w:rPr>
                <w:rFonts w:ascii="Arial Narrow" w:hAnsi="Arial Narrow" w:eastAsia="宋体" w:cs="宋体"/>
                <w:color w:val="000000"/>
                <w:kern w:val="0"/>
                <w:sz w:val="18"/>
                <w:szCs w:val="18"/>
              </w:rPr>
            </w:pPr>
            <w:r>
              <w:rPr>
                <w:rFonts w:ascii="Arial Narrow" w:hAnsi="Arial Narrow" w:eastAsia="宋体" w:cs="宋体"/>
                <w:color w:val="000000"/>
                <w:kern w:val="0"/>
                <w:sz w:val="18"/>
                <w:szCs w:val="18"/>
              </w:rPr>
              <w:t>100%</w:t>
            </w:r>
          </w:p>
        </w:tc>
      </w:tr>
      <w:tr w14:paraId="0A73565B">
        <w:tblPrEx>
          <w:tblCellMar>
            <w:top w:w="0" w:type="dxa"/>
            <w:left w:w="108" w:type="dxa"/>
            <w:bottom w:w="0" w:type="dxa"/>
            <w:right w:w="108" w:type="dxa"/>
          </w:tblCellMar>
        </w:tblPrEx>
        <w:trPr>
          <w:trHeight w:val="516" w:hRule="atLeast"/>
        </w:trPr>
        <w:tc>
          <w:tcPr>
            <w:tcW w:w="616" w:type="pct"/>
            <w:vMerge w:val="continue"/>
            <w:tcBorders>
              <w:top w:val="single" w:color="000000" w:sz="8" w:space="0"/>
              <w:left w:val="single" w:color="000000" w:sz="8" w:space="0"/>
              <w:bottom w:val="single" w:color="000000" w:sz="8" w:space="0"/>
              <w:right w:val="single" w:color="000000" w:sz="8" w:space="0"/>
            </w:tcBorders>
            <w:vAlign w:val="center"/>
          </w:tcPr>
          <w:p w14:paraId="1280745C">
            <w:pPr>
              <w:widowControl/>
              <w:jc w:val="left"/>
              <w:rPr>
                <w:rFonts w:ascii="仿宋_GB2312" w:hAnsi="宋体" w:eastAsia="仿宋_GB2312" w:cs="宋体"/>
                <w:color w:val="000000"/>
                <w:kern w:val="0"/>
                <w:sz w:val="18"/>
                <w:szCs w:val="18"/>
              </w:rPr>
            </w:pPr>
          </w:p>
        </w:tc>
        <w:tc>
          <w:tcPr>
            <w:tcW w:w="704" w:type="pct"/>
            <w:vMerge w:val="continue"/>
            <w:tcBorders>
              <w:top w:val="nil"/>
              <w:left w:val="single" w:color="000000" w:sz="8" w:space="0"/>
              <w:bottom w:val="single" w:color="000000" w:sz="8" w:space="0"/>
              <w:right w:val="single" w:color="000000" w:sz="8" w:space="0"/>
            </w:tcBorders>
            <w:vAlign w:val="center"/>
          </w:tcPr>
          <w:p w14:paraId="2EE417A4">
            <w:pPr>
              <w:widowControl/>
              <w:jc w:val="left"/>
              <w:rPr>
                <w:rFonts w:ascii="仿宋_GB2312" w:hAnsi="宋体" w:eastAsia="仿宋_GB2312" w:cs="宋体"/>
                <w:color w:val="000000"/>
                <w:kern w:val="0"/>
                <w:sz w:val="18"/>
                <w:szCs w:val="18"/>
              </w:rPr>
            </w:pPr>
          </w:p>
        </w:tc>
        <w:tc>
          <w:tcPr>
            <w:tcW w:w="909" w:type="pct"/>
            <w:vMerge w:val="continue"/>
            <w:tcBorders>
              <w:top w:val="nil"/>
              <w:left w:val="single" w:color="000000" w:sz="8" w:space="0"/>
              <w:bottom w:val="single" w:color="000000" w:sz="8" w:space="0"/>
              <w:right w:val="single" w:color="000000" w:sz="8" w:space="0"/>
            </w:tcBorders>
            <w:vAlign w:val="center"/>
          </w:tcPr>
          <w:p w14:paraId="77296B03">
            <w:pPr>
              <w:widowControl/>
              <w:jc w:val="left"/>
              <w:rPr>
                <w:rFonts w:ascii="仿宋_GB2312" w:hAnsi="宋体" w:eastAsia="仿宋_GB2312" w:cs="宋体"/>
                <w:color w:val="000000"/>
                <w:kern w:val="0"/>
                <w:sz w:val="18"/>
                <w:szCs w:val="18"/>
              </w:rPr>
            </w:pPr>
          </w:p>
        </w:tc>
        <w:tc>
          <w:tcPr>
            <w:tcW w:w="1701" w:type="pct"/>
            <w:tcBorders>
              <w:top w:val="nil"/>
              <w:left w:val="nil"/>
              <w:bottom w:val="single" w:color="000000" w:sz="8" w:space="0"/>
              <w:right w:val="single" w:color="000000" w:sz="8" w:space="0"/>
            </w:tcBorders>
            <w:shd w:val="clear" w:color="auto" w:fill="auto"/>
            <w:vAlign w:val="center"/>
          </w:tcPr>
          <w:p w14:paraId="7BB05BDD">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脏、乱、差、违治理率</w:t>
            </w:r>
          </w:p>
        </w:tc>
        <w:tc>
          <w:tcPr>
            <w:tcW w:w="1070" w:type="pct"/>
            <w:tcBorders>
              <w:top w:val="nil"/>
              <w:left w:val="nil"/>
              <w:bottom w:val="single" w:color="000000" w:sz="8" w:space="0"/>
              <w:right w:val="single" w:color="000000" w:sz="8" w:space="0"/>
            </w:tcBorders>
            <w:shd w:val="clear" w:color="auto" w:fill="auto"/>
            <w:vAlign w:val="center"/>
          </w:tcPr>
          <w:p w14:paraId="10F45AA9">
            <w:pPr>
              <w:widowControl/>
              <w:jc w:val="center"/>
              <w:rPr>
                <w:rFonts w:ascii="Arial Narrow" w:hAnsi="Arial Narrow" w:eastAsia="宋体" w:cs="宋体"/>
                <w:color w:val="000000"/>
                <w:kern w:val="0"/>
                <w:sz w:val="18"/>
                <w:szCs w:val="18"/>
              </w:rPr>
            </w:pPr>
            <w:r>
              <w:rPr>
                <w:rFonts w:ascii="Arial Narrow" w:hAnsi="Arial Narrow" w:eastAsia="宋体" w:cs="宋体"/>
                <w:color w:val="000000"/>
                <w:kern w:val="0"/>
                <w:sz w:val="18"/>
                <w:szCs w:val="18"/>
              </w:rPr>
              <w:t>100%</w:t>
            </w:r>
          </w:p>
        </w:tc>
      </w:tr>
      <w:tr w14:paraId="51422A52">
        <w:tblPrEx>
          <w:tblCellMar>
            <w:top w:w="0" w:type="dxa"/>
            <w:left w:w="108" w:type="dxa"/>
            <w:bottom w:w="0" w:type="dxa"/>
            <w:right w:w="108" w:type="dxa"/>
          </w:tblCellMar>
        </w:tblPrEx>
        <w:trPr>
          <w:trHeight w:val="516" w:hRule="atLeast"/>
        </w:trPr>
        <w:tc>
          <w:tcPr>
            <w:tcW w:w="616" w:type="pct"/>
            <w:vMerge w:val="continue"/>
            <w:tcBorders>
              <w:top w:val="single" w:color="000000" w:sz="8" w:space="0"/>
              <w:left w:val="single" w:color="000000" w:sz="8" w:space="0"/>
              <w:bottom w:val="single" w:color="000000" w:sz="8" w:space="0"/>
              <w:right w:val="single" w:color="000000" w:sz="8" w:space="0"/>
            </w:tcBorders>
            <w:vAlign w:val="center"/>
          </w:tcPr>
          <w:p w14:paraId="6ACC2CB5">
            <w:pPr>
              <w:widowControl/>
              <w:jc w:val="left"/>
              <w:rPr>
                <w:rFonts w:ascii="仿宋_GB2312" w:hAnsi="宋体" w:eastAsia="仿宋_GB2312" w:cs="宋体"/>
                <w:color w:val="000000"/>
                <w:kern w:val="0"/>
                <w:sz w:val="18"/>
                <w:szCs w:val="18"/>
              </w:rPr>
            </w:pPr>
          </w:p>
        </w:tc>
        <w:tc>
          <w:tcPr>
            <w:tcW w:w="704" w:type="pct"/>
            <w:vMerge w:val="continue"/>
            <w:tcBorders>
              <w:top w:val="nil"/>
              <w:left w:val="single" w:color="000000" w:sz="8" w:space="0"/>
              <w:bottom w:val="single" w:color="000000" w:sz="8" w:space="0"/>
              <w:right w:val="single" w:color="000000" w:sz="8" w:space="0"/>
            </w:tcBorders>
            <w:vAlign w:val="center"/>
          </w:tcPr>
          <w:p w14:paraId="2DEFD7F6">
            <w:pPr>
              <w:widowControl/>
              <w:jc w:val="left"/>
              <w:rPr>
                <w:rFonts w:ascii="仿宋_GB2312" w:hAnsi="宋体" w:eastAsia="仿宋_GB2312" w:cs="宋体"/>
                <w:color w:val="000000"/>
                <w:kern w:val="0"/>
                <w:sz w:val="18"/>
                <w:szCs w:val="18"/>
              </w:rPr>
            </w:pPr>
          </w:p>
        </w:tc>
        <w:tc>
          <w:tcPr>
            <w:tcW w:w="909" w:type="pct"/>
            <w:vMerge w:val="continue"/>
            <w:tcBorders>
              <w:top w:val="nil"/>
              <w:left w:val="single" w:color="000000" w:sz="8" w:space="0"/>
              <w:bottom w:val="single" w:color="000000" w:sz="8" w:space="0"/>
              <w:right w:val="single" w:color="000000" w:sz="8" w:space="0"/>
            </w:tcBorders>
            <w:vAlign w:val="center"/>
          </w:tcPr>
          <w:p w14:paraId="035943E2">
            <w:pPr>
              <w:widowControl/>
              <w:jc w:val="left"/>
              <w:rPr>
                <w:rFonts w:ascii="仿宋_GB2312" w:hAnsi="宋体" w:eastAsia="仿宋_GB2312" w:cs="宋体"/>
                <w:color w:val="000000"/>
                <w:kern w:val="0"/>
                <w:sz w:val="18"/>
                <w:szCs w:val="18"/>
              </w:rPr>
            </w:pPr>
          </w:p>
        </w:tc>
        <w:tc>
          <w:tcPr>
            <w:tcW w:w="1701" w:type="pct"/>
            <w:tcBorders>
              <w:top w:val="nil"/>
              <w:left w:val="nil"/>
              <w:bottom w:val="single" w:color="000000" w:sz="8" w:space="0"/>
              <w:right w:val="single" w:color="000000" w:sz="8" w:space="0"/>
            </w:tcBorders>
            <w:shd w:val="clear" w:color="auto" w:fill="auto"/>
            <w:vAlign w:val="center"/>
          </w:tcPr>
          <w:p w14:paraId="6D6A860F">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人居环境改善率</w:t>
            </w:r>
          </w:p>
        </w:tc>
        <w:tc>
          <w:tcPr>
            <w:tcW w:w="1070" w:type="pct"/>
            <w:tcBorders>
              <w:top w:val="nil"/>
              <w:left w:val="nil"/>
              <w:bottom w:val="single" w:color="000000" w:sz="8" w:space="0"/>
              <w:right w:val="single" w:color="000000" w:sz="8" w:space="0"/>
            </w:tcBorders>
            <w:shd w:val="clear" w:color="auto" w:fill="auto"/>
            <w:vAlign w:val="center"/>
          </w:tcPr>
          <w:p w14:paraId="4B2050AA">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显著</w:t>
            </w:r>
          </w:p>
        </w:tc>
      </w:tr>
      <w:tr w14:paraId="07453C21">
        <w:tblPrEx>
          <w:tblCellMar>
            <w:top w:w="0" w:type="dxa"/>
            <w:left w:w="108" w:type="dxa"/>
            <w:bottom w:w="0" w:type="dxa"/>
            <w:right w:w="108" w:type="dxa"/>
          </w:tblCellMar>
        </w:tblPrEx>
        <w:trPr>
          <w:trHeight w:val="516" w:hRule="atLeast"/>
        </w:trPr>
        <w:tc>
          <w:tcPr>
            <w:tcW w:w="616" w:type="pct"/>
            <w:vMerge w:val="continue"/>
            <w:tcBorders>
              <w:top w:val="single" w:color="000000" w:sz="8" w:space="0"/>
              <w:left w:val="single" w:color="000000" w:sz="8" w:space="0"/>
              <w:bottom w:val="single" w:color="000000" w:sz="8" w:space="0"/>
              <w:right w:val="single" w:color="000000" w:sz="8" w:space="0"/>
            </w:tcBorders>
            <w:vAlign w:val="center"/>
          </w:tcPr>
          <w:p w14:paraId="15AFEEC1">
            <w:pPr>
              <w:widowControl/>
              <w:jc w:val="left"/>
              <w:rPr>
                <w:rFonts w:ascii="仿宋_GB2312" w:hAnsi="宋体" w:eastAsia="仿宋_GB2312" w:cs="宋体"/>
                <w:color w:val="000000"/>
                <w:kern w:val="0"/>
                <w:sz w:val="18"/>
                <w:szCs w:val="18"/>
              </w:rPr>
            </w:pPr>
          </w:p>
        </w:tc>
        <w:tc>
          <w:tcPr>
            <w:tcW w:w="704" w:type="pct"/>
            <w:vMerge w:val="continue"/>
            <w:tcBorders>
              <w:top w:val="nil"/>
              <w:left w:val="single" w:color="000000" w:sz="8" w:space="0"/>
              <w:bottom w:val="single" w:color="000000" w:sz="8" w:space="0"/>
              <w:right w:val="single" w:color="000000" w:sz="8" w:space="0"/>
            </w:tcBorders>
            <w:vAlign w:val="center"/>
          </w:tcPr>
          <w:p w14:paraId="36CD272F">
            <w:pPr>
              <w:widowControl/>
              <w:jc w:val="left"/>
              <w:rPr>
                <w:rFonts w:ascii="仿宋_GB2312" w:hAnsi="宋体" w:eastAsia="仿宋_GB2312" w:cs="宋体"/>
                <w:color w:val="000000"/>
                <w:kern w:val="0"/>
                <w:sz w:val="18"/>
                <w:szCs w:val="18"/>
              </w:rPr>
            </w:pPr>
          </w:p>
        </w:tc>
        <w:tc>
          <w:tcPr>
            <w:tcW w:w="909" w:type="pct"/>
            <w:vMerge w:val="restart"/>
            <w:tcBorders>
              <w:top w:val="nil"/>
              <w:left w:val="single" w:color="000000" w:sz="8" w:space="0"/>
              <w:bottom w:val="single" w:color="000000" w:sz="8" w:space="0"/>
              <w:right w:val="single" w:color="000000" w:sz="8" w:space="0"/>
            </w:tcBorders>
            <w:shd w:val="clear" w:color="auto" w:fill="auto"/>
            <w:vAlign w:val="center"/>
          </w:tcPr>
          <w:p w14:paraId="6C2E0483">
            <w:pPr>
              <w:widowControl/>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生态效益指标</w:t>
            </w:r>
          </w:p>
        </w:tc>
        <w:tc>
          <w:tcPr>
            <w:tcW w:w="1701" w:type="pct"/>
            <w:tcBorders>
              <w:top w:val="nil"/>
              <w:left w:val="nil"/>
              <w:bottom w:val="single" w:color="000000" w:sz="8" w:space="0"/>
              <w:right w:val="single" w:color="000000" w:sz="8" w:space="0"/>
            </w:tcBorders>
            <w:shd w:val="clear" w:color="auto" w:fill="auto"/>
            <w:vAlign w:val="center"/>
          </w:tcPr>
          <w:p w14:paraId="1AFCCE59">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绿化覆盖率</w:t>
            </w:r>
          </w:p>
        </w:tc>
        <w:tc>
          <w:tcPr>
            <w:tcW w:w="1070" w:type="pct"/>
            <w:tcBorders>
              <w:top w:val="nil"/>
              <w:left w:val="nil"/>
              <w:bottom w:val="single" w:color="000000" w:sz="8" w:space="0"/>
              <w:right w:val="single" w:color="000000" w:sz="8" w:space="0"/>
            </w:tcBorders>
            <w:shd w:val="clear" w:color="auto" w:fill="auto"/>
            <w:vAlign w:val="center"/>
          </w:tcPr>
          <w:p w14:paraId="619B5915">
            <w:pPr>
              <w:widowControl/>
              <w:jc w:val="center"/>
              <w:rPr>
                <w:rFonts w:ascii="Arial Narrow" w:hAnsi="Arial Narrow" w:eastAsia="宋体" w:cs="宋体"/>
                <w:color w:val="000000"/>
                <w:kern w:val="0"/>
                <w:sz w:val="18"/>
                <w:szCs w:val="18"/>
              </w:rPr>
            </w:pPr>
            <w:r>
              <w:rPr>
                <w:rFonts w:hint="eastAsia" w:ascii="仿宋_GB2312" w:hAnsi="Arial Narrow" w:eastAsia="仿宋_GB2312" w:cs="宋体"/>
                <w:color w:val="000000"/>
                <w:kern w:val="0"/>
                <w:sz w:val="18"/>
                <w:szCs w:val="18"/>
              </w:rPr>
              <w:t>≥</w:t>
            </w:r>
            <w:r>
              <w:rPr>
                <w:rFonts w:ascii="Arial Narrow" w:hAnsi="Arial Narrow" w:eastAsia="宋体" w:cs="宋体"/>
                <w:color w:val="000000"/>
                <w:kern w:val="0"/>
                <w:sz w:val="18"/>
                <w:szCs w:val="18"/>
              </w:rPr>
              <w:t>30%</w:t>
            </w:r>
          </w:p>
        </w:tc>
      </w:tr>
      <w:tr w14:paraId="2EE1045D">
        <w:tblPrEx>
          <w:tblCellMar>
            <w:top w:w="0" w:type="dxa"/>
            <w:left w:w="108" w:type="dxa"/>
            <w:bottom w:w="0" w:type="dxa"/>
            <w:right w:w="108" w:type="dxa"/>
          </w:tblCellMar>
        </w:tblPrEx>
        <w:trPr>
          <w:trHeight w:val="516" w:hRule="atLeast"/>
        </w:trPr>
        <w:tc>
          <w:tcPr>
            <w:tcW w:w="616" w:type="pct"/>
            <w:vMerge w:val="continue"/>
            <w:tcBorders>
              <w:top w:val="single" w:color="000000" w:sz="8" w:space="0"/>
              <w:left w:val="single" w:color="000000" w:sz="8" w:space="0"/>
              <w:bottom w:val="single" w:color="000000" w:sz="8" w:space="0"/>
              <w:right w:val="single" w:color="000000" w:sz="8" w:space="0"/>
            </w:tcBorders>
            <w:vAlign w:val="center"/>
          </w:tcPr>
          <w:p w14:paraId="364AD3ED">
            <w:pPr>
              <w:widowControl/>
              <w:jc w:val="left"/>
              <w:rPr>
                <w:rFonts w:ascii="仿宋_GB2312" w:hAnsi="宋体" w:eastAsia="仿宋_GB2312" w:cs="宋体"/>
                <w:color w:val="000000"/>
                <w:kern w:val="0"/>
                <w:sz w:val="18"/>
                <w:szCs w:val="18"/>
              </w:rPr>
            </w:pPr>
          </w:p>
        </w:tc>
        <w:tc>
          <w:tcPr>
            <w:tcW w:w="704" w:type="pct"/>
            <w:vMerge w:val="continue"/>
            <w:tcBorders>
              <w:top w:val="nil"/>
              <w:left w:val="single" w:color="000000" w:sz="8" w:space="0"/>
              <w:bottom w:val="single" w:color="000000" w:sz="8" w:space="0"/>
              <w:right w:val="single" w:color="000000" w:sz="8" w:space="0"/>
            </w:tcBorders>
            <w:vAlign w:val="center"/>
          </w:tcPr>
          <w:p w14:paraId="105B632C">
            <w:pPr>
              <w:widowControl/>
              <w:jc w:val="left"/>
              <w:rPr>
                <w:rFonts w:ascii="仿宋_GB2312" w:hAnsi="宋体" w:eastAsia="仿宋_GB2312" w:cs="宋体"/>
                <w:color w:val="000000"/>
                <w:kern w:val="0"/>
                <w:sz w:val="18"/>
                <w:szCs w:val="18"/>
              </w:rPr>
            </w:pPr>
          </w:p>
        </w:tc>
        <w:tc>
          <w:tcPr>
            <w:tcW w:w="909" w:type="pct"/>
            <w:vMerge w:val="continue"/>
            <w:tcBorders>
              <w:top w:val="nil"/>
              <w:left w:val="single" w:color="000000" w:sz="8" w:space="0"/>
              <w:bottom w:val="single" w:color="000000" w:sz="8" w:space="0"/>
              <w:right w:val="single" w:color="000000" w:sz="8" w:space="0"/>
            </w:tcBorders>
            <w:vAlign w:val="center"/>
          </w:tcPr>
          <w:p w14:paraId="17387859">
            <w:pPr>
              <w:widowControl/>
              <w:jc w:val="left"/>
              <w:rPr>
                <w:rFonts w:ascii="仿宋_GB2312" w:hAnsi="宋体" w:eastAsia="仿宋_GB2312" w:cs="宋体"/>
                <w:color w:val="000000"/>
                <w:kern w:val="0"/>
                <w:sz w:val="18"/>
                <w:szCs w:val="18"/>
              </w:rPr>
            </w:pPr>
          </w:p>
        </w:tc>
        <w:tc>
          <w:tcPr>
            <w:tcW w:w="1701" w:type="pct"/>
            <w:tcBorders>
              <w:top w:val="nil"/>
              <w:left w:val="nil"/>
              <w:bottom w:val="single" w:color="000000" w:sz="8" w:space="0"/>
              <w:right w:val="single" w:color="000000" w:sz="8" w:space="0"/>
            </w:tcBorders>
            <w:shd w:val="clear" w:color="auto" w:fill="auto"/>
            <w:vAlign w:val="center"/>
          </w:tcPr>
          <w:p w14:paraId="3A7C39E1">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垃圾无害化处理率</w:t>
            </w:r>
          </w:p>
        </w:tc>
        <w:tc>
          <w:tcPr>
            <w:tcW w:w="1070" w:type="pct"/>
            <w:tcBorders>
              <w:top w:val="nil"/>
              <w:left w:val="nil"/>
              <w:bottom w:val="single" w:color="000000" w:sz="8" w:space="0"/>
              <w:right w:val="single" w:color="000000" w:sz="8" w:space="0"/>
            </w:tcBorders>
            <w:shd w:val="clear" w:color="auto" w:fill="auto"/>
            <w:vAlign w:val="center"/>
          </w:tcPr>
          <w:p w14:paraId="7ED5DDA2">
            <w:pPr>
              <w:widowControl/>
              <w:jc w:val="center"/>
              <w:rPr>
                <w:rFonts w:ascii="Arial Narrow" w:hAnsi="Arial Narrow" w:eastAsia="宋体" w:cs="宋体"/>
                <w:color w:val="000000"/>
                <w:kern w:val="0"/>
                <w:sz w:val="18"/>
                <w:szCs w:val="18"/>
              </w:rPr>
            </w:pPr>
            <w:r>
              <w:rPr>
                <w:rFonts w:ascii="Arial Narrow" w:hAnsi="Arial Narrow" w:eastAsia="宋体" w:cs="宋体"/>
                <w:color w:val="000000"/>
                <w:kern w:val="0"/>
                <w:sz w:val="18"/>
                <w:szCs w:val="18"/>
              </w:rPr>
              <w:t>100%</w:t>
            </w:r>
          </w:p>
        </w:tc>
      </w:tr>
    </w:tbl>
    <w:p w14:paraId="04842F3D">
      <w:pPr>
        <w:spacing w:before="312" w:beforeLines="100" w:after="156" w:afterLines="50"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（五）组织管理情况</w:t>
      </w:r>
      <w:bookmarkEnd w:id="5"/>
    </w:p>
    <w:p w14:paraId="253AAC83">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1.项目实施主体。项目以城市管理局为主管部门，以倘甸中队和昆明林桦物业服务有限公司为具体实施单位，编写实施方案，组织实施，确保项目任务的完成。</w:t>
      </w:r>
    </w:p>
    <w:p w14:paraId="3CC5BDA3">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保障措施。一是以项目管理办法保障项目的申报范围、安排导向和实施方式；二是以绩效考核的方式发挥资金效益；三是以预算明细的方式保障资金安排的科学规范，城市管理局建立预算管理制度，规范管理项目。</w:t>
      </w:r>
    </w:p>
    <w:p w14:paraId="76753417">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3.资金安排程序。由涉及到的项目处室进行项目经费的测算，测算完后及时将所需资金报城市管理局，城市管理局领导成员班子通过会议讨论决定最终项目经费。</w:t>
      </w:r>
    </w:p>
    <w:p w14:paraId="39F672EC">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4.资金安排标准或依据。项目资金安</w:t>
      </w:r>
      <w:r>
        <w:rPr>
          <w:rFonts w:ascii="Arial Narrow" w:hAnsi="Arial Narrow" w:eastAsia="仿宋_GB2312" w:cs="仿宋_GB2312"/>
          <w:sz w:val="24"/>
          <w:szCs w:val="24"/>
        </w:rPr>
        <w:t>排有明确的标准，即每年100万元的开支标准进行了资金安排，同时参照2019年项目决算情况。</w:t>
      </w:r>
    </w:p>
    <w:p w14:paraId="11A907CC">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5.财务管理。城市管理局制定了《寻甸县城市管理局财务管理制度》等财务管理指导。规定了严格的审批制度。加强专项资金管理，严格执行财务管理制度，切实提高财政资金的使用效率。</w:t>
      </w:r>
    </w:p>
    <w:p w14:paraId="19CB2DE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资金管理及核算主要执行《政府会计准则》等。</w:t>
      </w:r>
    </w:p>
    <w:p w14:paraId="3B5F0E61">
      <w:pPr>
        <w:spacing w:after="240" w:line="360" w:lineRule="auto"/>
        <w:ind w:firstLine="426" w:firstLineChars="177"/>
        <w:rPr>
          <w:rFonts w:ascii="仿宋_GB2312" w:hAnsi="仿宋_GB2312" w:eastAsia="仿宋_GB2312" w:cs="仿宋_GB2312"/>
          <w:b/>
          <w:bCs/>
          <w:sz w:val="24"/>
          <w:szCs w:val="24"/>
        </w:rPr>
      </w:pPr>
      <w:bookmarkStart w:id="6" w:name="_Toc502134854"/>
      <w:r>
        <w:rPr>
          <w:rFonts w:hint="eastAsia" w:ascii="仿宋_GB2312" w:hAnsi="仿宋_GB2312" w:eastAsia="仿宋_GB2312" w:cs="仿宋_GB2312"/>
          <w:b/>
          <w:bCs/>
          <w:sz w:val="24"/>
          <w:szCs w:val="24"/>
        </w:rPr>
        <w:t>二、绩效自评情况</w:t>
      </w:r>
      <w:bookmarkEnd w:id="6"/>
    </w:p>
    <w:p w14:paraId="604AE012">
      <w:pPr>
        <w:spacing w:after="240" w:line="360" w:lineRule="auto"/>
        <w:ind w:firstLine="426" w:firstLineChars="177"/>
        <w:rPr>
          <w:rFonts w:ascii="仿宋_GB2312" w:hAnsi="仿宋_GB2312" w:eastAsia="仿宋_GB2312" w:cs="仿宋_GB2312"/>
          <w:b/>
          <w:bCs/>
          <w:sz w:val="24"/>
          <w:szCs w:val="24"/>
        </w:rPr>
      </w:pPr>
      <w:bookmarkStart w:id="7" w:name="_Toc502134855"/>
      <w:bookmarkStart w:id="8" w:name="_Toc498009772"/>
      <w:r>
        <w:rPr>
          <w:rFonts w:hint="eastAsia" w:ascii="仿宋_GB2312" w:hAnsi="仿宋_GB2312" w:eastAsia="仿宋_GB2312" w:cs="仿宋_GB2312"/>
          <w:b/>
          <w:bCs/>
          <w:sz w:val="24"/>
          <w:szCs w:val="24"/>
        </w:rPr>
        <w:t>（一）绩效自评概述</w:t>
      </w:r>
      <w:bookmarkEnd w:id="7"/>
      <w:bookmarkEnd w:id="8"/>
    </w:p>
    <w:p w14:paraId="784858BB">
      <w:pPr>
        <w:spacing w:after="240" w:line="360" w:lineRule="auto"/>
        <w:ind w:firstLine="424" w:firstLineChars="177"/>
        <w:rPr>
          <w:rFonts w:ascii="Arial Narrow" w:hAnsi="Arial Narrow" w:eastAsia="仿宋_GB2312" w:cs="仿宋_GB2312"/>
          <w:sz w:val="24"/>
          <w:szCs w:val="24"/>
        </w:rPr>
      </w:pPr>
      <w:r>
        <w:rPr>
          <w:rFonts w:hint="eastAsia" w:ascii="仿宋_GB2312" w:hAnsi="仿宋_GB2312" w:eastAsia="仿宋_GB2312" w:cs="仿宋_GB2312"/>
          <w:sz w:val="24"/>
          <w:szCs w:val="24"/>
        </w:rPr>
        <w:t>根据《寻甸回族彝族自治县财政局</w:t>
      </w:r>
      <w:r>
        <w:rPr>
          <w:rFonts w:ascii="Arial Narrow" w:hAnsi="Arial Narrow" w:eastAsia="仿宋_GB2312" w:cs="仿宋_GB2312"/>
          <w:sz w:val="24"/>
          <w:szCs w:val="24"/>
        </w:rPr>
        <w:t>关于2021年县级预算绩效管理工作有关事项的通知》（寻财绩〔2021〕3 号）等文件的规定，</w:t>
      </w:r>
      <w:bookmarkStart w:id="9" w:name="_Toc498009773"/>
      <w:bookmarkStart w:id="10" w:name="_Toc502134856"/>
      <w:r>
        <w:rPr>
          <w:rFonts w:ascii="Arial Narrow" w:hAnsi="Arial Narrow" w:eastAsia="仿宋_GB2312" w:cs="仿宋_GB2312"/>
          <w:sz w:val="24"/>
          <w:szCs w:val="24"/>
        </w:rPr>
        <w:t>城市管理局成立了2020年倘甸镇区管理专项经费项目支出绩效自评组，并于2020年5月形成了《寻甸县城市管理局倘甸镇区管理专项经费项目支出绩效自评报告》。</w:t>
      </w:r>
    </w:p>
    <w:p w14:paraId="5245E46A">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（二）绩效自评结论</w:t>
      </w:r>
      <w:bookmarkEnd w:id="9"/>
      <w:bookmarkEnd w:id="10"/>
    </w:p>
    <w:p w14:paraId="4A748F95">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根据城</w:t>
      </w:r>
      <w:r>
        <w:rPr>
          <w:rFonts w:ascii="Arial Narrow" w:hAnsi="Arial Narrow" w:eastAsia="仿宋_GB2312" w:cs="仿宋_GB2312"/>
          <w:sz w:val="24"/>
          <w:szCs w:val="24"/>
        </w:rPr>
        <w:t>市管理局提供的倘甸镇区管理专项经费项目支出绩效自评报告，城市管理局2020年倘甸镇区管理专项经费项目支出的管理、使用及效益情况绩效自评综合得分为91.5分，自评结果为“优</w:t>
      </w:r>
      <w:r>
        <w:rPr>
          <w:rFonts w:hint="eastAsia" w:ascii="仿宋_GB2312" w:hAnsi="仿宋_GB2312" w:eastAsia="仿宋_GB2312" w:cs="仿宋_GB2312"/>
          <w:sz w:val="24"/>
          <w:szCs w:val="24"/>
        </w:rPr>
        <w:t>”。</w:t>
      </w:r>
    </w:p>
    <w:p w14:paraId="13BD207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部门自评综合结论是：</w:t>
      </w:r>
      <w:bookmarkStart w:id="11" w:name="_Hlk80310658"/>
      <w:r>
        <w:rPr>
          <w:rFonts w:hint="eastAsia" w:ascii="仿宋_GB2312" w:hAnsi="仿宋_GB2312" w:eastAsia="仿宋_GB2312" w:cs="仿宋_GB2312"/>
          <w:sz w:val="24"/>
          <w:szCs w:val="24"/>
        </w:rPr>
        <w:t>基本完成目标管理，</w:t>
      </w:r>
      <w:bookmarkEnd w:id="11"/>
      <w:r>
        <w:rPr>
          <w:rFonts w:hint="eastAsia" w:ascii="仿宋_GB2312" w:hAnsi="仿宋_GB2312" w:eastAsia="仿宋_GB2312" w:cs="仿宋_GB2312"/>
          <w:sz w:val="24"/>
          <w:szCs w:val="24"/>
        </w:rPr>
        <w:t>创建优美乡镇有一定影响程度，社会效益、经济效益明显。</w:t>
      </w:r>
    </w:p>
    <w:p w14:paraId="165DF89E">
      <w:pPr>
        <w:spacing w:after="240" w:line="360" w:lineRule="auto"/>
        <w:ind w:firstLine="424" w:firstLineChars="177"/>
        <w:rPr>
          <w:rFonts w:ascii="仿宋_GB2312" w:hAnsi="仿宋_GB2312" w:eastAsia="仿宋_GB2312" w:cs="仿宋_GB2312"/>
          <w:color w:val="FF0000"/>
          <w:sz w:val="24"/>
          <w:szCs w:val="24"/>
        </w:rPr>
      </w:pPr>
      <w:r>
        <w:rPr>
          <w:rFonts w:hint="eastAsia" w:ascii="仿宋_GB2312" w:hAnsi="仿宋_GB2312" w:eastAsia="仿宋_GB2312" w:cs="仿宋_GB2312"/>
          <w:sz w:val="24"/>
          <w:szCs w:val="24"/>
        </w:rPr>
        <w:t>同时，绩效自评提出以下问题：制度体系不够健全，部分条款不合理、难操作；项目资金风险控制还需完善、受益对象满意度不高等。</w:t>
      </w:r>
    </w:p>
    <w:p w14:paraId="37754314">
      <w:pPr>
        <w:spacing w:after="240" w:line="360" w:lineRule="auto"/>
        <w:ind w:firstLine="426" w:firstLineChars="177"/>
        <w:rPr>
          <w:rFonts w:ascii="仿宋_GB2312" w:hAnsi="仿宋_GB2312" w:eastAsia="仿宋_GB2312" w:cs="仿宋_GB2312"/>
          <w:b/>
          <w:bCs/>
          <w:sz w:val="24"/>
          <w:szCs w:val="24"/>
        </w:rPr>
      </w:pPr>
      <w:bookmarkStart w:id="12" w:name="_Toc502134857"/>
      <w:r>
        <w:rPr>
          <w:rFonts w:hint="eastAsia" w:ascii="仿宋_GB2312" w:hAnsi="仿宋_GB2312" w:eastAsia="仿宋_GB2312" w:cs="仿宋_GB2312"/>
          <w:b/>
          <w:bCs/>
          <w:sz w:val="24"/>
          <w:szCs w:val="24"/>
        </w:rPr>
        <w:t>三、绩效再评价组织情况</w:t>
      </w:r>
      <w:bookmarkEnd w:id="12"/>
    </w:p>
    <w:p w14:paraId="279BC2B9">
      <w:pPr>
        <w:spacing w:after="240" w:line="360" w:lineRule="auto"/>
        <w:ind w:firstLine="426" w:firstLineChars="177"/>
        <w:rPr>
          <w:rFonts w:ascii="仿宋_GB2312" w:hAnsi="仿宋_GB2312" w:eastAsia="仿宋_GB2312" w:cs="仿宋_GB2312"/>
          <w:b/>
          <w:bCs/>
          <w:sz w:val="24"/>
          <w:szCs w:val="24"/>
        </w:rPr>
      </w:pPr>
      <w:bookmarkStart w:id="13" w:name="_Toc502134858"/>
      <w:r>
        <w:rPr>
          <w:rFonts w:hint="eastAsia" w:ascii="仿宋_GB2312" w:hAnsi="仿宋_GB2312" w:eastAsia="仿宋_GB2312" w:cs="仿宋_GB2312"/>
          <w:b/>
          <w:bCs/>
          <w:sz w:val="24"/>
          <w:szCs w:val="24"/>
        </w:rPr>
        <w:t>（一）绩效再评价依据</w:t>
      </w:r>
      <w:bookmarkEnd w:id="13"/>
    </w:p>
    <w:p w14:paraId="78EB80F7">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1.《中华人民</w:t>
      </w:r>
      <w:r>
        <w:rPr>
          <w:rFonts w:ascii="Arial Narrow" w:hAnsi="Arial Narrow" w:eastAsia="仿宋_GB2312" w:cs="仿宋_GB2312"/>
          <w:sz w:val="24"/>
          <w:szCs w:val="24"/>
        </w:rPr>
        <w:t>共和国预算法》（2014年修订）；</w:t>
      </w:r>
    </w:p>
    <w:p w14:paraId="31EFC542">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2.《项目支出绩效评价</w:t>
      </w:r>
      <w:r>
        <w:rPr>
          <w:rFonts w:ascii="Arial Narrow" w:hAnsi="Arial Narrow" w:eastAsia="仿宋_GB2312" w:cs="仿宋_GB2312"/>
          <w:sz w:val="24"/>
          <w:szCs w:val="24"/>
        </w:rPr>
        <w:t>管理办法》（财预〔2020〕10号）；</w:t>
      </w:r>
    </w:p>
    <w:p w14:paraId="7901941B">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3.《中共云南省委、云南省人民政</w:t>
      </w:r>
      <w:r>
        <w:rPr>
          <w:rFonts w:ascii="Arial Narrow" w:hAnsi="Arial Narrow" w:eastAsia="仿宋_GB2312" w:cs="仿宋_GB2312"/>
          <w:sz w:val="24"/>
          <w:szCs w:val="24"/>
        </w:rPr>
        <w:t>府关于全面实施预算管理绩效的意见》（云发〔2019〕11号）；</w:t>
      </w:r>
    </w:p>
    <w:p w14:paraId="222CDB5B">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4.《云南省省级财政预算绩效管</w:t>
      </w:r>
      <w:r>
        <w:rPr>
          <w:rFonts w:ascii="Arial Narrow" w:hAnsi="Arial Narrow" w:eastAsia="仿宋_GB2312" w:cs="仿宋_GB2312"/>
          <w:sz w:val="24"/>
          <w:szCs w:val="24"/>
        </w:rPr>
        <w:t>理暂行办法》（云财预〔2015〕295号）；</w:t>
      </w:r>
    </w:p>
    <w:p w14:paraId="5090C09A">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5.《寻甸回族彝族自治县财政局关于</w:t>
      </w:r>
      <w:r>
        <w:rPr>
          <w:rFonts w:ascii="Arial Narrow" w:hAnsi="Arial Narrow" w:eastAsia="仿宋_GB2312" w:cs="仿宋_GB2312"/>
          <w:sz w:val="24"/>
          <w:szCs w:val="24"/>
        </w:rPr>
        <w:t>批复2020年部门预算的通知》（寻财预〔2020〕2号）；</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 xml:space="preserve">    6.《寻甸县财政局关于对</w:t>
      </w:r>
      <w:r>
        <w:rPr>
          <w:rFonts w:ascii="Arial Narrow" w:hAnsi="Arial Narrow" w:eastAsia="仿宋_GB2312" w:cs="仿宋_GB2312"/>
          <w:sz w:val="24"/>
          <w:szCs w:val="24"/>
        </w:rPr>
        <w:t>2020年度部门整体支出和重大项目支出绩效再评价业务委托社会中介机构的通知》（寻财绩〔2021〕6号）</w:t>
      </w:r>
    </w:p>
    <w:p w14:paraId="2AA55D3F">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7.《寻甸回族彝族自</w:t>
      </w:r>
      <w:r>
        <w:rPr>
          <w:rFonts w:ascii="Arial Narrow" w:hAnsi="Arial Narrow" w:eastAsia="仿宋_GB2312" w:cs="仿宋_GB2312"/>
          <w:sz w:val="24"/>
          <w:szCs w:val="24"/>
        </w:rPr>
        <w:t>治县财政局关于2021年县级预算绩效管理工作有关事项的通知》（寻财绩〔2021〕3 号）</w:t>
      </w:r>
    </w:p>
    <w:p w14:paraId="3430670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8.其他相关依据文件。</w:t>
      </w:r>
    </w:p>
    <w:p w14:paraId="43264356">
      <w:pPr>
        <w:spacing w:after="240" w:line="360" w:lineRule="auto"/>
        <w:ind w:firstLine="426" w:firstLineChars="177"/>
        <w:rPr>
          <w:rFonts w:ascii="仿宋_GB2312" w:hAnsi="仿宋_GB2312" w:eastAsia="仿宋_GB2312" w:cs="仿宋_GB2312"/>
          <w:b/>
          <w:bCs/>
          <w:sz w:val="24"/>
          <w:szCs w:val="24"/>
        </w:rPr>
      </w:pPr>
      <w:bookmarkStart w:id="14" w:name="_Toc502134859"/>
      <w:r>
        <w:rPr>
          <w:rFonts w:hint="eastAsia" w:ascii="仿宋_GB2312" w:hAnsi="仿宋_GB2312" w:eastAsia="仿宋_GB2312" w:cs="仿宋_GB2312"/>
          <w:b/>
          <w:bCs/>
          <w:sz w:val="24"/>
          <w:szCs w:val="24"/>
        </w:rPr>
        <w:t>（二）绩效再评价方法</w:t>
      </w:r>
      <w:bookmarkEnd w:id="14"/>
    </w:p>
    <w:p w14:paraId="321C4A74">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本次绩效评价中采取定量与定性相结合的方式，具体实施了审阅、实地踏勘、检查、分析复核、计算、交换和反馈意见、专家</w:t>
      </w:r>
      <w:r>
        <w:rPr>
          <w:rFonts w:ascii="Arial Narrow" w:hAnsi="Arial Narrow" w:eastAsia="仿宋_GB2312" w:cs="仿宋_GB2312"/>
          <w:sz w:val="24"/>
          <w:szCs w:val="24"/>
        </w:rPr>
        <w:t>会审等程序。通过资料收集、数据填报、案卷研究、实地调研、座谈会、问卷调查等方式，开展实地再评价。对2020年倘甸镇区管理专项经费项目相关档案资料进行查阅，结合现场核实情况和资金到位使用及结余情况的分析，进行数据分析和取证。</w:t>
      </w:r>
    </w:p>
    <w:p w14:paraId="1B07AED2">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具体方法</w:t>
      </w:r>
      <w:r>
        <w:rPr>
          <w:rFonts w:ascii="Arial Narrow" w:hAnsi="Arial Narrow" w:eastAsia="仿宋_GB2312" w:cs="仿宋_GB2312"/>
          <w:sz w:val="24"/>
          <w:szCs w:val="24"/>
        </w:rPr>
        <w:t>可以采用以下5种方法中的一种</w:t>
      </w:r>
      <w:r>
        <w:rPr>
          <w:rFonts w:hint="eastAsia" w:ascii="仿宋_GB2312" w:hAnsi="仿宋_GB2312" w:eastAsia="仿宋_GB2312" w:cs="仿宋_GB2312"/>
          <w:sz w:val="24"/>
          <w:szCs w:val="24"/>
        </w:rPr>
        <w:t>，也可多种评价方法并用：目标比较法、成本效益法、历史比较法、专家评价法、问卷调查法、横向比较法。</w:t>
      </w:r>
    </w:p>
    <w:p w14:paraId="6E37D089">
      <w:pPr>
        <w:spacing w:after="240" w:line="360" w:lineRule="auto"/>
        <w:ind w:firstLine="426" w:firstLineChars="177"/>
        <w:rPr>
          <w:rFonts w:ascii="仿宋_GB2312" w:hAnsi="仿宋_GB2312" w:eastAsia="仿宋_GB2312" w:cs="仿宋_GB2312"/>
          <w:b/>
          <w:bCs/>
          <w:sz w:val="24"/>
          <w:szCs w:val="24"/>
        </w:rPr>
      </w:pPr>
      <w:bookmarkStart w:id="15" w:name="_Toc502134860"/>
      <w:r>
        <w:rPr>
          <w:rFonts w:hint="eastAsia" w:ascii="仿宋_GB2312" w:hAnsi="仿宋_GB2312" w:eastAsia="仿宋_GB2312" w:cs="仿宋_GB2312"/>
          <w:b/>
          <w:bCs/>
          <w:sz w:val="24"/>
          <w:szCs w:val="24"/>
        </w:rPr>
        <w:t>（三）绩效再评价指标体系</w:t>
      </w:r>
      <w:bookmarkEnd w:id="15"/>
    </w:p>
    <w:p w14:paraId="1C9C2B8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1.绩效再评价指标</w:t>
      </w:r>
    </w:p>
    <w:p w14:paraId="4A6947F2">
      <w:pPr>
        <w:spacing w:after="240" w:line="360" w:lineRule="auto"/>
        <w:ind w:firstLine="424" w:firstLineChars="177"/>
        <w:rPr>
          <w:rFonts w:ascii="仿宋_GB2312" w:hAnsi="仿宋_GB2312" w:eastAsia="仿宋_GB2312" w:cs="仿宋_GB2312"/>
          <w:color w:val="FF0000"/>
          <w:sz w:val="24"/>
          <w:szCs w:val="24"/>
        </w:rPr>
      </w:pPr>
      <w:bookmarkStart w:id="16" w:name="_Toc502134861"/>
      <w:r>
        <w:rPr>
          <w:rFonts w:hint="eastAsia" w:ascii="仿宋_GB2312" w:hAnsi="仿宋_GB2312" w:eastAsia="仿宋_GB2312" w:cs="仿宋_GB2312"/>
          <w:sz w:val="24"/>
          <w:szCs w:val="24"/>
        </w:rPr>
        <w:t>本项目绩效再评</w:t>
      </w:r>
      <w:r>
        <w:rPr>
          <w:rFonts w:ascii="Arial Narrow" w:hAnsi="Arial Narrow" w:eastAsia="仿宋_GB2312" w:cs="仿宋_GB2312"/>
          <w:sz w:val="24"/>
          <w:szCs w:val="24"/>
        </w:rPr>
        <w:t>价以100分计，设项目决策、项目执行过程、项目产出、项目效益4个一级指标，权重分别为：19%、20%、30%、31%。在此基础上设定13个二级指标（项目立项、绩效目标、资金投入、资金管理、组织实施、产出数量、产出质量、产出时效、产出成本、社会效益、生态效益、可持续性、满意度），设22个三级指标（详见后附“寻甸县城市管理局倘甸镇区管理专项经费项目支出绩效评价指标体</w:t>
      </w:r>
      <w:r>
        <w:rPr>
          <w:rFonts w:hint="eastAsia" w:ascii="仿宋_GB2312" w:hAnsi="仿宋_GB2312" w:eastAsia="仿宋_GB2312" w:cs="仿宋_GB2312"/>
          <w:sz w:val="24"/>
          <w:szCs w:val="24"/>
        </w:rPr>
        <w:t>系及评分表”）。</w:t>
      </w:r>
    </w:p>
    <w:p w14:paraId="6211C0A9">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2.评价标准</w:t>
      </w:r>
    </w:p>
    <w:p w14:paraId="53532F90">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（1）项目支出评价</w:t>
      </w:r>
      <w:r>
        <w:rPr>
          <w:rFonts w:ascii="Arial Narrow" w:hAnsi="Arial Narrow" w:eastAsia="仿宋_GB2312" w:cs="仿宋_GB2312"/>
          <w:sz w:val="24"/>
          <w:szCs w:val="24"/>
        </w:rPr>
        <w:t>得分满分为100分。</w:t>
      </w:r>
    </w:p>
    <w:p w14:paraId="3C5285F9">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（2）由审计评价组根据评价情况，对各单项指标分别进行独立打分。</w:t>
      </w:r>
    </w:p>
    <w:p w14:paraId="0061142C">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（3）总评价分为各单项指标得分总和。</w:t>
      </w:r>
    </w:p>
    <w:p w14:paraId="56A89539">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（4）评价结果：根据最终得分情况将评价结</w:t>
      </w:r>
      <w:r>
        <w:rPr>
          <w:rFonts w:ascii="Arial Narrow" w:hAnsi="Arial Narrow" w:eastAsia="仿宋_GB2312" w:cs="仿宋_GB2312"/>
          <w:sz w:val="24"/>
          <w:szCs w:val="24"/>
        </w:rPr>
        <w:t>果分为四个等级：优（得分≥90分）；良（80分≤得分＜90分）；中（60≤得分＜80分）；差（得分＜60分）。</w:t>
      </w:r>
    </w:p>
    <w:p w14:paraId="5287C9FC">
      <w:pPr>
        <w:spacing w:after="240" w:line="360" w:lineRule="auto"/>
        <w:ind w:firstLine="424" w:firstLineChars="177"/>
        <w:rPr>
          <w:rFonts w:ascii="仿宋_GB2312" w:hAnsi="仿宋_GB2312" w:eastAsia="仿宋_GB2312" w:cs="仿宋_GB2312"/>
          <w:sz w:val="24"/>
          <w:szCs w:val="24"/>
        </w:rPr>
      </w:pPr>
      <w:bookmarkStart w:id="17" w:name="_Toc7874"/>
      <w:bookmarkStart w:id="18" w:name="_Toc25624"/>
      <w:r>
        <w:rPr>
          <w:rFonts w:hint="eastAsia" w:ascii="仿宋_GB2312" w:hAnsi="仿宋_GB2312" w:eastAsia="仿宋_GB2312" w:cs="仿宋_GB2312"/>
          <w:sz w:val="24"/>
          <w:szCs w:val="24"/>
        </w:rPr>
        <w:t>3.数据来源</w:t>
      </w:r>
      <w:bookmarkEnd w:id="17"/>
      <w:bookmarkEnd w:id="18"/>
    </w:p>
    <w:p w14:paraId="103F729C">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绩效再评价评数据由城市管理局提供。</w:t>
      </w:r>
    </w:p>
    <w:bookmarkEnd w:id="16"/>
    <w:p w14:paraId="2FF84F72">
      <w:pPr>
        <w:spacing w:after="240" w:line="360" w:lineRule="auto"/>
        <w:ind w:firstLine="426" w:firstLineChars="177"/>
        <w:rPr>
          <w:rFonts w:ascii="仿宋_GB2312" w:hAnsi="仿宋_GB2312" w:eastAsia="仿宋_GB2312" w:cs="仿宋_GB2312"/>
          <w:b/>
          <w:bCs/>
          <w:sz w:val="24"/>
          <w:szCs w:val="24"/>
        </w:rPr>
      </w:pPr>
      <w:bookmarkStart w:id="19" w:name="_Toc502134862"/>
      <w:r>
        <w:rPr>
          <w:rFonts w:hint="eastAsia" w:ascii="仿宋_GB2312" w:hAnsi="仿宋_GB2312" w:eastAsia="仿宋_GB2312" w:cs="仿宋_GB2312"/>
          <w:b/>
          <w:bCs/>
          <w:sz w:val="24"/>
          <w:szCs w:val="24"/>
        </w:rPr>
        <w:t>四、绩效再评价结论</w:t>
      </w:r>
      <w:bookmarkEnd w:id="19"/>
    </w:p>
    <w:p w14:paraId="33057CD0">
      <w:pPr>
        <w:spacing w:after="240" w:line="360" w:lineRule="auto"/>
        <w:ind w:firstLine="426" w:firstLineChars="177"/>
        <w:rPr>
          <w:rFonts w:ascii="仿宋_GB2312" w:hAnsi="仿宋_GB2312" w:eastAsia="仿宋_GB2312" w:cs="仿宋_GB2312"/>
          <w:b/>
          <w:bCs/>
          <w:sz w:val="24"/>
          <w:szCs w:val="24"/>
          <w:highlight w:val="yellow"/>
        </w:rPr>
      </w:pPr>
      <w:bookmarkStart w:id="20" w:name="_Toc502134863"/>
      <w:bookmarkStart w:id="21" w:name="_Toc498009780"/>
      <w:r>
        <w:rPr>
          <w:rFonts w:hint="eastAsia" w:ascii="仿宋_GB2312" w:hAnsi="仿宋_GB2312" w:eastAsia="仿宋_GB2312" w:cs="仿宋_GB2312"/>
          <w:b/>
          <w:bCs/>
          <w:sz w:val="24"/>
          <w:szCs w:val="24"/>
        </w:rPr>
        <w:t>（一）绩效再评价综合结论</w:t>
      </w:r>
      <w:bookmarkEnd w:id="20"/>
      <w:bookmarkEnd w:id="21"/>
    </w:p>
    <w:p w14:paraId="6086F0CD">
      <w:pPr>
        <w:spacing w:after="240" w:line="360" w:lineRule="auto"/>
        <w:ind w:firstLine="424" w:firstLineChars="177"/>
        <w:rPr>
          <w:rFonts w:ascii="仿宋_GB2312" w:hAnsi="仿宋_GB2312" w:eastAsia="仿宋_GB2312" w:cs="仿宋_GB2312"/>
          <w:sz w:val="24"/>
          <w:szCs w:val="24"/>
        </w:rPr>
      </w:pPr>
      <w:bookmarkStart w:id="22" w:name="_Toc498009781"/>
      <w:r>
        <w:rPr>
          <w:rFonts w:ascii="Arial Narrow" w:hAnsi="Arial Narrow" w:eastAsia="仿宋_GB2312" w:cs="仿宋_GB2312"/>
          <w:sz w:val="24"/>
          <w:szCs w:val="24"/>
        </w:rPr>
        <w:t>2020年倘甸镇区管理专项经费项目绩效再评价综合评分91.23分，评价等级“优”。综合评价结论：2020年倘甸镇区管理专项经费项目已实施完成，实施效果优良，</w:t>
      </w:r>
      <w:bookmarkStart w:id="23" w:name="_Toc502134864"/>
      <w:r>
        <w:rPr>
          <w:rFonts w:ascii="Arial Narrow" w:hAnsi="Arial Narrow" w:eastAsia="仿宋_GB2312" w:cs="仿宋_GB2312"/>
          <w:sz w:val="24"/>
          <w:szCs w:val="24"/>
        </w:rPr>
        <w:t>改善了居民生活环境，营造了良好的形</w:t>
      </w:r>
      <w:r>
        <w:rPr>
          <w:rFonts w:hint="eastAsia" w:ascii="仿宋_GB2312" w:hAnsi="仿宋_GB2312" w:eastAsia="仿宋_GB2312" w:cs="仿宋_GB2312"/>
          <w:sz w:val="24"/>
          <w:szCs w:val="24"/>
        </w:rPr>
        <w:t>象及卫生环境。</w:t>
      </w:r>
    </w:p>
    <w:p w14:paraId="1CBC40F9">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（二）绩效目标实现情况</w:t>
      </w:r>
      <w:bookmarkEnd w:id="22"/>
      <w:bookmarkEnd w:id="23"/>
    </w:p>
    <w:p w14:paraId="5EA43E0E">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绩效目标实现情况综合结论：项目主要绩效目标圆满实现，项目实施社会效益和生态效益显著，可持续性影响认可率高，年度目标完成率及受益对</w:t>
      </w:r>
      <w:r>
        <w:rPr>
          <w:rFonts w:ascii="Arial Narrow" w:hAnsi="Arial Narrow" w:eastAsia="仿宋_GB2312" w:cs="仿宋_GB2312"/>
          <w:sz w:val="24"/>
          <w:szCs w:val="24"/>
        </w:rPr>
        <w:t>象满意度达90%以上</w:t>
      </w:r>
      <w:r>
        <w:rPr>
          <w:rFonts w:hint="eastAsia" w:ascii="仿宋_GB2312" w:hAnsi="仿宋_GB2312" w:eastAsia="仿宋_GB2312" w:cs="仿宋_GB2312"/>
          <w:sz w:val="24"/>
          <w:szCs w:val="24"/>
        </w:rPr>
        <w:t>。</w:t>
      </w:r>
    </w:p>
    <w:p w14:paraId="14C66D2F">
      <w:pPr>
        <w:spacing w:after="240" w:line="360" w:lineRule="auto"/>
        <w:ind w:firstLine="426" w:firstLineChars="177"/>
        <w:rPr>
          <w:rFonts w:ascii="仿宋_GB2312" w:hAnsi="仿宋_GB2312" w:eastAsia="仿宋_GB2312" w:cs="仿宋_GB2312"/>
          <w:b/>
          <w:bCs/>
          <w:sz w:val="24"/>
          <w:szCs w:val="24"/>
        </w:rPr>
      </w:pPr>
      <w:bookmarkStart w:id="24" w:name="_Toc502134865"/>
      <w:bookmarkStart w:id="25" w:name="_Toc498009782"/>
      <w:r>
        <w:rPr>
          <w:rFonts w:hint="eastAsia" w:ascii="仿宋_GB2312" w:hAnsi="仿宋_GB2312" w:eastAsia="仿宋_GB2312" w:cs="仿宋_GB2312"/>
          <w:b/>
          <w:bCs/>
          <w:sz w:val="24"/>
          <w:szCs w:val="24"/>
        </w:rPr>
        <w:t>（三）绩效自评与再评价差异分析</w:t>
      </w:r>
      <w:bookmarkEnd w:id="24"/>
      <w:bookmarkEnd w:id="25"/>
    </w:p>
    <w:p w14:paraId="0B23752D">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一是评价程序存在差异。绩效自评由城市管理局汇总相关资料，得出自评结论，未进行现场抽查。绩效再评价通过收集与项目相关资料、编制实施方案、开展实地评价、数据汇总分析、撰写报告的方式开展。二是再评价完善了绩效指标，提高了量化指标的比例，再评价指标将自评的定性指标设置为定量指标，使评价的范围、尺度更加明确。</w:t>
      </w:r>
    </w:p>
    <w:p w14:paraId="7FC770F8">
      <w:pPr>
        <w:spacing w:after="240" w:line="360" w:lineRule="auto"/>
        <w:ind w:firstLine="426" w:firstLineChars="177"/>
        <w:rPr>
          <w:rFonts w:ascii="仿宋_GB2312" w:hAnsi="仿宋_GB2312" w:eastAsia="仿宋_GB2312" w:cs="仿宋_GB2312"/>
          <w:b/>
          <w:bCs/>
          <w:sz w:val="24"/>
          <w:szCs w:val="24"/>
        </w:rPr>
      </w:pPr>
      <w:bookmarkStart w:id="26" w:name="_Toc498009783"/>
      <w:bookmarkStart w:id="27" w:name="_Toc502134866"/>
      <w:r>
        <w:rPr>
          <w:rFonts w:hint="eastAsia" w:ascii="仿宋_GB2312" w:hAnsi="仿宋_GB2312" w:eastAsia="仿宋_GB2312" w:cs="仿宋_GB2312"/>
          <w:b/>
          <w:bCs/>
          <w:sz w:val="24"/>
          <w:szCs w:val="24"/>
        </w:rPr>
        <w:t>五、绩效再评价情况分析</w:t>
      </w:r>
      <w:bookmarkEnd w:id="26"/>
      <w:bookmarkEnd w:id="27"/>
    </w:p>
    <w:p w14:paraId="46FE5C2C">
      <w:pPr>
        <w:spacing w:after="240" w:line="360" w:lineRule="auto"/>
        <w:ind w:firstLine="426" w:firstLineChars="177"/>
        <w:rPr>
          <w:rFonts w:ascii="仿宋_GB2312" w:hAnsi="仿宋_GB2312" w:eastAsia="仿宋_GB2312" w:cs="仿宋_GB2312"/>
          <w:b/>
          <w:bCs/>
          <w:sz w:val="24"/>
          <w:szCs w:val="24"/>
        </w:rPr>
      </w:pPr>
      <w:bookmarkStart w:id="28" w:name="_Toc502134867"/>
      <w:bookmarkStart w:id="29" w:name="_Toc498009784"/>
      <w:r>
        <w:rPr>
          <w:rFonts w:hint="eastAsia" w:ascii="仿宋_GB2312" w:hAnsi="仿宋_GB2312" w:eastAsia="仿宋_GB2312" w:cs="仿宋_GB2312"/>
          <w:b/>
          <w:bCs/>
          <w:sz w:val="24"/>
          <w:szCs w:val="24"/>
        </w:rPr>
        <w:t>（一）项目决策分析</w:t>
      </w:r>
      <w:bookmarkEnd w:id="28"/>
      <w:bookmarkEnd w:id="29"/>
    </w:p>
    <w:p w14:paraId="5CE062A9">
      <w:pPr>
        <w:spacing w:after="240" w:line="360" w:lineRule="auto"/>
        <w:ind w:firstLine="424" w:firstLineChars="177"/>
        <w:rPr>
          <w:rFonts w:ascii="Arial Narrow" w:hAnsi="Arial Narrow" w:eastAsia="仿宋_GB2312" w:cs="仿宋_GB2312"/>
          <w:sz w:val="24"/>
          <w:szCs w:val="24"/>
        </w:rPr>
      </w:pPr>
      <w:r>
        <w:rPr>
          <w:rFonts w:hint="eastAsia" w:ascii="仿宋_GB2312" w:hAnsi="仿宋_GB2312" w:eastAsia="仿宋_GB2312" w:cs="仿宋_GB2312"/>
          <w:sz w:val="24"/>
          <w:szCs w:val="24"/>
        </w:rPr>
        <w:t>项目决策指标</w:t>
      </w:r>
      <w:r>
        <w:rPr>
          <w:rFonts w:ascii="Arial Narrow" w:hAnsi="Arial Narrow" w:eastAsia="仿宋_GB2312" w:cs="仿宋_GB2312"/>
          <w:sz w:val="24"/>
          <w:szCs w:val="24"/>
        </w:rPr>
        <w:t>满分19分，再评价综合评分17分（占该项满分值的89.47%），具体情况分析如下：</w:t>
      </w:r>
      <w:bookmarkStart w:id="30" w:name="_Toc502134868"/>
    </w:p>
    <w:p w14:paraId="6FD64AD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项目立项依据充分，符合国家法律法规、国民经济发展规划、行业发展规划和相关政策要求，与《寻甸县“十四五”城市管理规划》及部门职能职责等相匹配、适应，属于部门履职所需。属于公共财政支持范围，未与相关部门同类项目或部门内部相关项目重复。寻甸回族彝族自治县城倘甸镇</w:t>
      </w:r>
      <w:r>
        <w:rPr>
          <w:rFonts w:hint="eastAsia" w:ascii="Arial Narrow" w:hAnsi="Arial Narrow" w:eastAsia="仿宋_GB2312" w:cs="仿宋_GB2312"/>
          <w:sz w:val="24"/>
          <w:szCs w:val="24"/>
          <w:lang w:eastAsia="zh-CN"/>
        </w:rPr>
        <w:t>人民政府</w:t>
      </w:r>
      <w:r>
        <w:rPr>
          <w:rFonts w:ascii="Arial Narrow" w:hAnsi="Arial Narrow" w:eastAsia="仿宋_GB2312" w:cs="仿宋_GB2312"/>
          <w:sz w:val="24"/>
          <w:szCs w:val="24"/>
        </w:rPr>
        <w:t>按照政府采购管理规定于2020年3月30日通过公开招投标，最终确定昆明林桦物业服务有限公司为“倘甸镇2020年度环卫承包服务”项目的中标单位，并签订《倘甸镇2020年环卫承包合同书》，项目立项程序基本规范，但未报批《项目实施方案》或类似资</w:t>
      </w:r>
      <w:r>
        <w:rPr>
          <w:rFonts w:hint="eastAsia" w:ascii="仿宋_GB2312" w:hAnsi="仿宋_GB2312" w:eastAsia="仿宋_GB2312" w:cs="仿宋_GB2312"/>
          <w:sz w:val="24"/>
          <w:szCs w:val="24"/>
        </w:rPr>
        <w:t>料。</w:t>
      </w:r>
    </w:p>
    <w:p w14:paraId="0B6C5179">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项目所设定的绩效目标与实际工作内容具有相关性，与预算确定的项目投资额或资金量相匹配，符合客观实际、国家相关法律法规、国民经济发展规划和党委政府决策等。所设定的绩效目标基本细化分解为具体的工作任务，与项目年度的任务数或计划数基本相符，但根据提供的绩效目标申报表，存在绩效目标表填列不规范，设定的个别绩效目标未通过清晰、可衡量的指标及指标值予以体现，未设定最能体现项目绩效目标实现程度和项目实施部门职能履职情况的关键的、核心的绩效指标。个别绩效指标及指标值不便于监控和评价。</w:t>
      </w:r>
    </w:p>
    <w:p w14:paraId="07F3A54F">
      <w:pPr>
        <w:pStyle w:val="2"/>
        <w:spacing w:after="240" w:line="360" w:lineRule="auto"/>
        <w:ind w:firstLine="480" w:firstLineChars="200"/>
        <w:rPr>
          <w:rFonts w:ascii="仿宋_GB2312" w:hAnsi="仿宋_GB2312" w:eastAsia="仿宋_GB2312" w:cs="仿宋_GB2312"/>
        </w:rPr>
      </w:pPr>
      <w:r>
        <w:rPr>
          <w:rFonts w:hint="eastAsia" w:ascii="仿宋_GB2312" w:hAnsi="仿宋_GB2312" w:eastAsia="仿宋_GB2312" w:cs="仿宋_GB2312"/>
          <w:sz w:val="24"/>
          <w:szCs w:val="24"/>
        </w:rPr>
        <w:t>3.项目支出预算依据充分、合理，与项目实际实施内容相匹配，确定的项目投资额或资金量与工作任务相匹配，预算资金分配依据充分，资金分配额度合理，与项目单位或地方实际相适应，按每</w:t>
      </w:r>
      <w:r>
        <w:rPr>
          <w:rFonts w:ascii="Arial Narrow" w:hAnsi="Arial Narrow" w:eastAsia="仿宋_GB2312" w:cs="仿宋_GB2312"/>
          <w:sz w:val="24"/>
          <w:szCs w:val="24"/>
        </w:rPr>
        <w:t>年100万元</w:t>
      </w:r>
      <w:r>
        <w:rPr>
          <w:rFonts w:hint="eastAsia" w:ascii="仿宋_GB2312" w:hAnsi="仿宋_GB2312" w:eastAsia="仿宋_GB2312" w:cs="仿宋_GB2312"/>
          <w:sz w:val="24"/>
          <w:szCs w:val="24"/>
        </w:rPr>
        <w:t>预算。</w:t>
      </w:r>
    </w:p>
    <w:p w14:paraId="5054D4DA">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（二</w:t>
      </w:r>
      <w:bookmarkStart w:id="31" w:name="_Toc498009785"/>
      <w:r>
        <w:rPr>
          <w:rFonts w:hint="eastAsia" w:ascii="仿宋_GB2312" w:hAnsi="仿宋_GB2312" w:eastAsia="仿宋_GB2312" w:cs="仿宋_GB2312"/>
          <w:b/>
          <w:bCs/>
          <w:sz w:val="24"/>
          <w:szCs w:val="24"/>
        </w:rPr>
        <w:t>）项目管理情况分析</w:t>
      </w:r>
      <w:bookmarkEnd w:id="30"/>
      <w:bookmarkEnd w:id="31"/>
    </w:p>
    <w:p w14:paraId="1358C246">
      <w:pPr>
        <w:spacing w:after="240" w:line="360" w:lineRule="auto"/>
        <w:ind w:firstLine="424" w:firstLineChars="177"/>
        <w:rPr>
          <w:rFonts w:ascii="Arial Narrow" w:hAnsi="Arial Narrow" w:eastAsia="仿宋_GB2312" w:cs="仿宋_GB2312"/>
          <w:sz w:val="24"/>
          <w:szCs w:val="24"/>
        </w:rPr>
      </w:pPr>
      <w:r>
        <w:rPr>
          <w:rFonts w:hint="eastAsia" w:ascii="仿宋_GB2312" w:hAnsi="仿宋_GB2312" w:eastAsia="仿宋_GB2312" w:cs="仿宋_GB2312"/>
          <w:sz w:val="24"/>
          <w:szCs w:val="24"/>
        </w:rPr>
        <w:t>项目管理满</w:t>
      </w:r>
      <w:r>
        <w:rPr>
          <w:rFonts w:ascii="Arial Narrow" w:hAnsi="Arial Narrow" w:eastAsia="仿宋_GB2312" w:cs="仿宋_GB2312"/>
          <w:sz w:val="24"/>
          <w:szCs w:val="24"/>
        </w:rPr>
        <w:t>分20分，再评价综合评分16分（占该项满分值的80%），具体情况分析如下：</w:t>
      </w:r>
      <w:bookmarkStart w:id="32" w:name="_Toc502134869"/>
      <w:bookmarkStart w:id="33" w:name="_Toc498009786"/>
    </w:p>
    <w:p w14:paraId="402EE13B">
      <w:pPr>
        <w:spacing w:after="240" w:line="360" w:lineRule="auto"/>
        <w:ind w:firstLine="424" w:firstLineChars="177"/>
        <w:rPr>
          <w:rFonts w:ascii="Arial Narrow" w:hAnsi="Arial Narrow" w:eastAsia="仿宋_GB2312" w:cs="仿宋_GB2312"/>
          <w:sz w:val="24"/>
          <w:szCs w:val="24"/>
        </w:rPr>
      </w:pPr>
      <w:r>
        <w:rPr>
          <w:rFonts w:hint="eastAsia" w:ascii="仿宋_GB2312" w:hAnsi="仿宋_GB2312" w:eastAsia="仿宋_GB2312" w:cs="仿宋_GB2312"/>
          <w:sz w:val="24"/>
          <w:szCs w:val="24"/>
        </w:rPr>
        <w:t>1.</w:t>
      </w:r>
      <w:r>
        <w:rPr>
          <w:rFonts w:ascii="Arial Narrow" w:hAnsi="Arial Narrow" w:eastAsia="仿宋_GB2312" w:cs="仿宋_GB2312"/>
          <w:sz w:val="24"/>
          <w:szCs w:val="24"/>
        </w:rPr>
        <w:t>2020年安排倘甸镇区管理专项经费项目预算资金1,000,000元，根据项目支出台账，2020年倘甸镇区管理专项经费项目实际到位资金1,000,000元，资金到位率100%。</w:t>
      </w:r>
    </w:p>
    <w:p w14:paraId="77958BB2">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2.项</w:t>
      </w:r>
      <w:r>
        <w:rPr>
          <w:rFonts w:ascii="Arial Narrow" w:hAnsi="Arial Narrow" w:eastAsia="仿宋_GB2312" w:cs="仿宋_GB2312"/>
          <w:sz w:val="24"/>
          <w:szCs w:val="24"/>
        </w:rPr>
        <w:t>目支出预算依据充分、合理，基本能够与预算确定的项目投资额相匹配；2020年项目预算收入1,000,000元，根据提供项目支出台账，截至2020年12月31日，共计支付相关费用1,000,000元，预算执行率为100%。2020年项目不存在调整。</w:t>
      </w:r>
    </w:p>
    <w:p w14:paraId="58068F90">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3.2020年度，项目实际使用资</w:t>
      </w:r>
      <w:r>
        <w:rPr>
          <w:rFonts w:ascii="Arial Narrow" w:hAnsi="Arial Narrow" w:eastAsia="仿宋_GB2312" w:cs="仿宋_GB2312"/>
          <w:sz w:val="24"/>
          <w:szCs w:val="24"/>
        </w:rPr>
        <w:t>金1,000,000元，基本符合国家财经法规和财务管理制度以及有关专项资金管理办法的规定，资金的拨付基本</w:t>
      </w:r>
      <w:r>
        <w:rPr>
          <w:rFonts w:hint="eastAsia" w:ascii="仿宋_GB2312" w:hAnsi="仿宋_GB2312" w:eastAsia="仿宋_GB2312" w:cs="仿宋_GB2312"/>
          <w:sz w:val="24"/>
          <w:szCs w:val="24"/>
        </w:rPr>
        <w:t>有完整的审批程序和手续；项目支出基本符合预算规定的用途。抽查未发现截留、挤占、挪用等情况。但抽查发现存在财务报销不合规，涉嫌虚列支出的情况。</w:t>
      </w:r>
    </w:p>
    <w:p w14:paraId="3461706F">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4.项目财务管理执行《寻甸县城市管理局财务管理制度》、《寻甸回族彝族自治县城市管理局会计、出纳职能职责管理规定》等有关规定，相关制度基本健全。</w:t>
      </w:r>
    </w:p>
    <w:p w14:paraId="70506854">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5.项目在业务管理方面执行国家有关法律法规，相关管理制度基本能够得到有效的执行。项目实施的人员条件、场地设备、执行能力、信息支撑等落实到位。项目合同管理基本规范，政府采购程序基本合法合规等，但未按规定报批项目实施方案或类似资料，项目资料保管分散，未及时整理归档，绩效跟踪报告存在明显后补、财务报销不合规等情况。</w:t>
      </w:r>
    </w:p>
    <w:p w14:paraId="521BC08C">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（三）项目产出情况分析</w:t>
      </w:r>
    </w:p>
    <w:p w14:paraId="18DC8E2F">
      <w:pPr>
        <w:spacing w:after="240" w:line="360" w:lineRule="auto"/>
        <w:ind w:firstLine="424" w:firstLineChars="177"/>
        <w:rPr>
          <w:rFonts w:ascii="Arial Narrow" w:hAnsi="Arial Narrow" w:eastAsia="仿宋_GB2312" w:cs="仿宋_GB2312"/>
          <w:sz w:val="24"/>
          <w:szCs w:val="24"/>
        </w:rPr>
      </w:pPr>
      <w:r>
        <w:rPr>
          <w:rFonts w:ascii="Arial Narrow" w:hAnsi="Arial Narrow" w:eastAsia="仿宋_GB2312" w:cs="仿宋_GB2312"/>
          <w:sz w:val="24"/>
          <w:szCs w:val="24"/>
        </w:rPr>
        <w:t>项目产出指标满分30分，再评价综合评分28.23分（占该项满分值的94.10%），具体情况分析如下：</w:t>
      </w:r>
    </w:p>
    <w:p w14:paraId="18DE2DB4">
      <w:pPr>
        <w:spacing w:after="240" w:line="360" w:lineRule="auto"/>
        <w:ind w:firstLine="424" w:firstLineChars="177"/>
        <w:rPr>
          <w:rFonts w:ascii="Arial Narrow" w:hAnsi="Arial Narrow" w:eastAsia="仿宋_GB2312" w:cs="仿宋_GB2312"/>
          <w:sz w:val="24"/>
          <w:szCs w:val="24"/>
        </w:rPr>
      </w:pPr>
      <w:r>
        <w:rPr>
          <w:rFonts w:ascii="Arial Narrow" w:hAnsi="Arial Narrow" w:eastAsia="仿宋_GB2312" w:cs="仿宋_GB2312"/>
          <w:sz w:val="24"/>
          <w:szCs w:val="24"/>
        </w:rPr>
        <w:t>2020年度，城市管理局为主管部门、昆明林桦物业服务有限公司和倘甸中队具体实施的倘甸镇区管理经费项目，取得了良好的产出。对倘甸镇管辖规划区面积为11.7平方公里的32条市政道路设施、环境卫生保洁，市容市貌、绿化带、园博园绿化及镇内雨污管道管理等城市管理事务均已完成，实际完成率100%。倘甸中队采取“日常巡查、不定期检查，一月一考核”的方式对昆明林桦物业服务有限公司负责实施的倘甸镇区城市管理情况进行检查考核评分，并纳入当月考核兑现，作为年度履约服务质量考评依据，年度考评平均得分92.92分。</w:t>
      </w:r>
    </w:p>
    <w:p w14:paraId="4642BC7D">
      <w:pPr>
        <w:spacing w:after="240" w:line="360" w:lineRule="auto"/>
        <w:ind w:firstLine="426" w:firstLineChars="177"/>
        <w:rPr>
          <w:rFonts w:ascii="仿宋_GB2312" w:hAnsi="仿宋_GB2312" w:eastAsia="仿宋_GB2312" w:cs="仿宋_GB2312"/>
          <w:sz w:val="24"/>
          <w:szCs w:val="24"/>
        </w:rPr>
      </w:pPr>
      <w:r>
        <w:rPr>
          <w:rFonts w:hint="eastAsia" w:ascii="仿宋_GB2312" w:hAnsi="仿宋_GB2312" w:eastAsia="仿宋_GB2312" w:cs="仿宋_GB2312"/>
          <w:b/>
          <w:bCs/>
          <w:sz w:val="24"/>
          <w:szCs w:val="24"/>
        </w:rPr>
        <w:t>（四）项目绩效情况分析</w:t>
      </w:r>
      <w:bookmarkEnd w:id="32"/>
      <w:bookmarkEnd w:id="33"/>
      <w:bookmarkStart w:id="34" w:name="_Toc498009787"/>
      <w:bookmarkStart w:id="35" w:name="_Toc502134870"/>
    </w:p>
    <w:p w14:paraId="028BD462">
      <w:pPr>
        <w:spacing w:after="240" w:line="360" w:lineRule="auto"/>
        <w:ind w:firstLine="424" w:firstLineChars="177"/>
        <w:rPr>
          <w:rFonts w:ascii="Arial Narrow" w:hAnsi="Arial Narrow" w:eastAsia="仿宋_GB2312" w:cs="仿宋_GB2312"/>
          <w:sz w:val="24"/>
          <w:szCs w:val="24"/>
        </w:rPr>
      </w:pPr>
      <w:r>
        <w:rPr>
          <w:rFonts w:ascii="Arial Narrow" w:hAnsi="Arial Narrow" w:eastAsia="仿宋_GB2312" w:cs="仿宋_GB2312"/>
          <w:sz w:val="24"/>
          <w:szCs w:val="24"/>
        </w:rPr>
        <w:t>项目绩效指标满分31分，再评价综合评分30分（占该项满分值的96.77%），具体情况分析如下：</w:t>
      </w:r>
    </w:p>
    <w:p w14:paraId="0EFE2516">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通过项目的实施，倘甸镇区管理专项经费项目得到很好的实施，对倘甸镇集镇区各条街道划分进行清洁保洁，对马街、海子、白章</w:t>
      </w:r>
      <w:r>
        <w:rPr>
          <w:rFonts w:ascii="Arial Narrow" w:hAnsi="Arial Narrow" w:eastAsia="仿宋_GB2312" w:cs="仿宋_GB2312"/>
          <w:sz w:val="24"/>
          <w:szCs w:val="24"/>
        </w:rPr>
        <w:t>、新华4个村委会</w:t>
      </w:r>
      <w:r>
        <w:rPr>
          <w:rFonts w:hint="eastAsia" w:ascii="仿宋_GB2312" w:hAnsi="仿宋_GB2312" w:eastAsia="仿宋_GB2312" w:cs="仿宋_GB2312"/>
          <w:sz w:val="24"/>
          <w:szCs w:val="24"/>
        </w:rPr>
        <w:t>的垃圾及时清运，年度服务达到了项目合同作业标准，无论是镇区城市管理覆盖面、脏、乱、差、违治理、人居环境的改善等方面，还是城镇绿化、城镇垃圾无害化处理等方面，均取得了令受益对象满意的成果，实现了良好的社会效益和生态效益。</w:t>
      </w:r>
    </w:p>
    <w:p w14:paraId="37F233DB">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通过</w:t>
      </w:r>
      <w:r>
        <w:rPr>
          <w:rFonts w:ascii="Arial Narrow" w:hAnsi="Arial Narrow" w:eastAsia="仿宋_GB2312" w:cs="仿宋_GB2312"/>
          <w:sz w:val="24"/>
          <w:szCs w:val="24"/>
        </w:rPr>
        <w:t>对20份社</w:t>
      </w:r>
      <w:r>
        <w:rPr>
          <w:rFonts w:hint="eastAsia" w:ascii="仿宋_GB2312" w:hAnsi="仿宋_GB2312" w:eastAsia="仿宋_GB2312" w:cs="仿宋_GB2312"/>
          <w:sz w:val="24"/>
          <w:szCs w:val="24"/>
        </w:rPr>
        <w:t>会公众或服务对象满意度调查问卷统计分析，服务对象对寻甸回族彝族自治县城市管理局倘甸镇区管理专项经费项目开展情况比较满意。</w:t>
      </w:r>
    </w:p>
    <w:bookmarkEnd w:id="34"/>
    <w:bookmarkEnd w:id="35"/>
    <w:p w14:paraId="2367422E">
      <w:pPr>
        <w:spacing w:after="240" w:line="360" w:lineRule="auto"/>
        <w:ind w:firstLine="424" w:firstLineChars="177"/>
        <w:rPr>
          <w:rFonts w:ascii="仿宋_GB2312" w:hAnsi="仿宋_GB2312" w:eastAsia="仿宋_GB2312" w:cs="仿宋_GB2312"/>
          <w:sz w:val="24"/>
          <w:szCs w:val="24"/>
        </w:rPr>
      </w:pPr>
      <w:bookmarkStart w:id="36" w:name="_Toc498009788"/>
      <w:bookmarkStart w:id="37" w:name="_Toc502134871"/>
      <w:r>
        <w:rPr>
          <w:rFonts w:hint="eastAsia" w:ascii="仿宋_GB2312" w:hAnsi="仿宋_GB2312" w:eastAsia="仿宋_GB2312" w:cs="仿宋_GB2312"/>
          <w:sz w:val="24"/>
          <w:szCs w:val="24"/>
        </w:rPr>
        <w:t>寻甸回族彝族自治县城市管理局局作为县政府工作部门，严格履行部门职责。做好倘甸镇区管理专项经费项目，使得寻甸县的经济社会得到可持续的发展。</w:t>
      </w:r>
    </w:p>
    <w:p w14:paraId="3C821B95">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六、主要经验及做法</w:t>
      </w:r>
      <w:bookmarkEnd w:id="36"/>
      <w:bookmarkEnd w:id="37"/>
    </w:p>
    <w:p w14:paraId="2C71782A">
      <w:pPr>
        <w:spacing w:after="240" w:line="360" w:lineRule="auto"/>
        <w:ind w:firstLine="424" w:firstLineChars="177"/>
        <w:rPr>
          <w:rFonts w:ascii="仿宋_GB2312" w:hAnsi="仿宋_GB2312" w:eastAsia="仿宋_GB2312" w:cs="仿宋_GB2312"/>
          <w:sz w:val="24"/>
          <w:szCs w:val="24"/>
        </w:rPr>
      </w:pPr>
      <w:bookmarkStart w:id="38" w:name="_Toc498009789"/>
      <w:bookmarkStart w:id="39" w:name="_Toc502134872"/>
      <w:r>
        <w:rPr>
          <w:rFonts w:hint="eastAsia" w:ascii="仿宋_GB2312" w:hAnsi="仿宋_GB2312" w:eastAsia="仿宋_GB2312" w:cs="仿宋_GB2312"/>
          <w:sz w:val="24"/>
          <w:szCs w:val="24"/>
        </w:rPr>
        <w:t>加强环境卫生整治，实施长效管理，扎实开展市容市貌环境卫生综合整治。采取“日常巡查、不定期检查，一月一考核”的方式对服务方实施的倘甸镇区城市管理情况进行检查考核评分，并纳入当月考核兑现，作为年度履约服务质量考评依据。</w:t>
      </w:r>
    </w:p>
    <w:p w14:paraId="1DEBB982">
      <w:pPr>
        <w:spacing w:after="240" w:line="360" w:lineRule="auto"/>
        <w:ind w:firstLine="426" w:firstLineChars="177"/>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七、存在的主要问题</w:t>
      </w:r>
      <w:bookmarkEnd w:id="38"/>
      <w:bookmarkEnd w:id="39"/>
    </w:p>
    <w:p w14:paraId="10AA8AC2">
      <w:pPr>
        <w:spacing w:after="240" w:line="360" w:lineRule="auto"/>
        <w:ind w:firstLine="426" w:firstLineChars="177"/>
        <w:rPr>
          <w:rFonts w:ascii="仿宋_GB2312" w:hAnsi="仿宋_GB2312" w:eastAsia="仿宋_GB2312" w:cs="仿宋_GB2312"/>
          <w:sz w:val="24"/>
          <w:szCs w:val="24"/>
        </w:rPr>
      </w:pPr>
      <w:bookmarkStart w:id="40" w:name="_Toc502134873"/>
      <w:bookmarkStart w:id="41" w:name="_Toc500364179"/>
      <w:bookmarkStart w:id="42" w:name="_Toc500440025"/>
      <w:bookmarkStart w:id="43" w:name="_Toc500589022"/>
      <w:bookmarkStart w:id="44" w:name="_Toc500202563"/>
      <w:bookmarkStart w:id="45" w:name="_Toc500849310"/>
      <w:r>
        <w:rPr>
          <w:rFonts w:hint="eastAsia" w:ascii="仿宋_GB2312" w:hAnsi="仿宋_GB2312" w:eastAsia="仿宋_GB2312" w:cs="仿宋_GB2312"/>
          <w:b/>
          <w:bCs/>
          <w:sz w:val="24"/>
          <w:szCs w:val="24"/>
        </w:rPr>
        <w:t>（一）绩效管理履职不到位</w:t>
      </w:r>
    </w:p>
    <w:p w14:paraId="7FD53506">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1.目标管理履职不到位</w:t>
      </w:r>
    </w:p>
    <w:p w14:paraId="79577683">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城市管理局倘甸镇区管理专项经费项目存在绩效目标表填列不规范，个别绩效目标未通过清晰、可衡量的指标及指标值予以体现，未设定最能体现项目绩效目标实现程度和项目实施部门职能履职情况的关键的、核心的绩效指标，个别绩效指标及指标值不便于监控和评价，无法提供该指标值的设定依据及数据来源。</w:t>
      </w:r>
    </w:p>
    <w:p w14:paraId="5A64674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2.绩效跟踪履职不到位</w:t>
      </w:r>
    </w:p>
    <w:p w14:paraId="1F42BD37">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绩效跟踪报告</w:t>
      </w:r>
      <w:r>
        <w:rPr>
          <w:rFonts w:ascii="Arial Narrow" w:hAnsi="Arial Narrow" w:eastAsia="仿宋_GB2312" w:cs="仿宋_GB2312"/>
          <w:sz w:val="24"/>
          <w:szCs w:val="24"/>
        </w:rPr>
        <w:t>日期为2020年1月，存在明显后补的情况。</w:t>
      </w:r>
    </w:p>
    <w:p w14:paraId="1C31F114">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上述做法与《关于推进预算绩效管理的指导意见》</w:t>
      </w:r>
      <w:r>
        <w:rPr>
          <w:rFonts w:ascii="Arial Narrow" w:hAnsi="Arial Narrow" w:eastAsia="仿宋_GB2312" w:cs="仿宋_GB2312"/>
          <w:sz w:val="24"/>
          <w:szCs w:val="24"/>
        </w:rPr>
        <w:t>（财预[2011]416号）</w:t>
      </w:r>
      <w:r>
        <w:rPr>
          <w:rFonts w:hint="eastAsia" w:ascii="仿宋_GB2312" w:hAnsi="仿宋_GB2312" w:eastAsia="仿宋_GB2312" w:cs="仿宋_GB2312"/>
          <w:sz w:val="24"/>
          <w:szCs w:val="24"/>
        </w:rPr>
        <w:t>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的规定不符。</w:t>
      </w:r>
    </w:p>
    <w:p w14:paraId="5A8B7A23">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（二）使用不合规发票报销</w:t>
      </w:r>
    </w:p>
    <w:p w14:paraId="658FFDFB">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抽查发现</w:t>
      </w:r>
      <w:r>
        <w:rPr>
          <w:rFonts w:ascii="Arial Narrow" w:hAnsi="Arial Narrow" w:eastAsia="仿宋_GB2312" w:cs="仿宋_GB2312"/>
          <w:sz w:val="24"/>
          <w:szCs w:val="24"/>
        </w:rPr>
        <w:t>，报销费用未及时严格检查报销凭证，使用不合规发票报销的情况，如：2020年10月18号凭证</w:t>
      </w:r>
      <w:r>
        <w:rPr>
          <w:rFonts w:hint="eastAsia" w:ascii="仿宋_GB2312" w:hAnsi="仿宋_GB2312" w:eastAsia="仿宋_GB2312" w:cs="仿宋_GB2312"/>
          <w:sz w:val="24"/>
          <w:szCs w:val="24"/>
        </w:rPr>
        <w:t>倘甸执法中队服装鞋帽标识牌购</w:t>
      </w:r>
      <w:r>
        <w:rPr>
          <w:rFonts w:ascii="Arial Narrow" w:hAnsi="Arial Narrow" w:eastAsia="仿宋_GB2312" w:cs="仿宋_GB2312"/>
          <w:sz w:val="24"/>
          <w:szCs w:val="24"/>
        </w:rPr>
        <w:t>买25,200.00元，报销发票经在“国家税务总局全国增值税发票查验平台查验，查无此票”。不符合《预</w:t>
      </w:r>
      <w:r>
        <w:rPr>
          <w:rFonts w:hint="eastAsia" w:ascii="仿宋_GB2312" w:hAnsi="仿宋_GB2312" w:eastAsia="仿宋_GB2312" w:cs="仿宋_GB2312"/>
          <w:sz w:val="24"/>
          <w:szCs w:val="24"/>
        </w:rPr>
        <w:t>算法》第五十七条“……各级政府、各部门、各单位的支出必须按照预算执行，不得虚假列支。”和《会计法》第十四条“……会计机构、会计人员必须按照国家统一的会计制度的规定对原始凭证进行审核，对不真实、不合法的原始凭证有权不予接受，并向单位负责人报告；……。”的规定。</w:t>
      </w:r>
    </w:p>
    <w:p w14:paraId="70E7027D">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（三）项目未报批项目实施方案</w:t>
      </w:r>
    </w:p>
    <w:p w14:paraId="321F8D58">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城市管理局倘甸镇区管理专项</w:t>
      </w:r>
      <w:r>
        <w:rPr>
          <w:rFonts w:ascii="Arial Narrow" w:hAnsi="Arial Narrow" w:eastAsia="仿宋_GB2312" w:cs="仿宋_GB2312"/>
          <w:sz w:val="24"/>
          <w:szCs w:val="24"/>
        </w:rPr>
        <w:t>经费项目未按规定报批项目实施方案，不复核《经济建设项目资金预算绩效管理规则》（财建[2013]165号）第十二条第（一）项“绩效目标设定。财政部可会同主管部门根据国民经济和社会发展规划、经济建设相关专项规划、申报实施方案等，通过与有关地方人民政府签署协议</w:t>
      </w:r>
      <w:r>
        <w:rPr>
          <w:rFonts w:hint="eastAsia" w:ascii="仿宋_GB2312" w:hAnsi="仿宋_GB2312" w:eastAsia="仿宋_GB2312" w:cs="仿宋_GB2312"/>
          <w:sz w:val="24"/>
          <w:szCs w:val="24"/>
        </w:rPr>
        <w:t>或批复 相关的实施方案等方式，明确一定时期内要完成的建设任务量、实现的社会效益、生态效益或经济效益和相应的绩效指标、投资规模、资金需求，以及为实现绩效目标应采取的工作程 序、技术路线、职责分工、长效机制、奖惩措施等多项内容。”的规定。</w:t>
      </w:r>
    </w:p>
    <w:bookmarkEnd w:id="40"/>
    <w:bookmarkEnd w:id="41"/>
    <w:bookmarkEnd w:id="42"/>
    <w:bookmarkEnd w:id="43"/>
    <w:bookmarkEnd w:id="44"/>
    <w:bookmarkEnd w:id="45"/>
    <w:p w14:paraId="68DDAF9A">
      <w:pPr>
        <w:spacing w:after="240" w:line="360" w:lineRule="auto"/>
        <w:ind w:firstLine="426" w:firstLineChars="177"/>
        <w:rPr>
          <w:rFonts w:ascii="仿宋_GB2312" w:hAnsi="仿宋_GB2312" w:eastAsia="仿宋_GB2312" w:cs="仿宋_GB2312"/>
          <w:b/>
          <w:bCs/>
          <w:sz w:val="24"/>
          <w:szCs w:val="24"/>
        </w:rPr>
      </w:pPr>
      <w:bookmarkStart w:id="46" w:name="_Toc498009790"/>
      <w:bookmarkStart w:id="47" w:name="_Toc502134879"/>
      <w:r>
        <w:rPr>
          <w:rFonts w:hint="eastAsia" w:ascii="仿宋_GB2312" w:hAnsi="仿宋_GB2312" w:eastAsia="仿宋_GB2312" w:cs="仿宋_GB2312"/>
          <w:b/>
          <w:bCs/>
          <w:sz w:val="24"/>
          <w:szCs w:val="24"/>
        </w:rPr>
        <w:t>八、建议</w:t>
      </w:r>
      <w:bookmarkEnd w:id="46"/>
      <w:bookmarkEnd w:id="47"/>
      <w:bookmarkStart w:id="48" w:name="_Toc500589028"/>
      <w:bookmarkStart w:id="49" w:name="_Toc500364185"/>
      <w:bookmarkStart w:id="50" w:name="_Toc500202569"/>
      <w:bookmarkStart w:id="51" w:name="_Toc500440031"/>
      <w:bookmarkStart w:id="52" w:name="_Toc502134880"/>
      <w:bookmarkStart w:id="53" w:name="_Toc500849317"/>
      <w:bookmarkStart w:id="54" w:name="_Toc498009791"/>
    </w:p>
    <w:bookmarkEnd w:id="48"/>
    <w:bookmarkEnd w:id="49"/>
    <w:bookmarkEnd w:id="50"/>
    <w:bookmarkEnd w:id="51"/>
    <w:bookmarkEnd w:id="52"/>
    <w:bookmarkEnd w:id="53"/>
    <w:p w14:paraId="6D575B0E">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一）加强预算绩效管理：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项目总体绩效目标转化为具体的实施内容，落实到具体的工作岗位和责任人，并设定衡量工作任务实现程度的绩效指标；最后，依据预算支出标准和要求测算出完成工作任务所需的工作成本。通过绩效目标的细化、量化编制，做到预算执行有据可依，绩效审计有据可查，逐步达到财政支出科学精细化管理要求。</w:t>
      </w:r>
    </w:p>
    <w:p w14:paraId="2CF5B733">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二）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14:paraId="343B0E55">
      <w:pPr>
        <w:spacing w:after="240"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（三）加强资金使用管理，认真学习并严格按照《中华人民共和国预算法》、《中华人民共和国会计法》、《政府会计准则》及运用指南和解释；规范资金使用合规性和会计核算准确性。</w:t>
      </w:r>
    </w:p>
    <w:p w14:paraId="0D14A3BE">
      <w:pPr>
        <w:pStyle w:val="2"/>
        <w:spacing w:after="240"/>
        <w:rPr>
          <w:rFonts w:ascii="仿宋_GB2312" w:hAnsi="仿宋_GB2312" w:eastAsia="仿宋_GB2312" w:cs="仿宋_GB2312"/>
          <w:sz w:val="24"/>
          <w:szCs w:val="24"/>
        </w:rPr>
      </w:pPr>
      <w:r>
        <w:rPr>
          <w:rFonts w:hint="eastAsia" w:ascii="仿宋_GB2312" w:hAnsi="仿宋_GB2312" w:eastAsia="仿宋_GB2312" w:cs="仿宋_GB2312"/>
        </w:rPr>
        <w:t xml:space="preserve">   </w:t>
      </w:r>
      <w:r>
        <w:rPr>
          <w:rFonts w:hint="eastAsia" w:ascii="仿宋_GB2312" w:hAnsi="仿宋_GB2312" w:eastAsia="仿宋_GB2312" w:cs="仿宋_GB2312"/>
          <w:sz w:val="24"/>
          <w:szCs w:val="24"/>
        </w:rPr>
        <w:t>（四）规范财务报销程序，严格检查报销凭证合规使用。</w:t>
      </w:r>
    </w:p>
    <w:bookmarkEnd w:id="54"/>
    <w:p w14:paraId="36823E1B">
      <w:pPr>
        <w:spacing w:line="360" w:lineRule="auto"/>
        <w:ind w:firstLine="424" w:firstLineChars="177"/>
        <w:rPr>
          <w:rFonts w:ascii="仿宋_GB2312" w:hAnsi="仿宋_GB2312" w:eastAsia="仿宋_GB2312" w:cs="仿宋_GB2312"/>
          <w:sz w:val="24"/>
          <w:szCs w:val="24"/>
        </w:rPr>
      </w:pPr>
      <w:r>
        <w:rPr>
          <w:rFonts w:hint="eastAsia" w:ascii="仿宋_GB2312" w:hAnsi="仿宋_GB2312" w:eastAsia="仿宋_GB2312" w:cs="仿宋_GB2312"/>
          <w:sz w:val="24"/>
          <w:szCs w:val="24"/>
        </w:rPr>
        <w:t>附件1：寻甸回族彝族自治县</w:t>
      </w:r>
      <w:r>
        <w:rPr>
          <w:rFonts w:ascii="Arial Narrow" w:hAnsi="Arial Narrow" w:eastAsia="仿宋_GB2312" w:cs="仿宋_GB2312"/>
          <w:sz w:val="24"/>
          <w:szCs w:val="24"/>
        </w:rPr>
        <w:t>城市管理局2020年倘甸镇区管理专项经费项目支出绩效评价指标体系</w:t>
      </w:r>
    </w:p>
    <w:p w14:paraId="2DABDEDF">
      <w:pPr>
        <w:spacing w:line="360" w:lineRule="auto"/>
        <w:ind w:firstLine="424" w:firstLineChars="177"/>
        <w:rPr>
          <w:rFonts w:ascii="仿宋_GB2312" w:hAnsi="仿宋_GB2312" w:eastAsia="仿宋_GB2312" w:cs="仿宋_GB2312"/>
          <w:sz w:val="24"/>
          <w:szCs w:val="24"/>
        </w:rPr>
      </w:pPr>
    </w:p>
    <w:p w14:paraId="2D650E69">
      <w:pPr>
        <w:spacing w:line="360" w:lineRule="auto"/>
        <w:ind w:firstLine="424" w:firstLineChars="177"/>
        <w:rPr>
          <w:rFonts w:ascii="仿宋_GB2312" w:hAnsi="仿宋_GB2312" w:eastAsia="仿宋_GB2312" w:cs="仿宋_GB2312"/>
          <w:sz w:val="24"/>
          <w:szCs w:val="24"/>
        </w:rPr>
      </w:pPr>
    </w:p>
    <w:p w14:paraId="6A8EB9A5">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6966FBEA">
      <w:pPr>
        <w:pStyle w:val="2"/>
      </w:pPr>
    </w:p>
    <w:p w14:paraId="307D3730">
      <w:pPr>
        <w:pStyle w:val="2"/>
      </w:pPr>
    </w:p>
    <w:p w14:paraId="1410B420">
      <w:pPr>
        <w:pStyle w:val="2"/>
      </w:pPr>
    </w:p>
    <w:p w14:paraId="6D023B58">
      <w:pPr>
        <w:pStyle w:val="2"/>
      </w:pPr>
    </w:p>
    <w:p w14:paraId="0A706294">
      <w:pPr>
        <w:pStyle w:val="2"/>
        <w:rPr>
          <w:rFonts w:ascii="仿宋_GB2312" w:hAnsi="仿宋_GB2312" w:eastAsia="仿宋_GB2312" w:cs="仿宋_GB2312"/>
          <w:sz w:val="24"/>
          <w:szCs w:val="24"/>
        </w:rPr>
      </w:pPr>
    </w:p>
    <w:p w14:paraId="4406B6D0">
      <w:pPr>
        <w:spacing w:line="360" w:lineRule="auto"/>
        <w:ind w:firstLine="424" w:firstLineChars="177"/>
        <w:rPr>
          <w:rFonts w:ascii="仿宋_GB2312" w:hAnsi="仿宋_GB2312" w:eastAsia="仿宋_GB2312" w:cs="仿宋_GB2312"/>
          <w:sz w:val="24"/>
        </w:rPr>
      </w:pPr>
    </w:p>
    <w:p w14:paraId="42B8BB9A">
      <w:pPr>
        <w:pStyle w:val="2"/>
      </w:pPr>
    </w:p>
    <w:p w14:paraId="2036F667">
      <w:pPr>
        <w:spacing w:line="360" w:lineRule="auto"/>
        <w:ind w:firstLine="424" w:firstLineChars="177"/>
        <w:rPr>
          <w:rFonts w:ascii="仿宋_GB2312" w:hAnsi="仿宋_GB2312" w:eastAsia="仿宋_GB2312" w:cs="仿宋_GB2312"/>
          <w:sz w:val="24"/>
        </w:rPr>
      </w:pPr>
    </w:p>
    <w:p w14:paraId="126030BF">
      <w:pPr>
        <w:spacing w:line="360" w:lineRule="auto"/>
        <w:ind w:firstLine="424" w:firstLineChars="177"/>
        <w:rPr>
          <w:rFonts w:ascii="仿宋_GB2312" w:hAnsi="仿宋_GB2312" w:eastAsia="仿宋_GB2312" w:cs="仿宋_GB2312"/>
          <w:sz w:val="24"/>
        </w:rPr>
      </w:pPr>
      <w:r>
        <w:rPr>
          <w:rFonts w:hint="eastAsia" w:ascii="仿宋_GB2312" w:hAnsi="仿宋_GB2312" w:eastAsia="仿宋_GB2312" w:cs="仿宋_GB2312"/>
          <w:sz w:val="24"/>
        </w:rPr>
        <w:t xml:space="preserve">中兴财光华会计师事务所       </w:t>
      </w:r>
      <w:r>
        <w:rPr>
          <w:rFonts w:ascii="仿宋_GB2312" w:hAnsi="仿宋_GB2312" w:eastAsia="仿宋_GB2312" w:cs="仿宋_GB2312"/>
          <w:sz w:val="24"/>
        </w:rPr>
        <w:t xml:space="preserve"> </w:t>
      </w:r>
      <w:r>
        <w:rPr>
          <w:rFonts w:hint="eastAsia" w:ascii="仿宋_GB2312" w:hAnsi="仿宋_GB2312" w:eastAsia="仿宋_GB2312" w:cs="仿宋_GB2312"/>
          <w:sz w:val="24"/>
        </w:rPr>
        <w:t xml:space="preserve">         中国注册会计师：</w:t>
      </w:r>
    </w:p>
    <w:p w14:paraId="175160B6">
      <w:pPr>
        <w:spacing w:line="360" w:lineRule="auto"/>
        <w:ind w:firstLine="240" w:firstLineChars="100"/>
        <w:rPr>
          <w:rFonts w:ascii="仿宋_GB2312" w:hAnsi="仿宋_GB2312" w:eastAsia="仿宋_GB2312" w:cs="仿宋_GB2312"/>
          <w:sz w:val="24"/>
        </w:rPr>
      </w:pPr>
    </w:p>
    <w:p w14:paraId="7E273A4E">
      <w:pPr>
        <w:spacing w:line="360" w:lineRule="auto"/>
        <w:ind w:firstLine="240" w:firstLineChars="100"/>
        <w:rPr>
          <w:rFonts w:ascii="仿宋_GB2312" w:hAnsi="仿宋_GB2312" w:eastAsia="仿宋_GB2312" w:cs="仿宋_GB2312"/>
          <w:sz w:val="24"/>
        </w:rPr>
      </w:pPr>
    </w:p>
    <w:p w14:paraId="1A773276">
      <w:pPr>
        <w:spacing w:line="360" w:lineRule="auto"/>
        <w:ind w:firstLine="240" w:firstLineChars="100"/>
        <w:rPr>
          <w:rFonts w:ascii="仿宋_GB2312" w:hAnsi="仿宋_GB2312" w:eastAsia="仿宋_GB2312" w:cs="仿宋_GB2312"/>
          <w:sz w:val="24"/>
        </w:rPr>
      </w:pPr>
      <w:r>
        <w:rPr>
          <w:rFonts w:hint="eastAsia" w:ascii="仿宋_GB2312" w:hAnsi="仿宋_GB2312" w:eastAsia="仿宋_GB2312" w:cs="仿宋_GB2312"/>
          <w:sz w:val="24"/>
        </w:rPr>
        <w:t xml:space="preserve"> （特殊普通合伙）云南分所                中国注册会计师：</w:t>
      </w:r>
    </w:p>
    <w:p w14:paraId="1CAFB84D">
      <w:pPr>
        <w:spacing w:line="360" w:lineRule="auto"/>
        <w:ind w:firstLine="424" w:firstLineChars="177"/>
        <w:rPr>
          <w:rFonts w:ascii="仿宋_GB2312" w:hAnsi="仿宋_GB2312" w:eastAsia="仿宋_GB2312" w:cs="仿宋_GB2312"/>
          <w:sz w:val="24"/>
        </w:rPr>
      </w:pPr>
    </w:p>
    <w:p w14:paraId="5630C772">
      <w:pPr>
        <w:spacing w:line="360" w:lineRule="auto"/>
        <w:ind w:firstLine="1380" w:firstLineChars="575"/>
        <w:rPr>
          <w:rFonts w:ascii="仿宋_GB2312" w:hAnsi="仿宋_GB2312" w:eastAsia="仿宋_GB2312" w:cs="仿宋_GB2312"/>
        </w:rPr>
      </w:pPr>
      <w:r>
        <w:rPr>
          <w:rFonts w:hint="eastAsia" w:ascii="仿宋_GB2312" w:hAnsi="仿宋_GB2312" w:eastAsia="仿宋_GB2312" w:cs="仿宋_GB2312"/>
          <w:sz w:val="24"/>
        </w:rPr>
        <w:t>中国•昆明                       二〇二一年九月二十日</w:t>
      </w:r>
    </w:p>
    <w:sectPr>
      <w:footerReference r:id="rId5" w:type="default"/>
      <w:pgSz w:w="11906" w:h="16838"/>
      <w:pgMar w:top="1984" w:right="1134" w:bottom="1134" w:left="1701" w:header="737"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FA95A">
    <w:pPr>
      <w:ind w:left="240" w:hanging="240" w:hangingChars="100"/>
      <w:rPr>
        <w:rFonts w:ascii="隶书" w:hAnsi="宋体" w:eastAsia="隶书" w:cs="宋体"/>
        <w:bCs/>
        <w:kern w:val="36"/>
        <w:sz w:val="24"/>
        <w:u w:val="single"/>
      </w:rPr>
    </w:pPr>
    <w:r>
      <w:rPr>
        <w:rFonts w:hint="eastAsia" w:ascii="隶书" w:hAnsi="宋体" w:eastAsia="隶书" w:cs="宋体"/>
        <w:bCs/>
        <w:kern w:val="36"/>
        <w:sz w:val="24"/>
        <w:u w:val="single"/>
      </w:rPr>
      <w:t xml:space="preserve">                                                                            </w:t>
    </w:r>
  </w:p>
  <w:p w14:paraId="721C48EC">
    <w:pPr>
      <w:ind w:left="280" w:hanging="280" w:hangingChars="100"/>
      <w:rPr>
        <w:rFonts w:ascii="隶书" w:eastAsia="隶书"/>
        <w:sz w:val="28"/>
        <w:szCs w:val="28"/>
      </w:rPr>
    </w:pPr>
    <w:r>
      <w:rPr>
        <w:rFonts w:hint="eastAsia" w:ascii="隶书" w:eastAsia="隶书"/>
        <w:sz w:val="28"/>
        <w:szCs w:val="28"/>
      </w:rPr>
      <w:t>联系地址:</w:t>
    </w:r>
    <w:r>
      <w:rPr>
        <w:rFonts w:hint="eastAsia" w:ascii="隶书" w:eastAsia="隶书"/>
        <w:w w:val="89"/>
        <w:sz w:val="28"/>
        <w:szCs w:val="28"/>
      </w:rPr>
      <w:t>昆明市官渡区拓东路41号澜沧江大厦20F</w:t>
    </w:r>
    <w:r>
      <w:rPr>
        <w:rFonts w:hint="eastAsia" w:ascii="隶书" w:eastAsia="隶书"/>
        <w:sz w:val="28"/>
        <w:szCs w:val="28"/>
      </w:rPr>
      <w:t xml:space="preserve">           邮编:650051</w:t>
    </w:r>
  </w:p>
  <w:p w14:paraId="30777E5A">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275EF">
    <w:pPr>
      <w:ind w:left="180" w:hanging="180" w:hangingChars="100"/>
      <w:rPr>
        <w:rFonts w:ascii="隶书" w:hAnsi="宋体" w:eastAsia="隶书" w:cs="宋体"/>
        <w:bCs/>
        <w:kern w:val="36"/>
        <w:sz w:val="24"/>
        <w:u w:val="single"/>
      </w:rPr>
    </w:pPr>
    <w:r>
      <w:rPr>
        <w:sz w:val="18"/>
      </w:rPr>
      <mc:AlternateContent>
        <mc:Choice Requires="wps">
          <w:drawing>
            <wp:anchor distT="0" distB="0" distL="114300" distR="114300" simplePos="0" relativeHeight="251660288" behindDoc="0" locked="0" layoutInCell="1" allowOverlap="1">
              <wp:simplePos x="0" y="0"/>
              <wp:positionH relativeFrom="margin">
                <wp:posOffset>2196465</wp:posOffset>
              </wp:positionH>
              <wp:positionV relativeFrom="paragraph">
                <wp:posOffset>-1905</wp:posOffset>
              </wp:positionV>
              <wp:extent cx="1066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066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D52F20">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r>
                            <w:rPr>
                              <w:rFonts w:hint="eastAsia"/>
                            </w:rPr>
                            <w:t xml:space="preserve"> 页 共 1</w:t>
                          </w:r>
                          <w:r>
                            <w:t>5</w:t>
                          </w:r>
                          <w:r>
                            <w:rPr>
                              <w:rFonts w:hint="eastAsia"/>
                            </w:rPr>
                            <w:t xml:space="preserve"> 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72.95pt;margin-top:-0.15pt;height:144pt;width:84pt;mso-position-horizontal-relative:margin;z-index:251660288;mso-width-relative:page;mso-height-relative:page;" filled="f" stroked="f" coordsize="21600,21600" o:gfxdata="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aJA8NgAAAAJAQAADwAAAAAAAAABACAAAAAiAAAAZHJzL2Rvd25yZXYueG1s&#10;UEsBAhQAFAAAAAgAh07iQIVGrroxAgAAVwQAAA4AAAAAAAAAAQAgAAAAJwEAAGRycy9lMm9Eb2Mu&#10;eG1sUEsFBgAAAAAGAAYAWQEAAMoFAAAAAA==&#10;">
              <v:fill on="f" focussize="0,0"/>
              <v:stroke on="f" weight="0.5pt"/>
              <v:imagedata o:title=""/>
              <o:lock v:ext="edit" aspectratio="f"/>
              <v:textbox inset="0mm,0mm,0mm,0mm" style="mso-fit-shape-to-text:t;">
                <w:txbxContent>
                  <w:p w14:paraId="18D52F20">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r>
                      <w:rPr>
                        <w:rFonts w:hint="eastAsia"/>
                      </w:rPr>
                      <w:t xml:space="preserve"> 页 共 1</w:t>
                    </w:r>
                    <w:r>
                      <w:t>5</w:t>
                    </w:r>
                    <w:r>
                      <w:rPr>
                        <w:rFonts w:hint="eastAsia"/>
                      </w:rPr>
                      <w:t xml:space="preserve"> 页</w:t>
                    </w:r>
                  </w:p>
                </w:txbxContent>
              </v:textbox>
            </v:shape>
          </w:pict>
        </mc:Fallback>
      </mc:AlternateContent>
    </w:r>
    <w:r>
      <w:rPr>
        <w:rFonts w:hint="eastAsia" w:ascii="隶书" w:hAnsi="宋体" w:eastAsia="隶书" w:cs="宋体"/>
        <w:bCs/>
        <w:kern w:val="36"/>
        <w:sz w:val="24"/>
        <w:u w:val="single"/>
      </w:rPr>
      <w:t xml:space="preserve">                                                                            </w:t>
    </w:r>
  </w:p>
  <w:p w14:paraId="4F84DD12">
    <w:pPr>
      <w:ind w:left="280" w:hanging="280" w:hangingChars="100"/>
      <w:rPr>
        <w:rFonts w:ascii="隶书" w:eastAsia="隶书"/>
        <w:sz w:val="28"/>
        <w:szCs w:val="28"/>
      </w:rPr>
    </w:pPr>
    <w:r>
      <w:rPr>
        <w:rFonts w:hint="eastAsia" w:ascii="隶书" w:eastAsia="隶书"/>
        <w:sz w:val="28"/>
        <w:szCs w:val="28"/>
      </w:rPr>
      <w:t>联系地址:</w:t>
    </w:r>
    <w:r>
      <w:rPr>
        <w:rFonts w:hint="eastAsia" w:ascii="隶书" w:eastAsia="隶书"/>
        <w:w w:val="89"/>
        <w:sz w:val="28"/>
        <w:szCs w:val="28"/>
      </w:rPr>
      <w:t>昆明市官渡区拓东路41号澜沧江大厦20F</w:t>
    </w:r>
    <w:r>
      <w:rPr>
        <w:rFonts w:hint="eastAsia" w:ascii="隶书" w:eastAsia="隶书"/>
        <w:sz w:val="28"/>
        <w:szCs w:val="28"/>
      </w:rPr>
      <w:t xml:space="preserve">          邮编:650051</w:t>
    </w:r>
  </w:p>
  <w:p w14:paraId="1E1AF47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C5EE6">
    <w:pPr>
      <w:pStyle w:val="5"/>
      <w:pBdr>
        <w:bottom w:val="single" w:color="auto" w:sz="4" w:space="1"/>
      </w:pBdr>
      <w:jc w:val="right"/>
    </w:pPr>
    <w:r>
      <w:rPr>
        <w:rFonts w:hint="eastAsia" w:ascii="隶书" w:eastAsia="隶书"/>
        <w:spacing w:val="-20"/>
        <w:sz w:val="28"/>
        <w:szCs w:val="28"/>
      </w:rPr>
      <w:drawing>
        <wp:anchor distT="0" distB="0" distL="114300" distR="114300" simplePos="0" relativeHeight="251659264"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中兴财光华会计师事务所（特殊普通合伙）云南分所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3F5"/>
    <w:rsid w:val="00024B3C"/>
    <w:rsid w:val="000B7F34"/>
    <w:rsid w:val="000F3BDB"/>
    <w:rsid w:val="001239EA"/>
    <w:rsid w:val="001F101B"/>
    <w:rsid w:val="00202479"/>
    <w:rsid w:val="002227C1"/>
    <w:rsid w:val="002C50ED"/>
    <w:rsid w:val="002F42E5"/>
    <w:rsid w:val="00302221"/>
    <w:rsid w:val="00305A1C"/>
    <w:rsid w:val="00315C66"/>
    <w:rsid w:val="003429FE"/>
    <w:rsid w:val="004456F0"/>
    <w:rsid w:val="004B1821"/>
    <w:rsid w:val="004C77FD"/>
    <w:rsid w:val="004D6964"/>
    <w:rsid w:val="0050660B"/>
    <w:rsid w:val="00557C4D"/>
    <w:rsid w:val="006606FD"/>
    <w:rsid w:val="007A58E2"/>
    <w:rsid w:val="007C539C"/>
    <w:rsid w:val="008E167E"/>
    <w:rsid w:val="009444DF"/>
    <w:rsid w:val="009D4379"/>
    <w:rsid w:val="00A416C8"/>
    <w:rsid w:val="00B22112"/>
    <w:rsid w:val="00B92EDA"/>
    <w:rsid w:val="00BC60D7"/>
    <w:rsid w:val="00BC73F5"/>
    <w:rsid w:val="00C07A8C"/>
    <w:rsid w:val="00C36906"/>
    <w:rsid w:val="00C42EFE"/>
    <w:rsid w:val="00D10C8C"/>
    <w:rsid w:val="00D57E4F"/>
    <w:rsid w:val="00DA1C5F"/>
    <w:rsid w:val="00EA57D2"/>
    <w:rsid w:val="00EF2117"/>
    <w:rsid w:val="00F048D4"/>
    <w:rsid w:val="010C6983"/>
    <w:rsid w:val="012C7DC0"/>
    <w:rsid w:val="012F3B23"/>
    <w:rsid w:val="01432CF3"/>
    <w:rsid w:val="01436F9F"/>
    <w:rsid w:val="01880A19"/>
    <w:rsid w:val="018C388B"/>
    <w:rsid w:val="01B65C30"/>
    <w:rsid w:val="01C64855"/>
    <w:rsid w:val="01E26F97"/>
    <w:rsid w:val="02151E80"/>
    <w:rsid w:val="022E0963"/>
    <w:rsid w:val="0257031E"/>
    <w:rsid w:val="02684EB4"/>
    <w:rsid w:val="026D72F2"/>
    <w:rsid w:val="02861A7C"/>
    <w:rsid w:val="02A02758"/>
    <w:rsid w:val="02A3463C"/>
    <w:rsid w:val="02A70805"/>
    <w:rsid w:val="02BC2BBA"/>
    <w:rsid w:val="02EA73E1"/>
    <w:rsid w:val="0307577D"/>
    <w:rsid w:val="03BD28D6"/>
    <w:rsid w:val="045C346D"/>
    <w:rsid w:val="048A2A24"/>
    <w:rsid w:val="049401D8"/>
    <w:rsid w:val="04AC5FBE"/>
    <w:rsid w:val="04E77027"/>
    <w:rsid w:val="05145211"/>
    <w:rsid w:val="0521507F"/>
    <w:rsid w:val="055C6AE7"/>
    <w:rsid w:val="05634866"/>
    <w:rsid w:val="057F1E81"/>
    <w:rsid w:val="05FB5DC4"/>
    <w:rsid w:val="06186903"/>
    <w:rsid w:val="062A6E20"/>
    <w:rsid w:val="06404308"/>
    <w:rsid w:val="06790629"/>
    <w:rsid w:val="06BD18CD"/>
    <w:rsid w:val="06DD1B0A"/>
    <w:rsid w:val="06DE5211"/>
    <w:rsid w:val="070077AC"/>
    <w:rsid w:val="07014EC2"/>
    <w:rsid w:val="074C6A10"/>
    <w:rsid w:val="075C167D"/>
    <w:rsid w:val="07F53CEB"/>
    <w:rsid w:val="080C5426"/>
    <w:rsid w:val="081D15C4"/>
    <w:rsid w:val="08281E83"/>
    <w:rsid w:val="08310243"/>
    <w:rsid w:val="08932548"/>
    <w:rsid w:val="08BE1A5F"/>
    <w:rsid w:val="08E46646"/>
    <w:rsid w:val="095F41FF"/>
    <w:rsid w:val="09790F31"/>
    <w:rsid w:val="09811723"/>
    <w:rsid w:val="09943BCA"/>
    <w:rsid w:val="09BE3873"/>
    <w:rsid w:val="09D850BF"/>
    <w:rsid w:val="0A177A6F"/>
    <w:rsid w:val="0A9F4057"/>
    <w:rsid w:val="0ABE7C42"/>
    <w:rsid w:val="0AD41505"/>
    <w:rsid w:val="0AFD14B9"/>
    <w:rsid w:val="0B114150"/>
    <w:rsid w:val="0B2B5475"/>
    <w:rsid w:val="0B45384A"/>
    <w:rsid w:val="0B755DCA"/>
    <w:rsid w:val="0BFF1C88"/>
    <w:rsid w:val="0C016446"/>
    <w:rsid w:val="0C1D7C13"/>
    <w:rsid w:val="0C230B9E"/>
    <w:rsid w:val="0C45114E"/>
    <w:rsid w:val="0C4F19D8"/>
    <w:rsid w:val="0CC071D9"/>
    <w:rsid w:val="0CD226F8"/>
    <w:rsid w:val="0CD33493"/>
    <w:rsid w:val="0CED7F3F"/>
    <w:rsid w:val="0D4940A8"/>
    <w:rsid w:val="0D654235"/>
    <w:rsid w:val="0D831253"/>
    <w:rsid w:val="0DBA5E70"/>
    <w:rsid w:val="0DCA5DE1"/>
    <w:rsid w:val="0DE47989"/>
    <w:rsid w:val="0DFA4270"/>
    <w:rsid w:val="0E4873B8"/>
    <w:rsid w:val="0E69015E"/>
    <w:rsid w:val="0E732050"/>
    <w:rsid w:val="0EA96822"/>
    <w:rsid w:val="0F201299"/>
    <w:rsid w:val="0F3026BC"/>
    <w:rsid w:val="0F4F24AB"/>
    <w:rsid w:val="0F6F0C3D"/>
    <w:rsid w:val="0FA554CA"/>
    <w:rsid w:val="106C2346"/>
    <w:rsid w:val="106C7654"/>
    <w:rsid w:val="10762E0B"/>
    <w:rsid w:val="10A3523B"/>
    <w:rsid w:val="10A41CED"/>
    <w:rsid w:val="10AD2C55"/>
    <w:rsid w:val="10C43B87"/>
    <w:rsid w:val="11041BAB"/>
    <w:rsid w:val="110B1D5E"/>
    <w:rsid w:val="111D6972"/>
    <w:rsid w:val="11352493"/>
    <w:rsid w:val="1150050C"/>
    <w:rsid w:val="11686341"/>
    <w:rsid w:val="11CA17ED"/>
    <w:rsid w:val="11DA58D8"/>
    <w:rsid w:val="11E920D6"/>
    <w:rsid w:val="120A0F69"/>
    <w:rsid w:val="1225668C"/>
    <w:rsid w:val="122660D5"/>
    <w:rsid w:val="12320C01"/>
    <w:rsid w:val="1256332B"/>
    <w:rsid w:val="1283031A"/>
    <w:rsid w:val="12DB208F"/>
    <w:rsid w:val="12E103A0"/>
    <w:rsid w:val="12ED67D7"/>
    <w:rsid w:val="12FC68FF"/>
    <w:rsid w:val="130C2193"/>
    <w:rsid w:val="130E3903"/>
    <w:rsid w:val="13166809"/>
    <w:rsid w:val="13943B2C"/>
    <w:rsid w:val="13D5523A"/>
    <w:rsid w:val="13DF48A7"/>
    <w:rsid w:val="144D3492"/>
    <w:rsid w:val="144D747C"/>
    <w:rsid w:val="145A1383"/>
    <w:rsid w:val="14A67039"/>
    <w:rsid w:val="14D5415A"/>
    <w:rsid w:val="14D9678B"/>
    <w:rsid w:val="14FC5A91"/>
    <w:rsid w:val="15AC577F"/>
    <w:rsid w:val="15EE2E40"/>
    <w:rsid w:val="16446A3C"/>
    <w:rsid w:val="16523EA2"/>
    <w:rsid w:val="16DD2D5E"/>
    <w:rsid w:val="16E01397"/>
    <w:rsid w:val="16EA3483"/>
    <w:rsid w:val="1752026A"/>
    <w:rsid w:val="175A563C"/>
    <w:rsid w:val="179C442C"/>
    <w:rsid w:val="17D26242"/>
    <w:rsid w:val="186561F9"/>
    <w:rsid w:val="18736211"/>
    <w:rsid w:val="18772165"/>
    <w:rsid w:val="189B2F97"/>
    <w:rsid w:val="18B6616D"/>
    <w:rsid w:val="18E933C9"/>
    <w:rsid w:val="18FD2189"/>
    <w:rsid w:val="19250992"/>
    <w:rsid w:val="19BA7F53"/>
    <w:rsid w:val="19BE25D1"/>
    <w:rsid w:val="19EB2EA3"/>
    <w:rsid w:val="1A032ECE"/>
    <w:rsid w:val="1A17016E"/>
    <w:rsid w:val="1A1F29A8"/>
    <w:rsid w:val="1A3C7AF1"/>
    <w:rsid w:val="1A3D12CC"/>
    <w:rsid w:val="1A545436"/>
    <w:rsid w:val="1A6C6495"/>
    <w:rsid w:val="1A9C783B"/>
    <w:rsid w:val="1AE02712"/>
    <w:rsid w:val="1AE80A5A"/>
    <w:rsid w:val="1AEA56AB"/>
    <w:rsid w:val="1AF104DA"/>
    <w:rsid w:val="1B045886"/>
    <w:rsid w:val="1B082591"/>
    <w:rsid w:val="1B3E28E5"/>
    <w:rsid w:val="1B552716"/>
    <w:rsid w:val="1B6D5FA5"/>
    <w:rsid w:val="1B6F0F2D"/>
    <w:rsid w:val="1B79551A"/>
    <w:rsid w:val="1C2D714A"/>
    <w:rsid w:val="1C6D0C27"/>
    <w:rsid w:val="1C6D274D"/>
    <w:rsid w:val="1C7707CD"/>
    <w:rsid w:val="1CC9627E"/>
    <w:rsid w:val="1CD55A4A"/>
    <w:rsid w:val="1D0F7A8E"/>
    <w:rsid w:val="1D1B0AD1"/>
    <w:rsid w:val="1D221FDC"/>
    <w:rsid w:val="1D2F1285"/>
    <w:rsid w:val="1D3941A5"/>
    <w:rsid w:val="1D4C7ED3"/>
    <w:rsid w:val="1D7736C9"/>
    <w:rsid w:val="1D8D6A3B"/>
    <w:rsid w:val="1D904FA5"/>
    <w:rsid w:val="1DC03EC1"/>
    <w:rsid w:val="1DD14027"/>
    <w:rsid w:val="1DE925A7"/>
    <w:rsid w:val="1E010BC0"/>
    <w:rsid w:val="1E2C4E59"/>
    <w:rsid w:val="1EB01ACB"/>
    <w:rsid w:val="1ED05892"/>
    <w:rsid w:val="1EE8779D"/>
    <w:rsid w:val="1F591721"/>
    <w:rsid w:val="1F6F6360"/>
    <w:rsid w:val="1F91086F"/>
    <w:rsid w:val="1FE2356A"/>
    <w:rsid w:val="200244D1"/>
    <w:rsid w:val="201E59ED"/>
    <w:rsid w:val="2025021C"/>
    <w:rsid w:val="20356024"/>
    <w:rsid w:val="20536DBE"/>
    <w:rsid w:val="20694D65"/>
    <w:rsid w:val="20A14E27"/>
    <w:rsid w:val="20D30E0A"/>
    <w:rsid w:val="20D60287"/>
    <w:rsid w:val="20FC17FA"/>
    <w:rsid w:val="2114179F"/>
    <w:rsid w:val="21197B5A"/>
    <w:rsid w:val="216A2D40"/>
    <w:rsid w:val="21B96FEE"/>
    <w:rsid w:val="21CB0D2F"/>
    <w:rsid w:val="21E17F5C"/>
    <w:rsid w:val="21E23314"/>
    <w:rsid w:val="21EC0A72"/>
    <w:rsid w:val="21EF780B"/>
    <w:rsid w:val="221055AD"/>
    <w:rsid w:val="223F479F"/>
    <w:rsid w:val="223F5AC1"/>
    <w:rsid w:val="22583D0D"/>
    <w:rsid w:val="225F634C"/>
    <w:rsid w:val="229064AC"/>
    <w:rsid w:val="22C67807"/>
    <w:rsid w:val="22C92735"/>
    <w:rsid w:val="22CB5EF7"/>
    <w:rsid w:val="22E86417"/>
    <w:rsid w:val="230C5D84"/>
    <w:rsid w:val="231435FF"/>
    <w:rsid w:val="23B177E1"/>
    <w:rsid w:val="24211347"/>
    <w:rsid w:val="24310DD4"/>
    <w:rsid w:val="246D2625"/>
    <w:rsid w:val="24900048"/>
    <w:rsid w:val="24BB522A"/>
    <w:rsid w:val="24F37529"/>
    <w:rsid w:val="24FF72D3"/>
    <w:rsid w:val="250F2C31"/>
    <w:rsid w:val="251E0472"/>
    <w:rsid w:val="2520642A"/>
    <w:rsid w:val="25286AA1"/>
    <w:rsid w:val="252B25EC"/>
    <w:rsid w:val="25364DC1"/>
    <w:rsid w:val="253C3631"/>
    <w:rsid w:val="25462E4B"/>
    <w:rsid w:val="258309B4"/>
    <w:rsid w:val="25862011"/>
    <w:rsid w:val="260D7D0C"/>
    <w:rsid w:val="261A1FEA"/>
    <w:rsid w:val="261C3DE4"/>
    <w:rsid w:val="263A71E2"/>
    <w:rsid w:val="26690FCD"/>
    <w:rsid w:val="26963F27"/>
    <w:rsid w:val="269B1693"/>
    <w:rsid w:val="26DF0CD6"/>
    <w:rsid w:val="26ED48AE"/>
    <w:rsid w:val="27A01740"/>
    <w:rsid w:val="27C416DF"/>
    <w:rsid w:val="27EF7121"/>
    <w:rsid w:val="28192057"/>
    <w:rsid w:val="281D28B1"/>
    <w:rsid w:val="283519AE"/>
    <w:rsid w:val="283C3A8D"/>
    <w:rsid w:val="2884724B"/>
    <w:rsid w:val="28870583"/>
    <w:rsid w:val="28D97FCA"/>
    <w:rsid w:val="28E7113E"/>
    <w:rsid w:val="291B5803"/>
    <w:rsid w:val="292F68A9"/>
    <w:rsid w:val="29733142"/>
    <w:rsid w:val="29A033E8"/>
    <w:rsid w:val="29BC365E"/>
    <w:rsid w:val="2A1C5137"/>
    <w:rsid w:val="2A3E70CF"/>
    <w:rsid w:val="2A6B5300"/>
    <w:rsid w:val="2A871926"/>
    <w:rsid w:val="2AC250CD"/>
    <w:rsid w:val="2B3602D5"/>
    <w:rsid w:val="2B80177F"/>
    <w:rsid w:val="2B90159F"/>
    <w:rsid w:val="2B993748"/>
    <w:rsid w:val="2BAE482F"/>
    <w:rsid w:val="2BBE1DE2"/>
    <w:rsid w:val="2BE36683"/>
    <w:rsid w:val="2BE90021"/>
    <w:rsid w:val="2C706F8B"/>
    <w:rsid w:val="2C9B3A25"/>
    <w:rsid w:val="2CC24680"/>
    <w:rsid w:val="2DA362F7"/>
    <w:rsid w:val="2DC42BAC"/>
    <w:rsid w:val="2DDE1315"/>
    <w:rsid w:val="2E70008E"/>
    <w:rsid w:val="2E795570"/>
    <w:rsid w:val="2EB4177E"/>
    <w:rsid w:val="2F32229C"/>
    <w:rsid w:val="2F474DB3"/>
    <w:rsid w:val="2F877975"/>
    <w:rsid w:val="30392987"/>
    <w:rsid w:val="308D7FA8"/>
    <w:rsid w:val="30B1378E"/>
    <w:rsid w:val="30F14E48"/>
    <w:rsid w:val="30F25A6D"/>
    <w:rsid w:val="31202692"/>
    <w:rsid w:val="312A5619"/>
    <w:rsid w:val="31A23AE0"/>
    <w:rsid w:val="31C37AEC"/>
    <w:rsid w:val="32145CC4"/>
    <w:rsid w:val="32350A5C"/>
    <w:rsid w:val="32477ABF"/>
    <w:rsid w:val="325970B3"/>
    <w:rsid w:val="32CC0E3B"/>
    <w:rsid w:val="32DF1CBC"/>
    <w:rsid w:val="32E84C40"/>
    <w:rsid w:val="33656E24"/>
    <w:rsid w:val="33816DA8"/>
    <w:rsid w:val="33F469AE"/>
    <w:rsid w:val="340B3A91"/>
    <w:rsid w:val="34214870"/>
    <w:rsid w:val="345A637A"/>
    <w:rsid w:val="348D4052"/>
    <w:rsid w:val="34960E51"/>
    <w:rsid w:val="34B93037"/>
    <w:rsid w:val="34C2659C"/>
    <w:rsid w:val="350911FE"/>
    <w:rsid w:val="35212153"/>
    <w:rsid w:val="3544533E"/>
    <w:rsid w:val="354C0B93"/>
    <w:rsid w:val="355B423F"/>
    <w:rsid w:val="357D6768"/>
    <w:rsid w:val="35BF3B38"/>
    <w:rsid w:val="35E23F6E"/>
    <w:rsid w:val="35EC067D"/>
    <w:rsid w:val="361E699B"/>
    <w:rsid w:val="36215071"/>
    <w:rsid w:val="36314683"/>
    <w:rsid w:val="36472C7B"/>
    <w:rsid w:val="3660631C"/>
    <w:rsid w:val="36753A20"/>
    <w:rsid w:val="36B0540D"/>
    <w:rsid w:val="36B326B4"/>
    <w:rsid w:val="36C17BFE"/>
    <w:rsid w:val="36CE2123"/>
    <w:rsid w:val="36D60122"/>
    <w:rsid w:val="36D9255D"/>
    <w:rsid w:val="37290822"/>
    <w:rsid w:val="373206A1"/>
    <w:rsid w:val="378E3DE6"/>
    <w:rsid w:val="37A32806"/>
    <w:rsid w:val="37B63DCA"/>
    <w:rsid w:val="37D751E2"/>
    <w:rsid w:val="380B1DFE"/>
    <w:rsid w:val="382E6775"/>
    <w:rsid w:val="385852A1"/>
    <w:rsid w:val="386F48E8"/>
    <w:rsid w:val="38A16914"/>
    <w:rsid w:val="38A718AB"/>
    <w:rsid w:val="38D91E08"/>
    <w:rsid w:val="38E0103A"/>
    <w:rsid w:val="38E063FB"/>
    <w:rsid w:val="38F230E0"/>
    <w:rsid w:val="393C79BC"/>
    <w:rsid w:val="3971570C"/>
    <w:rsid w:val="39945652"/>
    <w:rsid w:val="39B234B0"/>
    <w:rsid w:val="39CC0DE9"/>
    <w:rsid w:val="3A056E55"/>
    <w:rsid w:val="3A5860F9"/>
    <w:rsid w:val="3A896034"/>
    <w:rsid w:val="3A9F1F4F"/>
    <w:rsid w:val="3AA23B34"/>
    <w:rsid w:val="3AB45EB9"/>
    <w:rsid w:val="3AD018DF"/>
    <w:rsid w:val="3B013692"/>
    <w:rsid w:val="3B1667F3"/>
    <w:rsid w:val="3B3358B7"/>
    <w:rsid w:val="3B493B46"/>
    <w:rsid w:val="3B55625B"/>
    <w:rsid w:val="3B597FFC"/>
    <w:rsid w:val="3B760DD2"/>
    <w:rsid w:val="3B86620D"/>
    <w:rsid w:val="3B8C6507"/>
    <w:rsid w:val="3BB421DB"/>
    <w:rsid w:val="3BE552CD"/>
    <w:rsid w:val="3BF2764E"/>
    <w:rsid w:val="3C021C37"/>
    <w:rsid w:val="3C0540D6"/>
    <w:rsid w:val="3C24092A"/>
    <w:rsid w:val="3C693243"/>
    <w:rsid w:val="3C976231"/>
    <w:rsid w:val="3C9B25CD"/>
    <w:rsid w:val="3CAA0274"/>
    <w:rsid w:val="3D1746DC"/>
    <w:rsid w:val="3D237BE8"/>
    <w:rsid w:val="3D2C4D79"/>
    <w:rsid w:val="3D366EF4"/>
    <w:rsid w:val="3D4142F0"/>
    <w:rsid w:val="3D511084"/>
    <w:rsid w:val="3D642282"/>
    <w:rsid w:val="3D7B5779"/>
    <w:rsid w:val="3D8A5584"/>
    <w:rsid w:val="3D9B2911"/>
    <w:rsid w:val="3D9C39EF"/>
    <w:rsid w:val="3DA235BF"/>
    <w:rsid w:val="3DB15E99"/>
    <w:rsid w:val="3DB46368"/>
    <w:rsid w:val="3DD8680E"/>
    <w:rsid w:val="3DFD5343"/>
    <w:rsid w:val="3E3062DB"/>
    <w:rsid w:val="3E850F52"/>
    <w:rsid w:val="3E9B2E8A"/>
    <w:rsid w:val="3E9F6A9D"/>
    <w:rsid w:val="3F231079"/>
    <w:rsid w:val="3F4B41E0"/>
    <w:rsid w:val="3F5D0E23"/>
    <w:rsid w:val="3F8245EF"/>
    <w:rsid w:val="3F8B2040"/>
    <w:rsid w:val="3F913ED2"/>
    <w:rsid w:val="3FAC1725"/>
    <w:rsid w:val="3FAD78C2"/>
    <w:rsid w:val="3FF47E41"/>
    <w:rsid w:val="40615229"/>
    <w:rsid w:val="40733563"/>
    <w:rsid w:val="40B10190"/>
    <w:rsid w:val="40B74800"/>
    <w:rsid w:val="411613DD"/>
    <w:rsid w:val="41516E1E"/>
    <w:rsid w:val="416E5398"/>
    <w:rsid w:val="418862CD"/>
    <w:rsid w:val="41A449A2"/>
    <w:rsid w:val="421B2713"/>
    <w:rsid w:val="42284FC8"/>
    <w:rsid w:val="42770C8F"/>
    <w:rsid w:val="429B2E0A"/>
    <w:rsid w:val="42AA5444"/>
    <w:rsid w:val="42F5056C"/>
    <w:rsid w:val="42FB7CE0"/>
    <w:rsid w:val="431112AD"/>
    <w:rsid w:val="43232F1C"/>
    <w:rsid w:val="43561DE5"/>
    <w:rsid w:val="435E21EF"/>
    <w:rsid w:val="436B4467"/>
    <w:rsid w:val="440138B3"/>
    <w:rsid w:val="44154208"/>
    <w:rsid w:val="44394D1C"/>
    <w:rsid w:val="44406011"/>
    <w:rsid w:val="445451F2"/>
    <w:rsid w:val="44620BD2"/>
    <w:rsid w:val="446D7633"/>
    <w:rsid w:val="4488315B"/>
    <w:rsid w:val="4493471C"/>
    <w:rsid w:val="449C2C79"/>
    <w:rsid w:val="44B00229"/>
    <w:rsid w:val="44DF23A8"/>
    <w:rsid w:val="450736B6"/>
    <w:rsid w:val="45532B45"/>
    <w:rsid w:val="45621D42"/>
    <w:rsid w:val="45630290"/>
    <w:rsid w:val="45934454"/>
    <w:rsid w:val="459D705A"/>
    <w:rsid w:val="45C42CBF"/>
    <w:rsid w:val="45DA2707"/>
    <w:rsid w:val="460E2404"/>
    <w:rsid w:val="46162C84"/>
    <w:rsid w:val="462E0F20"/>
    <w:rsid w:val="465F798A"/>
    <w:rsid w:val="46AC1B1A"/>
    <w:rsid w:val="46B80FA9"/>
    <w:rsid w:val="46CD7454"/>
    <w:rsid w:val="46FD0BBA"/>
    <w:rsid w:val="47620B5A"/>
    <w:rsid w:val="476A374A"/>
    <w:rsid w:val="47C33349"/>
    <w:rsid w:val="47E54BDD"/>
    <w:rsid w:val="47E62852"/>
    <w:rsid w:val="4809270E"/>
    <w:rsid w:val="48155FBD"/>
    <w:rsid w:val="484F1501"/>
    <w:rsid w:val="48616542"/>
    <w:rsid w:val="487C4B5B"/>
    <w:rsid w:val="488B3ADA"/>
    <w:rsid w:val="489578D5"/>
    <w:rsid w:val="48C756C4"/>
    <w:rsid w:val="48F347C2"/>
    <w:rsid w:val="48F40872"/>
    <w:rsid w:val="490910CB"/>
    <w:rsid w:val="49672FCD"/>
    <w:rsid w:val="497D1E37"/>
    <w:rsid w:val="49A21D84"/>
    <w:rsid w:val="49C079A0"/>
    <w:rsid w:val="49E56842"/>
    <w:rsid w:val="4A202CB3"/>
    <w:rsid w:val="4A4C0BBD"/>
    <w:rsid w:val="4A6D6B08"/>
    <w:rsid w:val="4A741CD0"/>
    <w:rsid w:val="4AB169D3"/>
    <w:rsid w:val="4AE523B5"/>
    <w:rsid w:val="4AFF1CE5"/>
    <w:rsid w:val="4B2C2C5C"/>
    <w:rsid w:val="4B3948BD"/>
    <w:rsid w:val="4B542445"/>
    <w:rsid w:val="4B8633C6"/>
    <w:rsid w:val="4BAE6978"/>
    <w:rsid w:val="4BF85767"/>
    <w:rsid w:val="4C4609B9"/>
    <w:rsid w:val="4C6B50F5"/>
    <w:rsid w:val="4C7613FB"/>
    <w:rsid w:val="4C9A610C"/>
    <w:rsid w:val="4CAB4A57"/>
    <w:rsid w:val="4CAF036C"/>
    <w:rsid w:val="4CB545C0"/>
    <w:rsid w:val="4CBB7439"/>
    <w:rsid w:val="4CBE1C08"/>
    <w:rsid w:val="4CFA12DC"/>
    <w:rsid w:val="4D317C9E"/>
    <w:rsid w:val="4D356131"/>
    <w:rsid w:val="4D521D49"/>
    <w:rsid w:val="4D635CDE"/>
    <w:rsid w:val="4D6B2FF6"/>
    <w:rsid w:val="4D7C15EC"/>
    <w:rsid w:val="4DA21BCB"/>
    <w:rsid w:val="4DA31278"/>
    <w:rsid w:val="4E022AED"/>
    <w:rsid w:val="4E0F5AA6"/>
    <w:rsid w:val="4E7B47FF"/>
    <w:rsid w:val="4EC57FA6"/>
    <w:rsid w:val="4EE759E0"/>
    <w:rsid w:val="4EFB1785"/>
    <w:rsid w:val="4EFC0E40"/>
    <w:rsid w:val="4F32383F"/>
    <w:rsid w:val="4F4201F9"/>
    <w:rsid w:val="4F596DC1"/>
    <w:rsid w:val="4F5B18B4"/>
    <w:rsid w:val="4F746E17"/>
    <w:rsid w:val="4F7E527E"/>
    <w:rsid w:val="4F9948BE"/>
    <w:rsid w:val="4F9A7281"/>
    <w:rsid w:val="4FAE6D31"/>
    <w:rsid w:val="4FB16A86"/>
    <w:rsid w:val="50173009"/>
    <w:rsid w:val="504B0595"/>
    <w:rsid w:val="508470D2"/>
    <w:rsid w:val="50CC2E3A"/>
    <w:rsid w:val="50E37FBB"/>
    <w:rsid w:val="516C1EC9"/>
    <w:rsid w:val="518F192B"/>
    <w:rsid w:val="51A35549"/>
    <w:rsid w:val="51C96CF8"/>
    <w:rsid w:val="51E16B22"/>
    <w:rsid w:val="51E71584"/>
    <w:rsid w:val="520134A4"/>
    <w:rsid w:val="525A2598"/>
    <w:rsid w:val="528D2D69"/>
    <w:rsid w:val="52A72CB9"/>
    <w:rsid w:val="52C645C7"/>
    <w:rsid w:val="5308234F"/>
    <w:rsid w:val="531A7701"/>
    <w:rsid w:val="535A4036"/>
    <w:rsid w:val="535E0C0C"/>
    <w:rsid w:val="536F55E2"/>
    <w:rsid w:val="53EE2B63"/>
    <w:rsid w:val="541259A4"/>
    <w:rsid w:val="54221113"/>
    <w:rsid w:val="543625D7"/>
    <w:rsid w:val="54410718"/>
    <w:rsid w:val="5506526C"/>
    <w:rsid w:val="55497B99"/>
    <w:rsid w:val="556F44BF"/>
    <w:rsid w:val="55981C1E"/>
    <w:rsid w:val="559E43DB"/>
    <w:rsid w:val="55CC0E83"/>
    <w:rsid w:val="5615080D"/>
    <w:rsid w:val="566A5330"/>
    <w:rsid w:val="568024C8"/>
    <w:rsid w:val="568F79BF"/>
    <w:rsid w:val="56A33FC4"/>
    <w:rsid w:val="56A763F2"/>
    <w:rsid w:val="56BE663C"/>
    <w:rsid w:val="56CD2153"/>
    <w:rsid w:val="56E75D17"/>
    <w:rsid w:val="56F312B5"/>
    <w:rsid w:val="56F74C0E"/>
    <w:rsid w:val="572B04F0"/>
    <w:rsid w:val="572B4176"/>
    <w:rsid w:val="57664E51"/>
    <w:rsid w:val="577603E3"/>
    <w:rsid w:val="5789602C"/>
    <w:rsid w:val="57D9376A"/>
    <w:rsid w:val="580649F2"/>
    <w:rsid w:val="58226B70"/>
    <w:rsid w:val="58230A94"/>
    <w:rsid w:val="58351BA6"/>
    <w:rsid w:val="584F5D9B"/>
    <w:rsid w:val="58795EFF"/>
    <w:rsid w:val="58835B9A"/>
    <w:rsid w:val="58B840B1"/>
    <w:rsid w:val="58F23A2C"/>
    <w:rsid w:val="58F33BD7"/>
    <w:rsid w:val="595950A7"/>
    <w:rsid w:val="595F5667"/>
    <w:rsid w:val="5983654E"/>
    <w:rsid w:val="599B6043"/>
    <w:rsid w:val="59AB446D"/>
    <w:rsid w:val="5A1437A3"/>
    <w:rsid w:val="5A1F2A6A"/>
    <w:rsid w:val="5A321CCA"/>
    <w:rsid w:val="5A4031BD"/>
    <w:rsid w:val="5A742FCA"/>
    <w:rsid w:val="5A7557BC"/>
    <w:rsid w:val="5A801F1C"/>
    <w:rsid w:val="5AAB0EAB"/>
    <w:rsid w:val="5AC64458"/>
    <w:rsid w:val="5AD56AE1"/>
    <w:rsid w:val="5AF42D65"/>
    <w:rsid w:val="5AF96C92"/>
    <w:rsid w:val="5B721AD3"/>
    <w:rsid w:val="5BA5390B"/>
    <w:rsid w:val="5BAF49EA"/>
    <w:rsid w:val="5C331F55"/>
    <w:rsid w:val="5C37747F"/>
    <w:rsid w:val="5C3978AE"/>
    <w:rsid w:val="5C661078"/>
    <w:rsid w:val="5C7A4320"/>
    <w:rsid w:val="5C9167F0"/>
    <w:rsid w:val="5C930CB2"/>
    <w:rsid w:val="5CAE6718"/>
    <w:rsid w:val="5CED33FE"/>
    <w:rsid w:val="5CFE4B36"/>
    <w:rsid w:val="5D152663"/>
    <w:rsid w:val="5D250AE8"/>
    <w:rsid w:val="5D810B69"/>
    <w:rsid w:val="5D8562D6"/>
    <w:rsid w:val="5DB26B1C"/>
    <w:rsid w:val="5DC77A74"/>
    <w:rsid w:val="5DD80BA4"/>
    <w:rsid w:val="5DE65906"/>
    <w:rsid w:val="5DF10DD6"/>
    <w:rsid w:val="5E107A6E"/>
    <w:rsid w:val="5E240474"/>
    <w:rsid w:val="5E481185"/>
    <w:rsid w:val="5E4A08B0"/>
    <w:rsid w:val="5E552402"/>
    <w:rsid w:val="5EA954DA"/>
    <w:rsid w:val="5EF60C22"/>
    <w:rsid w:val="5F165F74"/>
    <w:rsid w:val="5F3E22C2"/>
    <w:rsid w:val="5F474EA9"/>
    <w:rsid w:val="5F8F3F9D"/>
    <w:rsid w:val="5FC33A72"/>
    <w:rsid w:val="5FE44BCC"/>
    <w:rsid w:val="5FFA3215"/>
    <w:rsid w:val="601278AE"/>
    <w:rsid w:val="602074C3"/>
    <w:rsid w:val="60342152"/>
    <w:rsid w:val="607F216A"/>
    <w:rsid w:val="609D0C9B"/>
    <w:rsid w:val="60D3361E"/>
    <w:rsid w:val="60F942D1"/>
    <w:rsid w:val="612912AD"/>
    <w:rsid w:val="613220FF"/>
    <w:rsid w:val="61446D7C"/>
    <w:rsid w:val="614B06AC"/>
    <w:rsid w:val="617C14DD"/>
    <w:rsid w:val="61B844A8"/>
    <w:rsid w:val="61D62E95"/>
    <w:rsid w:val="61D8581E"/>
    <w:rsid w:val="61FF2F13"/>
    <w:rsid w:val="622218C3"/>
    <w:rsid w:val="6222364C"/>
    <w:rsid w:val="6239511B"/>
    <w:rsid w:val="62473027"/>
    <w:rsid w:val="62641F1A"/>
    <w:rsid w:val="627B7180"/>
    <w:rsid w:val="6308246A"/>
    <w:rsid w:val="6308767C"/>
    <w:rsid w:val="63287634"/>
    <w:rsid w:val="63396070"/>
    <w:rsid w:val="634867D2"/>
    <w:rsid w:val="63525AAC"/>
    <w:rsid w:val="63531E3F"/>
    <w:rsid w:val="639768D2"/>
    <w:rsid w:val="63F95E7B"/>
    <w:rsid w:val="64047A76"/>
    <w:rsid w:val="64107C83"/>
    <w:rsid w:val="641761B2"/>
    <w:rsid w:val="6429437B"/>
    <w:rsid w:val="648A2DED"/>
    <w:rsid w:val="64AA5921"/>
    <w:rsid w:val="64E965E9"/>
    <w:rsid w:val="64F613A1"/>
    <w:rsid w:val="64FB67B9"/>
    <w:rsid w:val="650F0297"/>
    <w:rsid w:val="65311AE8"/>
    <w:rsid w:val="65372FB5"/>
    <w:rsid w:val="6579788B"/>
    <w:rsid w:val="65A56F80"/>
    <w:rsid w:val="65CD5AEB"/>
    <w:rsid w:val="65D200C7"/>
    <w:rsid w:val="65D31262"/>
    <w:rsid w:val="65DE71F4"/>
    <w:rsid w:val="65E7615B"/>
    <w:rsid w:val="66067D88"/>
    <w:rsid w:val="66953C5B"/>
    <w:rsid w:val="669B2A9B"/>
    <w:rsid w:val="669F55F1"/>
    <w:rsid w:val="67157EB9"/>
    <w:rsid w:val="673B62F2"/>
    <w:rsid w:val="674F16A7"/>
    <w:rsid w:val="67906BAE"/>
    <w:rsid w:val="679D3EE7"/>
    <w:rsid w:val="67D56B92"/>
    <w:rsid w:val="67E5573D"/>
    <w:rsid w:val="68082180"/>
    <w:rsid w:val="683E687F"/>
    <w:rsid w:val="68430FB9"/>
    <w:rsid w:val="68C61A50"/>
    <w:rsid w:val="68E311B2"/>
    <w:rsid w:val="68FF3ACA"/>
    <w:rsid w:val="6900055E"/>
    <w:rsid w:val="690A6C79"/>
    <w:rsid w:val="69223AE7"/>
    <w:rsid w:val="69251ED4"/>
    <w:rsid w:val="692A4AFD"/>
    <w:rsid w:val="69326652"/>
    <w:rsid w:val="69347AF7"/>
    <w:rsid w:val="693667B6"/>
    <w:rsid w:val="693A50E1"/>
    <w:rsid w:val="696E1979"/>
    <w:rsid w:val="69AA7B28"/>
    <w:rsid w:val="69B14B4E"/>
    <w:rsid w:val="69C175E5"/>
    <w:rsid w:val="69C56D45"/>
    <w:rsid w:val="6A1221A1"/>
    <w:rsid w:val="6A233920"/>
    <w:rsid w:val="6A8B6B18"/>
    <w:rsid w:val="6A9352A2"/>
    <w:rsid w:val="6A9A1577"/>
    <w:rsid w:val="6AA338E6"/>
    <w:rsid w:val="6AC86E77"/>
    <w:rsid w:val="6AF13C0D"/>
    <w:rsid w:val="6B117D6C"/>
    <w:rsid w:val="6B654FB0"/>
    <w:rsid w:val="6BAF6941"/>
    <w:rsid w:val="6BCC1F13"/>
    <w:rsid w:val="6BD91EBE"/>
    <w:rsid w:val="6BE1101B"/>
    <w:rsid w:val="6C24259C"/>
    <w:rsid w:val="6C3219E1"/>
    <w:rsid w:val="6C5579CA"/>
    <w:rsid w:val="6C72726E"/>
    <w:rsid w:val="6CB44AB8"/>
    <w:rsid w:val="6CD509C5"/>
    <w:rsid w:val="6CE4138B"/>
    <w:rsid w:val="6CFA7874"/>
    <w:rsid w:val="6D514C03"/>
    <w:rsid w:val="6D69125F"/>
    <w:rsid w:val="6DA81CE8"/>
    <w:rsid w:val="6DBE17E3"/>
    <w:rsid w:val="6DCC1FAB"/>
    <w:rsid w:val="6E160574"/>
    <w:rsid w:val="6E816BBF"/>
    <w:rsid w:val="6E9134A9"/>
    <w:rsid w:val="6ED5286B"/>
    <w:rsid w:val="6F1A7E1A"/>
    <w:rsid w:val="6F314155"/>
    <w:rsid w:val="6FF85E6E"/>
    <w:rsid w:val="700A48AB"/>
    <w:rsid w:val="70245076"/>
    <w:rsid w:val="704E5507"/>
    <w:rsid w:val="705A51FE"/>
    <w:rsid w:val="70935E14"/>
    <w:rsid w:val="70A4763A"/>
    <w:rsid w:val="70D45314"/>
    <w:rsid w:val="70DB1C8A"/>
    <w:rsid w:val="717B1403"/>
    <w:rsid w:val="71A147B9"/>
    <w:rsid w:val="71D842FA"/>
    <w:rsid w:val="71E65CC9"/>
    <w:rsid w:val="71F00255"/>
    <w:rsid w:val="721434B7"/>
    <w:rsid w:val="725F33BF"/>
    <w:rsid w:val="72651EB0"/>
    <w:rsid w:val="729C267B"/>
    <w:rsid w:val="72B23E6D"/>
    <w:rsid w:val="72C251F0"/>
    <w:rsid w:val="72D86E6C"/>
    <w:rsid w:val="72D87B33"/>
    <w:rsid w:val="72DD5B9E"/>
    <w:rsid w:val="72F54E01"/>
    <w:rsid w:val="731A2D6E"/>
    <w:rsid w:val="73374395"/>
    <w:rsid w:val="7366202F"/>
    <w:rsid w:val="737A786F"/>
    <w:rsid w:val="73B461E3"/>
    <w:rsid w:val="73B604ED"/>
    <w:rsid w:val="73EE50F4"/>
    <w:rsid w:val="740D3F11"/>
    <w:rsid w:val="741257AC"/>
    <w:rsid w:val="742B1612"/>
    <w:rsid w:val="7441199D"/>
    <w:rsid w:val="74420B02"/>
    <w:rsid w:val="745C550C"/>
    <w:rsid w:val="74A064AE"/>
    <w:rsid w:val="74D46B08"/>
    <w:rsid w:val="74D96958"/>
    <w:rsid w:val="74FE6B71"/>
    <w:rsid w:val="74FE774A"/>
    <w:rsid w:val="75184790"/>
    <w:rsid w:val="75577D7F"/>
    <w:rsid w:val="755D5C19"/>
    <w:rsid w:val="757022FB"/>
    <w:rsid w:val="75A15325"/>
    <w:rsid w:val="75B2473D"/>
    <w:rsid w:val="75C03D91"/>
    <w:rsid w:val="75EF6235"/>
    <w:rsid w:val="75F71F3B"/>
    <w:rsid w:val="763563F5"/>
    <w:rsid w:val="766D57C1"/>
    <w:rsid w:val="76801850"/>
    <w:rsid w:val="769714F7"/>
    <w:rsid w:val="76AC2318"/>
    <w:rsid w:val="76BC6C30"/>
    <w:rsid w:val="76E070E6"/>
    <w:rsid w:val="76E17F51"/>
    <w:rsid w:val="76E83D9B"/>
    <w:rsid w:val="76F7624B"/>
    <w:rsid w:val="772571D5"/>
    <w:rsid w:val="774839AC"/>
    <w:rsid w:val="77742983"/>
    <w:rsid w:val="77827BF3"/>
    <w:rsid w:val="778B633D"/>
    <w:rsid w:val="77C232DA"/>
    <w:rsid w:val="77D973E1"/>
    <w:rsid w:val="77EA3464"/>
    <w:rsid w:val="780C1E19"/>
    <w:rsid w:val="786B70AF"/>
    <w:rsid w:val="78760913"/>
    <w:rsid w:val="7881477B"/>
    <w:rsid w:val="788F38A7"/>
    <w:rsid w:val="78A46720"/>
    <w:rsid w:val="78AD0AA4"/>
    <w:rsid w:val="78B86813"/>
    <w:rsid w:val="78FD09AB"/>
    <w:rsid w:val="79010BD2"/>
    <w:rsid w:val="79017261"/>
    <w:rsid w:val="79346435"/>
    <w:rsid w:val="796608A4"/>
    <w:rsid w:val="7999176C"/>
    <w:rsid w:val="79B661E6"/>
    <w:rsid w:val="79CA7D83"/>
    <w:rsid w:val="7A461590"/>
    <w:rsid w:val="7A506505"/>
    <w:rsid w:val="7A6822EA"/>
    <w:rsid w:val="7A814BA2"/>
    <w:rsid w:val="7A88510B"/>
    <w:rsid w:val="7A942566"/>
    <w:rsid w:val="7AAC5343"/>
    <w:rsid w:val="7B4D10C0"/>
    <w:rsid w:val="7B5E19E1"/>
    <w:rsid w:val="7B8D502D"/>
    <w:rsid w:val="7BD55037"/>
    <w:rsid w:val="7BEA41E2"/>
    <w:rsid w:val="7C1C27D8"/>
    <w:rsid w:val="7C230E82"/>
    <w:rsid w:val="7C304BF8"/>
    <w:rsid w:val="7C461A40"/>
    <w:rsid w:val="7C5C2009"/>
    <w:rsid w:val="7C655175"/>
    <w:rsid w:val="7C6D71FD"/>
    <w:rsid w:val="7C7E2620"/>
    <w:rsid w:val="7C8243CE"/>
    <w:rsid w:val="7C9902EC"/>
    <w:rsid w:val="7C9B318C"/>
    <w:rsid w:val="7CCE3276"/>
    <w:rsid w:val="7CCE4670"/>
    <w:rsid w:val="7CDD6CC4"/>
    <w:rsid w:val="7D374E9E"/>
    <w:rsid w:val="7D617FEB"/>
    <w:rsid w:val="7D82688C"/>
    <w:rsid w:val="7D936B21"/>
    <w:rsid w:val="7DB41EC3"/>
    <w:rsid w:val="7E141252"/>
    <w:rsid w:val="7E930BA3"/>
    <w:rsid w:val="7E985166"/>
    <w:rsid w:val="7EFE7213"/>
    <w:rsid w:val="7F171BCC"/>
    <w:rsid w:val="7F37013C"/>
    <w:rsid w:val="7F5F1232"/>
    <w:rsid w:val="7F7316D3"/>
    <w:rsid w:val="7F755C75"/>
    <w:rsid w:val="7FA119C3"/>
    <w:rsid w:val="7FA3150B"/>
    <w:rsid w:val="7FC239A0"/>
    <w:rsid w:val="7FEB5D35"/>
    <w:rsid w:val="7FEB6D9F"/>
    <w:rsid w:val="7FF84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9"/>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unhideWhenUsed/>
    <w:qFormat/>
    <w:uiPriority w:val="99"/>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正文文本 字符"/>
    <w:basedOn w:val="7"/>
    <w:link w:val="2"/>
    <w:semiHidden/>
    <w:uiPriority w:val="99"/>
    <w:rPr>
      <w:rFonts w:asciiTheme="minorHAnsi" w:hAnsiTheme="minorHAnsi" w:eastAsiaTheme="minorEastAsia" w:cstheme="minorBidi"/>
      <w:kern w:val="2"/>
      <w:sz w:val="21"/>
      <w:szCs w:val="22"/>
    </w:rPr>
  </w:style>
  <w:style w:type="character" w:customStyle="1" w:styleId="9">
    <w:name w:val="标题 1 字符"/>
    <w:basedOn w:val="7"/>
    <w:link w:val="3"/>
    <w:uiPriority w:val="0"/>
    <w:rPr>
      <w:rFonts w:asciiTheme="minorHAnsi" w:hAnsiTheme="minorHAnsi" w:eastAsiaTheme="minorEastAsia" w:cstheme="minorBidi"/>
      <w:b/>
      <w:bCs/>
      <w:kern w:val="44"/>
      <w:sz w:val="44"/>
      <w:szCs w:val="44"/>
    </w:rPr>
  </w:style>
  <w:style w:type="paragraph" w:customStyle="1" w:styleId="10">
    <w:name w:val="TOC Heading"/>
    <w:basedOn w:val="3"/>
    <w:next w:val="1"/>
    <w:semiHidden/>
    <w:unhideWhenUsed/>
    <w:qFormat/>
    <w:uiPriority w:val="39"/>
    <w:pPr>
      <w:outlineLvl w:val="9"/>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7856</Words>
  <Characters>8265</Characters>
  <Lines>61</Lines>
  <Paragraphs>17</Paragraphs>
  <TotalTime>73</TotalTime>
  <ScaleCrop>false</ScaleCrop>
  <LinksUpToDate>false</LinksUpToDate>
  <CharactersWithSpaces>8394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听潮</cp:lastModifiedBy>
  <cp:lastPrinted>2021-09-22T11:41:00Z</cp:lastPrinted>
  <dcterms:modified xsi:type="dcterms:W3CDTF">2024-12-13T09:55:57Z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7F7589A504C5468BBB10159DDB438A36</vt:lpwstr>
  </property>
</Properties>
</file>