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
        <w:ind w:left="1540" w:right="1540" w:firstLine="0"/>
        <w:jc w:val="center"/>
        <w:rPr>
          <w:b/>
          <w:sz w:val="44"/>
        </w:rPr>
      </w:pPr>
      <w:bookmarkStart w:id="0" w:name="招标公告"/>
      <w:bookmarkEnd w:id="0"/>
      <w:r>
        <w:rPr>
          <w:b/>
          <w:sz w:val="44"/>
        </w:rPr>
        <w:t>招标公告</w:t>
      </w:r>
    </w:p>
    <w:p>
      <w:pPr>
        <w:spacing w:before="0"/>
        <w:ind w:left="0" w:leftChars="0" w:right="0" w:firstLine="0" w:firstLineChars="0"/>
        <w:jc w:val="center"/>
        <w:rPr>
          <w:b/>
          <w:sz w:val="32"/>
          <w:szCs w:val="32"/>
        </w:rPr>
      </w:pPr>
      <w:r>
        <w:rPr>
          <w:b/>
          <w:sz w:val="32"/>
        </w:rPr>
        <w:t>寻甸回族彝族自治县</w:t>
      </w:r>
      <w:r>
        <w:rPr>
          <w:rFonts w:hint="eastAsia" w:ascii="宋体" w:hAnsi="宋体" w:cs="Arial"/>
          <w:b/>
          <w:bCs/>
          <w:sz w:val="32"/>
          <w:szCs w:val="32"/>
          <w:lang w:eastAsia="zh-CN" w:bidi="ar-SA"/>
        </w:rPr>
        <w:t>失能照护机构护理床改造项目</w:t>
      </w:r>
    </w:p>
    <w:p>
      <w:pPr>
        <w:pStyle w:val="9"/>
        <w:spacing w:before="195"/>
        <w:ind w:left="1539" w:right="1540"/>
        <w:jc w:val="center"/>
      </w:pPr>
      <w:r>
        <w:rPr>
          <w:rFonts w:hint="eastAsia"/>
          <w:lang w:eastAsia="zh-CN"/>
        </w:rPr>
        <w:t>（</w:t>
      </w:r>
      <w:r>
        <w:t>招标编号：</w:t>
      </w:r>
      <w:r>
        <w:rPr>
          <w:rFonts w:hint="eastAsia"/>
          <w:lang w:val="en-US" w:eastAsia="zh-CN"/>
        </w:rPr>
        <w:t xml:space="preserve">XDXMZJZB-2022-001 </w:t>
      </w:r>
      <w: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0406" w:type="dxa"/>
          </w:tcPr>
          <w:p>
            <w:pPr>
              <w:pStyle w:val="9"/>
              <w:spacing w:before="106"/>
              <w:ind w:left="4709"/>
            </w:pPr>
            <w:bookmarkStart w:id="1" w:name="一.项目基本情况"/>
            <w:bookmarkEnd w:id="1"/>
            <w:r>
              <w:t>项目概况</w:t>
            </w:r>
          </w:p>
          <w:p>
            <w:pPr>
              <w:pStyle w:val="9"/>
              <w:spacing w:before="167" w:line="372" w:lineRule="auto"/>
              <w:ind w:left="79" w:right="97" w:firstLine="480"/>
              <w:rPr>
                <w:rFonts w:hint="eastAsia"/>
                <w:vertAlign w:val="baseline"/>
                <w:lang w:val="en-US" w:eastAsia="zh-CN"/>
              </w:rPr>
            </w:pPr>
            <w:r>
              <w:rPr>
                <w:rFonts w:hint="eastAsia"/>
                <w:u w:val="single"/>
                <w:lang w:eastAsia="zh-CN"/>
              </w:rPr>
              <w:t>寻甸回族彝族自治县失能照护机构护理床改造项目</w:t>
            </w:r>
            <w:r>
              <w:t>招标项目的潜在投标人应在寻甸回族彝族自治县人民政府</w:t>
            </w:r>
            <w:r>
              <w:rPr>
                <w:rFonts w:hint="eastAsia"/>
                <w:lang w:eastAsia="zh-CN"/>
              </w:rPr>
              <w:t>网站（http://www.kmxd.gov.cn/）</w:t>
            </w:r>
            <w:r>
              <w:rPr>
                <w:spacing w:val="-6"/>
              </w:rPr>
              <w:t xml:space="preserve">获取招标文件，并于 </w:t>
            </w:r>
            <w:r>
              <w:rPr>
                <w:u w:val="single"/>
              </w:rPr>
              <w:t>202</w:t>
            </w:r>
            <w:r>
              <w:rPr>
                <w:rFonts w:hint="eastAsia"/>
                <w:u w:val="single"/>
                <w:lang w:val="en-US" w:eastAsia="zh-CN"/>
              </w:rPr>
              <w:t>2</w:t>
            </w:r>
            <w:r>
              <w:rPr>
                <w:spacing w:val="-40"/>
                <w:u w:val="single"/>
              </w:rPr>
              <w:t xml:space="preserve"> </w:t>
            </w:r>
            <w:r>
              <w:rPr>
                <w:spacing w:val="-40"/>
                <w:u w:val="none"/>
              </w:rPr>
              <w:t>年</w:t>
            </w:r>
            <w:r>
              <w:rPr>
                <w:spacing w:val="-40"/>
                <w:u w:val="single"/>
              </w:rPr>
              <w:t xml:space="preserve"> </w:t>
            </w:r>
            <w:r>
              <w:rPr>
                <w:u w:val="single"/>
              </w:rPr>
              <w:t>1</w:t>
            </w:r>
            <w:r>
              <w:rPr>
                <w:spacing w:val="-40"/>
                <w:u w:val="single"/>
              </w:rPr>
              <w:t xml:space="preserve"> </w:t>
            </w:r>
            <w:r>
              <w:rPr>
                <w:spacing w:val="-40"/>
                <w:u w:val="none"/>
              </w:rPr>
              <w:t>月</w:t>
            </w:r>
            <w:r>
              <w:rPr>
                <w:spacing w:val="-40"/>
                <w:u w:val="single"/>
              </w:rPr>
              <w:t xml:space="preserve"> </w:t>
            </w:r>
            <w:r>
              <w:rPr>
                <w:rFonts w:hint="eastAsia"/>
                <w:u w:val="single"/>
                <w:lang w:val="en-US" w:eastAsia="zh-CN"/>
              </w:rPr>
              <w:t>6</w:t>
            </w:r>
            <w:r>
              <w:rPr>
                <w:spacing w:val="-40"/>
                <w:u w:val="single"/>
              </w:rPr>
              <w:t xml:space="preserve"> </w:t>
            </w:r>
            <w:r>
              <w:rPr>
                <w:spacing w:val="-40"/>
                <w:u w:val="none"/>
              </w:rPr>
              <w:t>日</w:t>
            </w:r>
            <w:r>
              <w:rPr>
                <w:spacing w:val="-40"/>
                <w:u w:val="single"/>
              </w:rPr>
              <w:t xml:space="preserve"> </w:t>
            </w:r>
            <w:r>
              <w:rPr>
                <w:rFonts w:hint="eastAsia"/>
                <w:u w:val="single"/>
                <w:lang w:val="en-US" w:eastAsia="zh-CN"/>
              </w:rPr>
              <w:t>17</w:t>
            </w:r>
            <w:r>
              <w:rPr>
                <w:spacing w:val="-30"/>
                <w:u w:val="single"/>
              </w:rPr>
              <w:t xml:space="preserve"> </w:t>
            </w:r>
            <w:r>
              <w:rPr>
                <w:spacing w:val="-30"/>
                <w:u w:val="none"/>
              </w:rPr>
              <w:t>时</w:t>
            </w:r>
            <w:r>
              <w:rPr>
                <w:rFonts w:hint="eastAsia"/>
                <w:spacing w:val="-30"/>
                <w:u w:val="single"/>
                <w:lang w:val="en-US" w:eastAsia="zh-CN"/>
              </w:rPr>
              <w:t>00</w:t>
            </w:r>
            <w:r>
              <w:rPr>
                <w:rFonts w:hint="eastAsia"/>
                <w:spacing w:val="-30"/>
                <w:u w:val="none"/>
                <w:lang w:val="en-US" w:eastAsia="zh-CN"/>
              </w:rPr>
              <w:t>分</w:t>
            </w:r>
            <w:r>
              <w:rPr>
                <w:rFonts w:hint="eastAsia"/>
                <w:spacing w:val="-30"/>
                <w:u w:val="single"/>
                <w:lang w:val="en-US" w:eastAsia="zh-CN"/>
              </w:rPr>
              <w:t>前递交投标文件。</w:t>
            </w:r>
          </w:p>
        </w:tc>
      </w:tr>
    </w:tbl>
    <w:p>
      <w:pPr>
        <w:pStyle w:val="4"/>
        <w:spacing w:before="108"/>
      </w:pPr>
      <w:r>
        <w:t>一</w:t>
      </w:r>
      <w:r>
        <w:rPr>
          <w:rFonts w:hint="eastAsia"/>
          <w:lang w:eastAsia="zh-CN"/>
        </w:rPr>
        <w:t>、</w:t>
      </w:r>
      <w:r>
        <w:t>项目基本情况</w:t>
      </w:r>
    </w:p>
    <w:p>
      <w:pPr>
        <w:pStyle w:val="19"/>
        <w:numPr>
          <w:ilvl w:val="1"/>
          <w:numId w:val="1"/>
        </w:numPr>
        <w:tabs>
          <w:tab w:val="left" w:pos="1123"/>
        </w:tabs>
        <w:spacing w:before="223" w:after="0" w:line="240" w:lineRule="auto"/>
        <w:ind w:left="1122" w:right="0" w:hanging="421"/>
        <w:jc w:val="left"/>
        <w:rPr>
          <w:sz w:val="24"/>
        </w:rPr>
      </w:pPr>
      <w:r>
        <w:rPr>
          <w:sz w:val="24"/>
        </w:rPr>
        <w:t>招标项目名称：</w:t>
      </w:r>
      <w:r>
        <w:rPr>
          <w:rFonts w:hint="eastAsia"/>
          <w:sz w:val="24"/>
          <w:lang w:eastAsia="zh-CN"/>
        </w:rPr>
        <w:t>寻甸回族彝族自治县失能照护机构护理床改造项目</w:t>
      </w:r>
      <w:r>
        <w:rPr>
          <w:sz w:val="24"/>
        </w:rPr>
        <w:t>。</w:t>
      </w:r>
    </w:p>
    <w:p>
      <w:pPr>
        <w:pStyle w:val="19"/>
        <w:numPr>
          <w:ilvl w:val="1"/>
          <w:numId w:val="1"/>
        </w:numPr>
        <w:tabs>
          <w:tab w:val="left" w:pos="1123"/>
        </w:tabs>
        <w:spacing w:before="168" w:after="0" w:line="240" w:lineRule="auto"/>
        <w:ind w:left="1122" w:right="0" w:hanging="421"/>
        <w:jc w:val="left"/>
        <w:rPr>
          <w:sz w:val="24"/>
        </w:rPr>
      </w:pPr>
      <w:r>
        <w:rPr>
          <w:sz w:val="24"/>
        </w:rPr>
        <w:t>招标项目编号：</w:t>
      </w:r>
      <w:r>
        <w:rPr>
          <w:rFonts w:hint="eastAsia"/>
          <w:lang w:val="en-US" w:eastAsia="zh-CN"/>
        </w:rPr>
        <w:t>XDXMZJZB-2022-001</w:t>
      </w:r>
    </w:p>
    <w:p>
      <w:pPr>
        <w:pStyle w:val="19"/>
        <w:numPr>
          <w:ilvl w:val="1"/>
          <w:numId w:val="1"/>
        </w:numPr>
        <w:tabs>
          <w:tab w:val="left" w:pos="1123"/>
        </w:tabs>
        <w:spacing w:before="168" w:after="0" w:line="240" w:lineRule="auto"/>
        <w:ind w:left="1122" w:right="0" w:hanging="421"/>
        <w:jc w:val="left"/>
        <w:rPr>
          <w:sz w:val="24"/>
        </w:rPr>
      </w:pPr>
      <w:r>
        <w:rPr>
          <w:sz w:val="24"/>
        </w:rPr>
        <w:t>预算金额：</w:t>
      </w:r>
      <w:r>
        <w:rPr>
          <w:rFonts w:hint="eastAsia"/>
          <w:sz w:val="24"/>
          <w:lang w:val="en-US" w:eastAsia="zh-CN"/>
        </w:rPr>
        <w:t>22.50</w:t>
      </w:r>
      <w:r>
        <w:rPr>
          <w:spacing w:val="-15"/>
          <w:sz w:val="24"/>
        </w:rPr>
        <w:t>万元。</w:t>
      </w:r>
    </w:p>
    <w:p>
      <w:pPr>
        <w:pStyle w:val="19"/>
        <w:numPr>
          <w:ilvl w:val="1"/>
          <w:numId w:val="1"/>
        </w:numPr>
        <w:tabs>
          <w:tab w:val="left" w:pos="1123"/>
        </w:tabs>
        <w:spacing w:before="167" w:after="0" w:line="372" w:lineRule="auto"/>
        <w:ind w:left="222" w:right="301" w:firstLine="480"/>
        <w:jc w:val="left"/>
        <w:rPr>
          <w:sz w:val="24"/>
        </w:rPr>
      </w:pPr>
      <w:r>
        <w:rPr>
          <w:sz w:val="24"/>
        </w:rPr>
        <w:t>最高限价：（1）</w:t>
      </w:r>
      <w:r>
        <w:rPr>
          <w:spacing w:val="-8"/>
          <w:sz w:val="24"/>
        </w:rPr>
        <w:t xml:space="preserve">总价最高限价为 </w:t>
      </w:r>
      <w:r>
        <w:rPr>
          <w:rFonts w:hint="eastAsia"/>
          <w:sz w:val="24"/>
          <w:lang w:val="en-US" w:eastAsia="zh-CN"/>
        </w:rPr>
        <w:t>22.47</w:t>
      </w:r>
      <w:r>
        <w:rPr>
          <w:spacing w:val="-20"/>
          <w:sz w:val="24"/>
        </w:rPr>
        <w:t xml:space="preserve"> 万元</w:t>
      </w:r>
      <w:r>
        <w:rPr>
          <w:sz w:val="24"/>
        </w:rPr>
        <w:t>；（2）</w:t>
      </w:r>
      <w:r>
        <w:rPr>
          <w:spacing w:val="-2"/>
          <w:sz w:val="24"/>
        </w:rPr>
        <w:t>产品单价不得超过货物需求表中的</w:t>
      </w:r>
      <w:r>
        <w:rPr>
          <w:sz w:val="24"/>
        </w:rPr>
        <w:t>各项预算单价。</w:t>
      </w:r>
    </w:p>
    <w:p>
      <w:pPr>
        <w:pStyle w:val="19"/>
        <w:numPr>
          <w:ilvl w:val="1"/>
          <w:numId w:val="1"/>
        </w:numPr>
        <w:tabs>
          <w:tab w:val="left" w:pos="1123"/>
        </w:tabs>
        <w:spacing w:before="0" w:after="0" w:line="307" w:lineRule="exact"/>
        <w:ind w:left="1122" w:right="0" w:hanging="421"/>
        <w:jc w:val="left"/>
        <w:rPr>
          <w:sz w:val="24"/>
        </w:rPr>
      </w:pPr>
      <w:r>
        <w:rPr>
          <w:sz w:val="24"/>
        </w:rPr>
        <w:t>本项目不接受联合体投标。</w:t>
      </w:r>
    </w:p>
    <w:p>
      <w:pPr>
        <w:pStyle w:val="19"/>
        <w:numPr>
          <w:ilvl w:val="1"/>
          <w:numId w:val="1"/>
        </w:numPr>
        <w:tabs>
          <w:tab w:val="left" w:pos="1123"/>
        </w:tabs>
        <w:spacing w:before="168" w:after="0" w:line="240" w:lineRule="auto"/>
        <w:ind w:left="1122" w:right="0" w:hanging="421"/>
        <w:jc w:val="left"/>
        <w:rPr>
          <w:sz w:val="24"/>
        </w:rPr>
      </w:pPr>
      <w:r>
        <w:rPr>
          <w:sz w:val="24"/>
        </w:rPr>
        <w:t>采购人的项目需求</w:t>
      </w:r>
    </w:p>
    <w:p>
      <w:pPr>
        <w:pStyle w:val="19"/>
        <w:numPr>
          <w:ilvl w:val="2"/>
          <w:numId w:val="1"/>
        </w:numPr>
        <w:tabs>
          <w:tab w:val="left" w:pos="1363"/>
        </w:tabs>
        <w:spacing w:before="168" w:after="0" w:line="240" w:lineRule="auto"/>
        <w:ind w:left="1362" w:right="0" w:hanging="661"/>
        <w:jc w:val="left"/>
        <w:rPr>
          <w:sz w:val="24"/>
        </w:rPr>
      </w:pPr>
      <w:r>
        <w:rPr>
          <w:sz w:val="24"/>
        </w:rPr>
        <w:t>项目需求：</w:t>
      </w:r>
    </w:p>
    <w:p>
      <w:pPr>
        <w:pStyle w:val="9"/>
        <w:spacing w:before="6"/>
        <w:ind w:left="0"/>
        <w:rPr>
          <w:sz w:val="6"/>
        </w:rPr>
      </w:pPr>
    </w:p>
    <w:tbl>
      <w:tblPr>
        <w:tblStyle w:val="15"/>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64"/>
        <w:gridCol w:w="1845"/>
        <w:gridCol w:w="849"/>
        <w:gridCol w:w="851"/>
        <w:gridCol w:w="1700"/>
        <w:gridCol w:w="1419"/>
        <w:gridCol w:w="965"/>
        <w:gridCol w:w="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460" w:type="dxa"/>
            <w:shd w:val="clear" w:color="auto" w:fill="E7E6E6"/>
          </w:tcPr>
          <w:p>
            <w:pPr>
              <w:pStyle w:val="20"/>
              <w:spacing w:before="163" w:line="247" w:lineRule="auto"/>
              <w:ind w:left="109" w:right="98"/>
              <w:rPr>
                <w:b/>
                <w:sz w:val="24"/>
              </w:rPr>
            </w:pPr>
            <w:r>
              <w:rPr>
                <w:b/>
                <w:sz w:val="24"/>
              </w:rPr>
              <w:t>序号</w:t>
            </w:r>
          </w:p>
        </w:tc>
        <w:tc>
          <w:tcPr>
            <w:tcW w:w="2909" w:type="dxa"/>
            <w:gridSpan w:val="2"/>
            <w:shd w:val="clear" w:color="auto" w:fill="E7E6E6"/>
          </w:tcPr>
          <w:p>
            <w:pPr>
              <w:pStyle w:val="20"/>
              <w:spacing w:before="1"/>
              <w:rPr>
                <w:sz w:val="25"/>
              </w:rPr>
            </w:pPr>
          </w:p>
          <w:p>
            <w:pPr>
              <w:pStyle w:val="20"/>
              <w:ind w:left="494"/>
              <w:rPr>
                <w:b/>
                <w:sz w:val="24"/>
              </w:rPr>
            </w:pPr>
            <w:r>
              <w:rPr>
                <w:b/>
                <w:sz w:val="24"/>
              </w:rPr>
              <w:t>产品（项目）名称</w:t>
            </w:r>
          </w:p>
        </w:tc>
        <w:tc>
          <w:tcPr>
            <w:tcW w:w="849" w:type="dxa"/>
            <w:shd w:val="clear" w:color="auto" w:fill="E7E6E6"/>
          </w:tcPr>
          <w:p>
            <w:pPr>
              <w:pStyle w:val="20"/>
              <w:spacing w:before="1"/>
              <w:rPr>
                <w:sz w:val="25"/>
              </w:rPr>
            </w:pPr>
          </w:p>
          <w:p>
            <w:pPr>
              <w:pStyle w:val="20"/>
              <w:ind w:left="184"/>
              <w:rPr>
                <w:b/>
                <w:sz w:val="24"/>
              </w:rPr>
            </w:pPr>
            <w:r>
              <w:rPr>
                <w:b/>
                <w:sz w:val="24"/>
              </w:rPr>
              <w:t>数量</w:t>
            </w:r>
          </w:p>
        </w:tc>
        <w:tc>
          <w:tcPr>
            <w:tcW w:w="851" w:type="dxa"/>
            <w:shd w:val="clear" w:color="auto" w:fill="E7E6E6"/>
          </w:tcPr>
          <w:p>
            <w:pPr>
              <w:pStyle w:val="20"/>
              <w:spacing w:before="163" w:line="247" w:lineRule="auto"/>
              <w:ind w:left="185" w:right="173"/>
              <w:rPr>
                <w:b/>
                <w:sz w:val="24"/>
              </w:rPr>
            </w:pPr>
            <w:r>
              <w:rPr>
                <w:b/>
                <w:sz w:val="24"/>
              </w:rPr>
              <w:t>计量单位</w:t>
            </w:r>
          </w:p>
        </w:tc>
        <w:tc>
          <w:tcPr>
            <w:tcW w:w="1700" w:type="dxa"/>
            <w:shd w:val="clear" w:color="auto" w:fill="E7E6E6"/>
          </w:tcPr>
          <w:p>
            <w:pPr>
              <w:pStyle w:val="20"/>
              <w:spacing w:before="1"/>
              <w:rPr>
                <w:sz w:val="25"/>
              </w:rPr>
            </w:pPr>
          </w:p>
          <w:p>
            <w:pPr>
              <w:pStyle w:val="20"/>
              <w:ind w:left="111" w:right="-29"/>
              <w:rPr>
                <w:b/>
                <w:sz w:val="24"/>
              </w:rPr>
            </w:pPr>
            <w:r>
              <w:rPr>
                <w:b/>
                <w:spacing w:val="-21"/>
                <w:sz w:val="24"/>
              </w:rPr>
              <w:t>预算单价</w:t>
            </w:r>
            <w:r>
              <w:rPr>
                <w:b/>
                <w:sz w:val="24"/>
              </w:rPr>
              <w:t>（元</w:t>
            </w:r>
            <w:r>
              <w:rPr>
                <w:b/>
                <w:spacing w:val="-12"/>
                <w:sz w:val="24"/>
              </w:rPr>
              <w:t>）</w:t>
            </w:r>
          </w:p>
        </w:tc>
        <w:tc>
          <w:tcPr>
            <w:tcW w:w="1419" w:type="dxa"/>
            <w:shd w:val="clear" w:color="auto" w:fill="E7E6E6"/>
          </w:tcPr>
          <w:p>
            <w:pPr>
              <w:pStyle w:val="20"/>
              <w:spacing w:before="1"/>
              <w:rPr>
                <w:sz w:val="25"/>
              </w:rPr>
            </w:pPr>
          </w:p>
          <w:p>
            <w:pPr>
              <w:pStyle w:val="20"/>
              <w:ind w:left="108"/>
              <w:rPr>
                <w:b/>
                <w:sz w:val="24"/>
              </w:rPr>
            </w:pPr>
            <w:r>
              <w:rPr>
                <w:b/>
                <w:sz w:val="24"/>
              </w:rPr>
              <w:t>金额（元）</w:t>
            </w:r>
          </w:p>
        </w:tc>
        <w:tc>
          <w:tcPr>
            <w:tcW w:w="965" w:type="dxa"/>
            <w:shd w:val="clear" w:color="auto" w:fill="E7E6E6"/>
          </w:tcPr>
          <w:p>
            <w:pPr>
              <w:pStyle w:val="20"/>
              <w:spacing w:before="4"/>
              <w:ind w:left="122"/>
              <w:rPr>
                <w:b/>
                <w:sz w:val="24"/>
              </w:rPr>
            </w:pPr>
            <w:r>
              <w:rPr>
                <w:b/>
                <w:sz w:val="24"/>
              </w:rPr>
              <w:t>是否允</w:t>
            </w:r>
          </w:p>
          <w:p>
            <w:pPr>
              <w:pStyle w:val="20"/>
              <w:spacing w:before="7" w:line="310" w:lineRule="atLeast"/>
              <w:ind w:left="242" w:right="108" w:hanging="120"/>
              <w:rPr>
                <w:b/>
                <w:sz w:val="24"/>
              </w:rPr>
            </w:pPr>
            <w:r>
              <w:rPr>
                <w:b/>
                <w:sz w:val="24"/>
              </w:rPr>
              <w:t>许进口产品</w:t>
            </w:r>
          </w:p>
        </w:tc>
        <w:tc>
          <w:tcPr>
            <w:tcW w:w="803" w:type="dxa"/>
            <w:shd w:val="clear" w:color="auto" w:fill="E7E6E6"/>
          </w:tcPr>
          <w:p>
            <w:pPr>
              <w:pStyle w:val="20"/>
              <w:spacing w:before="1"/>
              <w:rPr>
                <w:sz w:val="25"/>
              </w:rPr>
            </w:pPr>
          </w:p>
          <w:p>
            <w:pPr>
              <w:pStyle w:val="20"/>
              <w:ind w:left="160"/>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460" w:type="dxa"/>
            <w:vMerge w:val="restart"/>
          </w:tcPr>
          <w:p>
            <w:pPr>
              <w:pStyle w:val="20"/>
              <w:spacing w:before="1"/>
              <w:rPr>
                <w:sz w:val="35"/>
              </w:rPr>
            </w:pPr>
          </w:p>
          <w:p>
            <w:pPr>
              <w:pStyle w:val="20"/>
              <w:ind w:left="9"/>
              <w:jc w:val="center"/>
              <w:rPr>
                <w:sz w:val="24"/>
              </w:rPr>
            </w:pPr>
            <w:r>
              <w:rPr>
                <w:sz w:val="24"/>
              </w:rPr>
              <w:t>1</w:t>
            </w:r>
          </w:p>
        </w:tc>
        <w:tc>
          <w:tcPr>
            <w:tcW w:w="1064" w:type="dxa"/>
            <w:vMerge w:val="restart"/>
          </w:tcPr>
          <w:p>
            <w:pPr>
              <w:pStyle w:val="20"/>
              <w:spacing w:before="9"/>
              <w:rPr>
                <w:sz w:val="22"/>
              </w:rPr>
            </w:pPr>
          </w:p>
          <w:p>
            <w:pPr>
              <w:pStyle w:val="20"/>
              <w:spacing w:before="1" w:line="247" w:lineRule="auto"/>
              <w:ind w:left="292" w:right="159" w:hanging="120"/>
              <w:rPr>
                <w:sz w:val="24"/>
              </w:rPr>
            </w:pPr>
            <w:r>
              <w:rPr>
                <w:sz w:val="24"/>
              </w:rPr>
              <w:t>单摇护理床</w:t>
            </w:r>
          </w:p>
        </w:tc>
        <w:tc>
          <w:tcPr>
            <w:tcW w:w="1845" w:type="dxa"/>
          </w:tcPr>
          <w:p>
            <w:pPr>
              <w:pStyle w:val="20"/>
              <w:spacing w:before="16" w:line="303" w:lineRule="exact"/>
              <w:ind w:left="180" w:right="174"/>
              <w:jc w:val="center"/>
              <w:rPr>
                <w:sz w:val="24"/>
              </w:rPr>
            </w:pPr>
            <w:r>
              <w:rPr>
                <w:sz w:val="24"/>
              </w:rPr>
              <w:t>单摇护理床</w:t>
            </w:r>
          </w:p>
        </w:tc>
        <w:tc>
          <w:tcPr>
            <w:tcW w:w="849" w:type="dxa"/>
            <w:vMerge w:val="restart"/>
          </w:tcPr>
          <w:p>
            <w:pPr>
              <w:pStyle w:val="20"/>
              <w:spacing w:before="1"/>
              <w:rPr>
                <w:sz w:val="35"/>
              </w:rPr>
            </w:pPr>
          </w:p>
          <w:p>
            <w:pPr>
              <w:pStyle w:val="20"/>
              <w:ind w:left="244"/>
              <w:rPr>
                <w:rFonts w:hint="default" w:eastAsia="宋体"/>
                <w:sz w:val="24"/>
                <w:lang w:val="en-US" w:eastAsia="zh-CN"/>
              </w:rPr>
            </w:pPr>
            <w:r>
              <w:rPr>
                <w:rFonts w:hint="eastAsia"/>
                <w:sz w:val="24"/>
                <w:lang w:val="en-US" w:eastAsia="zh-CN"/>
              </w:rPr>
              <w:t>107</w:t>
            </w:r>
          </w:p>
        </w:tc>
        <w:tc>
          <w:tcPr>
            <w:tcW w:w="851" w:type="dxa"/>
            <w:vMerge w:val="restart"/>
          </w:tcPr>
          <w:p>
            <w:pPr>
              <w:pStyle w:val="20"/>
              <w:spacing w:before="1"/>
              <w:rPr>
                <w:sz w:val="35"/>
              </w:rPr>
            </w:pPr>
          </w:p>
          <w:p>
            <w:pPr>
              <w:pStyle w:val="20"/>
              <w:ind w:left="9"/>
              <w:jc w:val="center"/>
              <w:rPr>
                <w:sz w:val="24"/>
              </w:rPr>
            </w:pPr>
            <w:r>
              <w:rPr>
                <w:sz w:val="24"/>
              </w:rPr>
              <w:t>床</w:t>
            </w:r>
          </w:p>
        </w:tc>
        <w:tc>
          <w:tcPr>
            <w:tcW w:w="1700" w:type="dxa"/>
            <w:vMerge w:val="restart"/>
          </w:tcPr>
          <w:p>
            <w:pPr>
              <w:pStyle w:val="20"/>
              <w:spacing w:before="1"/>
              <w:rPr>
                <w:sz w:val="35"/>
              </w:rPr>
            </w:pPr>
          </w:p>
          <w:p>
            <w:pPr>
              <w:pStyle w:val="20"/>
              <w:ind w:left="588" w:right="581"/>
              <w:jc w:val="center"/>
              <w:rPr>
                <w:rFonts w:hint="default"/>
                <w:sz w:val="24"/>
                <w:lang w:val="en-US"/>
              </w:rPr>
            </w:pPr>
            <w:r>
              <w:rPr>
                <w:sz w:val="24"/>
              </w:rPr>
              <w:t>2</w:t>
            </w:r>
            <w:r>
              <w:rPr>
                <w:rFonts w:hint="eastAsia"/>
                <w:sz w:val="24"/>
                <w:lang w:val="en-US" w:eastAsia="zh-CN"/>
              </w:rPr>
              <w:t>100</w:t>
            </w:r>
          </w:p>
        </w:tc>
        <w:tc>
          <w:tcPr>
            <w:tcW w:w="1419" w:type="dxa"/>
            <w:vMerge w:val="restart"/>
          </w:tcPr>
          <w:p>
            <w:pPr>
              <w:pStyle w:val="20"/>
              <w:spacing w:before="1"/>
              <w:rPr>
                <w:sz w:val="35"/>
              </w:rPr>
            </w:pPr>
          </w:p>
          <w:p>
            <w:pPr>
              <w:pStyle w:val="20"/>
              <w:ind w:left="348"/>
              <w:rPr>
                <w:rFonts w:hint="default" w:eastAsia="宋体"/>
                <w:sz w:val="24"/>
                <w:lang w:val="en-US" w:eastAsia="zh-CN"/>
              </w:rPr>
            </w:pPr>
            <w:r>
              <w:rPr>
                <w:rFonts w:hint="eastAsia"/>
                <w:sz w:val="24"/>
                <w:lang w:val="en-US" w:eastAsia="zh-CN"/>
              </w:rPr>
              <w:t>224700</w:t>
            </w:r>
          </w:p>
        </w:tc>
        <w:tc>
          <w:tcPr>
            <w:tcW w:w="965" w:type="dxa"/>
            <w:vMerge w:val="restart"/>
          </w:tcPr>
          <w:p>
            <w:pPr>
              <w:pStyle w:val="20"/>
              <w:spacing w:before="1"/>
              <w:rPr>
                <w:sz w:val="35"/>
              </w:rPr>
            </w:pPr>
          </w:p>
          <w:p>
            <w:pPr>
              <w:pStyle w:val="20"/>
              <w:ind w:left="9"/>
              <w:jc w:val="center"/>
              <w:rPr>
                <w:sz w:val="24"/>
              </w:rPr>
            </w:pPr>
            <w:r>
              <w:rPr>
                <w:sz w:val="24"/>
              </w:rPr>
              <w:t>否</w:t>
            </w:r>
          </w:p>
        </w:tc>
        <w:tc>
          <w:tcPr>
            <w:tcW w:w="803" w:type="dxa"/>
            <w:vMerge w:val="restart"/>
          </w:tcPr>
          <w:p>
            <w:pPr>
              <w:pStyle w:val="20"/>
              <w:spacing w:before="131" w:line="247" w:lineRule="auto"/>
              <w:ind w:left="160" w:right="150"/>
              <w:jc w:val="both"/>
              <w:rPr>
                <w:sz w:val="24"/>
              </w:rPr>
            </w:pPr>
            <w:r>
              <w:rPr>
                <w:sz w:val="24"/>
              </w:rPr>
              <w:t>不含床头柜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460" w:type="dxa"/>
            <w:vMerge w:val="continue"/>
            <w:tcBorders>
              <w:top w:val="nil"/>
            </w:tcBorders>
          </w:tcPr>
          <w:p>
            <w:pPr>
              <w:rPr>
                <w:sz w:val="2"/>
                <w:szCs w:val="2"/>
              </w:rPr>
            </w:pPr>
          </w:p>
        </w:tc>
        <w:tc>
          <w:tcPr>
            <w:tcW w:w="1064" w:type="dxa"/>
            <w:vMerge w:val="continue"/>
            <w:tcBorders>
              <w:top w:val="nil"/>
            </w:tcBorders>
          </w:tcPr>
          <w:p>
            <w:pPr>
              <w:rPr>
                <w:sz w:val="2"/>
                <w:szCs w:val="2"/>
              </w:rPr>
            </w:pPr>
          </w:p>
        </w:tc>
        <w:tc>
          <w:tcPr>
            <w:tcW w:w="1845" w:type="dxa"/>
          </w:tcPr>
          <w:p>
            <w:pPr>
              <w:pStyle w:val="20"/>
              <w:spacing w:before="46"/>
              <w:ind w:left="180" w:right="174"/>
              <w:jc w:val="center"/>
              <w:rPr>
                <w:sz w:val="24"/>
              </w:rPr>
            </w:pPr>
            <w:r>
              <w:rPr>
                <w:sz w:val="24"/>
              </w:rPr>
              <w:t>单摇床垫</w:t>
            </w:r>
          </w:p>
        </w:tc>
        <w:tc>
          <w:tcPr>
            <w:tcW w:w="849"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1700" w:type="dxa"/>
            <w:vMerge w:val="continue"/>
            <w:tcBorders>
              <w:top w:val="nil"/>
            </w:tcBorders>
          </w:tcPr>
          <w:p>
            <w:pPr>
              <w:rPr>
                <w:sz w:val="2"/>
                <w:szCs w:val="2"/>
              </w:rPr>
            </w:pPr>
          </w:p>
        </w:tc>
        <w:tc>
          <w:tcPr>
            <w:tcW w:w="1419" w:type="dxa"/>
            <w:vMerge w:val="continue"/>
            <w:tcBorders>
              <w:top w:val="nil"/>
            </w:tcBorders>
          </w:tcPr>
          <w:p>
            <w:pPr>
              <w:rPr>
                <w:sz w:val="2"/>
                <w:szCs w:val="2"/>
              </w:rPr>
            </w:pPr>
          </w:p>
        </w:tc>
        <w:tc>
          <w:tcPr>
            <w:tcW w:w="965" w:type="dxa"/>
            <w:vMerge w:val="continue"/>
            <w:tcBorders>
              <w:top w:val="nil"/>
            </w:tcBorders>
          </w:tcPr>
          <w:p>
            <w:pPr>
              <w:rPr>
                <w:sz w:val="2"/>
                <w:szCs w:val="2"/>
              </w:rPr>
            </w:pPr>
          </w:p>
        </w:tc>
        <w:tc>
          <w:tcPr>
            <w:tcW w:w="80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60" w:type="dxa"/>
            <w:vMerge w:val="continue"/>
            <w:tcBorders>
              <w:top w:val="nil"/>
            </w:tcBorders>
          </w:tcPr>
          <w:p>
            <w:pPr>
              <w:rPr>
                <w:sz w:val="2"/>
                <w:szCs w:val="2"/>
              </w:rPr>
            </w:pPr>
          </w:p>
        </w:tc>
        <w:tc>
          <w:tcPr>
            <w:tcW w:w="1064" w:type="dxa"/>
            <w:vMerge w:val="continue"/>
            <w:tcBorders>
              <w:top w:val="nil"/>
            </w:tcBorders>
          </w:tcPr>
          <w:p>
            <w:pPr>
              <w:rPr>
                <w:sz w:val="2"/>
                <w:szCs w:val="2"/>
              </w:rPr>
            </w:pPr>
          </w:p>
        </w:tc>
        <w:tc>
          <w:tcPr>
            <w:tcW w:w="1845" w:type="dxa"/>
          </w:tcPr>
          <w:p>
            <w:pPr>
              <w:pStyle w:val="20"/>
              <w:spacing w:before="67"/>
              <w:ind w:left="180" w:right="174"/>
              <w:jc w:val="center"/>
              <w:rPr>
                <w:sz w:val="24"/>
              </w:rPr>
            </w:pPr>
            <w:r>
              <w:rPr>
                <w:sz w:val="24"/>
              </w:rPr>
              <w:t>护理配件</w:t>
            </w:r>
          </w:p>
        </w:tc>
        <w:tc>
          <w:tcPr>
            <w:tcW w:w="849"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1700" w:type="dxa"/>
            <w:vMerge w:val="continue"/>
            <w:tcBorders>
              <w:top w:val="nil"/>
            </w:tcBorders>
          </w:tcPr>
          <w:p>
            <w:pPr>
              <w:rPr>
                <w:sz w:val="2"/>
                <w:szCs w:val="2"/>
              </w:rPr>
            </w:pPr>
          </w:p>
        </w:tc>
        <w:tc>
          <w:tcPr>
            <w:tcW w:w="1419" w:type="dxa"/>
            <w:vMerge w:val="continue"/>
            <w:tcBorders>
              <w:top w:val="nil"/>
            </w:tcBorders>
          </w:tcPr>
          <w:p>
            <w:pPr>
              <w:rPr>
                <w:sz w:val="2"/>
                <w:szCs w:val="2"/>
              </w:rPr>
            </w:pPr>
          </w:p>
        </w:tc>
        <w:tc>
          <w:tcPr>
            <w:tcW w:w="965" w:type="dxa"/>
            <w:vMerge w:val="continue"/>
            <w:tcBorders>
              <w:top w:val="nil"/>
            </w:tcBorders>
          </w:tcPr>
          <w:p>
            <w:pPr>
              <w:rPr>
                <w:sz w:val="2"/>
                <w:szCs w:val="2"/>
              </w:rPr>
            </w:pPr>
          </w:p>
        </w:tc>
        <w:tc>
          <w:tcPr>
            <w:tcW w:w="803" w:type="dxa"/>
            <w:vMerge w:val="continue"/>
            <w:tcBorders>
              <w:top w:val="nil"/>
            </w:tcBorders>
          </w:tcPr>
          <w:p>
            <w:pPr>
              <w:rPr>
                <w:sz w:val="2"/>
                <w:szCs w:val="2"/>
              </w:rPr>
            </w:pPr>
          </w:p>
        </w:tc>
      </w:tr>
    </w:tbl>
    <w:p>
      <w:pPr>
        <w:pStyle w:val="5"/>
        <w:spacing w:before="47" w:line="372" w:lineRule="auto"/>
        <w:ind w:left="222" w:right="328" w:firstLine="480"/>
      </w:pPr>
      <w:r>
        <w:t>注：投标人必须对所投项目所有内容作出完整唯一的投标报价，不得缺项、漏项，否则投标文件将按废标处理。具体要求详见《货物需求一览表及技术规格》。</w:t>
      </w:r>
    </w:p>
    <w:p/>
    <w:p/>
    <w:p/>
    <w:p>
      <w:pPr>
        <w:pStyle w:val="2"/>
      </w:pPr>
    </w:p>
    <w:p>
      <w:pPr>
        <w:pStyle w:val="2"/>
        <w:ind w:left="0" w:leftChars="0" w:firstLine="0" w:firstLineChars="0"/>
      </w:pPr>
    </w:p>
    <w:p>
      <w:pPr>
        <w:pStyle w:val="2"/>
        <w:spacing w:line="240" w:lineRule="auto"/>
        <w:ind w:left="0" w:leftChars="0" w:firstLine="0" w:firstLineChars="0"/>
      </w:pPr>
    </w:p>
    <w:p>
      <w:pPr>
        <w:pStyle w:val="19"/>
        <w:numPr>
          <w:ilvl w:val="2"/>
          <w:numId w:val="1"/>
        </w:numPr>
        <w:tabs>
          <w:tab w:val="left" w:pos="1363"/>
        </w:tabs>
        <w:spacing w:before="0" w:after="0" w:line="372" w:lineRule="auto"/>
        <w:ind w:left="222" w:right="301" w:firstLine="480"/>
        <w:jc w:val="left"/>
        <w:rPr>
          <w:sz w:val="24"/>
        </w:rPr>
      </w:pPr>
      <w:r>
        <w:rPr>
          <w:spacing w:val="-4"/>
          <w:sz w:val="24"/>
        </w:rPr>
        <w:t xml:space="preserve">合同履行期限：合同签订之日起至 </w:t>
      </w:r>
      <w:r>
        <w:rPr>
          <w:sz w:val="24"/>
        </w:rPr>
        <w:t>202</w:t>
      </w:r>
      <w:r>
        <w:rPr>
          <w:rFonts w:hint="eastAsia"/>
          <w:sz w:val="24"/>
          <w:lang w:val="en-US" w:eastAsia="zh-CN"/>
        </w:rPr>
        <w:t>2</w:t>
      </w:r>
      <w:r>
        <w:rPr>
          <w:spacing w:val="-40"/>
          <w:sz w:val="24"/>
        </w:rPr>
        <w:t xml:space="preserve"> 年 </w:t>
      </w:r>
      <w:r>
        <w:rPr>
          <w:sz w:val="24"/>
        </w:rPr>
        <w:t>1</w:t>
      </w:r>
      <w:r>
        <w:rPr>
          <w:spacing w:val="-40"/>
          <w:sz w:val="24"/>
        </w:rPr>
        <w:t xml:space="preserve"> 月 </w:t>
      </w:r>
      <w:r>
        <w:rPr>
          <w:rFonts w:hint="eastAsia"/>
          <w:sz w:val="24"/>
          <w:lang w:val="en-US" w:eastAsia="zh-CN"/>
        </w:rPr>
        <w:t>25</w:t>
      </w:r>
      <w:r>
        <w:rPr>
          <w:spacing w:val="-9"/>
          <w:sz w:val="24"/>
        </w:rPr>
        <w:t xml:space="preserve"> 日之前完成供货，并安装调试</w:t>
      </w:r>
      <w:r>
        <w:rPr>
          <w:sz w:val="24"/>
        </w:rPr>
        <w:t>完成。</w:t>
      </w:r>
    </w:p>
    <w:p>
      <w:pPr>
        <w:pStyle w:val="19"/>
        <w:numPr>
          <w:ilvl w:val="2"/>
          <w:numId w:val="1"/>
        </w:numPr>
        <w:tabs>
          <w:tab w:val="left" w:pos="1363"/>
        </w:tabs>
        <w:spacing w:before="0" w:after="0" w:line="305" w:lineRule="exact"/>
        <w:ind w:left="1362" w:right="0" w:hanging="661"/>
        <w:jc w:val="left"/>
        <w:rPr>
          <w:sz w:val="24"/>
        </w:rPr>
      </w:pPr>
      <w:r>
        <w:rPr>
          <w:spacing w:val="-4"/>
          <w:sz w:val="24"/>
        </w:rPr>
        <w:t xml:space="preserve">质保期：自验收合格之日起不少于 </w:t>
      </w:r>
      <w:r>
        <w:rPr>
          <w:sz w:val="24"/>
        </w:rPr>
        <w:t>2</w:t>
      </w:r>
      <w:r>
        <w:rPr>
          <w:spacing w:val="-20"/>
          <w:sz w:val="24"/>
        </w:rPr>
        <w:t xml:space="preserve"> 年。</w:t>
      </w:r>
    </w:p>
    <w:p>
      <w:pPr>
        <w:pStyle w:val="19"/>
        <w:numPr>
          <w:ilvl w:val="2"/>
          <w:numId w:val="1"/>
        </w:numPr>
        <w:tabs>
          <w:tab w:val="left" w:pos="1363"/>
        </w:tabs>
        <w:spacing w:before="165" w:after="0" w:line="240" w:lineRule="auto"/>
        <w:ind w:left="1362" w:right="0" w:hanging="661"/>
        <w:jc w:val="left"/>
        <w:rPr>
          <w:sz w:val="24"/>
        </w:rPr>
      </w:pPr>
      <w:r>
        <w:rPr>
          <w:sz w:val="24"/>
        </w:rPr>
        <w:t>交货地点：送货至寻甸县社会福利院。</w:t>
      </w:r>
    </w:p>
    <w:p>
      <w:pPr>
        <w:pStyle w:val="9"/>
        <w:spacing w:before="3"/>
        <w:ind w:left="0"/>
        <w:rPr>
          <w:sz w:val="17"/>
        </w:rPr>
      </w:pPr>
    </w:p>
    <w:p>
      <w:pPr>
        <w:pStyle w:val="4"/>
        <w:keepNext w:val="0"/>
        <w:keepLines w:val="0"/>
        <w:pageBreakBefore w:val="0"/>
        <w:widowControl w:val="0"/>
        <w:kinsoku/>
        <w:wordWrap/>
        <w:overflowPunct/>
        <w:topLinePunct w:val="0"/>
        <w:autoSpaceDE w:val="0"/>
        <w:autoSpaceDN w:val="0"/>
        <w:bidi w:val="0"/>
        <w:adjustRightInd/>
        <w:snapToGrid/>
        <w:spacing w:line="500" w:lineRule="exact"/>
        <w:textAlignment w:val="auto"/>
      </w:pPr>
      <w:bookmarkStart w:id="2" w:name="二.投标人资格要求"/>
      <w:bookmarkEnd w:id="2"/>
      <w:r>
        <w:t>二</w:t>
      </w:r>
      <w:r>
        <w:rPr>
          <w:rFonts w:hint="eastAsia"/>
          <w:lang w:eastAsia="zh-CN"/>
        </w:rPr>
        <w:t>、</w:t>
      </w:r>
      <w:r>
        <w:t>投标人资格要求</w:t>
      </w:r>
    </w:p>
    <w:p>
      <w:pPr>
        <w:pStyle w:val="19"/>
        <w:keepNext w:val="0"/>
        <w:keepLines w:val="0"/>
        <w:pageBreakBefore w:val="0"/>
        <w:widowControl w:val="0"/>
        <w:numPr>
          <w:ilvl w:val="0"/>
          <w:numId w:val="2"/>
        </w:numPr>
        <w:tabs>
          <w:tab w:val="left" w:pos="944"/>
        </w:tabs>
        <w:kinsoku/>
        <w:wordWrap/>
        <w:overflowPunct/>
        <w:topLinePunct w:val="0"/>
        <w:autoSpaceDE w:val="0"/>
        <w:autoSpaceDN w:val="0"/>
        <w:bidi w:val="0"/>
        <w:adjustRightInd/>
        <w:snapToGrid/>
        <w:spacing w:before="224" w:after="0" w:line="500" w:lineRule="exact"/>
        <w:ind w:left="943" w:right="0" w:hanging="242"/>
        <w:jc w:val="left"/>
        <w:textAlignment w:val="auto"/>
        <w:rPr>
          <w:sz w:val="24"/>
        </w:rPr>
      </w:pPr>
      <w:r>
        <w:rPr>
          <w:sz w:val="24"/>
        </w:rPr>
        <w:t>满足《中华人民共和国政府采购法》第二十二条规定；</w:t>
      </w:r>
    </w:p>
    <w:p>
      <w:pPr>
        <w:pStyle w:val="19"/>
        <w:keepNext w:val="0"/>
        <w:keepLines w:val="0"/>
        <w:pageBreakBefore w:val="0"/>
        <w:widowControl w:val="0"/>
        <w:numPr>
          <w:ilvl w:val="1"/>
          <w:numId w:val="2"/>
        </w:numPr>
        <w:tabs>
          <w:tab w:val="left" w:pos="1123"/>
        </w:tabs>
        <w:kinsoku/>
        <w:wordWrap/>
        <w:overflowPunct/>
        <w:topLinePunct w:val="0"/>
        <w:autoSpaceDE w:val="0"/>
        <w:autoSpaceDN w:val="0"/>
        <w:bidi w:val="0"/>
        <w:adjustRightInd/>
        <w:snapToGrid/>
        <w:spacing w:before="167" w:after="0" w:line="500" w:lineRule="exact"/>
        <w:ind w:left="222" w:right="221" w:firstLine="480"/>
        <w:jc w:val="both"/>
        <w:textAlignment w:val="auto"/>
        <w:rPr>
          <w:sz w:val="24"/>
        </w:rPr>
      </w:pPr>
      <w:r>
        <w:rPr>
          <w:spacing w:val="-4"/>
          <w:sz w:val="24"/>
        </w:rPr>
        <w:t>投标人具有独立承担民事责任的能力：在中华人民共和国境内登记或注册，提供有效</w:t>
      </w:r>
      <w:r>
        <w:rPr>
          <w:sz w:val="24"/>
        </w:rPr>
        <w:t>的营业执照或事业单位法人证书或其他法定证件（复印件加盖公章）。</w:t>
      </w:r>
    </w:p>
    <w:p>
      <w:pPr>
        <w:pStyle w:val="19"/>
        <w:keepNext w:val="0"/>
        <w:keepLines w:val="0"/>
        <w:pageBreakBefore w:val="0"/>
        <w:widowControl w:val="0"/>
        <w:numPr>
          <w:ilvl w:val="1"/>
          <w:numId w:val="2"/>
        </w:numPr>
        <w:tabs>
          <w:tab w:val="left" w:pos="1123"/>
        </w:tabs>
        <w:kinsoku/>
        <w:wordWrap/>
        <w:overflowPunct/>
        <w:topLinePunct w:val="0"/>
        <w:autoSpaceDE w:val="0"/>
        <w:autoSpaceDN w:val="0"/>
        <w:bidi w:val="0"/>
        <w:adjustRightInd/>
        <w:snapToGrid/>
        <w:spacing w:before="0" w:after="0" w:line="500" w:lineRule="exact"/>
        <w:ind w:left="1122" w:right="0" w:hanging="421"/>
        <w:jc w:val="left"/>
        <w:textAlignment w:val="auto"/>
        <w:rPr>
          <w:sz w:val="24"/>
        </w:rPr>
      </w:pPr>
      <w:r>
        <w:rPr>
          <w:sz w:val="24"/>
        </w:rPr>
        <w:t>具有履行合同所必须的设备和专业技术能力，提供相关证明材料。</w:t>
      </w:r>
    </w:p>
    <w:p>
      <w:pPr>
        <w:pStyle w:val="19"/>
        <w:keepNext w:val="0"/>
        <w:keepLines w:val="0"/>
        <w:pageBreakBefore w:val="0"/>
        <w:widowControl w:val="0"/>
        <w:numPr>
          <w:ilvl w:val="1"/>
          <w:numId w:val="2"/>
        </w:numPr>
        <w:tabs>
          <w:tab w:val="left" w:pos="1123"/>
        </w:tabs>
        <w:kinsoku/>
        <w:wordWrap/>
        <w:overflowPunct/>
        <w:topLinePunct w:val="0"/>
        <w:autoSpaceDE w:val="0"/>
        <w:autoSpaceDN w:val="0"/>
        <w:bidi w:val="0"/>
        <w:adjustRightInd/>
        <w:snapToGrid/>
        <w:spacing w:before="0" w:after="0" w:line="560" w:lineRule="exact"/>
        <w:ind w:left="1122" w:right="0" w:hanging="421"/>
        <w:jc w:val="left"/>
        <w:textAlignment w:val="auto"/>
        <w:rPr>
          <w:sz w:val="24"/>
        </w:rPr>
      </w:pPr>
      <w:r>
        <w:rPr>
          <w:rFonts w:hint="eastAsia"/>
          <w:sz w:val="24"/>
          <w:lang w:eastAsia="zh-CN"/>
        </w:rPr>
        <w:t>具有近三年的一个以上类似项目的证明材料。</w:t>
      </w:r>
    </w:p>
    <w:p>
      <w:pPr>
        <w:pStyle w:val="19"/>
        <w:keepNext w:val="0"/>
        <w:keepLines w:val="0"/>
        <w:pageBreakBefore w:val="0"/>
        <w:widowControl w:val="0"/>
        <w:numPr>
          <w:ilvl w:val="0"/>
          <w:numId w:val="2"/>
        </w:numPr>
        <w:tabs>
          <w:tab w:val="left" w:pos="944"/>
        </w:tabs>
        <w:kinsoku/>
        <w:wordWrap/>
        <w:overflowPunct/>
        <w:topLinePunct w:val="0"/>
        <w:autoSpaceDE w:val="0"/>
        <w:autoSpaceDN w:val="0"/>
        <w:bidi w:val="0"/>
        <w:adjustRightInd/>
        <w:snapToGrid/>
        <w:spacing w:before="0" w:after="0" w:line="500" w:lineRule="exact"/>
        <w:ind w:left="943" w:right="0" w:hanging="242"/>
        <w:jc w:val="left"/>
        <w:textAlignment w:val="auto"/>
        <w:rPr>
          <w:sz w:val="24"/>
        </w:rPr>
      </w:pPr>
      <w:r>
        <w:rPr>
          <w:sz w:val="24"/>
        </w:rPr>
        <w:t>落实政府采购政策需满足的资格要求：无。</w:t>
      </w:r>
    </w:p>
    <w:p>
      <w:pPr>
        <w:pStyle w:val="19"/>
        <w:keepNext w:val="0"/>
        <w:keepLines w:val="0"/>
        <w:pageBreakBefore w:val="0"/>
        <w:widowControl w:val="0"/>
        <w:numPr>
          <w:ilvl w:val="0"/>
          <w:numId w:val="2"/>
        </w:numPr>
        <w:tabs>
          <w:tab w:val="left" w:pos="944"/>
        </w:tabs>
        <w:kinsoku/>
        <w:wordWrap/>
        <w:overflowPunct/>
        <w:topLinePunct w:val="0"/>
        <w:autoSpaceDE w:val="0"/>
        <w:autoSpaceDN w:val="0"/>
        <w:bidi w:val="0"/>
        <w:adjustRightInd/>
        <w:snapToGrid/>
        <w:spacing w:before="161" w:after="0" w:line="500" w:lineRule="exact"/>
        <w:ind w:left="943" w:right="0" w:hanging="242"/>
        <w:jc w:val="left"/>
        <w:textAlignment w:val="auto"/>
        <w:rPr>
          <w:sz w:val="24"/>
        </w:rPr>
      </w:pPr>
      <w:r>
        <w:rPr>
          <w:sz w:val="24"/>
        </w:rPr>
        <w:t>本项目的特定资格要求：无。</w:t>
      </w:r>
    </w:p>
    <w:p>
      <w:pPr>
        <w:pStyle w:val="9"/>
        <w:keepNext w:val="0"/>
        <w:keepLines w:val="0"/>
        <w:pageBreakBefore w:val="0"/>
        <w:widowControl w:val="0"/>
        <w:kinsoku/>
        <w:wordWrap/>
        <w:overflowPunct/>
        <w:topLinePunct w:val="0"/>
        <w:autoSpaceDE w:val="0"/>
        <w:autoSpaceDN w:val="0"/>
        <w:bidi w:val="0"/>
        <w:adjustRightInd/>
        <w:snapToGrid/>
        <w:spacing w:before="4" w:line="500" w:lineRule="exact"/>
        <w:ind w:left="0"/>
        <w:textAlignment w:val="auto"/>
        <w:rPr>
          <w:sz w:val="17"/>
        </w:rPr>
      </w:pPr>
    </w:p>
    <w:p>
      <w:pPr>
        <w:pStyle w:val="4"/>
        <w:ind w:left="0" w:right="0" w:firstLine="267" w:firstLineChars="100"/>
        <w:jc w:val="left"/>
      </w:pPr>
      <w:bookmarkStart w:id="3" w:name="三.招标文件的获取"/>
      <w:bookmarkEnd w:id="3"/>
      <w:r>
        <w:rPr>
          <w:w w:val="95"/>
        </w:rPr>
        <w:t>三</w:t>
      </w:r>
      <w:r>
        <w:rPr>
          <w:rFonts w:hint="eastAsia"/>
          <w:w w:val="95"/>
          <w:lang w:eastAsia="zh-CN"/>
        </w:rPr>
        <w:t>、</w:t>
      </w:r>
      <w:r>
        <w:rPr>
          <w:w w:val="95"/>
        </w:rPr>
        <w:t>招标文件的获取</w:t>
      </w:r>
    </w:p>
    <w:p>
      <w:pPr>
        <w:pStyle w:val="19"/>
        <w:numPr>
          <w:ilvl w:val="0"/>
          <w:numId w:val="0"/>
        </w:numPr>
        <w:tabs>
          <w:tab w:val="left" w:pos="944"/>
        </w:tabs>
        <w:spacing w:before="0" w:after="0" w:line="240" w:lineRule="auto"/>
        <w:ind w:left="0" w:leftChars="0" w:right="0" w:rightChars="0" w:firstLine="464" w:firstLineChars="200"/>
        <w:jc w:val="left"/>
        <w:rPr>
          <w:sz w:val="24"/>
        </w:rPr>
      </w:pPr>
      <w:r>
        <w:rPr>
          <w:rFonts w:hint="eastAsia"/>
          <w:spacing w:val="-4"/>
          <w:sz w:val="24"/>
          <w:lang w:val="en-US" w:eastAsia="zh-CN"/>
        </w:rPr>
        <w:t>1.</w:t>
      </w:r>
      <w:r>
        <w:rPr>
          <w:spacing w:val="-4"/>
          <w:sz w:val="24"/>
        </w:rPr>
        <w:t xml:space="preserve">时间：凡有意参加本项目的投标人，请于 </w:t>
      </w:r>
      <w:r>
        <w:rPr>
          <w:sz w:val="24"/>
          <w:u w:val="single"/>
        </w:rPr>
        <w:t>202</w:t>
      </w:r>
      <w:r>
        <w:rPr>
          <w:rFonts w:hint="eastAsia"/>
          <w:sz w:val="24"/>
          <w:u w:val="single"/>
          <w:lang w:val="en-US" w:eastAsia="zh-CN"/>
        </w:rPr>
        <w:t>2</w:t>
      </w:r>
      <w:r>
        <w:rPr>
          <w:spacing w:val="-40"/>
          <w:sz w:val="24"/>
        </w:rPr>
        <w:t xml:space="preserve"> 年 </w:t>
      </w:r>
      <w:r>
        <w:rPr>
          <w:sz w:val="24"/>
          <w:u w:val="single"/>
        </w:rPr>
        <w:t>0</w:t>
      </w:r>
      <w:r>
        <w:rPr>
          <w:rFonts w:hint="eastAsia"/>
          <w:sz w:val="24"/>
          <w:u w:val="single"/>
          <w:lang w:val="en-US" w:eastAsia="zh-CN"/>
        </w:rPr>
        <w:t>1</w:t>
      </w:r>
      <w:r>
        <w:rPr>
          <w:spacing w:val="-40"/>
          <w:sz w:val="24"/>
        </w:rPr>
        <w:t xml:space="preserve"> 月 </w:t>
      </w:r>
      <w:r>
        <w:rPr>
          <w:rFonts w:hint="eastAsia"/>
          <w:sz w:val="24"/>
          <w:u w:val="single"/>
          <w:lang w:val="en-US" w:eastAsia="zh-CN"/>
        </w:rPr>
        <w:t>04</w:t>
      </w:r>
      <w:r>
        <w:rPr>
          <w:spacing w:val="-30"/>
          <w:sz w:val="24"/>
        </w:rPr>
        <w:t xml:space="preserve"> 日至 </w:t>
      </w:r>
      <w:r>
        <w:rPr>
          <w:sz w:val="24"/>
          <w:u w:val="single"/>
        </w:rPr>
        <w:t>202</w:t>
      </w:r>
      <w:r>
        <w:rPr>
          <w:rFonts w:hint="eastAsia"/>
          <w:sz w:val="24"/>
          <w:u w:val="single"/>
          <w:lang w:val="en-US" w:eastAsia="zh-CN"/>
        </w:rPr>
        <w:t>2</w:t>
      </w:r>
      <w:r>
        <w:rPr>
          <w:spacing w:val="-40"/>
          <w:sz w:val="24"/>
        </w:rPr>
        <w:t xml:space="preserve"> 年 </w:t>
      </w:r>
      <w:r>
        <w:rPr>
          <w:rFonts w:hint="eastAsia"/>
          <w:sz w:val="24"/>
          <w:u w:val="single"/>
          <w:lang w:val="en-US" w:eastAsia="zh-CN"/>
        </w:rPr>
        <w:t>01</w:t>
      </w:r>
      <w:r>
        <w:rPr>
          <w:spacing w:val="-40"/>
          <w:sz w:val="24"/>
        </w:rPr>
        <w:t xml:space="preserve"> 月 </w:t>
      </w:r>
      <w:r>
        <w:rPr>
          <w:rFonts w:hint="eastAsia"/>
          <w:sz w:val="24"/>
          <w:u w:val="single"/>
          <w:lang w:val="en-US" w:eastAsia="zh-CN"/>
        </w:rPr>
        <w:t>06</w:t>
      </w:r>
      <w:r>
        <w:rPr>
          <w:spacing w:val="-15"/>
          <w:sz w:val="24"/>
        </w:rPr>
        <w:t xml:space="preserve"> 日</w:t>
      </w:r>
      <w:r>
        <w:rPr>
          <w:rFonts w:hint="eastAsia"/>
          <w:spacing w:val="-15"/>
          <w:sz w:val="24"/>
          <w:lang w:eastAsia="zh-CN"/>
        </w:rPr>
        <w:t>（</w:t>
      </w:r>
      <w:r>
        <w:rPr>
          <w:spacing w:val="-15"/>
          <w:sz w:val="24"/>
        </w:rPr>
        <w:t>法</w:t>
      </w:r>
    </w:p>
    <w:p>
      <w:pPr>
        <w:pStyle w:val="9"/>
        <w:spacing w:before="168" w:line="372" w:lineRule="auto"/>
        <w:ind w:right="221"/>
      </w:pPr>
      <w:r>
        <w:rPr>
          <w:spacing w:val="-21"/>
        </w:rPr>
        <w:t>定节假日、公休日除外</w:t>
      </w:r>
      <w:r>
        <w:rPr>
          <w:rFonts w:hint="eastAsia"/>
          <w:spacing w:val="-21"/>
          <w:lang w:eastAsia="zh-CN"/>
        </w:rPr>
        <w:t>）</w:t>
      </w:r>
      <w:r>
        <w:rPr>
          <w:spacing w:val="-21"/>
        </w:rPr>
        <w:t xml:space="preserve">，每日上午 </w:t>
      </w:r>
      <w:r>
        <w:rPr>
          <w:u w:val="single"/>
        </w:rPr>
        <w:t>09</w:t>
      </w:r>
      <w:r>
        <w:rPr>
          <w:spacing w:val="-40"/>
        </w:rPr>
        <w:t xml:space="preserve"> 时 </w:t>
      </w:r>
      <w:r>
        <w:rPr>
          <w:u w:val="single"/>
        </w:rPr>
        <w:t>00</w:t>
      </w:r>
      <w:r>
        <w:rPr>
          <w:spacing w:val="-30"/>
        </w:rPr>
        <w:t xml:space="preserve"> 分至 </w:t>
      </w:r>
      <w:r>
        <w:rPr>
          <w:u w:val="single"/>
        </w:rPr>
        <w:t>11</w:t>
      </w:r>
      <w:r>
        <w:rPr>
          <w:spacing w:val="-40"/>
        </w:rPr>
        <w:t xml:space="preserve"> 时 </w:t>
      </w:r>
      <w:r>
        <w:rPr>
          <w:u w:val="single"/>
        </w:rPr>
        <w:t>30</w:t>
      </w:r>
      <w:r>
        <w:rPr>
          <w:spacing w:val="-40"/>
        </w:rPr>
        <w:t xml:space="preserve"> 分，下午 </w:t>
      </w:r>
      <w:r>
        <w:rPr>
          <w:u w:val="single"/>
        </w:rPr>
        <w:t>14</w:t>
      </w:r>
      <w:r>
        <w:rPr>
          <w:spacing w:val="-40"/>
        </w:rPr>
        <w:t xml:space="preserve"> 时 </w:t>
      </w:r>
      <w:r>
        <w:rPr>
          <w:u w:val="single"/>
        </w:rPr>
        <w:t>00</w:t>
      </w:r>
      <w:r>
        <w:rPr>
          <w:spacing w:val="-30"/>
        </w:rPr>
        <w:t xml:space="preserve"> 分至 </w:t>
      </w:r>
      <w:r>
        <w:rPr>
          <w:u w:val="single"/>
        </w:rPr>
        <w:t>17</w:t>
      </w:r>
      <w:r>
        <w:rPr>
          <w:spacing w:val="-40"/>
        </w:rPr>
        <w:t xml:space="preserve"> 时 </w:t>
      </w:r>
      <w:r>
        <w:rPr>
          <w:u w:val="single"/>
        </w:rPr>
        <w:t>00</w:t>
      </w:r>
      <w:r>
        <w:rPr>
          <w:spacing w:val="-20"/>
        </w:rPr>
        <w:t xml:space="preserve"> 分</w:t>
      </w:r>
      <w:r>
        <w:rPr>
          <w:rFonts w:hint="eastAsia"/>
          <w:spacing w:val="-20"/>
          <w:lang w:eastAsia="zh-CN"/>
        </w:rPr>
        <w:t>（</w:t>
      </w:r>
      <w:r>
        <w:rPr>
          <w:spacing w:val="-20"/>
        </w:rPr>
        <w:t>北</w:t>
      </w:r>
      <w:r>
        <w:t>京时间，下同</w:t>
      </w:r>
      <w:r>
        <w:rPr>
          <w:rFonts w:hint="eastAsia"/>
          <w:lang w:eastAsia="zh-CN"/>
        </w:rPr>
        <w:t>）</w:t>
      </w:r>
      <w:r>
        <w:t>。</w:t>
      </w:r>
    </w:p>
    <w:p>
      <w:pPr>
        <w:pStyle w:val="19"/>
        <w:numPr>
          <w:ilvl w:val="0"/>
          <w:numId w:val="0"/>
        </w:numPr>
        <w:tabs>
          <w:tab w:val="left" w:pos="944"/>
        </w:tabs>
        <w:spacing w:before="0" w:after="0" w:line="305" w:lineRule="exact"/>
        <w:ind w:left="701" w:leftChars="0" w:right="0" w:rightChars="0"/>
        <w:jc w:val="left"/>
        <w:rPr>
          <w:sz w:val="24"/>
        </w:rPr>
      </w:pPr>
      <w:r>
        <w:rPr>
          <w:rFonts w:hint="eastAsia"/>
          <w:sz w:val="24"/>
          <w:lang w:val="en-US" w:eastAsia="zh-CN"/>
        </w:rPr>
        <w:t>2.</w:t>
      </w:r>
      <w:r>
        <w:rPr>
          <w:sz w:val="24"/>
        </w:rPr>
        <w:t>地点：昆明市寻甸回族彝族自治县仁德街道文苑路 35 号</w:t>
      </w:r>
      <w:r>
        <w:rPr>
          <w:rFonts w:hint="eastAsia"/>
          <w:sz w:val="24"/>
          <w:lang w:eastAsia="zh-CN"/>
        </w:rPr>
        <w:t>民政局办公室。</w:t>
      </w:r>
    </w:p>
    <w:p>
      <w:pPr>
        <w:pStyle w:val="19"/>
        <w:numPr>
          <w:ilvl w:val="0"/>
          <w:numId w:val="0"/>
        </w:numPr>
        <w:tabs>
          <w:tab w:val="left" w:pos="944"/>
        </w:tabs>
        <w:spacing w:before="168" w:after="0" w:line="240" w:lineRule="auto"/>
        <w:ind w:left="701" w:leftChars="0" w:right="0" w:rightChars="0"/>
        <w:jc w:val="left"/>
        <w:rPr>
          <w:sz w:val="24"/>
        </w:rPr>
      </w:pPr>
      <w:r>
        <w:rPr>
          <w:rFonts w:hint="eastAsia"/>
          <w:sz w:val="24"/>
          <w:lang w:val="en-US" w:eastAsia="zh-CN"/>
        </w:rPr>
        <w:t>3.</w:t>
      </w:r>
      <w:r>
        <w:rPr>
          <w:sz w:val="24"/>
        </w:rPr>
        <w:t>方式：</w:t>
      </w:r>
    </w:p>
    <w:p>
      <w:pPr>
        <w:pStyle w:val="5"/>
        <w:spacing w:before="0"/>
        <w:ind w:left="62" w:leftChars="28" w:right="0" w:firstLine="0" w:firstLineChars="0"/>
        <w:jc w:val="left"/>
      </w:pPr>
      <w:r>
        <w:rPr>
          <w:rFonts w:hint="eastAsia"/>
          <w:w w:val="95"/>
          <w:lang w:val="en-US" w:eastAsia="zh-CN"/>
        </w:rPr>
        <w:t xml:space="preserve">       </w:t>
      </w:r>
      <w:r>
        <w:rPr>
          <w:w w:val="95"/>
        </w:rPr>
        <w:t>现场获取招标文件</w:t>
      </w:r>
    </w:p>
    <w:p>
      <w:pPr>
        <w:pStyle w:val="19"/>
        <w:numPr>
          <w:ilvl w:val="1"/>
          <w:numId w:val="3"/>
        </w:numPr>
        <w:tabs>
          <w:tab w:val="left" w:pos="1123"/>
        </w:tabs>
        <w:spacing w:before="167" w:after="0" w:line="372" w:lineRule="auto"/>
        <w:ind w:left="222" w:right="181" w:firstLine="480"/>
        <w:jc w:val="both"/>
        <w:rPr>
          <w:sz w:val="24"/>
        </w:rPr>
      </w:pPr>
      <w:r>
        <w:rPr>
          <w:sz w:val="24"/>
        </w:rPr>
        <w:t>凡有意参加本项目投标的投标人请持三证合一的营业执照副本（复印件加盖公章）</w:t>
      </w:r>
      <w:r>
        <w:rPr>
          <w:spacing w:val="-17"/>
          <w:sz w:val="24"/>
        </w:rPr>
        <w:t>、</w:t>
      </w:r>
      <w:r>
        <w:rPr>
          <w:spacing w:val="-2"/>
          <w:sz w:val="24"/>
        </w:rPr>
        <w:t>法定代表人身份证明书</w:t>
      </w:r>
      <w:r>
        <w:rPr>
          <w:spacing w:val="-3"/>
          <w:sz w:val="24"/>
        </w:rPr>
        <w:t>（</w:t>
      </w:r>
      <w:r>
        <w:rPr>
          <w:sz w:val="24"/>
        </w:rPr>
        <w:t>原件</w:t>
      </w:r>
      <w:r>
        <w:rPr>
          <w:spacing w:val="-17"/>
          <w:sz w:val="24"/>
        </w:rPr>
        <w:t>）</w:t>
      </w:r>
      <w:r>
        <w:rPr>
          <w:spacing w:val="-5"/>
          <w:sz w:val="24"/>
        </w:rPr>
        <w:t>、法定代表人授权委托书</w:t>
      </w:r>
      <w:r>
        <w:rPr>
          <w:spacing w:val="-3"/>
          <w:sz w:val="24"/>
        </w:rPr>
        <w:t>（</w:t>
      </w:r>
      <w:r>
        <w:rPr>
          <w:sz w:val="24"/>
        </w:rPr>
        <w:t>原件</w:t>
      </w:r>
      <w:r>
        <w:rPr>
          <w:spacing w:val="-17"/>
          <w:sz w:val="24"/>
        </w:rPr>
        <w:t>）</w:t>
      </w:r>
      <w:r>
        <w:rPr>
          <w:spacing w:val="-4"/>
          <w:sz w:val="24"/>
        </w:rPr>
        <w:t>、法定代表人或委托代理人居民身份证（原件及复印件加盖公章）至</w:t>
      </w:r>
      <w:r>
        <w:rPr>
          <w:rFonts w:hint="eastAsia"/>
          <w:spacing w:val="-4"/>
          <w:sz w:val="24"/>
          <w:lang w:eastAsia="zh-CN"/>
        </w:rPr>
        <w:t>寻甸县民政局办公室获取招标文件</w:t>
      </w:r>
      <w:r>
        <w:rPr>
          <w:spacing w:val="-4"/>
          <w:sz w:val="24"/>
        </w:rPr>
        <w:t>。</w:t>
      </w:r>
    </w:p>
    <w:p>
      <w:pPr>
        <w:pStyle w:val="5"/>
        <w:spacing w:line="306" w:lineRule="exact"/>
        <w:ind w:left="702"/>
      </w:pPr>
      <w:r>
        <w:t>网上获取招标文件</w:t>
      </w:r>
    </w:p>
    <w:p>
      <w:pPr>
        <w:pStyle w:val="4"/>
        <w:keepNext w:val="0"/>
        <w:keepLines w:val="0"/>
        <w:pageBreakBefore w:val="0"/>
        <w:widowControl w:val="0"/>
        <w:kinsoku/>
        <w:wordWrap/>
        <w:overflowPunct/>
        <w:topLinePunct w:val="0"/>
        <w:autoSpaceDE w:val="0"/>
        <w:autoSpaceDN w:val="0"/>
        <w:bidi w:val="0"/>
        <w:adjustRightInd/>
        <w:snapToGrid/>
        <w:spacing w:before="40" w:line="560" w:lineRule="exact"/>
        <w:ind w:left="221" w:firstLine="480" w:firstLineChars="200"/>
        <w:textAlignment w:val="auto"/>
        <w:rPr>
          <w:rFonts w:hint="eastAsia" w:eastAsia="宋体"/>
          <w:b w:val="0"/>
          <w:bCs w:val="0"/>
          <w:spacing w:val="-6"/>
          <w:sz w:val="24"/>
          <w:szCs w:val="24"/>
          <w:lang w:eastAsia="zh-CN"/>
        </w:rPr>
      </w:pPr>
      <w:r>
        <w:rPr>
          <w:rFonts w:hint="eastAsia"/>
          <w:b w:val="0"/>
          <w:bCs w:val="0"/>
          <w:sz w:val="24"/>
          <w:szCs w:val="24"/>
          <w:lang w:val="en-US" w:eastAsia="zh-CN"/>
        </w:rPr>
        <w:t xml:space="preserve">3.2 </w:t>
      </w:r>
      <w:r>
        <w:rPr>
          <w:b w:val="0"/>
          <w:bCs w:val="0"/>
          <w:sz w:val="24"/>
          <w:szCs w:val="24"/>
        </w:rPr>
        <w:t>凡有意参加本项目的投标人请</w:t>
      </w:r>
      <w:r>
        <w:rPr>
          <w:rFonts w:hint="eastAsia"/>
          <w:b w:val="0"/>
          <w:bCs w:val="0"/>
          <w:sz w:val="24"/>
          <w:szCs w:val="24"/>
          <w:lang w:eastAsia="zh-CN"/>
        </w:rPr>
        <w:t>自行到</w:t>
      </w:r>
      <w:r>
        <w:rPr>
          <w:b w:val="0"/>
          <w:bCs w:val="0"/>
          <w:sz w:val="24"/>
          <w:szCs w:val="24"/>
        </w:rPr>
        <w:t>寻甸回族彝族自治县人民政府</w:t>
      </w:r>
      <w:r>
        <w:rPr>
          <w:rFonts w:hint="eastAsia"/>
          <w:b w:val="0"/>
          <w:bCs w:val="0"/>
          <w:sz w:val="24"/>
          <w:szCs w:val="24"/>
          <w:lang w:eastAsia="zh-CN"/>
        </w:rPr>
        <w:t>网站（http://www.kmxd.gov.cn/）</w:t>
      </w:r>
      <w:r>
        <w:rPr>
          <w:b w:val="0"/>
          <w:bCs w:val="0"/>
          <w:spacing w:val="-6"/>
          <w:sz w:val="24"/>
          <w:szCs w:val="24"/>
        </w:rPr>
        <w:t>获取招标文件</w:t>
      </w:r>
      <w:bookmarkStart w:id="4" w:name="四.投标文件的递交"/>
      <w:bookmarkEnd w:id="4"/>
      <w:r>
        <w:rPr>
          <w:rFonts w:hint="eastAsia"/>
          <w:b w:val="0"/>
          <w:bCs w:val="0"/>
          <w:spacing w:val="-6"/>
          <w:sz w:val="24"/>
          <w:szCs w:val="24"/>
          <w:lang w:eastAsia="zh-CN"/>
        </w:rPr>
        <w:t>。</w:t>
      </w:r>
    </w:p>
    <w:p>
      <w:pPr>
        <w:pStyle w:val="4"/>
        <w:spacing w:before="40"/>
      </w:pPr>
      <w:r>
        <w:t>四</w:t>
      </w:r>
      <w:r>
        <w:rPr>
          <w:rFonts w:hint="eastAsia"/>
          <w:lang w:eastAsia="zh-CN"/>
        </w:rPr>
        <w:t>、</w:t>
      </w:r>
      <w:r>
        <w:t>投标文件的递交</w:t>
      </w:r>
    </w:p>
    <w:p>
      <w:pPr>
        <w:pStyle w:val="9"/>
        <w:spacing w:before="222"/>
        <w:ind w:left="702"/>
      </w:pPr>
      <w:r>
        <w:t>1.时间：</w:t>
      </w:r>
      <w:r>
        <w:rPr>
          <w:u w:val="single"/>
        </w:rPr>
        <w:t>202</w:t>
      </w:r>
      <w:r>
        <w:rPr>
          <w:rFonts w:hint="eastAsia"/>
          <w:u w:val="single"/>
          <w:lang w:val="en-US" w:eastAsia="zh-CN"/>
        </w:rPr>
        <w:t>2</w:t>
      </w:r>
      <w:r>
        <w:t xml:space="preserve"> 年 </w:t>
      </w:r>
      <w:r>
        <w:rPr>
          <w:rFonts w:hint="eastAsia"/>
          <w:u w:val="single"/>
          <w:lang w:val="en-US" w:eastAsia="zh-CN"/>
        </w:rPr>
        <w:t>1</w:t>
      </w:r>
      <w:r>
        <w:t xml:space="preserve"> 月 </w:t>
      </w:r>
      <w:r>
        <w:rPr>
          <w:rFonts w:hint="eastAsia"/>
          <w:u w:val="single"/>
          <w:lang w:val="en-US" w:eastAsia="zh-CN"/>
        </w:rPr>
        <w:t>6</w:t>
      </w:r>
      <w:r>
        <w:t xml:space="preserve"> 日 </w:t>
      </w:r>
      <w:r>
        <w:rPr>
          <w:rFonts w:hint="eastAsia"/>
          <w:u w:val="single"/>
          <w:lang w:val="en-US" w:eastAsia="zh-CN"/>
        </w:rPr>
        <w:t>17</w:t>
      </w:r>
      <w:r>
        <w:t xml:space="preserve"> 时 </w:t>
      </w:r>
      <w:r>
        <w:rPr>
          <w:u w:val="single"/>
        </w:rPr>
        <w:t>00</w:t>
      </w:r>
      <w:r>
        <w:t xml:space="preserve"> 分</w:t>
      </w:r>
      <w:r>
        <w:rPr>
          <w:rFonts w:hint="eastAsia"/>
          <w:lang w:eastAsia="zh-CN"/>
        </w:rPr>
        <w:t>前</w:t>
      </w:r>
      <w:r>
        <w:t>（北京时间）。</w:t>
      </w:r>
    </w:p>
    <w:p>
      <w:pPr>
        <w:pStyle w:val="9"/>
        <w:spacing w:before="167" w:line="372" w:lineRule="auto"/>
        <w:ind w:right="241" w:firstLine="480"/>
        <w:rPr>
          <w:rFonts w:hint="eastAsia" w:eastAsia="宋体"/>
          <w:lang w:eastAsia="zh-CN"/>
        </w:rPr>
      </w:pPr>
      <w:r>
        <w:t>2.地点：</w:t>
      </w:r>
      <w:r>
        <w:rPr>
          <w:spacing w:val="-3"/>
        </w:rPr>
        <w:t xml:space="preserve">昆明市寻甸回族彝族自治县仁德街道文苑路 </w:t>
      </w:r>
      <w:r>
        <w:t>35</w:t>
      </w:r>
      <w:r>
        <w:rPr>
          <w:spacing w:val="-39"/>
        </w:rPr>
        <w:t xml:space="preserve"> 号</w:t>
      </w:r>
      <w:r>
        <w:rPr>
          <w:rFonts w:hint="eastAsia"/>
          <w:lang w:eastAsia="zh-CN"/>
        </w:rPr>
        <w:t>民政局办公室。</w:t>
      </w:r>
    </w:p>
    <w:p>
      <w:pPr>
        <w:pStyle w:val="4"/>
        <w:spacing w:before="51"/>
      </w:pPr>
      <w:bookmarkStart w:id="5" w:name="五.发布公告的媒介、公告期限"/>
      <w:bookmarkEnd w:id="5"/>
      <w:r>
        <w:t>五</w:t>
      </w:r>
      <w:r>
        <w:rPr>
          <w:rFonts w:hint="eastAsia"/>
          <w:lang w:eastAsia="zh-CN"/>
        </w:rPr>
        <w:t>、</w:t>
      </w:r>
      <w:r>
        <w:t>发布公告的媒介、公告期限</w:t>
      </w:r>
    </w:p>
    <w:p>
      <w:pPr>
        <w:pStyle w:val="19"/>
        <w:numPr>
          <w:ilvl w:val="0"/>
          <w:numId w:val="4"/>
        </w:numPr>
        <w:tabs>
          <w:tab w:val="left" w:pos="944"/>
        </w:tabs>
        <w:spacing w:before="221" w:after="0" w:line="372" w:lineRule="auto"/>
        <w:ind w:left="222" w:right="241" w:firstLine="480"/>
        <w:jc w:val="both"/>
        <w:rPr>
          <w:sz w:val="24"/>
        </w:rPr>
      </w:pPr>
      <w:r>
        <w:fldChar w:fldCharType="begin"/>
      </w:r>
      <w:r>
        <w:instrText xml:space="preserve"> HYPERLINK "http://www.yngp.com/" \h </w:instrText>
      </w:r>
      <w:r>
        <w:fldChar w:fldCharType="separate"/>
      </w:r>
      <w:r>
        <w:rPr>
          <w:sz w:val="24"/>
        </w:rPr>
        <w:t>本次招标公告在</w:t>
      </w:r>
      <w:r>
        <w:rPr>
          <w:b w:val="0"/>
          <w:bCs w:val="0"/>
          <w:sz w:val="24"/>
          <w:szCs w:val="24"/>
        </w:rPr>
        <w:t>寻甸回族彝族自治县人民政府</w:t>
      </w:r>
      <w:r>
        <w:rPr>
          <w:rFonts w:hint="eastAsia"/>
          <w:b w:val="0"/>
          <w:bCs w:val="0"/>
          <w:sz w:val="24"/>
          <w:szCs w:val="24"/>
          <w:lang w:eastAsia="zh-CN"/>
        </w:rPr>
        <w:t>网站（http://www.kmxd.gov.cn/）</w:t>
      </w:r>
      <w:r>
        <w:rPr>
          <w:sz w:val="24"/>
        </w:rPr>
        <w:fldChar w:fldCharType="end"/>
      </w:r>
      <w:r>
        <w:rPr>
          <w:spacing w:val="-2"/>
          <w:sz w:val="24"/>
        </w:rPr>
        <w:t>上发布，公告内容和时间以</w:t>
      </w:r>
      <w:r>
        <w:rPr>
          <w:b w:val="0"/>
          <w:bCs w:val="0"/>
          <w:sz w:val="24"/>
          <w:szCs w:val="24"/>
        </w:rPr>
        <w:t>寻甸回族彝族自治县人民政府</w:t>
      </w:r>
      <w:r>
        <w:rPr>
          <w:rFonts w:hint="eastAsia"/>
          <w:b w:val="0"/>
          <w:bCs w:val="0"/>
          <w:sz w:val="24"/>
          <w:szCs w:val="24"/>
          <w:lang w:eastAsia="zh-CN"/>
        </w:rPr>
        <w:t>网站（http://www.kmxd.gov.cn/）</w:t>
      </w:r>
      <w:r>
        <w:rPr>
          <w:spacing w:val="-1"/>
          <w:sz w:val="24"/>
        </w:rPr>
        <w:t>发布的信息为准，对在其他网站或媒体转载的公告及公告内</w:t>
      </w:r>
      <w:r>
        <w:rPr>
          <w:sz w:val="24"/>
        </w:rPr>
        <w:t>容采购人不承担任何责任。招标文件如有变更或澄清将在招标公告发布平台上发布。</w:t>
      </w:r>
    </w:p>
    <w:p>
      <w:pPr>
        <w:pStyle w:val="19"/>
        <w:numPr>
          <w:ilvl w:val="0"/>
          <w:numId w:val="4"/>
        </w:numPr>
        <w:tabs>
          <w:tab w:val="left" w:pos="944"/>
        </w:tabs>
        <w:spacing w:before="0" w:after="0" w:line="306" w:lineRule="exact"/>
        <w:ind w:left="943" w:right="0" w:hanging="242"/>
        <w:jc w:val="both"/>
        <w:rPr>
          <w:sz w:val="24"/>
        </w:rPr>
      </w:pPr>
      <w:r>
        <w:rPr>
          <w:spacing w:val="-6"/>
          <w:sz w:val="24"/>
        </w:rPr>
        <w:t xml:space="preserve">自本公告发布之日起 </w:t>
      </w:r>
      <w:r>
        <w:rPr>
          <w:rFonts w:hint="eastAsia"/>
          <w:sz w:val="24"/>
          <w:lang w:val="en-US" w:eastAsia="zh-CN"/>
        </w:rPr>
        <w:t>3</w:t>
      </w:r>
      <w:r>
        <w:rPr>
          <w:spacing w:val="-10"/>
          <w:sz w:val="24"/>
        </w:rPr>
        <w:t xml:space="preserve"> 个工作日。</w:t>
      </w:r>
    </w:p>
    <w:p>
      <w:pPr>
        <w:pStyle w:val="9"/>
        <w:spacing w:before="4"/>
        <w:ind w:left="0"/>
        <w:rPr>
          <w:sz w:val="17"/>
        </w:rPr>
      </w:pPr>
    </w:p>
    <w:p>
      <w:pPr>
        <w:pStyle w:val="4"/>
      </w:pPr>
      <w:bookmarkStart w:id="6" w:name="六.其他补充事宜"/>
      <w:bookmarkEnd w:id="6"/>
      <w:r>
        <w:t>六</w:t>
      </w:r>
      <w:r>
        <w:rPr>
          <w:rFonts w:hint="eastAsia"/>
          <w:lang w:eastAsia="zh-CN"/>
        </w:rPr>
        <w:t>、</w:t>
      </w:r>
      <w:r>
        <w:t>其他补充事宜</w:t>
      </w:r>
    </w:p>
    <w:p>
      <w:pPr>
        <w:pStyle w:val="9"/>
        <w:spacing w:before="221" w:line="372" w:lineRule="auto"/>
        <w:ind w:right="221" w:firstLine="480"/>
      </w:pPr>
      <w:r>
        <w:rPr>
          <w:spacing w:val="-6"/>
        </w:rPr>
        <w:t>本项目执行政府采购促进中小企业发展、支持监狱企业、促进残疾人就业、强制采购和优</w:t>
      </w:r>
      <w:r>
        <w:t>先采购节能、环保产品等政府采购政策。</w:t>
      </w:r>
    </w:p>
    <w:p>
      <w:pPr>
        <w:pStyle w:val="4"/>
        <w:spacing w:before="51"/>
      </w:pPr>
      <w:bookmarkStart w:id="7" w:name="七.对本次招标提出询问，请按以下方式联系"/>
      <w:bookmarkEnd w:id="7"/>
      <w:r>
        <w:t>七</w:t>
      </w:r>
      <w:r>
        <w:rPr>
          <w:rFonts w:hint="eastAsia"/>
          <w:lang w:eastAsia="zh-CN"/>
        </w:rPr>
        <w:t>、</w:t>
      </w:r>
      <w:r>
        <w:t>对本次招标提出询问，请按以下方式联系</w:t>
      </w:r>
    </w:p>
    <w:p>
      <w:pPr>
        <w:pStyle w:val="19"/>
        <w:numPr>
          <w:ilvl w:val="0"/>
          <w:numId w:val="5"/>
        </w:numPr>
        <w:tabs>
          <w:tab w:val="left" w:pos="944"/>
        </w:tabs>
        <w:spacing w:before="223" w:after="0" w:line="240" w:lineRule="auto"/>
        <w:ind w:left="943" w:right="0" w:hanging="242"/>
        <w:jc w:val="left"/>
        <w:rPr>
          <w:sz w:val="24"/>
        </w:rPr>
      </w:pPr>
      <w:r>
        <w:rPr>
          <w:sz w:val="24"/>
        </w:rPr>
        <w:t>采购人信息</w:t>
      </w:r>
    </w:p>
    <w:p>
      <w:pPr>
        <w:pStyle w:val="9"/>
        <w:spacing w:before="168"/>
        <w:ind w:left="702"/>
      </w:pPr>
      <w:r>
        <w:t>名 称：寻甸回族彝族自治县民政局</w:t>
      </w:r>
    </w:p>
    <w:p>
      <w:pPr>
        <w:pStyle w:val="9"/>
        <w:spacing w:before="168" w:line="372" w:lineRule="auto"/>
        <w:ind w:left="702" w:right="3601"/>
      </w:pPr>
      <w:r>
        <w:rPr>
          <w:spacing w:val="-3"/>
        </w:rPr>
        <w:t xml:space="preserve">地址：昆明市寻甸回族彝族自治县仁德街道文苑路 </w:t>
      </w:r>
      <w:r>
        <w:t>35</w:t>
      </w:r>
      <w:r>
        <w:rPr>
          <w:spacing w:val="-39"/>
        </w:rPr>
        <w:t xml:space="preserve"> 号</w:t>
      </w:r>
      <w:r>
        <w:t>联系人：张老师、白老师</w:t>
      </w:r>
    </w:p>
    <w:p>
      <w:pPr>
        <w:pStyle w:val="9"/>
        <w:spacing w:line="305" w:lineRule="exact"/>
        <w:ind w:left="702"/>
      </w:pPr>
      <w:r>
        <w:t>联系电话：0871-62662594/15198983480</w:t>
      </w:r>
    </w:p>
    <w:p>
      <w:pPr>
        <w:pStyle w:val="10"/>
      </w:pPr>
    </w:p>
    <w:p>
      <w:pPr>
        <w:pStyle w:val="4"/>
        <w:spacing w:before="51"/>
        <w:rPr>
          <w:rFonts w:hint="default" w:eastAsia="宋体"/>
          <w:lang w:val="en-US" w:eastAsia="zh-CN"/>
        </w:rPr>
      </w:pPr>
      <w:r>
        <w:rPr>
          <w:rFonts w:hint="eastAsia"/>
          <w:lang w:val="en-US" w:eastAsia="zh-CN"/>
        </w:rPr>
        <w:t>八</w:t>
      </w:r>
      <w:r>
        <w:rPr>
          <w:rFonts w:hint="eastAsia"/>
          <w:lang w:eastAsia="zh-CN"/>
        </w:rPr>
        <w:t>、</w:t>
      </w:r>
      <w:r>
        <w:rPr>
          <w:rFonts w:hint="eastAsia"/>
          <w:lang w:val="en-US" w:eastAsia="zh-CN"/>
        </w:rPr>
        <w:t>具体招标情况详见《投标人须知》</w:t>
      </w:r>
    </w:p>
    <w:p/>
    <w:p>
      <w:pPr>
        <w:pStyle w:val="9"/>
        <w:tabs>
          <w:tab w:val="left" w:pos="1182"/>
        </w:tabs>
        <w:spacing w:before="168"/>
        <w:ind w:left="702"/>
      </w:pPr>
    </w:p>
    <w:p>
      <w:pPr>
        <w:pStyle w:val="9"/>
        <w:tabs>
          <w:tab w:val="left" w:pos="1182"/>
        </w:tabs>
        <w:spacing w:before="168"/>
        <w:ind w:left="0" w:leftChars="0" w:firstLine="0" w:firstLineChars="0"/>
      </w:pPr>
    </w:p>
    <w:p>
      <w:pPr>
        <w:pStyle w:val="10"/>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4"/>
        <w:spacing w:before="0" w:after="0" w:line="360" w:lineRule="auto"/>
        <w:jc w:val="center"/>
        <w:rPr>
          <w:rStyle w:val="21"/>
          <w:rFonts w:hint="eastAsia" w:ascii="宋体" w:hAnsi="宋体" w:cs="宋体"/>
          <w:b/>
          <w:bCs/>
          <w:color w:val="000000"/>
        </w:rPr>
      </w:pPr>
      <w:bookmarkStart w:id="8" w:name="_Toc21286"/>
      <w:r>
        <w:rPr>
          <w:rStyle w:val="21"/>
          <w:rFonts w:hint="eastAsia" w:ascii="宋体" w:hAnsi="宋体" w:cs="宋体"/>
          <w:b/>
          <w:bCs/>
          <w:color w:val="000000"/>
        </w:rPr>
        <w:t xml:space="preserve"> 投标人须知</w:t>
      </w:r>
      <w:bookmarkEnd w:id="8"/>
    </w:p>
    <w:p>
      <w:pPr>
        <w:pStyle w:val="5"/>
        <w:spacing w:before="0" w:after="0" w:line="360" w:lineRule="auto"/>
        <w:ind w:firstLine="420"/>
        <w:jc w:val="center"/>
        <w:rPr>
          <w:rFonts w:hint="eastAsia" w:ascii="宋体" w:hAnsi="宋体" w:eastAsia="宋体" w:cs="宋体"/>
          <w:color w:val="000000"/>
          <w:sz w:val="28"/>
          <w:szCs w:val="28"/>
        </w:rPr>
      </w:pPr>
      <w:bookmarkStart w:id="9" w:name="_Toc21714"/>
      <w:bookmarkEnd w:id="9"/>
      <w:bookmarkStart w:id="10" w:name="_Toc13590"/>
      <w:bookmarkEnd w:id="10"/>
      <w:bookmarkStart w:id="11" w:name="_Toc5138"/>
      <w:bookmarkStart w:id="12" w:name="_Toc26144"/>
      <w:r>
        <w:rPr>
          <w:rFonts w:hint="eastAsia" w:ascii="宋体" w:hAnsi="宋体" w:eastAsia="宋体" w:cs="宋体"/>
          <w:color w:val="000000"/>
          <w:sz w:val="28"/>
          <w:szCs w:val="28"/>
        </w:rPr>
        <w:t>投标人须知前附表</w:t>
      </w:r>
      <w:bookmarkEnd w:id="11"/>
      <w:bookmarkEnd w:id="12"/>
    </w:p>
    <w:tbl>
      <w:tblPr>
        <w:tblStyle w:val="15"/>
        <w:tblpPr w:leftFromText="180" w:rightFromText="180" w:vertAnchor="text" w:horzAnchor="page" w:tblpX="1013" w:tblpY="177"/>
        <w:tblOverlap w:val="never"/>
        <w:tblW w:w="0" w:type="auto"/>
        <w:tblInd w:w="-10" w:type="dxa"/>
        <w:tblLayout w:type="fixed"/>
        <w:tblCellMar>
          <w:top w:w="0" w:type="dxa"/>
          <w:left w:w="0" w:type="dxa"/>
          <w:bottom w:w="0" w:type="dxa"/>
          <w:right w:w="0" w:type="dxa"/>
        </w:tblCellMar>
      </w:tblPr>
      <w:tblGrid>
        <w:gridCol w:w="1047"/>
        <w:gridCol w:w="2009"/>
        <w:gridCol w:w="6826"/>
      </w:tblGrid>
      <w:tr>
        <w:tblPrEx>
          <w:tblCellMar>
            <w:top w:w="0" w:type="dxa"/>
            <w:left w:w="0" w:type="dxa"/>
            <w:bottom w:w="0" w:type="dxa"/>
            <w:right w:w="0" w:type="dxa"/>
          </w:tblCellMar>
        </w:tblPrEx>
        <w:trPr>
          <w:trHeight w:val="391"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b/>
                <w:bCs/>
                <w:color w:val="000000"/>
                <w:kern w:val="2"/>
                <w:sz w:val="24"/>
                <w:szCs w:val="24"/>
              </w:rPr>
            </w:pPr>
            <w:r>
              <w:rPr>
                <w:rFonts w:hint="eastAsia" w:ascii="宋体" w:hAnsi="宋体" w:cs="宋体"/>
                <w:b/>
                <w:bCs/>
                <w:color w:val="000000"/>
                <w:kern w:val="2"/>
                <w:sz w:val="24"/>
                <w:szCs w:val="24"/>
              </w:rPr>
              <w:t>条款号</w:t>
            </w:r>
          </w:p>
        </w:tc>
        <w:tc>
          <w:tcPr>
            <w:tcW w:w="2009" w:type="dxa"/>
            <w:tcBorders>
              <w:top w:val="single" w:color="auto" w:sz="8" w:space="0"/>
              <w:left w:val="nil"/>
              <w:bottom w:val="single" w:color="auto" w:sz="8" w:space="0"/>
              <w:right w:val="single" w:color="auto" w:sz="8" w:space="0"/>
            </w:tcBorders>
            <w:noWrap w:val="0"/>
            <w:vAlign w:val="bottom"/>
          </w:tcPr>
          <w:p>
            <w:pPr>
              <w:spacing w:line="360" w:lineRule="exact"/>
              <w:jc w:val="center"/>
              <w:rPr>
                <w:rFonts w:hint="eastAsia" w:ascii="宋体" w:hAnsi="宋体" w:cs="宋体"/>
                <w:b/>
                <w:bCs/>
                <w:color w:val="000000"/>
                <w:kern w:val="2"/>
                <w:sz w:val="24"/>
                <w:szCs w:val="24"/>
              </w:rPr>
            </w:pPr>
            <w:r>
              <w:rPr>
                <w:rFonts w:hint="eastAsia" w:ascii="宋体" w:hAnsi="宋体" w:cs="宋体"/>
                <w:b/>
                <w:bCs/>
                <w:color w:val="000000"/>
                <w:kern w:val="2"/>
                <w:sz w:val="24"/>
                <w:szCs w:val="24"/>
              </w:rPr>
              <w:t>条 款 名 称</w:t>
            </w:r>
          </w:p>
        </w:tc>
        <w:tc>
          <w:tcPr>
            <w:tcW w:w="6826" w:type="dxa"/>
            <w:tcBorders>
              <w:top w:val="single" w:color="auto" w:sz="8" w:space="0"/>
              <w:left w:val="nil"/>
              <w:bottom w:val="single" w:color="auto" w:sz="8" w:space="0"/>
              <w:right w:val="single" w:color="auto" w:sz="8" w:space="0"/>
            </w:tcBorders>
            <w:noWrap w:val="0"/>
            <w:vAlign w:val="bottom"/>
          </w:tcPr>
          <w:p>
            <w:pPr>
              <w:spacing w:line="360" w:lineRule="exact"/>
              <w:jc w:val="center"/>
              <w:rPr>
                <w:rFonts w:hint="eastAsia" w:ascii="宋体" w:hAnsi="宋体" w:cs="宋体"/>
                <w:b/>
                <w:bCs/>
                <w:color w:val="000000"/>
                <w:kern w:val="2"/>
                <w:sz w:val="24"/>
                <w:szCs w:val="24"/>
              </w:rPr>
            </w:pPr>
            <w:r>
              <w:rPr>
                <w:rFonts w:hint="eastAsia" w:ascii="宋体" w:hAnsi="宋体" w:cs="宋体"/>
                <w:b/>
                <w:bCs/>
                <w:color w:val="000000"/>
                <w:kern w:val="2"/>
                <w:sz w:val="24"/>
                <w:szCs w:val="24"/>
              </w:rPr>
              <w:t>编 列 内 容</w:t>
            </w:r>
          </w:p>
        </w:tc>
      </w:tr>
      <w:tr>
        <w:tblPrEx>
          <w:tblCellMar>
            <w:top w:w="0" w:type="dxa"/>
            <w:left w:w="0" w:type="dxa"/>
            <w:bottom w:w="0" w:type="dxa"/>
            <w:right w:w="0" w:type="dxa"/>
          </w:tblCellMar>
        </w:tblPrEx>
        <w:trPr>
          <w:trHeight w:val="1519"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1.1.2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采购人</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highlight w:val="none"/>
              </w:rPr>
            </w:pPr>
            <w:r>
              <w:rPr>
                <w:rFonts w:hint="eastAsia" w:ascii="宋体" w:hAnsi="宋体" w:cs="宋体"/>
                <w:color w:val="000000"/>
                <w:kern w:val="2"/>
                <w:sz w:val="24"/>
                <w:szCs w:val="24"/>
                <w:highlight w:val="none"/>
              </w:rPr>
              <w:t>名称：</w:t>
            </w:r>
            <w:r>
              <w:rPr>
                <w:rFonts w:hint="eastAsia" w:ascii="宋体" w:hAnsi="宋体" w:cs="宋体"/>
                <w:color w:val="000000"/>
                <w:sz w:val="24"/>
                <w:szCs w:val="24"/>
                <w:highlight w:val="none"/>
              </w:rPr>
              <w:t>寻甸回族彝族自治县民政局</w:t>
            </w:r>
            <w:r>
              <w:rPr>
                <w:rFonts w:hint="eastAsia" w:ascii="宋体" w:hAnsi="宋体" w:cs="宋体"/>
                <w:color w:val="000000"/>
                <w:kern w:val="2"/>
                <w:sz w:val="24"/>
                <w:szCs w:val="24"/>
                <w:highlight w:val="none"/>
              </w:rPr>
              <w:t xml:space="preserve"> </w:t>
            </w:r>
          </w:p>
          <w:p>
            <w:pPr>
              <w:spacing w:line="360" w:lineRule="exact"/>
              <w:rPr>
                <w:rFonts w:hint="eastAsia" w:ascii="宋体" w:hAnsi="宋体" w:cs="宋体"/>
                <w:color w:val="000000"/>
                <w:kern w:val="2"/>
                <w:sz w:val="24"/>
                <w:szCs w:val="24"/>
                <w:highlight w:val="none"/>
              </w:rPr>
            </w:pPr>
            <w:r>
              <w:rPr>
                <w:rFonts w:hint="eastAsia" w:ascii="宋体" w:hAnsi="宋体" w:cs="宋体"/>
                <w:color w:val="000000"/>
                <w:kern w:val="2"/>
                <w:sz w:val="24"/>
                <w:szCs w:val="24"/>
                <w:highlight w:val="none"/>
              </w:rPr>
              <w:t>地址：</w:t>
            </w:r>
            <w:r>
              <w:rPr>
                <w:rFonts w:hint="eastAsia" w:ascii="宋体" w:hAnsi="宋体" w:cs="宋体"/>
                <w:color w:val="000000"/>
                <w:sz w:val="24"/>
                <w:szCs w:val="24"/>
                <w:highlight w:val="none"/>
              </w:rPr>
              <w:t>昆明市寻甸回族彝族自治县仁德街道文苑路35号</w:t>
            </w:r>
          </w:p>
          <w:p>
            <w:pPr>
              <w:spacing w:line="360" w:lineRule="exact"/>
              <w:rPr>
                <w:rFonts w:hint="eastAsia" w:ascii="宋体" w:hAnsi="宋体" w:cs="宋体"/>
                <w:color w:val="000000"/>
                <w:kern w:val="2"/>
                <w:sz w:val="24"/>
                <w:szCs w:val="24"/>
                <w:highlight w:val="none"/>
              </w:rPr>
            </w:pPr>
            <w:r>
              <w:rPr>
                <w:rFonts w:hint="eastAsia" w:ascii="宋体" w:hAnsi="宋体" w:cs="宋体"/>
                <w:color w:val="000000"/>
                <w:kern w:val="2"/>
                <w:sz w:val="24"/>
                <w:szCs w:val="24"/>
                <w:highlight w:val="none"/>
              </w:rPr>
              <w:t>联系人：</w:t>
            </w:r>
            <w:r>
              <w:rPr>
                <w:rFonts w:hint="eastAsia" w:ascii="宋体" w:hAnsi="宋体" w:cs="宋体"/>
                <w:color w:val="000000"/>
                <w:sz w:val="24"/>
                <w:szCs w:val="24"/>
                <w:highlight w:val="none"/>
                <w:lang w:val="en-US" w:eastAsia="zh-CN"/>
              </w:rPr>
              <w:t>张老师、白老师</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highlight w:val="none"/>
              </w:rPr>
              <w:t>联系电话：</w:t>
            </w:r>
            <w:r>
              <w:rPr>
                <w:rFonts w:hint="eastAsia" w:ascii="宋体" w:hAnsi="宋体" w:cs="宋体"/>
                <w:color w:val="000000"/>
                <w:sz w:val="24"/>
                <w:szCs w:val="24"/>
                <w:highlight w:val="none"/>
                <w:lang w:val="en-US" w:eastAsia="zh-CN"/>
              </w:rPr>
              <w:t>0871-62662594/15198983480</w:t>
            </w:r>
          </w:p>
        </w:tc>
      </w:tr>
      <w:tr>
        <w:tblPrEx>
          <w:tblCellMar>
            <w:top w:w="0" w:type="dxa"/>
            <w:left w:w="0" w:type="dxa"/>
            <w:bottom w:w="0" w:type="dxa"/>
            <w:right w:w="0" w:type="dxa"/>
          </w:tblCellMar>
        </w:tblPrEx>
        <w:trPr>
          <w:trHeight w:val="673"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1.1.4</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招标项目名称</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lang w:eastAsia="zh-CN"/>
              </w:rPr>
              <w:t>寻甸回族彝族自治县失能照护机构护理床改造项目</w:t>
            </w:r>
          </w:p>
        </w:tc>
      </w:tr>
      <w:tr>
        <w:tblPrEx>
          <w:tblCellMar>
            <w:top w:w="0" w:type="dxa"/>
            <w:left w:w="0" w:type="dxa"/>
            <w:bottom w:w="0" w:type="dxa"/>
            <w:right w:w="0" w:type="dxa"/>
          </w:tblCellMar>
        </w:tblPrEx>
        <w:trPr>
          <w:trHeight w:val="664"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1.2.1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资金落实情况</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u w:val="single"/>
              </w:rPr>
              <w:t>已落实</w:t>
            </w:r>
          </w:p>
        </w:tc>
      </w:tr>
      <w:tr>
        <w:tblPrEx>
          <w:tblCellMar>
            <w:top w:w="0" w:type="dxa"/>
            <w:left w:w="0" w:type="dxa"/>
            <w:bottom w:w="0" w:type="dxa"/>
            <w:right w:w="0" w:type="dxa"/>
          </w:tblCellMar>
        </w:tblPrEx>
        <w:trPr>
          <w:trHeight w:val="643"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1.2.2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预算金额</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lang w:val="en-US" w:eastAsia="zh-CN"/>
              </w:rPr>
              <w:t>22.50</w:t>
            </w:r>
            <w:r>
              <w:rPr>
                <w:rFonts w:hint="eastAsia" w:ascii="宋体" w:hAnsi="宋体" w:cs="宋体"/>
                <w:color w:val="000000"/>
                <w:kern w:val="2"/>
                <w:sz w:val="24"/>
                <w:szCs w:val="24"/>
              </w:rPr>
              <w:t>万元</w:t>
            </w:r>
          </w:p>
        </w:tc>
      </w:tr>
      <w:tr>
        <w:tblPrEx>
          <w:tblCellMar>
            <w:top w:w="0" w:type="dxa"/>
            <w:left w:w="0" w:type="dxa"/>
            <w:bottom w:w="0" w:type="dxa"/>
            <w:right w:w="0" w:type="dxa"/>
          </w:tblCellMar>
        </w:tblPrEx>
        <w:trPr>
          <w:trHeight w:val="601"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1.3.1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项目需求</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sz w:val="24"/>
              </w:rPr>
              <w:t>具体内容见《货物需求一览表及技术规格》</w:t>
            </w:r>
          </w:p>
        </w:tc>
      </w:tr>
      <w:tr>
        <w:tblPrEx>
          <w:tblCellMar>
            <w:top w:w="0" w:type="dxa"/>
            <w:left w:w="0" w:type="dxa"/>
            <w:bottom w:w="0" w:type="dxa"/>
            <w:right w:w="0" w:type="dxa"/>
          </w:tblCellMar>
        </w:tblPrEx>
        <w:trPr>
          <w:trHeight w:val="916"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1.3.2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highlight w:val="none"/>
              </w:rPr>
            </w:pPr>
            <w:r>
              <w:rPr>
                <w:rFonts w:hint="eastAsia" w:ascii="宋体" w:hAnsi="宋体" w:cs="宋体"/>
                <w:color w:val="000000"/>
                <w:kern w:val="2"/>
                <w:sz w:val="24"/>
                <w:szCs w:val="24"/>
                <w:highlight w:val="none"/>
              </w:rPr>
              <w:t>合同履行期限、质保期</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jc w:val="both"/>
              <w:rPr>
                <w:rFonts w:hint="eastAsia" w:ascii="宋体" w:hAnsi="宋体" w:eastAsia="宋体" w:cs="宋体"/>
                <w:color w:val="000000"/>
                <w:kern w:val="2"/>
                <w:sz w:val="24"/>
                <w:szCs w:val="24"/>
                <w:highlight w:val="none"/>
                <w:lang w:eastAsia="zh-CN"/>
              </w:rPr>
            </w:pPr>
            <w:r>
              <w:rPr>
                <w:rFonts w:hint="eastAsia" w:ascii="宋体" w:hAnsi="宋体" w:cs="宋体"/>
                <w:color w:val="000000"/>
                <w:kern w:val="2"/>
                <w:sz w:val="24"/>
                <w:szCs w:val="24"/>
                <w:highlight w:val="none"/>
              </w:rPr>
              <w:t>合同履行期限：</w:t>
            </w:r>
            <w:r>
              <w:rPr>
                <w:rFonts w:hint="eastAsia" w:ascii="宋体" w:hAnsi="宋体" w:cs="宋体"/>
                <w:color w:val="000000"/>
                <w:kern w:val="2"/>
                <w:sz w:val="24"/>
                <w:szCs w:val="24"/>
                <w:highlight w:val="none"/>
                <w:u w:val="single"/>
                <w:lang w:eastAsia="zh-CN"/>
              </w:rPr>
              <w:t>合同签订之日起至202</w:t>
            </w:r>
            <w:r>
              <w:rPr>
                <w:rFonts w:hint="eastAsia" w:ascii="宋体" w:hAnsi="宋体" w:cs="宋体"/>
                <w:color w:val="000000"/>
                <w:kern w:val="2"/>
                <w:sz w:val="24"/>
                <w:szCs w:val="24"/>
                <w:highlight w:val="none"/>
                <w:u w:val="single"/>
                <w:lang w:val="en-US" w:eastAsia="zh-CN"/>
              </w:rPr>
              <w:t>2</w:t>
            </w:r>
            <w:r>
              <w:rPr>
                <w:rFonts w:hint="eastAsia" w:ascii="宋体" w:hAnsi="宋体" w:cs="宋体"/>
                <w:color w:val="000000"/>
                <w:kern w:val="2"/>
                <w:sz w:val="24"/>
                <w:szCs w:val="24"/>
                <w:highlight w:val="none"/>
                <w:u w:val="single"/>
                <w:lang w:eastAsia="zh-CN"/>
              </w:rPr>
              <w:t>年1月</w:t>
            </w:r>
            <w:r>
              <w:rPr>
                <w:rFonts w:hint="eastAsia" w:ascii="宋体" w:hAnsi="宋体" w:cs="宋体"/>
                <w:color w:val="000000"/>
                <w:kern w:val="2"/>
                <w:sz w:val="24"/>
                <w:szCs w:val="24"/>
                <w:highlight w:val="none"/>
                <w:u w:val="single"/>
                <w:lang w:val="en-US" w:eastAsia="zh-CN"/>
              </w:rPr>
              <w:t>25</w:t>
            </w:r>
            <w:r>
              <w:rPr>
                <w:rFonts w:hint="eastAsia" w:ascii="宋体" w:hAnsi="宋体" w:cs="宋体"/>
                <w:color w:val="000000"/>
                <w:kern w:val="2"/>
                <w:sz w:val="24"/>
                <w:szCs w:val="24"/>
                <w:highlight w:val="none"/>
                <w:u w:val="single"/>
                <w:lang w:eastAsia="zh-CN"/>
              </w:rPr>
              <w:t>日之前完成供货，并安装调试完成。</w:t>
            </w:r>
          </w:p>
          <w:p>
            <w:pPr>
              <w:spacing w:line="360" w:lineRule="exact"/>
              <w:jc w:val="both"/>
              <w:rPr>
                <w:rFonts w:ascii="宋体" w:hAnsi="宋体" w:cs="宋体"/>
                <w:color w:val="000000"/>
                <w:kern w:val="2"/>
                <w:sz w:val="24"/>
                <w:szCs w:val="24"/>
                <w:highlight w:val="none"/>
              </w:rPr>
            </w:pPr>
            <w:r>
              <w:rPr>
                <w:rFonts w:hint="eastAsia" w:ascii="宋体" w:hAnsi="宋体" w:cs="宋体"/>
                <w:color w:val="000000"/>
                <w:kern w:val="2"/>
                <w:sz w:val="24"/>
                <w:szCs w:val="24"/>
                <w:highlight w:val="none"/>
              </w:rPr>
              <w:t>质保期：</w:t>
            </w:r>
            <w:r>
              <w:rPr>
                <w:rFonts w:hint="eastAsia" w:ascii="宋体" w:hAnsi="宋体" w:cs="宋体"/>
                <w:color w:val="000000"/>
                <w:kern w:val="2"/>
                <w:sz w:val="24"/>
                <w:szCs w:val="24"/>
                <w:highlight w:val="none"/>
                <w:u w:val="single"/>
              </w:rPr>
              <w:t>自验收合格之日起不少于2年</w:t>
            </w:r>
          </w:p>
        </w:tc>
      </w:tr>
      <w:tr>
        <w:tblPrEx>
          <w:tblCellMar>
            <w:top w:w="0" w:type="dxa"/>
            <w:left w:w="0" w:type="dxa"/>
            <w:bottom w:w="0" w:type="dxa"/>
            <w:right w:w="0" w:type="dxa"/>
          </w:tblCellMar>
        </w:tblPrEx>
        <w:trPr>
          <w:trHeight w:val="993"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1.3.3</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交货地点、交货方式</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jc w:val="both"/>
              <w:rPr>
                <w:rFonts w:hint="eastAsia" w:ascii="宋体" w:hAnsi="宋体" w:cs="宋体"/>
                <w:color w:val="000000"/>
                <w:sz w:val="24"/>
                <w:szCs w:val="24"/>
                <w:u w:val="single"/>
              </w:rPr>
            </w:pPr>
            <w:r>
              <w:rPr>
                <w:rFonts w:hint="eastAsia" w:ascii="宋体" w:hAnsi="宋体" w:cs="宋体"/>
                <w:color w:val="000000"/>
                <w:sz w:val="24"/>
                <w:szCs w:val="24"/>
              </w:rPr>
              <w:t>交货地点：</w:t>
            </w:r>
            <w:r>
              <w:rPr>
                <w:rFonts w:hint="eastAsia" w:ascii="宋体" w:hAnsi="宋体" w:cs="宋体"/>
                <w:color w:val="000000"/>
                <w:sz w:val="24"/>
                <w:szCs w:val="24"/>
                <w:u w:val="single"/>
              </w:rPr>
              <w:t>送货至寻甸县社会福利院</w:t>
            </w:r>
          </w:p>
          <w:p>
            <w:pPr>
              <w:pStyle w:val="9"/>
              <w:spacing w:line="360" w:lineRule="exact"/>
              <w:jc w:val="both"/>
              <w:rPr>
                <w:rFonts w:hint="eastAsia" w:ascii="宋体" w:hAnsi="宋体" w:eastAsia="宋体" w:cs="宋体"/>
                <w:color w:val="000000"/>
                <w:sz w:val="24"/>
                <w:lang w:val="en-US" w:eastAsia="zh-CN"/>
              </w:rPr>
            </w:pPr>
            <w:r>
              <w:rPr>
                <w:rFonts w:hint="eastAsia" w:ascii="宋体" w:hAnsi="宋体" w:cs="宋体"/>
                <w:color w:val="000000"/>
                <w:sz w:val="24"/>
              </w:rPr>
              <w:t>交货方式：</w:t>
            </w:r>
            <w:r>
              <w:rPr>
                <w:rFonts w:hint="eastAsia" w:ascii="宋体" w:hAnsi="宋体" w:cs="宋体"/>
                <w:color w:val="000000"/>
                <w:sz w:val="24"/>
                <w:u w:val="single"/>
              </w:rPr>
              <w:t>现场</w:t>
            </w:r>
            <w:r>
              <w:rPr>
                <w:rFonts w:hint="eastAsia" w:ascii="宋体" w:hAnsi="宋体" w:cs="宋体"/>
                <w:color w:val="000000"/>
                <w:sz w:val="24"/>
                <w:u w:val="single"/>
                <w:lang w:val="en-US" w:eastAsia="zh-CN"/>
              </w:rPr>
              <w:t>验收</w:t>
            </w:r>
          </w:p>
        </w:tc>
      </w:tr>
      <w:tr>
        <w:tblPrEx>
          <w:tblCellMar>
            <w:top w:w="0" w:type="dxa"/>
            <w:left w:w="0" w:type="dxa"/>
            <w:bottom w:w="0" w:type="dxa"/>
            <w:right w:w="0" w:type="dxa"/>
          </w:tblCellMar>
        </w:tblPrEx>
        <w:trPr>
          <w:trHeight w:val="775"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1.4.1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投标人资格要求</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见“招标公告</w:t>
            </w:r>
            <w:r>
              <w:rPr>
                <w:rFonts w:hint="eastAsia" w:ascii="宋体" w:hAnsi="宋体" w:cs="宋体"/>
                <w:color w:val="000000"/>
                <w:kern w:val="2"/>
                <w:sz w:val="24"/>
                <w:szCs w:val="24"/>
                <w:lang w:eastAsia="zh-CN"/>
              </w:rPr>
              <w:t>及</w:t>
            </w:r>
            <w:r>
              <w:rPr>
                <w:rFonts w:hint="eastAsia" w:ascii="宋体" w:hAnsi="宋体" w:cs="宋体"/>
                <w:color w:val="000000"/>
                <w:kern w:val="2"/>
                <w:sz w:val="24"/>
                <w:szCs w:val="24"/>
              </w:rPr>
              <w:t>投标人资格要求”</w:t>
            </w:r>
          </w:p>
        </w:tc>
      </w:tr>
      <w:tr>
        <w:tblPrEx>
          <w:tblCellMar>
            <w:top w:w="0" w:type="dxa"/>
            <w:left w:w="0" w:type="dxa"/>
            <w:bottom w:w="0" w:type="dxa"/>
            <w:right w:w="0" w:type="dxa"/>
          </w:tblCellMar>
        </w:tblPrEx>
        <w:trPr>
          <w:trHeight w:val="860"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1.4.2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是否接受联合体投标</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jc w:val="both"/>
              <w:rPr>
                <w:rFonts w:hint="eastAsia" w:ascii="宋体" w:hAnsi="宋体" w:cs="宋体"/>
                <w:color w:val="000000"/>
                <w:kern w:val="2"/>
                <w:sz w:val="24"/>
                <w:szCs w:val="24"/>
              </w:rPr>
            </w:pPr>
            <w:r>
              <w:rPr>
                <w:rFonts w:hint="eastAsia" w:ascii="宋体" w:hAnsi="宋体" w:cs="宋体"/>
                <w:color w:val="000000"/>
                <w:kern w:val="2"/>
                <w:sz w:val="24"/>
                <w:szCs w:val="24"/>
              </w:rPr>
              <w:t>☑不接受</w:t>
            </w:r>
          </w:p>
          <w:p>
            <w:pPr>
              <w:spacing w:line="360" w:lineRule="exact"/>
              <w:jc w:val="both"/>
              <w:rPr>
                <w:rFonts w:ascii="宋体" w:hAnsi="宋体" w:cs="宋体"/>
                <w:color w:val="000000"/>
                <w:kern w:val="2"/>
                <w:sz w:val="24"/>
                <w:szCs w:val="24"/>
                <w:u w:val="single"/>
              </w:rPr>
            </w:pPr>
            <w:r>
              <w:rPr>
                <w:rFonts w:hint="eastAsia" w:ascii="宋体" w:hAnsi="宋体" w:cs="宋体"/>
                <w:color w:val="000000"/>
                <w:kern w:val="2"/>
                <w:sz w:val="24"/>
                <w:szCs w:val="24"/>
              </w:rPr>
              <w:t>□接受，应满足下列要求：</w:t>
            </w:r>
            <w:r>
              <w:rPr>
                <w:rFonts w:hint="eastAsia" w:ascii="宋体" w:hAnsi="宋体" w:cs="宋体"/>
                <w:color w:val="000000"/>
                <w:kern w:val="2"/>
                <w:sz w:val="24"/>
                <w:szCs w:val="24"/>
                <w:u w:val="single"/>
              </w:rPr>
              <w:t>/</w:t>
            </w:r>
          </w:p>
        </w:tc>
      </w:tr>
      <w:tr>
        <w:tblPrEx>
          <w:tblCellMar>
            <w:top w:w="0" w:type="dxa"/>
            <w:left w:w="0" w:type="dxa"/>
            <w:bottom w:w="0" w:type="dxa"/>
            <w:right w:w="0" w:type="dxa"/>
          </w:tblCellMar>
        </w:tblPrEx>
        <w:trPr>
          <w:trHeight w:val="1238"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1.9.1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现场考察</w:t>
            </w:r>
          </w:p>
        </w:tc>
        <w:tc>
          <w:tcPr>
            <w:tcW w:w="6826" w:type="dxa"/>
            <w:tcBorders>
              <w:top w:val="single" w:color="auto" w:sz="8" w:space="0"/>
              <w:left w:val="nil"/>
              <w:bottom w:val="single" w:color="auto" w:sz="8" w:space="0"/>
              <w:right w:val="single" w:color="auto" w:sz="8" w:space="0"/>
            </w:tcBorders>
            <w:noWrap w:val="0"/>
            <w:vAlign w:val="center"/>
          </w:tcPr>
          <w:p>
            <w:pPr>
              <w:pStyle w:val="8"/>
              <w:topLinePunct/>
              <w:spacing w:line="360" w:lineRule="exact"/>
              <w:rPr>
                <w:rFonts w:hint="eastAsia" w:hAnsi="宋体" w:cs="宋体"/>
                <w:color w:val="000000"/>
                <w:kern w:val="2"/>
              </w:rPr>
            </w:pPr>
            <w:r>
              <w:rPr>
                <w:rFonts w:hint="eastAsia" w:hAnsi="宋体" w:cs="宋体"/>
                <w:color w:val="000000"/>
                <w:kern w:val="2"/>
              </w:rPr>
              <w:t>☑不组织</w:t>
            </w:r>
          </w:p>
          <w:p>
            <w:pPr>
              <w:spacing w:line="360" w:lineRule="exact"/>
              <w:ind w:left="991" w:hanging="991" w:hangingChars="413"/>
              <w:rPr>
                <w:rFonts w:hint="eastAsia" w:ascii="宋体" w:hAnsi="宋体" w:cs="宋体"/>
                <w:color w:val="000000"/>
                <w:kern w:val="2"/>
                <w:sz w:val="24"/>
                <w:szCs w:val="24"/>
                <w:u w:val="single"/>
              </w:rPr>
            </w:pPr>
            <w:r>
              <w:rPr>
                <w:rFonts w:hint="eastAsia" w:ascii="宋体" w:hAnsi="宋体" w:cs="宋体"/>
                <w:color w:val="000000"/>
                <w:kern w:val="2"/>
                <w:sz w:val="24"/>
                <w:szCs w:val="24"/>
              </w:rPr>
              <w:t>□组织，考察时间：</w:t>
            </w:r>
            <w:r>
              <w:rPr>
                <w:rFonts w:hint="eastAsia" w:ascii="宋体" w:hAnsi="宋体" w:cs="宋体"/>
                <w:color w:val="000000"/>
                <w:sz w:val="24"/>
                <w:szCs w:val="24"/>
                <w:u w:val="single"/>
              </w:rPr>
              <w:t>/</w:t>
            </w:r>
            <w:r>
              <w:rPr>
                <w:rFonts w:hint="eastAsia" w:ascii="宋体" w:hAnsi="宋体" w:cs="宋体"/>
                <w:color w:val="000000"/>
                <w:sz w:val="24"/>
                <w:szCs w:val="24"/>
              </w:rPr>
              <w:t>年</w:t>
            </w:r>
            <w:r>
              <w:rPr>
                <w:rFonts w:hint="eastAsia" w:ascii="宋体" w:hAnsi="宋体" w:cs="宋体"/>
                <w:color w:val="000000"/>
                <w:sz w:val="24"/>
                <w:szCs w:val="24"/>
                <w:u w:val="single"/>
              </w:rPr>
              <w:t>/</w:t>
            </w:r>
            <w:r>
              <w:rPr>
                <w:rFonts w:hint="eastAsia" w:ascii="宋体" w:hAnsi="宋体" w:cs="宋体"/>
                <w:color w:val="000000"/>
                <w:sz w:val="24"/>
                <w:szCs w:val="24"/>
              </w:rPr>
              <w:t>月</w:t>
            </w:r>
            <w:r>
              <w:rPr>
                <w:rFonts w:hint="eastAsia" w:ascii="宋体" w:hAnsi="宋体" w:cs="宋体"/>
                <w:color w:val="000000"/>
                <w:sz w:val="24"/>
                <w:szCs w:val="24"/>
                <w:u w:val="single"/>
              </w:rPr>
              <w:t>/</w:t>
            </w:r>
            <w:r>
              <w:rPr>
                <w:rFonts w:hint="eastAsia" w:ascii="宋体" w:hAnsi="宋体" w:cs="宋体"/>
                <w:color w:val="000000"/>
                <w:sz w:val="24"/>
                <w:szCs w:val="24"/>
              </w:rPr>
              <w:t>日</w:t>
            </w:r>
            <w:r>
              <w:rPr>
                <w:rFonts w:hint="eastAsia" w:cs="宋体"/>
                <w:color w:val="000000"/>
                <w:sz w:val="24"/>
                <w:szCs w:val="24"/>
                <w:lang w:eastAsia="zh-CN"/>
              </w:rPr>
              <w:t>（</w:t>
            </w:r>
            <w:r>
              <w:rPr>
                <w:rFonts w:hint="eastAsia" w:ascii="宋体" w:hAnsi="宋体" w:cs="宋体"/>
                <w:color w:val="000000"/>
                <w:kern w:val="2"/>
                <w:sz w:val="24"/>
                <w:szCs w:val="24"/>
                <w:u w:val="single"/>
              </w:rPr>
              <w:t>在招标文件提供期限截止后，开标前</w:t>
            </w:r>
            <w:r>
              <w:rPr>
                <w:rFonts w:hint="eastAsia" w:cs="宋体"/>
                <w:color w:val="000000"/>
                <w:kern w:val="2"/>
                <w:sz w:val="24"/>
                <w:szCs w:val="24"/>
                <w:u w:val="single"/>
                <w:lang w:eastAsia="zh-CN"/>
              </w:rPr>
              <w:t>）</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 xml:space="preserve">        考察集中地点及联系方式：</w:t>
            </w:r>
            <w:r>
              <w:rPr>
                <w:rFonts w:hint="eastAsia" w:ascii="宋体" w:hAnsi="宋体" w:cs="宋体"/>
                <w:color w:val="000000"/>
                <w:kern w:val="2"/>
                <w:sz w:val="24"/>
                <w:szCs w:val="24"/>
                <w:u w:val="single"/>
              </w:rPr>
              <w:t xml:space="preserve">/ </w:t>
            </w:r>
          </w:p>
        </w:tc>
      </w:tr>
      <w:tr>
        <w:tblPrEx>
          <w:tblCellMar>
            <w:top w:w="0" w:type="dxa"/>
            <w:left w:w="0" w:type="dxa"/>
            <w:bottom w:w="0" w:type="dxa"/>
            <w:right w:w="0" w:type="dxa"/>
          </w:tblCellMar>
        </w:tblPrEx>
        <w:trPr>
          <w:trHeight w:val="990"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b/>
                <w:bCs/>
                <w:color w:val="000000"/>
                <w:kern w:val="2"/>
                <w:sz w:val="24"/>
                <w:szCs w:val="24"/>
              </w:rPr>
            </w:pPr>
            <w:r>
              <w:rPr>
                <w:rFonts w:hint="eastAsia" w:ascii="宋体" w:hAnsi="宋体" w:cs="宋体"/>
                <w:b/>
                <w:bCs/>
                <w:color w:val="000000"/>
                <w:kern w:val="2"/>
                <w:sz w:val="24"/>
                <w:szCs w:val="24"/>
              </w:rPr>
              <w:t>1.10</w:t>
            </w:r>
          </w:p>
          <w:p>
            <w:pPr>
              <w:spacing w:line="360" w:lineRule="exact"/>
              <w:jc w:val="center"/>
              <w:rPr>
                <w:rFonts w:hint="eastAsia" w:ascii="宋体" w:hAnsi="宋体" w:cs="宋体"/>
                <w:color w:val="000000"/>
              </w:rPr>
            </w:pPr>
            <w:r>
              <w:rPr>
                <w:rFonts w:hint="eastAsia" w:ascii="宋体" w:hAnsi="宋体" w:cs="宋体"/>
                <w:b/>
                <w:bCs/>
                <w:color w:val="000000"/>
                <w:kern w:val="2"/>
                <w:sz w:val="24"/>
                <w:szCs w:val="24"/>
              </w:rPr>
              <w:t>3.5.2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b/>
                <w:bCs/>
                <w:color w:val="000000"/>
                <w:kern w:val="2"/>
                <w:sz w:val="24"/>
                <w:szCs w:val="24"/>
              </w:rPr>
            </w:pPr>
            <w:r>
              <w:rPr>
                <w:rFonts w:hint="eastAsia" w:ascii="宋体" w:hAnsi="宋体" w:cs="宋体"/>
                <w:b/>
                <w:bCs/>
                <w:color w:val="000000"/>
                <w:kern w:val="2"/>
                <w:sz w:val="24"/>
                <w:szCs w:val="24"/>
              </w:rPr>
              <w:t>不允许偏离的实质性要求和条件</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b/>
                <w:bCs/>
                <w:color w:val="000000"/>
                <w:kern w:val="2"/>
                <w:sz w:val="24"/>
                <w:szCs w:val="24"/>
              </w:rPr>
              <w:t>资格要求和符合性审查不允许负偏离</w:t>
            </w:r>
          </w:p>
        </w:tc>
      </w:tr>
      <w:tr>
        <w:tblPrEx>
          <w:tblCellMar>
            <w:top w:w="0" w:type="dxa"/>
            <w:left w:w="0" w:type="dxa"/>
            <w:bottom w:w="0" w:type="dxa"/>
            <w:right w:w="0" w:type="dxa"/>
          </w:tblCellMar>
        </w:tblPrEx>
        <w:trPr>
          <w:trHeight w:val="386"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2.1</w:t>
            </w:r>
          </w:p>
        </w:tc>
        <w:tc>
          <w:tcPr>
            <w:tcW w:w="2009" w:type="dxa"/>
            <w:tcBorders>
              <w:top w:val="single" w:color="auto" w:sz="8" w:space="0"/>
              <w:left w:val="nil"/>
              <w:bottom w:val="single" w:color="auto" w:sz="8" w:space="0"/>
              <w:right w:val="single" w:color="auto" w:sz="8" w:space="0"/>
            </w:tcBorders>
            <w:noWrap w:val="0"/>
            <w:vAlign w:val="center"/>
          </w:tcPr>
          <w:p>
            <w:pPr>
              <w:pStyle w:val="22"/>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构成招标文件的其他资料（如有）</w:t>
            </w:r>
          </w:p>
        </w:tc>
        <w:tc>
          <w:tcPr>
            <w:tcW w:w="6826" w:type="dxa"/>
            <w:tcBorders>
              <w:top w:val="single" w:color="auto" w:sz="8" w:space="0"/>
              <w:left w:val="nil"/>
              <w:bottom w:val="single" w:color="auto" w:sz="8" w:space="0"/>
              <w:right w:val="single" w:color="auto" w:sz="8" w:space="0"/>
            </w:tcBorders>
            <w:noWrap w:val="0"/>
            <w:vAlign w:val="center"/>
          </w:tcPr>
          <w:p>
            <w:pPr>
              <w:pStyle w:val="22"/>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澄清、修改等内容</w:t>
            </w:r>
          </w:p>
        </w:tc>
      </w:tr>
      <w:tr>
        <w:tblPrEx>
          <w:tblCellMar>
            <w:top w:w="0" w:type="dxa"/>
            <w:left w:w="0" w:type="dxa"/>
            <w:bottom w:w="0" w:type="dxa"/>
            <w:right w:w="0" w:type="dxa"/>
          </w:tblCellMar>
        </w:tblPrEx>
        <w:trPr>
          <w:trHeight w:val="524"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2.2.2</w:t>
            </w:r>
          </w:p>
        </w:tc>
        <w:tc>
          <w:tcPr>
            <w:tcW w:w="2009" w:type="dxa"/>
            <w:tcBorders>
              <w:top w:val="single" w:color="auto" w:sz="8" w:space="0"/>
              <w:left w:val="nil"/>
              <w:bottom w:val="single" w:color="auto" w:sz="8" w:space="0"/>
              <w:right w:val="single" w:color="auto" w:sz="8" w:space="0"/>
            </w:tcBorders>
            <w:noWrap w:val="0"/>
            <w:vAlign w:val="center"/>
          </w:tcPr>
          <w:p>
            <w:pPr>
              <w:pStyle w:val="22"/>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招标文件澄清发出的形式（如有）</w:t>
            </w:r>
          </w:p>
        </w:tc>
        <w:tc>
          <w:tcPr>
            <w:tcW w:w="6826" w:type="dxa"/>
            <w:tcBorders>
              <w:top w:val="single" w:color="auto" w:sz="8" w:space="0"/>
              <w:left w:val="nil"/>
              <w:bottom w:val="single" w:color="auto" w:sz="8" w:space="0"/>
              <w:right w:val="single" w:color="auto" w:sz="8" w:space="0"/>
            </w:tcBorders>
            <w:noWrap w:val="0"/>
            <w:vAlign w:val="center"/>
          </w:tcPr>
          <w:p>
            <w:pPr>
              <w:pStyle w:val="22"/>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在公告发布媒介上发布澄清公告</w:t>
            </w:r>
          </w:p>
        </w:tc>
      </w:tr>
      <w:tr>
        <w:tblPrEx>
          <w:tblCellMar>
            <w:top w:w="0" w:type="dxa"/>
            <w:left w:w="0" w:type="dxa"/>
            <w:bottom w:w="0" w:type="dxa"/>
            <w:right w:w="0" w:type="dxa"/>
          </w:tblCellMar>
        </w:tblPrEx>
        <w:trPr>
          <w:trHeight w:val="894" w:hRule="atLeast"/>
        </w:trPr>
        <w:tc>
          <w:tcPr>
            <w:tcW w:w="1047" w:type="dxa"/>
            <w:tcBorders>
              <w:top w:val="nil"/>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2.2.3</w:t>
            </w:r>
          </w:p>
        </w:tc>
        <w:tc>
          <w:tcPr>
            <w:tcW w:w="2009" w:type="dxa"/>
            <w:tcBorders>
              <w:top w:val="nil"/>
              <w:left w:val="nil"/>
              <w:bottom w:val="single" w:color="auto" w:sz="8" w:space="0"/>
              <w:right w:val="single" w:color="auto" w:sz="8" w:space="0"/>
            </w:tcBorders>
            <w:noWrap w:val="0"/>
            <w:vAlign w:val="center"/>
          </w:tcPr>
          <w:p>
            <w:pPr>
              <w:pStyle w:val="22"/>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投标人确认收到招标文件澄清（如有）</w:t>
            </w:r>
          </w:p>
        </w:tc>
        <w:tc>
          <w:tcPr>
            <w:tcW w:w="6826" w:type="dxa"/>
            <w:tcBorders>
              <w:top w:val="single" w:color="auto" w:sz="8" w:space="0"/>
              <w:left w:val="nil"/>
              <w:bottom w:val="single" w:color="auto" w:sz="8" w:space="0"/>
              <w:right w:val="single" w:color="auto" w:sz="8" w:space="0"/>
            </w:tcBorders>
            <w:noWrap w:val="0"/>
            <w:vAlign w:val="center"/>
          </w:tcPr>
          <w:p>
            <w:pPr>
              <w:pStyle w:val="22"/>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时间：24小时内</w:t>
            </w:r>
          </w:p>
          <w:p>
            <w:pPr>
              <w:pStyle w:val="22"/>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形式：盖章确认后，以电子邮件形式向采购</w:t>
            </w:r>
            <w:r>
              <w:rPr>
                <w:rFonts w:hint="eastAsia" w:ascii="宋体" w:hAnsi="宋体" w:cs="宋体"/>
                <w:color w:val="000000"/>
                <w:kern w:val="2"/>
                <w:sz w:val="24"/>
                <w:szCs w:val="24"/>
                <w:lang w:eastAsia="zh-CN"/>
              </w:rPr>
              <w:t>单位</w:t>
            </w:r>
            <w:r>
              <w:rPr>
                <w:rFonts w:hint="eastAsia" w:ascii="宋体" w:hAnsi="宋体" w:cs="宋体"/>
                <w:color w:val="000000"/>
                <w:kern w:val="2"/>
                <w:sz w:val="24"/>
                <w:szCs w:val="24"/>
              </w:rPr>
              <w:t>发送扫描件</w:t>
            </w:r>
          </w:p>
          <w:p>
            <w:pPr>
              <w:pStyle w:val="22"/>
              <w:spacing w:line="360" w:lineRule="exact"/>
              <w:rPr>
                <w:rFonts w:hint="eastAsia" w:ascii="宋体" w:hAnsi="宋体" w:eastAsia="宋体" w:cs="宋体"/>
                <w:color w:val="000000"/>
                <w:kern w:val="2"/>
                <w:sz w:val="24"/>
                <w:szCs w:val="24"/>
                <w:u w:val="single"/>
                <w:lang w:eastAsia="zh-CN"/>
              </w:rPr>
            </w:pPr>
            <w:r>
              <w:rPr>
                <w:rFonts w:hint="eastAsia" w:ascii="宋体" w:hAnsi="宋体" w:cs="宋体"/>
                <w:color w:val="000000"/>
                <w:kern w:val="2"/>
                <w:sz w:val="24"/>
                <w:szCs w:val="24"/>
              </w:rPr>
              <w:t>电子邮箱：</w:t>
            </w:r>
            <w:r>
              <w:rPr>
                <w:rFonts w:hint="eastAsia" w:ascii="宋体" w:hAnsi="宋体" w:cs="宋体"/>
                <w:color w:val="000000"/>
                <w:sz w:val="24"/>
                <w:szCs w:val="24"/>
                <w:u w:val="single"/>
                <w:lang w:val="en-US" w:eastAsia="zh-CN"/>
              </w:rPr>
              <w:t>447080979</w:t>
            </w:r>
            <w:r>
              <w:rPr>
                <w:rFonts w:hint="eastAsia" w:ascii="宋体" w:hAnsi="宋体" w:cs="宋体"/>
                <w:color w:val="000000"/>
                <w:sz w:val="24"/>
                <w:szCs w:val="24"/>
                <w:u w:val="single"/>
                <w:lang w:eastAsia="zh-CN"/>
              </w:rPr>
              <w:t>@qq.com</w:t>
            </w:r>
          </w:p>
        </w:tc>
      </w:tr>
      <w:tr>
        <w:tblPrEx>
          <w:tblCellMar>
            <w:top w:w="0" w:type="dxa"/>
            <w:left w:w="0" w:type="dxa"/>
            <w:bottom w:w="0" w:type="dxa"/>
            <w:right w:w="0" w:type="dxa"/>
          </w:tblCellMar>
        </w:tblPrEx>
        <w:trPr>
          <w:trHeight w:val="559"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2.3.1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招标文件修改发出的形式（如有）</w:t>
            </w:r>
          </w:p>
        </w:tc>
        <w:tc>
          <w:tcPr>
            <w:tcW w:w="6826" w:type="dxa"/>
            <w:tcBorders>
              <w:top w:val="single" w:color="auto" w:sz="8" w:space="0"/>
              <w:left w:val="nil"/>
              <w:bottom w:val="single" w:color="auto" w:sz="8" w:space="0"/>
              <w:right w:val="single" w:color="auto" w:sz="8" w:space="0"/>
            </w:tcBorders>
            <w:noWrap w:val="0"/>
            <w:vAlign w:val="center"/>
          </w:tcPr>
          <w:p>
            <w:pPr>
              <w:pStyle w:val="22"/>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在公告发布媒介上发布澄清公告</w:t>
            </w:r>
          </w:p>
        </w:tc>
      </w:tr>
      <w:tr>
        <w:tblPrEx>
          <w:tblCellMar>
            <w:top w:w="0" w:type="dxa"/>
            <w:left w:w="0" w:type="dxa"/>
            <w:bottom w:w="0" w:type="dxa"/>
            <w:right w:w="0" w:type="dxa"/>
          </w:tblCellMar>
        </w:tblPrEx>
        <w:trPr>
          <w:trHeight w:val="910" w:hRule="atLeast"/>
        </w:trPr>
        <w:tc>
          <w:tcPr>
            <w:tcW w:w="1047" w:type="dxa"/>
            <w:tcBorders>
              <w:top w:val="nil"/>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2.3.2</w:t>
            </w:r>
          </w:p>
        </w:tc>
        <w:tc>
          <w:tcPr>
            <w:tcW w:w="2009" w:type="dxa"/>
            <w:tcBorders>
              <w:top w:val="nil"/>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投标人确认收到招标文件修改（如有）</w:t>
            </w:r>
          </w:p>
        </w:tc>
        <w:tc>
          <w:tcPr>
            <w:tcW w:w="6826" w:type="dxa"/>
            <w:tcBorders>
              <w:top w:val="single" w:color="auto" w:sz="8" w:space="0"/>
              <w:left w:val="nil"/>
              <w:bottom w:val="single" w:color="auto" w:sz="8" w:space="0"/>
              <w:right w:val="single" w:color="auto" w:sz="8" w:space="0"/>
            </w:tcBorders>
            <w:noWrap w:val="0"/>
            <w:vAlign w:val="center"/>
          </w:tcPr>
          <w:p>
            <w:pPr>
              <w:pStyle w:val="22"/>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时间：24小时内</w:t>
            </w:r>
          </w:p>
          <w:p>
            <w:pPr>
              <w:pStyle w:val="22"/>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形式：盖章确认后，以电子邮件形式向采购</w:t>
            </w:r>
            <w:r>
              <w:rPr>
                <w:rFonts w:hint="eastAsia" w:ascii="宋体" w:hAnsi="宋体" w:cs="宋体"/>
                <w:color w:val="000000"/>
                <w:kern w:val="2"/>
                <w:sz w:val="24"/>
                <w:szCs w:val="24"/>
                <w:lang w:eastAsia="zh-CN"/>
              </w:rPr>
              <w:t>单位</w:t>
            </w:r>
            <w:r>
              <w:rPr>
                <w:rFonts w:hint="eastAsia" w:ascii="宋体" w:hAnsi="宋体" w:cs="宋体"/>
                <w:color w:val="000000"/>
                <w:kern w:val="2"/>
                <w:sz w:val="24"/>
                <w:szCs w:val="24"/>
              </w:rPr>
              <w:t>发送扫描件</w:t>
            </w:r>
          </w:p>
          <w:p>
            <w:pPr>
              <w:pStyle w:val="22"/>
              <w:spacing w:line="360" w:lineRule="exact"/>
              <w:rPr>
                <w:rFonts w:hint="eastAsia" w:ascii="宋体" w:hAnsi="宋体" w:eastAsia="宋体" w:cs="宋体"/>
                <w:color w:val="000000"/>
                <w:kern w:val="2"/>
                <w:sz w:val="24"/>
                <w:szCs w:val="24"/>
                <w:lang w:eastAsia="zh-CN"/>
              </w:rPr>
            </w:pPr>
            <w:r>
              <w:rPr>
                <w:rFonts w:hint="eastAsia" w:ascii="宋体" w:hAnsi="宋体" w:cs="宋体"/>
                <w:color w:val="000000"/>
                <w:kern w:val="2"/>
                <w:sz w:val="24"/>
                <w:szCs w:val="24"/>
              </w:rPr>
              <w:t>电子邮箱：</w:t>
            </w:r>
            <w:r>
              <w:rPr>
                <w:rFonts w:hint="eastAsia" w:ascii="宋体" w:hAnsi="宋体" w:cs="宋体"/>
                <w:color w:val="000000"/>
                <w:sz w:val="24"/>
                <w:szCs w:val="24"/>
                <w:u w:val="single"/>
                <w:lang w:val="en-US" w:eastAsia="zh-CN"/>
              </w:rPr>
              <w:t>447080979</w:t>
            </w:r>
            <w:r>
              <w:rPr>
                <w:rFonts w:hint="eastAsia" w:ascii="宋体" w:hAnsi="宋体" w:cs="宋体"/>
                <w:color w:val="000000"/>
                <w:sz w:val="24"/>
                <w:szCs w:val="24"/>
                <w:u w:val="single"/>
                <w:lang w:eastAsia="zh-CN"/>
              </w:rPr>
              <w:t>@qq.com</w:t>
            </w:r>
          </w:p>
        </w:tc>
      </w:tr>
      <w:tr>
        <w:tblPrEx>
          <w:tblCellMar>
            <w:top w:w="0" w:type="dxa"/>
            <w:left w:w="0" w:type="dxa"/>
            <w:bottom w:w="0" w:type="dxa"/>
            <w:right w:w="0" w:type="dxa"/>
          </w:tblCellMar>
        </w:tblPrEx>
        <w:trPr>
          <w:trHeight w:val="827"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3.2.3</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最高限价</w:t>
            </w:r>
          </w:p>
        </w:tc>
        <w:tc>
          <w:tcPr>
            <w:tcW w:w="6826" w:type="dxa"/>
            <w:tcBorders>
              <w:top w:val="single" w:color="auto" w:sz="8" w:space="0"/>
              <w:left w:val="nil"/>
              <w:bottom w:val="single" w:color="auto" w:sz="8" w:space="0"/>
              <w:right w:val="single" w:color="auto" w:sz="8" w:space="0"/>
            </w:tcBorders>
            <w:noWrap w:val="0"/>
            <w:vAlign w:val="center"/>
          </w:tcPr>
          <w:p>
            <w:pPr>
              <w:pStyle w:val="22"/>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□无</w:t>
            </w:r>
          </w:p>
          <w:p>
            <w:pPr>
              <w:pStyle w:val="22"/>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☑有，最高投标</w:t>
            </w:r>
            <w:r>
              <w:rPr>
                <w:rFonts w:hint="eastAsia" w:ascii="宋体" w:hAnsi="宋体" w:cs="宋体"/>
                <w:color w:val="000000"/>
                <w:kern w:val="2"/>
                <w:sz w:val="24"/>
                <w:szCs w:val="24"/>
                <w:highlight w:val="none"/>
              </w:rPr>
              <w:t>限价：（1）总价最高限价为</w:t>
            </w:r>
            <w:r>
              <w:rPr>
                <w:rFonts w:hint="eastAsia" w:ascii="宋体" w:hAnsi="宋体" w:cs="宋体"/>
                <w:color w:val="000000"/>
                <w:kern w:val="2"/>
                <w:sz w:val="24"/>
                <w:szCs w:val="24"/>
                <w:highlight w:val="none"/>
                <w:lang w:val="en-US" w:eastAsia="zh-CN"/>
              </w:rPr>
              <w:t>22.47</w:t>
            </w:r>
            <w:r>
              <w:rPr>
                <w:rFonts w:hint="eastAsia" w:ascii="宋体" w:hAnsi="宋体" w:cs="宋体"/>
                <w:color w:val="000000"/>
                <w:kern w:val="2"/>
                <w:sz w:val="24"/>
                <w:szCs w:val="24"/>
                <w:highlight w:val="none"/>
              </w:rPr>
              <w:t>万元；（2）</w:t>
            </w:r>
            <w:r>
              <w:rPr>
                <w:rFonts w:hint="eastAsia" w:ascii="宋体" w:hAnsi="宋体" w:cs="宋体"/>
                <w:color w:val="000000"/>
                <w:kern w:val="2"/>
                <w:sz w:val="24"/>
                <w:szCs w:val="24"/>
                <w:highlight w:val="none"/>
                <w:lang w:val="en-US" w:eastAsia="zh-CN"/>
              </w:rPr>
              <w:t>产品单价</w:t>
            </w:r>
            <w:r>
              <w:rPr>
                <w:rFonts w:hint="eastAsia" w:ascii="宋体" w:hAnsi="宋体" w:cs="宋体"/>
                <w:color w:val="000000"/>
                <w:kern w:val="2"/>
                <w:sz w:val="24"/>
                <w:szCs w:val="24"/>
                <w:highlight w:val="none"/>
              </w:rPr>
              <w:t>不得超过货物需求表中的各项预算单价。</w:t>
            </w:r>
          </w:p>
        </w:tc>
      </w:tr>
      <w:tr>
        <w:tblPrEx>
          <w:tblCellMar>
            <w:top w:w="0" w:type="dxa"/>
            <w:left w:w="0" w:type="dxa"/>
            <w:bottom w:w="0" w:type="dxa"/>
            <w:right w:w="0" w:type="dxa"/>
          </w:tblCellMar>
        </w:tblPrEx>
        <w:trPr>
          <w:trHeight w:val="2222"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3.2.4</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投标报价的其他要求</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sz w:val="24"/>
                <w:szCs w:val="24"/>
                <w:u w:val="single"/>
              </w:rPr>
            </w:pPr>
            <w:r>
              <w:rPr>
                <w:rFonts w:hint="eastAsia" w:ascii="宋体" w:hAnsi="宋体" w:cs="宋体"/>
                <w:color w:val="000000"/>
                <w:sz w:val="24"/>
                <w:szCs w:val="24"/>
              </w:rPr>
              <w:t>(1</w:t>
            </w:r>
            <w:r>
              <w:rPr>
                <w:rFonts w:hint="eastAsia" w:cs="宋体"/>
                <w:color w:val="000000"/>
                <w:sz w:val="24"/>
                <w:szCs w:val="24"/>
                <w:lang w:eastAsia="zh-CN"/>
              </w:rPr>
              <w:t>）</w:t>
            </w:r>
            <w:r>
              <w:rPr>
                <w:rFonts w:hint="eastAsia" w:ascii="宋体" w:hAnsi="宋体" w:cs="宋体"/>
                <w:color w:val="000000"/>
                <w:sz w:val="24"/>
                <w:szCs w:val="24"/>
              </w:rPr>
              <w:t>本次投标报价为</w:t>
            </w:r>
            <w:r>
              <w:rPr>
                <w:rFonts w:hint="eastAsia" w:ascii="宋体" w:hAnsi="宋体" w:cs="宋体"/>
                <w:color w:val="000000"/>
                <w:sz w:val="24"/>
                <w:szCs w:val="24"/>
                <w:lang w:val="en-US" w:eastAsia="zh-CN"/>
              </w:rPr>
              <w:t>单价和总价</w:t>
            </w:r>
            <w:r>
              <w:rPr>
                <w:rFonts w:hint="eastAsia" w:ascii="宋体" w:hAnsi="宋体" w:cs="宋体"/>
                <w:color w:val="000000"/>
                <w:sz w:val="24"/>
                <w:szCs w:val="24"/>
              </w:rPr>
              <w:t>，</w:t>
            </w:r>
            <w:r>
              <w:rPr>
                <w:rFonts w:hint="eastAsia" w:ascii="宋体" w:hAnsi="宋体" w:cs="宋体"/>
                <w:color w:val="000000"/>
                <w:sz w:val="24"/>
                <w:szCs w:val="24"/>
                <w:u w:val="single"/>
              </w:rPr>
              <w:t>报价应为人民币含税价（元），包括货物价格（含利润）、货物运输、装卸、保险、税收、安装、调试、检验、培训、售后服务等完成本项目所需全部费用。</w:t>
            </w:r>
          </w:p>
          <w:p>
            <w:pPr>
              <w:spacing w:line="360" w:lineRule="exact"/>
              <w:rPr>
                <w:rFonts w:hint="eastAsia" w:ascii="宋体" w:hAnsi="宋体" w:cs="宋体"/>
                <w:color w:val="000000"/>
                <w:kern w:val="2"/>
                <w:sz w:val="24"/>
                <w:szCs w:val="24"/>
              </w:rPr>
            </w:pPr>
            <w:r>
              <w:rPr>
                <w:rFonts w:hint="eastAsia" w:ascii="宋体" w:hAnsi="宋体" w:cs="宋体"/>
                <w:color w:val="000000"/>
                <w:sz w:val="24"/>
                <w:szCs w:val="24"/>
              </w:rPr>
              <w:t>(2</w:t>
            </w:r>
            <w:r>
              <w:rPr>
                <w:rFonts w:hint="eastAsia" w:cs="宋体"/>
                <w:color w:val="000000"/>
                <w:sz w:val="24"/>
                <w:szCs w:val="24"/>
                <w:lang w:eastAsia="zh-CN"/>
              </w:rPr>
              <w:t>）</w:t>
            </w:r>
            <w:r>
              <w:rPr>
                <w:rFonts w:hint="eastAsia" w:ascii="宋体" w:hAnsi="宋体" w:cs="宋体"/>
                <w:color w:val="000000"/>
                <w:sz w:val="24"/>
                <w:szCs w:val="24"/>
              </w:rPr>
              <w:t>投标人应承担所有与参加投标有关的自身的所有费用，不论采购的结果如何，采购代理机构和采购人在任何情况下均无义务和责任承担这些费用。</w:t>
            </w:r>
          </w:p>
        </w:tc>
      </w:tr>
      <w:tr>
        <w:tblPrEx>
          <w:tblCellMar>
            <w:top w:w="0" w:type="dxa"/>
            <w:left w:w="0" w:type="dxa"/>
            <w:bottom w:w="0" w:type="dxa"/>
            <w:right w:w="0" w:type="dxa"/>
          </w:tblCellMar>
        </w:tblPrEx>
        <w:trPr>
          <w:trHeight w:val="827"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3.3.1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投标有效期</w:t>
            </w:r>
          </w:p>
        </w:tc>
        <w:tc>
          <w:tcPr>
            <w:tcW w:w="6826" w:type="dxa"/>
            <w:tcBorders>
              <w:top w:val="single" w:color="auto" w:sz="8" w:space="0"/>
              <w:left w:val="nil"/>
              <w:bottom w:val="single" w:color="auto" w:sz="8" w:space="0"/>
              <w:right w:val="single" w:color="auto" w:sz="8" w:space="0"/>
            </w:tcBorders>
            <w:noWrap w:val="0"/>
            <w:vAlign w:val="center"/>
          </w:tcPr>
          <w:p>
            <w:pPr>
              <w:pStyle w:val="22"/>
              <w:spacing w:line="360" w:lineRule="exact"/>
              <w:jc w:val="both"/>
              <w:rPr>
                <w:rFonts w:hint="eastAsia" w:ascii="宋体" w:hAnsi="宋体" w:cs="宋体"/>
                <w:color w:val="000000"/>
                <w:kern w:val="2"/>
                <w:sz w:val="24"/>
                <w:szCs w:val="24"/>
              </w:rPr>
            </w:pPr>
            <w:r>
              <w:rPr>
                <w:rFonts w:hint="eastAsia" w:ascii="宋体" w:hAnsi="宋体" w:cs="宋体"/>
                <w:color w:val="000000"/>
                <w:kern w:val="2"/>
                <w:sz w:val="24"/>
                <w:szCs w:val="24"/>
              </w:rPr>
              <w:t>投标有效期为</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u w:val="single"/>
                <w:lang w:val="en-US" w:eastAsia="zh-CN"/>
              </w:rPr>
              <w:t>3</w:t>
            </w:r>
            <w:r>
              <w:rPr>
                <w:rFonts w:hint="eastAsia" w:ascii="宋体" w:hAnsi="宋体" w:cs="宋体"/>
                <w:color w:val="000000"/>
                <w:kern w:val="2"/>
                <w:sz w:val="24"/>
                <w:szCs w:val="24"/>
                <w:u w:val="single"/>
              </w:rPr>
              <w:t xml:space="preserve">0  </w:t>
            </w:r>
            <w:r>
              <w:rPr>
                <w:rFonts w:hint="eastAsia" w:ascii="宋体" w:hAnsi="宋体" w:cs="宋体"/>
                <w:color w:val="000000"/>
                <w:kern w:val="2"/>
                <w:sz w:val="24"/>
                <w:szCs w:val="24"/>
              </w:rPr>
              <w:t>日历天</w:t>
            </w:r>
            <w:r>
              <w:rPr>
                <w:rFonts w:hint="eastAsia" w:cs="宋体"/>
                <w:color w:val="000000"/>
                <w:kern w:val="2"/>
                <w:sz w:val="24"/>
                <w:szCs w:val="24"/>
                <w:lang w:eastAsia="zh-CN"/>
              </w:rPr>
              <w:t>（</w:t>
            </w:r>
            <w:r>
              <w:rPr>
                <w:rFonts w:hint="eastAsia" w:ascii="宋体" w:hAnsi="宋体" w:cs="宋体"/>
                <w:color w:val="000000"/>
                <w:sz w:val="24"/>
                <w:szCs w:val="24"/>
              </w:rPr>
              <w:t>从投标截止之日算起</w:t>
            </w:r>
            <w:r>
              <w:rPr>
                <w:rFonts w:hint="eastAsia" w:cs="宋体"/>
                <w:color w:val="000000"/>
                <w:sz w:val="24"/>
                <w:szCs w:val="24"/>
                <w:lang w:eastAsia="zh-CN"/>
              </w:rPr>
              <w:t>）</w:t>
            </w:r>
            <w:r>
              <w:rPr>
                <w:rFonts w:hint="eastAsia" w:ascii="宋体" w:hAnsi="宋体" w:cs="宋体"/>
                <w:color w:val="000000"/>
                <w:kern w:val="2"/>
                <w:sz w:val="24"/>
                <w:szCs w:val="24"/>
              </w:rPr>
              <w:t>。</w:t>
            </w:r>
          </w:p>
        </w:tc>
      </w:tr>
      <w:tr>
        <w:tblPrEx>
          <w:tblCellMar>
            <w:top w:w="0" w:type="dxa"/>
            <w:left w:w="0" w:type="dxa"/>
            <w:bottom w:w="0" w:type="dxa"/>
            <w:right w:w="0" w:type="dxa"/>
          </w:tblCellMar>
        </w:tblPrEx>
        <w:trPr>
          <w:trHeight w:val="1312"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3.5.3(2)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投标文件份数及其他要求</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投标文件正本份数：</w:t>
            </w:r>
            <w:r>
              <w:rPr>
                <w:rFonts w:hint="eastAsia" w:ascii="宋体" w:hAnsi="宋体" w:cs="宋体"/>
                <w:color w:val="000000"/>
                <w:kern w:val="2"/>
                <w:sz w:val="24"/>
                <w:szCs w:val="24"/>
                <w:u w:val="single"/>
              </w:rPr>
              <w:t>1份</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投标文件副本份数：</w:t>
            </w:r>
            <w:r>
              <w:rPr>
                <w:rFonts w:hint="eastAsia" w:ascii="宋体" w:hAnsi="宋体" w:cs="宋体"/>
                <w:color w:val="000000"/>
                <w:kern w:val="2"/>
                <w:sz w:val="24"/>
                <w:szCs w:val="24"/>
                <w:u w:val="single"/>
                <w:lang w:val="en-US" w:eastAsia="zh-CN"/>
              </w:rPr>
              <w:t>1</w:t>
            </w:r>
            <w:r>
              <w:rPr>
                <w:rFonts w:hint="eastAsia" w:ascii="宋体" w:hAnsi="宋体" w:cs="宋体"/>
                <w:color w:val="000000"/>
                <w:kern w:val="2"/>
                <w:sz w:val="24"/>
                <w:szCs w:val="24"/>
                <w:u w:val="single"/>
              </w:rPr>
              <w:t>份</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其他要求：</w:t>
            </w:r>
            <w:r>
              <w:rPr>
                <w:rFonts w:hint="eastAsia" w:ascii="宋体" w:hAnsi="宋体" w:cs="宋体"/>
                <w:color w:val="000000"/>
                <w:kern w:val="2"/>
                <w:sz w:val="24"/>
                <w:szCs w:val="24"/>
                <w:u w:val="single"/>
              </w:rPr>
              <w:t>无</w:t>
            </w:r>
          </w:p>
        </w:tc>
      </w:tr>
      <w:tr>
        <w:tblPrEx>
          <w:tblCellMar>
            <w:top w:w="0" w:type="dxa"/>
            <w:left w:w="0" w:type="dxa"/>
            <w:bottom w:w="0" w:type="dxa"/>
            <w:right w:w="0" w:type="dxa"/>
          </w:tblCellMar>
        </w:tblPrEx>
        <w:trPr>
          <w:trHeight w:val="1312"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3.5.3（3）</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投标文件分册装订要求</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是否要求投标文件分册装订：</w:t>
            </w:r>
          </w:p>
          <w:p>
            <w:pPr>
              <w:spacing w:line="360" w:lineRule="exact"/>
              <w:rPr>
                <w:rFonts w:hint="eastAsia" w:ascii="宋体" w:hAnsi="宋体" w:cs="宋体"/>
                <w:color w:val="000000"/>
                <w:kern w:val="2"/>
                <w:sz w:val="24"/>
                <w:szCs w:val="24"/>
              </w:rPr>
            </w:pPr>
            <w:r>
              <w:rPr>
                <w:rFonts w:hint="eastAsia" w:cs="宋体"/>
                <w:color w:val="000000"/>
                <w:kern w:val="2"/>
                <w:sz w:val="24"/>
                <w:szCs w:val="24"/>
                <w:lang w:eastAsia="zh-CN"/>
              </w:rPr>
              <w:t>☑</w:t>
            </w:r>
            <w:r>
              <w:rPr>
                <w:rFonts w:hint="eastAsia" w:ascii="宋体" w:hAnsi="宋体" w:cs="宋体"/>
                <w:color w:val="000000"/>
                <w:kern w:val="2"/>
                <w:sz w:val="24"/>
                <w:szCs w:val="24"/>
              </w:rPr>
              <w:t>否</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lang w:eastAsia="zh-CN"/>
              </w:rPr>
              <w:t>□</w:t>
            </w:r>
            <w:r>
              <w:rPr>
                <w:rFonts w:hint="eastAsia" w:ascii="宋体" w:hAnsi="宋体" w:cs="宋体"/>
                <w:color w:val="000000"/>
                <w:kern w:val="2"/>
                <w:sz w:val="24"/>
                <w:szCs w:val="24"/>
              </w:rPr>
              <w:t>是，分册装订要求：资格审查部分须单独装订成册、商务技术部分须单独装订成册</w:t>
            </w:r>
          </w:p>
        </w:tc>
      </w:tr>
      <w:tr>
        <w:tblPrEx>
          <w:tblCellMar>
            <w:top w:w="0" w:type="dxa"/>
            <w:left w:w="0" w:type="dxa"/>
            <w:bottom w:w="0" w:type="dxa"/>
            <w:right w:w="0" w:type="dxa"/>
          </w:tblCellMar>
        </w:tblPrEx>
        <w:trPr>
          <w:trHeight w:val="1993"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4.1.1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sz w:val="24"/>
                <w:szCs w:val="24"/>
              </w:rPr>
              <w:t>投标文件</w:t>
            </w:r>
            <w:r>
              <w:rPr>
                <w:rFonts w:hint="eastAsia" w:ascii="宋体" w:hAnsi="宋体" w:cs="宋体"/>
                <w:color w:val="000000"/>
                <w:sz w:val="24"/>
              </w:rPr>
              <w:t>密封要求</w:t>
            </w:r>
            <w:r>
              <w:rPr>
                <w:rFonts w:hint="eastAsia" w:ascii="宋体" w:hAnsi="宋体" w:cs="宋体"/>
                <w:color w:val="000000"/>
                <w:sz w:val="24"/>
                <w:szCs w:val="24"/>
              </w:rPr>
              <w:t>和封套上应载明的信息</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sz w:val="24"/>
                <w:u w:val="single"/>
              </w:rPr>
            </w:pPr>
            <w:r>
              <w:rPr>
                <w:rFonts w:hint="eastAsia" w:ascii="宋体" w:hAnsi="宋体" w:cs="宋体"/>
                <w:color w:val="000000"/>
                <w:sz w:val="24"/>
                <w:szCs w:val="24"/>
              </w:rPr>
              <w:t>投标文件</w:t>
            </w:r>
            <w:r>
              <w:rPr>
                <w:rFonts w:hint="eastAsia" w:ascii="宋体" w:hAnsi="宋体" w:cs="宋体"/>
                <w:color w:val="000000"/>
                <w:sz w:val="24"/>
              </w:rPr>
              <w:t>密封要求：</w:t>
            </w:r>
            <w:r>
              <w:rPr>
                <w:rFonts w:hint="eastAsia" w:ascii="宋体" w:hAnsi="宋体" w:cs="宋体"/>
                <w:color w:val="000000"/>
                <w:sz w:val="24"/>
                <w:u w:val="single"/>
              </w:rPr>
              <w:t>投标文件密封处应加盖密封章或公司公章</w:t>
            </w:r>
          </w:p>
          <w:p>
            <w:pPr>
              <w:pStyle w:val="9"/>
              <w:spacing w:line="360" w:lineRule="exact"/>
              <w:rPr>
                <w:rFonts w:hint="eastAsia" w:ascii="宋体" w:hAnsi="宋体" w:cs="宋体"/>
                <w:color w:val="000000"/>
              </w:rPr>
            </w:pPr>
            <w:r>
              <w:rPr>
                <w:rFonts w:hint="eastAsia" w:ascii="宋体" w:hAnsi="宋体" w:cs="宋体"/>
                <w:color w:val="000000"/>
                <w:sz w:val="24"/>
              </w:rPr>
              <w:t>封套上应载明的信息：</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采购人名称：</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 xml:space="preserve">    </w:t>
            </w:r>
          </w:p>
          <w:p>
            <w:pPr>
              <w:spacing w:line="360" w:lineRule="exact"/>
              <w:rPr>
                <w:rFonts w:hint="eastAsia" w:ascii="宋体" w:hAnsi="宋体" w:cs="宋体"/>
                <w:color w:val="000000"/>
                <w:kern w:val="2"/>
                <w:sz w:val="24"/>
                <w:szCs w:val="24"/>
                <w:u w:val="single"/>
              </w:rPr>
            </w:pPr>
            <w:r>
              <w:rPr>
                <w:rFonts w:hint="eastAsia" w:ascii="宋体" w:hAnsi="宋体" w:cs="宋体"/>
                <w:color w:val="000000"/>
                <w:kern w:val="2"/>
                <w:sz w:val="24"/>
                <w:szCs w:val="24"/>
              </w:rPr>
              <w:t>投标人名称：</w:t>
            </w:r>
            <w:r>
              <w:rPr>
                <w:rFonts w:hint="eastAsia" w:ascii="宋体" w:hAnsi="宋体" w:cs="宋体"/>
                <w:color w:val="000000"/>
                <w:kern w:val="2"/>
                <w:sz w:val="24"/>
                <w:szCs w:val="24"/>
                <w:u w:val="single"/>
              </w:rPr>
              <w:t xml:space="preserve">          </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u w:val="single"/>
              </w:rPr>
              <w:t xml:space="preserve">           </w:t>
            </w:r>
            <w:r>
              <w:rPr>
                <w:rFonts w:hint="eastAsia" w:cs="宋体"/>
                <w:color w:val="000000"/>
                <w:kern w:val="2"/>
                <w:sz w:val="24"/>
                <w:szCs w:val="24"/>
                <w:u w:val="single"/>
                <w:lang w:eastAsia="zh-CN"/>
              </w:rPr>
              <w:t>（</w:t>
            </w:r>
            <w:r>
              <w:rPr>
                <w:rFonts w:hint="eastAsia" w:ascii="宋体" w:hAnsi="宋体" w:cs="宋体"/>
                <w:color w:val="000000"/>
                <w:kern w:val="2"/>
                <w:sz w:val="24"/>
                <w:szCs w:val="24"/>
              </w:rPr>
              <w:t>招标项目名称</w:t>
            </w:r>
            <w:r>
              <w:rPr>
                <w:rFonts w:hint="eastAsia" w:cs="宋体"/>
                <w:color w:val="000000"/>
                <w:kern w:val="2"/>
                <w:sz w:val="24"/>
                <w:szCs w:val="24"/>
                <w:lang w:eastAsia="zh-CN"/>
              </w:rPr>
              <w:t>）</w:t>
            </w:r>
            <w:r>
              <w:rPr>
                <w:rFonts w:hint="eastAsia" w:ascii="宋体" w:hAnsi="宋体" w:cs="宋体"/>
                <w:color w:val="000000"/>
                <w:kern w:val="2"/>
                <w:sz w:val="24"/>
                <w:szCs w:val="24"/>
              </w:rPr>
              <w:t>投标文件</w:t>
            </w:r>
          </w:p>
          <w:p>
            <w:pPr>
              <w:spacing w:line="360" w:lineRule="exact"/>
              <w:rPr>
                <w:rFonts w:hint="eastAsia" w:ascii="宋体" w:hAnsi="宋体" w:cs="宋体"/>
                <w:color w:val="000000"/>
                <w:kern w:val="2"/>
                <w:sz w:val="24"/>
                <w:szCs w:val="24"/>
                <w:u w:val="single"/>
              </w:rPr>
            </w:pPr>
            <w:r>
              <w:rPr>
                <w:rFonts w:hint="eastAsia" w:ascii="宋体" w:hAnsi="宋体" w:cs="宋体"/>
                <w:color w:val="000000"/>
                <w:kern w:val="2"/>
                <w:sz w:val="24"/>
                <w:szCs w:val="24"/>
              </w:rPr>
              <w:t>招标编号：</w:t>
            </w:r>
            <w:r>
              <w:rPr>
                <w:rFonts w:hint="eastAsia" w:ascii="宋体" w:hAnsi="宋体" w:cs="宋体"/>
                <w:color w:val="000000"/>
                <w:kern w:val="2"/>
                <w:sz w:val="24"/>
                <w:szCs w:val="24"/>
                <w:u w:val="single"/>
              </w:rPr>
              <w:t xml:space="preserve">          </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标包：</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（如有）</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在</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r>
              <w:rPr>
                <w:rFonts w:hint="eastAsia" w:ascii="宋体" w:hAnsi="宋体" w:cs="宋体"/>
                <w:color w:val="000000"/>
                <w:sz w:val="24"/>
                <w:szCs w:val="24"/>
                <w:u w:val="single"/>
              </w:rPr>
              <w:t xml:space="preserve">   </w:t>
            </w:r>
            <w:r>
              <w:rPr>
                <w:rFonts w:hint="eastAsia" w:ascii="宋体" w:hAnsi="宋体" w:cs="宋体"/>
                <w:color w:val="000000"/>
                <w:sz w:val="24"/>
                <w:szCs w:val="24"/>
              </w:rPr>
              <w:t>时</w:t>
            </w:r>
            <w:r>
              <w:rPr>
                <w:rFonts w:hint="eastAsia" w:ascii="宋体" w:hAnsi="宋体" w:cs="宋体"/>
                <w:color w:val="000000"/>
                <w:sz w:val="24"/>
                <w:szCs w:val="24"/>
                <w:u w:val="single"/>
              </w:rPr>
              <w:t xml:space="preserve">   </w:t>
            </w:r>
            <w:r>
              <w:rPr>
                <w:rFonts w:hint="eastAsia" w:ascii="宋体" w:hAnsi="宋体" w:cs="宋体"/>
                <w:color w:val="000000"/>
                <w:kern w:val="2"/>
                <w:sz w:val="24"/>
                <w:szCs w:val="24"/>
              </w:rPr>
              <w:t>分前不得开启</w:t>
            </w:r>
          </w:p>
        </w:tc>
      </w:tr>
      <w:tr>
        <w:tblPrEx>
          <w:tblCellMar>
            <w:top w:w="0" w:type="dxa"/>
            <w:left w:w="0" w:type="dxa"/>
            <w:bottom w:w="0" w:type="dxa"/>
            <w:right w:w="0" w:type="dxa"/>
          </w:tblCellMar>
        </w:tblPrEx>
        <w:trPr>
          <w:trHeight w:val="542"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rPr>
            </w:pPr>
            <w:r>
              <w:rPr>
                <w:rFonts w:hint="eastAsia" w:ascii="宋体" w:hAnsi="宋体" w:cs="宋体"/>
                <w:color w:val="000000"/>
                <w:sz w:val="24"/>
                <w:szCs w:val="24"/>
              </w:rPr>
              <w:t>4.2.1.1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投标截止时间</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jc w:val="both"/>
              <w:rPr>
                <w:rFonts w:hint="eastAsia" w:ascii="宋体" w:hAnsi="宋体" w:cs="宋体"/>
                <w:color w:val="000000"/>
                <w:kern w:val="2"/>
                <w:sz w:val="24"/>
                <w:szCs w:val="24"/>
              </w:rPr>
            </w:pPr>
            <w:r>
              <w:rPr>
                <w:rFonts w:hint="eastAsia" w:ascii="宋体" w:hAnsi="宋体" w:cs="宋体"/>
                <w:color w:val="000000"/>
                <w:kern w:val="2"/>
                <w:sz w:val="24"/>
                <w:szCs w:val="24"/>
              </w:rPr>
              <w:t>投标截止时间：</w:t>
            </w:r>
            <w:r>
              <w:rPr>
                <w:u w:val="single"/>
              </w:rPr>
              <w:t>202</w:t>
            </w:r>
            <w:r>
              <w:rPr>
                <w:rFonts w:hint="eastAsia"/>
                <w:u w:val="single"/>
                <w:lang w:val="en-US" w:eastAsia="zh-CN"/>
              </w:rPr>
              <w:t>2</w:t>
            </w:r>
            <w:r>
              <w:rPr>
                <w:spacing w:val="-40"/>
                <w:u w:val="single"/>
              </w:rPr>
              <w:t xml:space="preserve"> 年 </w:t>
            </w:r>
            <w:r>
              <w:rPr>
                <w:u w:val="single"/>
              </w:rPr>
              <w:t>1</w:t>
            </w:r>
            <w:r>
              <w:rPr>
                <w:spacing w:val="-40"/>
                <w:u w:val="single"/>
              </w:rPr>
              <w:t xml:space="preserve"> 月 </w:t>
            </w:r>
            <w:r>
              <w:rPr>
                <w:rFonts w:hint="eastAsia"/>
                <w:u w:val="single"/>
                <w:lang w:val="en-US" w:eastAsia="zh-CN"/>
              </w:rPr>
              <w:t>6</w:t>
            </w:r>
            <w:r>
              <w:rPr>
                <w:spacing w:val="-40"/>
                <w:u w:val="single"/>
              </w:rPr>
              <w:t xml:space="preserve"> 日 </w:t>
            </w:r>
            <w:r>
              <w:rPr>
                <w:rFonts w:hint="eastAsia"/>
                <w:u w:val="single"/>
                <w:lang w:val="en-US" w:eastAsia="zh-CN"/>
              </w:rPr>
              <w:t>17</w:t>
            </w:r>
            <w:r>
              <w:rPr>
                <w:spacing w:val="-30"/>
                <w:u w:val="single"/>
              </w:rPr>
              <w:t xml:space="preserve"> 时</w:t>
            </w:r>
            <w:r>
              <w:rPr>
                <w:rFonts w:hint="eastAsia"/>
                <w:spacing w:val="-30"/>
                <w:u w:val="single"/>
                <w:lang w:val="en-US" w:eastAsia="zh-CN"/>
              </w:rPr>
              <w:t>00分</w:t>
            </w:r>
          </w:p>
        </w:tc>
      </w:tr>
      <w:tr>
        <w:tblPrEx>
          <w:tblCellMar>
            <w:top w:w="0" w:type="dxa"/>
            <w:left w:w="0" w:type="dxa"/>
            <w:bottom w:w="0" w:type="dxa"/>
            <w:right w:w="0" w:type="dxa"/>
          </w:tblCellMar>
        </w:tblPrEx>
        <w:trPr>
          <w:trHeight w:val="943"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4.2.1.2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投标文件递交时间和地点</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sz w:val="24"/>
                <w:szCs w:val="24"/>
              </w:rPr>
            </w:pPr>
            <w:r>
              <w:rPr>
                <w:rFonts w:hint="eastAsia" w:ascii="宋体" w:hAnsi="宋体" w:cs="宋体"/>
                <w:color w:val="000000"/>
                <w:kern w:val="2"/>
                <w:sz w:val="24"/>
                <w:szCs w:val="24"/>
              </w:rPr>
              <w:t>（1）投标文件递交时间：</w:t>
            </w:r>
            <w:r>
              <w:rPr>
                <w:u w:val="single"/>
              </w:rPr>
              <w:t>202</w:t>
            </w:r>
            <w:r>
              <w:rPr>
                <w:rFonts w:hint="eastAsia"/>
                <w:u w:val="single"/>
                <w:lang w:val="en-US" w:eastAsia="zh-CN"/>
              </w:rPr>
              <w:t>2</w:t>
            </w:r>
            <w:r>
              <w:rPr>
                <w:spacing w:val="-40"/>
                <w:u w:val="single"/>
              </w:rPr>
              <w:t xml:space="preserve"> 年 </w:t>
            </w:r>
            <w:r>
              <w:rPr>
                <w:u w:val="single"/>
              </w:rPr>
              <w:t>1</w:t>
            </w:r>
            <w:r>
              <w:rPr>
                <w:spacing w:val="-40"/>
                <w:u w:val="single"/>
              </w:rPr>
              <w:t xml:space="preserve"> 月 </w:t>
            </w:r>
            <w:r>
              <w:rPr>
                <w:rFonts w:hint="eastAsia"/>
                <w:u w:val="single"/>
                <w:lang w:val="en-US" w:eastAsia="zh-CN"/>
              </w:rPr>
              <w:t>6</w:t>
            </w:r>
            <w:r>
              <w:rPr>
                <w:spacing w:val="-40"/>
                <w:u w:val="single"/>
              </w:rPr>
              <w:t xml:space="preserve"> 日 </w:t>
            </w:r>
            <w:r>
              <w:rPr>
                <w:rFonts w:hint="eastAsia"/>
                <w:u w:val="single"/>
                <w:lang w:val="en-US" w:eastAsia="zh-CN"/>
              </w:rPr>
              <w:t>17</w:t>
            </w:r>
            <w:r>
              <w:rPr>
                <w:spacing w:val="-30"/>
                <w:u w:val="single"/>
              </w:rPr>
              <w:t xml:space="preserve"> 时</w:t>
            </w:r>
            <w:r>
              <w:rPr>
                <w:rFonts w:hint="eastAsia"/>
                <w:spacing w:val="-30"/>
                <w:u w:val="single"/>
                <w:lang w:val="en-US" w:eastAsia="zh-CN"/>
              </w:rPr>
              <w:t>00分前</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（2）投标文件递交地点：</w:t>
            </w:r>
            <w:r>
              <w:rPr>
                <w:spacing w:val="-3"/>
              </w:rPr>
              <w:t xml:space="preserve">昆明市寻甸回族彝族自治县仁德街道文苑路 </w:t>
            </w:r>
            <w:r>
              <w:t>35</w:t>
            </w:r>
            <w:r>
              <w:rPr>
                <w:spacing w:val="-39"/>
              </w:rPr>
              <w:t xml:space="preserve"> 号</w:t>
            </w:r>
            <w:r>
              <w:rPr>
                <w:rFonts w:hint="eastAsia"/>
                <w:lang w:eastAsia="zh-CN"/>
              </w:rPr>
              <w:t>民政局办公室</w:t>
            </w:r>
          </w:p>
        </w:tc>
      </w:tr>
      <w:tr>
        <w:tblPrEx>
          <w:tblCellMar>
            <w:top w:w="0" w:type="dxa"/>
            <w:left w:w="0" w:type="dxa"/>
            <w:bottom w:w="0" w:type="dxa"/>
            <w:right w:w="0" w:type="dxa"/>
          </w:tblCellMar>
        </w:tblPrEx>
        <w:trPr>
          <w:trHeight w:val="943"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4.2.1.3</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投标文件是否退还</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投标文件退还：☑否</w:t>
            </w:r>
          </w:p>
          <w:p>
            <w:pPr>
              <w:spacing w:line="360" w:lineRule="exact"/>
              <w:ind w:firstLine="1680"/>
              <w:rPr>
                <w:rFonts w:hint="eastAsia" w:ascii="宋体" w:hAnsi="宋体" w:cs="宋体"/>
                <w:color w:val="000000"/>
                <w:kern w:val="2"/>
                <w:sz w:val="24"/>
                <w:szCs w:val="24"/>
              </w:rPr>
            </w:pPr>
            <w:r>
              <w:rPr>
                <w:rFonts w:hint="eastAsia" w:ascii="宋体" w:hAnsi="宋体" w:cs="宋体"/>
                <w:color w:val="000000"/>
                <w:kern w:val="2"/>
                <w:sz w:val="24"/>
                <w:szCs w:val="24"/>
              </w:rPr>
              <w:t>□是，退还时间：</w:t>
            </w:r>
            <w:r>
              <w:rPr>
                <w:rFonts w:hint="eastAsia" w:ascii="宋体" w:hAnsi="宋体" w:cs="宋体"/>
                <w:color w:val="000000"/>
                <w:kern w:val="2"/>
                <w:sz w:val="24"/>
                <w:szCs w:val="24"/>
                <w:u w:val="single"/>
              </w:rPr>
              <w:t xml:space="preserve">          </w:t>
            </w:r>
          </w:p>
        </w:tc>
      </w:tr>
      <w:tr>
        <w:tblPrEx>
          <w:tblCellMar>
            <w:top w:w="0" w:type="dxa"/>
            <w:left w:w="0" w:type="dxa"/>
            <w:bottom w:w="0" w:type="dxa"/>
            <w:right w:w="0" w:type="dxa"/>
          </w:tblCellMar>
        </w:tblPrEx>
        <w:trPr>
          <w:trHeight w:val="902"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5.1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开标时间和地点</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sz w:val="24"/>
                <w:szCs w:val="24"/>
              </w:rPr>
            </w:pPr>
            <w:r>
              <w:rPr>
                <w:rFonts w:hint="eastAsia" w:ascii="宋体" w:hAnsi="宋体" w:cs="宋体"/>
                <w:color w:val="000000"/>
                <w:kern w:val="2"/>
                <w:sz w:val="24"/>
                <w:szCs w:val="24"/>
              </w:rPr>
              <w:t>开标时间：</w:t>
            </w:r>
            <w:r>
              <w:rPr>
                <w:u w:val="single"/>
              </w:rPr>
              <w:t>202</w:t>
            </w:r>
            <w:r>
              <w:rPr>
                <w:rFonts w:hint="eastAsia"/>
                <w:u w:val="single"/>
                <w:lang w:val="en-US" w:eastAsia="zh-CN"/>
              </w:rPr>
              <w:t>2</w:t>
            </w:r>
            <w:r>
              <w:rPr>
                <w:spacing w:val="-40"/>
                <w:u w:val="single"/>
              </w:rPr>
              <w:t xml:space="preserve"> 年 </w:t>
            </w:r>
            <w:r>
              <w:rPr>
                <w:u w:val="single"/>
              </w:rPr>
              <w:t>1</w:t>
            </w:r>
            <w:r>
              <w:rPr>
                <w:spacing w:val="-40"/>
                <w:u w:val="single"/>
              </w:rPr>
              <w:t xml:space="preserve"> 月 </w:t>
            </w:r>
            <w:r>
              <w:rPr>
                <w:rFonts w:hint="eastAsia"/>
                <w:u w:val="single"/>
                <w:lang w:val="en-US" w:eastAsia="zh-CN"/>
              </w:rPr>
              <w:t>7</w:t>
            </w:r>
            <w:r>
              <w:rPr>
                <w:spacing w:val="-40"/>
                <w:u w:val="single"/>
              </w:rPr>
              <w:t xml:space="preserve"> 日 </w:t>
            </w:r>
            <w:r>
              <w:rPr>
                <w:rFonts w:hint="eastAsia"/>
                <w:u w:val="single"/>
                <w:lang w:val="en-US" w:eastAsia="zh-CN"/>
              </w:rPr>
              <w:t>14</w:t>
            </w:r>
            <w:r>
              <w:rPr>
                <w:spacing w:val="-30"/>
                <w:u w:val="single"/>
              </w:rPr>
              <w:t>时</w:t>
            </w:r>
            <w:r>
              <w:rPr>
                <w:rFonts w:hint="eastAsia"/>
                <w:spacing w:val="-30"/>
                <w:u w:val="single"/>
                <w:lang w:val="en-US" w:eastAsia="zh-CN"/>
              </w:rPr>
              <w:t>30分</w:t>
            </w:r>
          </w:p>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开标地点：</w:t>
            </w:r>
            <w:r>
              <w:rPr>
                <w:spacing w:val="-3"/>
              </w:rPr>
              <w:t xml:space="preserve">昆明市寻甸回族彝族自治县仁德街道文苑路 </w:t>
            </w:r>
            <w:r>
              <w:t>35</w:t>
            </w:r>
            <w:r>
              <w:rPr>
                <w:spacing w:val="-39"/>
              </w:rPr>
              <w:t xml:space="preserve"> 号</w:t>
            </w:r>
            <w:r>
              <w:rPr>
                <w:rFonts w:hint="eastAsia"/>
                <w:lang w:eastAsia="zh-CN"/>
              </w:rPr>
              <w:t>民政局</w:t>
            </w:r>
          </w:p>
        </w:tc>
      </w:tr>
      <w:tr>
        <w:tblPrEx>
          <w:tblCellMar>
            <w:top w:w="0" w:type="dxa"/>
            <w:left w:w="0" w:type="dxa"/>
            <w:bottom w:w="0" w:type="dxa"/>
            <w:right w:w="0" w:type="dxa"/>
          </w:tblCellMar>
        </w:tblPrEx>
        <w:trPr>
          <w:trHeight w:val="1264"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5.2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开标程序</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jc w:val="both"/>
              <w:rPr>
                <w:rFonts w:hint="eastAsia" w:ascii="宋体" w:hAnsi="宋体" w:cs="宋体"/>
                <w:color w:val="000000"/>
                <w:kern w:val="2"/>
                <w:sz w:val="24"/>
                <w:szCs w:val="24"/>
              </w:rPr>
            </w:pPr>
            <w:r>
              <w:rPr>
                <w:rFonts w:hint="eastAsia" w:ascii="宋体" w:hAnsi="宋体" w:cs="宋体"/>
                <w:color w:val="000000"/>
                <w:kern w:val="2"/>
                <w:sz w:val="24"/>
                <w:szCs w:val="24"/>
              </w:rPr>
              <w:t>开标顺序：☑随机开启</w:t>
            </w:r>
          </w:p>
          <w:p>
            <w:pPr>
              <w:spacing w:line="360" w:lineRule="exact"/>
              <w:ind w:firstLine="1200" w:firstLineChars="500"/>
              <w:rPr>
                <w:rFonts w:hint="eastAsia" w:ascii="宋体" w:hAnsi="宋体" w:cs="宋体"/>
                <w:color w:val="000000"/>
                <w:kern w:val="2"/>
                <w:sz w:val="24"/>
                <w:szCs w:val="24"/>
              </w:rPr>
            </w:pPr>
            <w:r>
              <w:rPr>
                <w:rFonts w:hint="eastAsia" w:ascii="宋体" w:hAnsi="宋体" w:cs="宋体"/>
                <w:color w:val="000000"/>
                <w:kern w:val="2"/>
                <w:sz w:val="24"/>
                <w:szCs w:val="24"/>
              </w:rPr>
              <w:t>□按递交先后顺序开启</w:t>
            </w:r>
          </w:p>
          <w:p>
            <w:pPr>
              <w:spacing w:line="360" w:lineRule="exact"/>
              <w:ind w:firstLine="1200" w:firstLineChars="500"/>
              <w:rPr>
                <w:rFonts w:hint="eastAsia" w:ascii="宋体" w:hAnsi="宋体" w:cs="宋体"/>
                <w:color w:val="000000"/>
                <w:kern w:val="2"/>
                <w:sz w:val="24"/>
                <w:szCs w:val="24"/>
              </w:rPr>
            </w:pPr>
            <w:r>
              <w:rPr>
                <w:rFonts w:hint="eastAsia" w:ascii="宋体" w:hAnsi="宋体" w:cs="宋体"/>
                <w:color w:val="000000"/>
                <w:kern w:val="2"/>
                <w:sz w:val="24"/>
                <w:szCs w:val="24"/>
              </w:rPr>
              <w:t>□其他开启方式：</w:t>
            </w:r>
            <w:r>
              <w:rPr>
                <w:rFonts w:hint="eastAsia" w:ascii="宋体" w:hAnsi="宋体" w:cs="宋体"/>
                <w:color w:val="000000"/>
                <w:kern w:val="2"/>
                <w:sz w:val="24"/>
                <w:szCs w:val="24"/>
                <w:u w:val="single"/>
              </w:rPr>
              <w:t xml:space="preserve">          </w:t>
            </w:r>
          </w:p>
        </w:tc>
      </w:tr>
      <w:tr>
        <w:tblPrEx>
          <w:tblCellMar>
            <w:top w:w="0" w:type="dxa"/>
            <w:left w:w="0" w:type="dxa"/>
            <w:bottom w:w="0" w:type="dxa"/>
            <w:right w:w="0" w:type="dxa"/>
          </w:tblCellMar>
        </w:tblPrEx>
        <w:trPr>
          <w:trHeight w:val="1297"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7.1.1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评标委员会的组成</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eastAsia="宋体" w:cs="宋体"/>
                <w:color w:val="000000"/>
                <w:kern w:val="2"/>
                <w:sz w:val="24"/>
                <w:szCs w:val="24"/>
                <w:lang w:eastAsia="zh-CN"/>
              </w:rPr>
            </w:pPr>
            <w:r>
              <w:rPr>
                <w:rFonts w:hint="eastAsia" w:ascii="宋体" w:hAnsi="宋体" w:cs="宋体"/>
                <w:color w:val="000000"/>
                <w:sz w:val="24"/>
                <w:szCs w:val="24"/>
                <w:lang w:eastAsia="zh-CN"/>
              </w:rPr>
              <w:t>寻甸县民政局县级失能照护机构改造项目领导小组</w:t>
            </w:r>
          </w:p>
        </w:tc>
      </w:tr>
      <w:tr>
        <w:tblPrEx>
          <w:tblCellMar>
            <w:top w:w="0" w:type="dxa"/>
            <w:left w:w="0" w:type="dxa"/>
            <w:bottom w:w="0" w:type="dxa"/>
            <w:right w:w="0" w:type="dxa"/>
          </w:tblCellMar>
        </w:tblPrEx>
        <w:trPr>
          <w:trHeight w:val="865"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7.3.2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评标委员会推荐中标候选人的人数</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sz w:val="24"/>
                <w:szCs w:val="24"/>
                <w:u w:val="single"/>
                <w:lang w:val="en-US" w:eastAsia="zh-CN"/>
              </w:rPr>
              <w:t>2</w:t>
            </w:r>
            <w:r>
              <w:rPr>
                <w:rFonts w:hint="eastAsia" w:ascii="宋体" w:hAnsi="宋体" w:cs="宋体"/>
                <w:color w:val="000000"/>
                <w:sz w:val="24"/>
                <w:szCs w:val="24"/>
                <w:u w:val="single"/>
              </w:rPr>
              <w:t>人</w:t>
            </w:r>
          </w:p>
        </w:tc>
      </w:tr>
      <w:tr>
        <w:tblPrEx>
          <w:tblCellMar>
            <w:top w:w="0" w:type="dxa"/>
            <w:left w:w="0" w:type="dxa"/>
            <w:bottom w:w="0" w:type="dxa"/>
            <w:right w:w="0" w:type="dxa"/>
          </w:tblCellMar>
        </w:tblPrEx>
        <w:trPr>
          <w:trHeight w:val="827"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8.1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是否授权评标委员会确定中标人</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jc w:val="both"/>
              <w:rPr>
                <w:rFonts w:hint="eastAsia" w:ascii="宋体" w:hAnsi="宋体" w:cs="宋体"/>
                <w:color w:val="000000"/>
                <w:kern w:val="2"/>
                <w:sz w:val="24"/>
                <w:szCs w:val="24"/>
              </w:rPr>
            </w:pPr>
            <w:r>
              <w:rPr>
                <w:rFonts w:hint="eastAsia" w:cs="宋体"/>
                <w:color w:val="000000"/>
                <w:kern w:val="2"/>
                <w:sz w:val="24"/>
                <w:szCs w:val="24"/>
                <w:lang w:eastAsia="zh-CN"/>
              </w:rPr>
              <w:t>☑</w:t>
            </w:r>
            <w:r>
              <w:rPr>
                <w:rFonts w:hint="eastAsia" w:ascii="宋体" w:hAnsi="宋体" w:cs="宋体"/>
                <w:color w:val="000000"/>
                <w:kern w:val="2"/>
                <w:sz w:val="24"/>
                <w:szCs w:val="24"/>
              </w:rPr>
              <w:t>是</w:t>
            </w:r>
          </w:p>
          <w:p>
            <w:pPr>
              <w:spacing w:line="360" w:lineRule="exact"/>
              <w:jc w:val="both"/>
              <w:rPr>
                <w:rFonts w:hint="eastAsia" w:ascii="宋体" w:hAnsi="宋体" w:cs="宋体"/>
                <w:color w:val="000000"/>
                <w:kern w:val="2"/>
                <w:sz w:val="24"/>
                <w:szCs w:val="24"/>
              </w:rPr>
            </w:pPr>
            <w:r>
              <w:rPr>
                <w:rFonts w:hint="eastAsia" w:cs="宋体"/>
                <w:color w:val="000000"/>
                <w:kern w:val="2"/>
                <w:sz w:val="24"/>
                <w:szCs w:val="24"/>
                <w:lang w:eastAsia="zh-CN"/>
              </w:rPr>
              <w:t>□</w:t>
            </w:r>
            <w:r>
              <w:rPr>
                <w:rFonts w:hint="eastAsia" w:ascii="宋体" w:hAnsi="宋体" w:cs="宋体"/>
                <w:color w:val="000000"/>
                <w:kern w:val="2"/>
                <w:sz w:val="24"/>
                <w:szCs w:val="24"/>
              </w:rPr>
              <w:t>否</w:t>
            </w:r>
          </w:p>
        </w:tc>
      </w:tr>
      <w:tr>
        <w:tblPrEx>
          <w:tblCellMar>
            <w:top w:w="0" w:type="dxa"/>
            <w:left w:w="0" w:type="dxa"/>
            <w:bottom w:w="0" w:type="dxa"/>
            <w:right w:w="0" w:type="dxa"/>
          </w:tblCellMar>
        </w:tblPrEx>
        <w:trPr>
          <w:trHeight w:val="846"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8.2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中标公告媒介及期限</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公告媒介：同发布招标公告的媒介</w:t>
            </w:r>
          </w:p>
          <w:p>
            <w:pPr>
              <w:spacing w:line="360" w:lineRule="exact"/>
              <w:rPr>
                <w:rFonts w:hint="eastAsia" w:ascii="宋体" w:hAnsi="宋体" w:cs="宋体"/>
                <w:color w:val="000000"/>
                <w:kern w:val="2"/>
                <w:sz w:val="24"/>
                <w:szCs w:val="24"/>
                <w:u w:val="single"/>
              </w:rPr>
            </w:pPr>
            <w:r>
              <w:rPr>
                <w:rFonts w:hint="eastAsia" w:ascii="宋体" w:hAnsi="宋体" w:cs="宋体"/>
                <w:color w:val="000000"/>
                <w:kern w:val="2"/>
                <w:sz w:val="24"/>
                <w:szCs w:val="24"/>
              </w:rPr>
              <w:t>公告期限：1个工作日</w:t>
            </w:r>
          </w:p>
        </w:tc>
      </w:tr>
      <w:tr>
        <w:tblPrEx>
          <w:tblCellMar>
            <w:top w:w="0" w:type="dxa"/>
            <w:left w:w="0" w:type="dxa"/>
            <w:bottom w:w="0" w:type="dxa"/>
            <w:right w:w="0" w:type="dxa"/>
          </w:tblCellMar>
        </w:tblPrEx>
        <w:trPr>
          <w:trHeight w:val="1110"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8.4.1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highlight w:val="none"/>
              </w:rPr>
            </w:pPr>
            <w:r>
              <w:rPr>
                <w:rFonts w:hint="eastAsia" w:ascii="宋体" w:hAnsi="宋体" w:cs="宋体"/>
                <w:color w:val="000000"/>
                <w:kern w:val="2"/>
                <w:sz w:val="24"/>
                <w:szCs w:val="24"/>
                <w:highlight w:val="none"/>
              </w:rPr>
              <w:t>履约保证金</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highlight w:val="none"/>
              </w:rPr>
            </w:pPr>
            <w:r>
              <w:rPr>
                <w:rFonts w:hint="eastAsia" w:ascii="宋体" w:hAnsi="宋体" w:cs="宋体"/>
                <w:color w:val="000000"/>
                <w:kern w:val="2"/>
                <w:sz w:val="24"/>
                <w:szCs w:val="24"/>
                <w:highlight w:val="none"/>
              </w:rPr>
              <w:t>是否要求中标人提交履约保证金：</w:t>
            </w:r>
          </w:p>
          <w:p>
            <w:pPr>
              <w:spacing w:line="360" w:lineRule="exact"/>
              <w:rPr>
                <w:rFonts w:hint="eastAsia" w:ascii="宋体" w:hAnsi="宋体" w:cs="宋体"/>
                <w:color w:val="000000"/>
                <w:kern w:val="2"/>
                <w:sz w:val="24"/>
                <w:szCs w:val="24"/>
                <w:highlight w:val="none"/>
              </w:rPr>
            </w:pPr>
            <w:r>
              <w:rPr>
                <w:rFonts w:hint="eastAsia" w:ascii="宋体" w:hAnsi="宋体" w:cs="宋体"/>
                <w:color w:val="000000"/>
                <w:kern w:val="2"/>
                <w:sz w:val="24"/>
                <w:szCs w:val="24"/>
                <w:highlight w:val="none"/>
                <w:lang w:eastAsia="zh-CN"/>
              </w:rPr>
              <w:t>□</w:t>
            </w:r>
            <w:r>
              <w:rPr>
                <w:rFonts w:hint="eastAsia" w:ascii="宋体" w:hAnsi="宋体" w:cs="宋体"/>
                <w:color w:val="000000"/>
                <w:kern w:val="2"/>
                <w:sz w:val="24"/>
                <w:szCs w:val="24"/>
                <w:highlight w:val="none"/>
              </w:rPr>
              <w:t>要求。</w:t>
            </w:r>
          </w:p>
          <w:p>
            <w:pPr>
              <w:spacing w:line="360" w:lineRule="exact"/>
              <w:rPr>
                <w:rFonts w:hint="eastAsia" w:ascii="宋体" w:hAnsi="宋体" w:cs="宋体"/>
                <w:color w:val="000000"/>
                <w:kern w:val="2"/>
                <w:sz w:val="24"/>
                <w:szCs w:val="24"/>
                <w:highlight w:val="none"/>
              </w:rPr>
            </w:pPr>
            <w:r>
              <w:rPr>
                <w:rFonts w:hint="eastAsia" w:cs="宋体"/>
                <w:color w:val="000000"/>
                <w:kern w:val="2"/>
                <w:sz w:val="24"/>
                <w:szCs w:val="24"/>
                <w:lang w:eastAsia="zh-CN"/>
              </w:rPr>
              <w:t>☑</w:t>
            </w:r>
            <w:r>
              <w:rPr>
                <w:rFonts w:hint="eastAsia" w:ascii="宋体" w:hAnsi="宋体" w:cs="宋体"/>
                <w:color w:val="000000"/>
                <w:kern w:val="2"/>
                <w:sz w:val="24"/>
                <w:szCs w:val="24"/>
                <w:highlight w:val="none"/>
              </w:rPr>
              <w:t>不要求</w:t>
            </w:r>
          </w:p>
        </w:tc>
      </w:tr>
      <w:tr>
        <w:tblPrEx>
          <w:tblCellMar>
            <w:top w:w="0" w:type="dxa"/>
            <w:left w:w="0" w:type="dxa"/>
            <w:bottom w:w="0" w:type="dxa"/>
            <w:right w:w="0" w:type="dxa"/>
          </w:tblCellMar>
        </w:tblPrEx>
        <w:trPr>
          <w:trHeight w:val="351"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12</w:t>
            </w:r>
          </w:p>
        </w:tc>
        <w:tc>
          <w:tcPr>
            <w:tcW w:w="8835" w:type="dxa"/>
            <w:gridSpan w:val="2"/>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b/>
                <w:bCs/>
                <w:color w:val="000000"/>
                <w:kern w:val="2"/>
                <w:sz w:val="24"/>
                <w:szCs w:val="24"/>
              </w:rPr>
              <w:t>需要补充的其他内容</w:t>
            </w:r>
          </w:p>
        </w:tc>
      </w:tr>
      <w:tr>
        <w:tblPrEx>
          <w:tblCellMar>
            <w:top w:w="0" w:type="dxa"/>
            <w:left w:w="0" w:type="dxa"/>
            <w:bottom w:w="0" w:type="dxa"/>
            <w:right w:w="0" w:type="dxa"/>
          </w:tblCellMar>
        </w:tblPrEx>
        <w:trPr>
          <w:trHeight w:val="941"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12.1</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评标方法</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jc w:val="both"/>
              <w:rPr>
                <w:rFonts w:hint="eastAsia" w:ascii="宋体" w:hAnsi="宋体" w:cs="宋体"/>
                <w:color w:val="000000"/>
                <w:kern w:val="2"/>
                <w:sz w:val="24"/>
                <w:szCs w:val="24"/>
              </w:rPr>
            </w:pPr>
            <w:r>
              <w:rPr>
                <w:rFonts w:hint="eastAsia" w:cs="宋体"/>
                <w:color w:val="000000"/>
                <w:kern w:val="2"/>
                <w:sz w:val="24"/>
                <w:szCs w:val="24"/>
                <w:lang w:eastAsia="zh-CN"/>
              </w:rPr>
              <w:t>☑</w:t>
            </w:r>
            <w:r>
              <w:rPr>
                <w:rFonts w:hint="eastAsia" w:ascii="宋体" w:hAnsi="宋体" w:cs="宋体"/>
                <w:color w:val="000000"/>
                <w:kern w:val="2"/>
                <w:sz w:val="24"/>
                <w:szCs w:val="24"/>
              </w:rPr>
              <w:t>综合评分法</w:t>
            </w:r>
          </w:p>
          <w:p>
            <w:pPr>
              <w:spacing w:line="360" w:lineRule="exact"/>
              <w:jc w:val="both"/>
              <w:rPr>
                <w:rFonts w:hint="eastAsia" w:ascii="宋体" w:hAnsi="宋体" w:cs="宋体"/>
                <w:color w:val="000000"/>
                <w:kern w:val="2"/>
                <w:sz w:val="24"/>
                <w:szCs w:val="24"/>
              </w:rPr>
            </w:pPr>
            <w:bookmarkStart w:id="23" w:name="_GoBack"/>
            <w:bookmarkEnd w:id="23"/>
            <w:r>
              <w:rPr>
                <w:rFonts w:hint="eastAsia" w:cs="宋体"/>
                <w:color w:val="000000"/>
                <w:kern w:val="2"/>
                <w:sz w:val="24"/>
                <w:szCs w:val="24"/>
                <w:lang w:eastAsia="zh-CN"/>
              </w:rPr>
              <w:t>□</w:t>
            </w:r>
            <w:r>
              <w:rPr>
                <w:rFonts w:hint="eastAsia" w:ascii="宋体" w:hAnsi="宋体" w:cs="宋体"/>
                <w:color w:val="000000"/>
                <w:kern w:val="2"/>
                <w:sz w:val="24"/>
                <w:szCs w:val="24"/>
              </w:rPr>
              <w:t>最低评标价法</w:t>
            </w:r>
          </w:p>
        </w:tc>
      </w:tr>
      <w:tr>
        <w:tblPrEx>
          <w:tblCellMar>
            <w:top w:w="0" w:type="dxa"/>
            <w:left w:w="0" w:type="dxa"/>
            <w:bottom w:w="0" w:type="dxa"/>
            <w:right w:w="0" w:type="dxa"/>
          </w:tblCellMar>
        </w:tblPrEx>
        <w:trPr>
          <w:trHeight w:val="715"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default"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12.2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核心产品</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jc w:val="both"/>
              <w:rPr>
                <w:rFonts w:hint="eastAsia" w:ascii="宋体" w:hAnsi="宋体" w:cs="宋体"/>
                <w:color w:val="000000"/>
                <w:kern w:val="2"/>
                <w:sz w:val="24"/>
                <w:szCs w:val="24"/>
                <w:highlight w:val="none"/>
              </w:rPr>
            </w:pPr>
            <w:r>
              <w:rPr>
                <w:rFonts w:hint="eastAsia" w:ascii="宋体" w:hAnsi="宋体" w:cs="宋体"/>
                <w:sz w:val="24"/>
                <w:szCs w:val="24"/>
                <w:highlight w:val="none"/>
              </w:rPr>
              <w:t>单摇护理床</w:t>
            </w:r>
          </w:p>
        </w:tc>
      </w:tr>
      <w:tr>
        <w:tblPrEx>
          <w:tblCellMar>
            <w:top w:w="0" w:type="dxa"/>
            <w:left w:w="0" w:type="dxa"/>
            <w:bottom w:w="0" w:type="dxa"/>
            <w:right w:w="0" w:type="dxa"/>
          </w:tblCellMar>
        </w:tblPrEx>
        <w:trPr>
          <w:trHeight w:val="1721" w:hRule="atLeast"/>
        </w:trPr>
        <w:tc>
          <w:tcPr>
            <w:tcW w:w="1047"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color w:val="000000"/>
                <w:kern w:val="2"/>
                <w:sz w:val="24"/>
                <w:szCs w:val="24"/>
              </w:rPr>
            </w:pPr>
            <w:r>
              <w:rPr>
                <w:rFonts w:hint="eastAsia" w:ascii="宋体" w:hAnsi="宋体" w:cs="宋体"/>
                <w:color w:val="000000"/>
                <w:kern w:val="2"/>
                <w:sz w:val="24"/>
                <w:szCs w:val="24"/>
              </w:rPr>
              <w:t>12.2</w:t>
            </w:r>
          </w:p>
        </w:tc>
        <w:tc>
          <w:tcPr>
            <w:tcW w:w="2009"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kern w:val="2"/>
                <w:sz w:val="24"/>
                <w:szCs w:val="24"/>
              </w:rPr>
              <w:t>追加合同金额</w:t>
            </w:r>
          </w:p>
        </w:tc>
        <w:tc>
          <w:tcPr>
            <w:tcW w:w="6826" w:type="dxa"/>
            <w:tcBorders>
              <w:top w:val="single" w:color="auto" w:sz="8" w:space="0"/>
              <w:left w:val="nil"/>
              <w:bottom w:val="single" w:color="auto" w:sz="8" w:space="0"/>
              <w:right w:val="single" w:color="auto" w:sz="8" w:space="0"/>
            </w:tcBorders>
            <w:noWrap w:val="0"/>
            <w:vAlign w:val="center"/>
          </w:tcPr>
          <w:p>
            <w:pPr>
              <w:spacing w:line="360" w:lineRule="exact"/>
              <w:rPr>
                <w:rFonts w:hint="eastAsia" w:ascii="宋体" w:hAnsi="宋体" w:cs="宋体"/>
                <w:color w:val="000000"/>
                <w:kern w:val="2"/>
                <w:sz w:val="24"/>
                <w:szCs w:val="24"/>
              </w:rPr>
            </w:pPr>
            <w:r>
              <w:rPr>
                <w:rFonts w:hint="eastAsia" w:ascii="宋体" w:hAnsi="宋体" w:cs="宋体"/>
                <w:color w:val="000000"/>
                <w:sz w:val="24"/>
                <w:szCs w:val="24"/>
              </w:rPr>
              <w:t>政府采购合同履行中，采购人需追加与合同标的相同的货物的，</w:t>
            </w:r>
            <w:r>
              <w:rPr>
                <w:rFonts w:hint="eastAsia" w:ascii="宋体" w:hAnsi="宋体" w:cs="宋体"/>
                <w:color w:val="000000"/>
                <w:sz w:val="24"/>
              </w:rPr>
              <w:t>在不改变合同其他条款的前提下，可以与中标投标人签订补充合同，但所有补充合同的采购金额变更不得超过原合同采购金额的10%，其中金额增加需办理合同追加手续。</w:t>
            </w:r>
          </w:p>
        </w:tc>
      </w:tr>
    </w:tbl>
    <w:p>
      <w:pPr>
        <w:pStyle w:val="9"/>
        <w:tabs>
          <w:tab w:val="left" w:pos="1182"/>
        </w:tabs>
        <w:spacing w:before="0"/>
        <w:ind w:left="0" w:leftChars="0" w:firstLine="0" w:firstLineChars="0"/>
      </w:pPr>
      <w:bookmarkStart w:id="13" w:name="page17"/>
      <w:bookmarkEnd w:id="13"/>
    </w:p>
    <w:p>
      <w:pPr>
        <w:pStyle w:val="2"/>
        <w:ind w:left="0" w:leftChars="0" w:firstLine="0" w:firstLineChars="0"/>
      </w:pPr>
    </w:p>
    <w:p>
      <w:pPr>
        <w:pStyle w:val="4"/>
        <w:numPr>
          <w:ilvl w:val="0"/>
          <w:numId w:val="0"/>
        </w:numPr>
        <w:spacing w:before="0" w:after="0" w:line="720" w:lineRule="auto"/>
        <w:jc w:val="center"/>
        <w:rPr>
          <w:rFonts w:hint="eastAsia" w:ascii="宋体" w:hAnsi="宋体" w:cs="宋体"/>
          <w:color w:val="000000"/>
        </w:rPr>
      </w:pPr>
      <w:bookmarkStart w:id="14" w:name="_Toc9887"/>
      <w:bookmarkStart w:id="15" w:name="_Toc22779"/>
      <w:bookmarkStart w:id="16" w:name="_Toc20421"/>
      <w:bookmarkStart w:id="17" w:name="_Toc219175638"/>
      <w:bookmarkStart w:id="18" w:name="_Toc216582825"/>
      <w:bookmarkStart w:id="19" w:name="_Toc9032"/>
      <w:bookmarkStart w:id="20" w:name="_Toc515647831"/>
      <w:bookmarkStart w:id="21" w:name="_Toc507399906"/>
      <w:bookmarkStart w:id="22" w:name="_Toc218935354"/>
      <w:r>
        <w:rPr>
          <w:rFonts w:hint="eastAsia" w:ascii="宋体" w:hAnsi="宋体" w:cs="宋体"/>
          <w:color w:val="000000"/>
        </w:rPr>
        <w:t>货物需求一览表及技术规格</w:t>
      </w:r>
      <w:bookmarkEnd w:id="14"/>
      <w:bookmarkEnd w:id="15"/>
      <w:bookmarkEnd w:id="16"/>
      <w:bookmarkEnd w:id="17"/>
      <w:bookmarkEnd w:id="18"/>
      <w:bookmarkEnd w:id="19"/>
      <w:bookmarkEnd w:id="20"/>
      <w:bookmarkEnd w:id="21"/>
      <w:bookmarkEnd w:id="22"/>
    </w:p>
    <w:tbl>
      <w:tblPr>
        <w:tblStyle w:val="15"/>
        <w:tblW w:w="49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1"/>
        <w:gridCol w:w="825"/>
        <w:gridCol w:w="7345"/>
        <w:gridCol w:w="806"/>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sz w:val="24"/>
                <w:szCs w:val="24"/>
              </w:rPr>
              <w:t>产品（项目）名称</w:t>
            </w:r>
          </w:p>
        </w:tc>
        <w:tc>
          <w:tcPr>
            <w:tcW w:w="35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技术规范、要求</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b/>
                <w:bCs/>
                <w:sz w:val="24"/>
                <w:szCs w:val="24"/>
              </w:rPr>
              <w:t>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0" w:hRule="atLeast"/>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  摇  护  理  床</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单摇护理床</w:t>
            </w:r>
          </w:p>
        </w:tc>
        <w:tc>
          <w:tcPr>
            <w:tcW w:w="35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1.产品功能：手动调节背部调节0°-80°；铝合金折叠护栏，铝合金立柱结构，美观大方；单排静音脚轮，独立刹车；床板采用 C 型钢板冲压成型，具有良好的透气性。床体承重≥240KG。</w:t>
            </w:r>
          </w:p>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2.规格：床体总长≥2050± 20mm，总宽≥960±20mm，床面距地高度（不含垫）≤460± 20mm，起背角度 75°±5°（手动）；</w:t>
            </w:r>
          </w:p>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床体骨架采用 80*40*1.0 优质冷轧碳素钢管而成，板厚≥1.0mm，管厚≥1.0mm，先进的焊接工艺，焊接质量优质，床体坚固，可承载≥240kg。</w:t>
            </w:r>
          </w:p>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3.床面：采用 1.0mm 的 C 型钢板。冲压</w:t>
            </w:r>
            <w:r>
              <w:rPr>
                <w:rFonts w:hint="eastAsia" w:cs="宋体"/>
                <w:i w:val="0"/>
                <w:iCs w:val="0"/>
                <w:color w:val="000000"/>
                <w:kern w:val="0"/>
                <w:sz w:val="24"/>
                <w:szCs w:val="24"/>
                <w:u w:val="none"/>
                <w:lang w:val="en-US" w:eastAsia="zh-CN" w:bidi="ar"/>
              </w:rPr>
              <w:t>成形</w:t>
            </w:r>
            <w:r>
              <w:rPr>
                <w:rFonts w:hint="eastAsia" w:ascii="宋体" w:hAnsi="宋体" w:eastAsia="宋体" w:cs="宋体"/>
                <w:i w:val="0"/>
                <w:iCs w:val="0"/>
                <w:color w:val="000000"/>
                <w:kern w:val="0"/>
                <w:sz w:val="24"/>
                <w:szCs w:val="24"/>
                <w:u w:val="none"/>
                <w:lang w:val="en-US" w:eastAsia="zh-CN" w:bidi="ar"/>
              </w:rPr>
              <w:t>凹型，多气孔设计，便于透气并具有防滑功能。</w:t>
            </w:r>
          </w:p>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4.床体采用双重磷化+静电粉体涂装处理。床体涂料采用抗菌涂料，防菌抗菌，抗酸碱腐蚀，耐</w:t>
            </w:r>
            <w:r>
              <w:rPr>
                <w:rFonts w:hint="eastAsia" w:cs="宋体"/>
                <w:i w:val="0"/>
                <w:iCs w:val="0"/>
                <w:color w:val="000000"/>
                <w:kern w:val="0"/>
                <w:sz w:val="24"/>
                <w:szCs w:val="24"/>
                <w:u w:val="none"/>
                <w:lang w:val="en-US" w:eastAsia="zh-CN" w:bidi="ar"/>
              </w:rPr>
              <w:t>褪色</w:t>
            </w:r>
            <w:r>
              <w:rPr>
                <w:rFonts w:hint="eastAsia" w:ascii="宋体" w:hAnsi="宋体" w:eastAsia="宋体" w:cs="宋体"/>
                <w:i w:val="0"/>
                <w:iCs w:val="0"/>
                <w:color w:val="000000"/>
                <w:kern w:val="0"/>
                <w:sz w:val="24"/>
                <w:szCs w:val="24"/>
                <w:u w:val="none"/>
                <w:lang w:val="en-US" w:eastAsia="zh-CN" w:bidi="ar"/>
              </w:rPr>
              <w:t>，有效延长使用寿命。</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5.床头床尾采用 ABS 材料一 次性吹塑成型，产品坚固、轻便、易于清洁、环保无异味，对称式快速挂钩座，可快速拆卸，方便床体移动时的拆卸安装。</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6.双侧设有折叠式铝合金 5 档护栏，护栏长度≥140mm，护栏高度≥30mm，立柱采用Φ 19*2mm 铝合金管，上下支架全套 ABS 材料模具化，带有锁件，防夹手装置，使用方便、安全、牢固，可承受上下≥100mm 的拉力或压力等负荷。</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7.配置≥φ125 毫米制动脚轮，内置全封闭自润滑轴承（延长使用寿命），不需加油护理，防异物卷入</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独立刹车；轮面采用 TPR高分子耐磨材料，耐磨，无噪音，移动起来轻便平稳快捷。 </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8.床头处带有输液架插孔，可选配输液架。</w:t>
            </w:r>
          </w:p>
        </w:tc>
        <w:tc>
          <w:tcPr>
            <w:tcW w:w="38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107</w:t>
            </w:r>
          </w:p>
        </w:tc>
        <w:tc>
          <w:tcPr>
            <w:tcW w:w="372"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rPr>
              <w:t>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单摇床垫</w:t>
            </w:r>
          </w:p>
        </w:tc>
        <w:tc>
          <w:tcPr>
            <w:tcW w:w="35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9.采用防水布罩可防止液体污染 内胆。内胆材料采用 40mm 硬质棕丝透气性好，20mm 高密度</w:t>
            </w:r>
            <w:r>
              <w:rPr>
                <w:rFonts w:hint="eastAsia" w:cs="宋体"/>
                <w:i w:val="0"/>
                <w:iCs w:val="0"/>
                <w:color w:val="000000"/>
                <w:kern w:val="0"/>
                <w:sz w:val="24"/>
                <w:szCs w:val="24"/>
                <w:u w:val="none"/>
                <w:lang w:val="en-US" w:eastAsia="zh-CN" w:bidi="ar"/>
              </w:rPr>
              <w:t>海绵</w:t>
            </w:r>
            <w:r>
              <w:rPr>
                <w:rFonts w:hint="eastAsia" w:ascii="宋体" w:hAnsi="宋体" w:eastAsia="宋体" w:cs="宋体"/>
                <w:i w:val="0"/>
                <w:iCs w:val="0"/>
                <w:color w:val="000000"/>
                <w:kern w:val="0"/>
                <w:sz w:val="24"/>
                <w:szCs w:val="24"/>
                <w:u w:val="none"/>
                <w:lang w:val="en-US" w:eastAsia="zh-CN" w:bidi="ar"/>
              </w:rPr>
              <w:t>回弹力良好，床垫的厚度为≥ 60mm。并经防虫处理，外形美观，便于拆洗，舒适耐用。（与护理床配套）。</w:t>
            </w:r>
          </w:p>
        </w:tc>
        <w:tc>
          <w:tcPr>
            <w:tcW w:w="38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72" w:type="pct"/>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护理配件</w:t>
            </w:r>
          </w:p>
        </w:tc>
        <w:tc>
          <w:tcPr>
            <w:tcW w:w="35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10.塑料伸缩餐桌板（与护理床配套）。</w:t>
            </w:r>
          </w:p>
        </w:tc>
        <w:tc>
          <w:tcPr>
            <w:tcW w:w="38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72" w:type="pct"/>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bl>
    <w:p>
      <w:pPr>
        <w:pStyle w:val="19"/>
        <w:numPr>
          <w:ilvl w:val="0"/>
          <w:numId w:val="0"/>
        </w:numPr>
        <w:tabs>
          <w:tab w:val="left" w:pos="1363"/>
        </w:tabs>
        <w:spacing w:before="0" w:after="0" w:line="372" w:lineRule="auto"/>
        <w:ind w:right="301" w:rightChars="0"/>
        <w:jc w:val="left"/>
        <w:rPr>
          <w:sz w:val="24"/>
        </w:rPr>
      </w:pPr>
    </w:p>
    <w:p>
      <w:pPr>
        <w:pStyle w:val="19"/>
        <w:numPr>
          <w:ilvl w:val="0"/>
          <w:numId w:val="0"/>
        </w:numPr>
        <w:tabs>
          <w:tab w:val="left" w:pos="1363"/>
        </w:tabs>
        <w:spacing w:before="0" w:after="0" w:line="372" w:lineRule="auto"/>
        <w:ind w:right="301" w:rightChars="0"/>
        <w:jc w:val="left"/>
        <w:rPr>
          <w:sz w:val="24"/>
        </w:rPr>
      </w:pPr>
    </w:p>
    <w:p>
      <w:pPr>
        <w:pStyle w:val="19"/>
        <w:numPr>
          <w:ilvl w:val="0"/>
          <w:numId w:val="0"/>
        </w:numPr>
        <w:tabs>
          <w:tab w:val="left" w:pos="1363"/>
        </w:tabs>
        <w:spacing w:before="0" w:after="0" w:line="372" w:lineRule="auto"/>
        <w:ind w:right="301" w:rightChars="0"/>
        <w:jc w:val="left"/>
        <w:rPr>
          <w:sz w:val="24"/>
        </w:rPr>
      </w:pPr>
    </w:p>
    <w:p>
      <w:pPr>
        <w:pStyle w:val="19"/>
        <w:numPr>
          <w:ilvl w:val="0"/>
          <w:numId w:val="0"/>
        </w:numPr>
        <w:tabs>
          <w:tab w:val="left" w:pos="1363"/>
        </w:tabs>
        <w:spacing w:before="0" w:after="0" w:line="372" w:lineRule="auto"/>
        <w:ind w:right="301" w:rightChars="0"/>
        <w:jc w:val="left"/>
        <w:rPr>
          <w:sz w:val="24"/>
        </w:rPr>
      </w:pPr>
    </w:p>
    <w:p>
      <w:pPr>
        <w:pStyle w:val="19"/>
        <w:numPr>
          <w:ilvl w:val="0"/>
          <w:numId w:val="0"/>
        </w:numPr>
        <w:tabs>
          <w:tab w:val="left" w:pos="1363"/>
        </w:tabs>
        <w:spacing w:before="0" w:after="0" w:line="372" w:lineRule="auto"/>
        <w:ind w:right="301" w:rightChars="0"/>
        <w:jc w:val="left"/>
        <w:rPr>
          <w:sz w:val="24"/>
        </w:rPr>
      </w:pPr>
    </w:p>
    <w:p>
      <w:pPr>
        <w:pStyle w:val="19"/>
        <w:numPr>
          <w:ilvl w:val="0"/>
          <w:numId w:val="0"/>
        </w:numPr>
        <w:tabs>
          <w:tab w:val="left" w:pos="1363"/>
        </w:tabs>
        <w:spacing w:before="0" w:after="0" w:line="372" w:lineRule="auto"/>
        <w:ind w:right="301" w:rightChars="0"/>
        <w:jc w:val="left"/>
        <w:rPr>
          <w:sz w:val="24"/>
        </w:rPr>
      </w:pPr>
    </w:p>
    <w:p>
      <w:pPr>
        <w:pStyle w:val="19"/>
        <w:numPr>
          <w:ilvl w:val="0"/>
          <w:numId w:val="0"/>
        </w:numPr>
        <w:tabs>
          <w:tab w:val="left" w:pos="1363"/>
        </w:tabs>
        <w:spacing w:before="0" w:after="0" w:line="372" w:lineRule="auto"/>
        <w:ind w:right="301" w:rightChars="0"/>
        <w:jc w:val="left"/>
        <w:rPr>
          <w:sz w:val="24"/>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开标、评标、定标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一、开标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1、投标人的法定代表人或其授权代理人按照招标文件规定的时间和地点参加开标仪式并签到。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投标文件有下列情形之一的，采购人不予受理：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（1）逾期未提交投标文件的；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（2）未按招标文件要求进行密封的。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2、开标由采购方主持，采购人、投标人代表及有关工作人员参加。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主持人在规定的时间内，通过现场开评标方式，按下列程序进行开标：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（1）宣布开标会开始；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（2）介绍采购方有关人员；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（3）公布在投标截止时间前递交投标文件的投标人名称；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（6）现场唱标，宣读投标人名称、投标报价、计划工期等内容；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（7）公布开标记录表；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（8）开标结束。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二、评标委员会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根据有关法律法规和本招标文件的规定，结合招标项目的特点组建评标委员会，对投标文件进行评估和比较。评标委员会由五人以上单数组成。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三、评标方法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本次评标，评标委员会成员综合评定各投标人提交的投标文件，由评标委员会成员按照招标文件规定的各项因素综合评定各投标人提交的投标文件并分别进行打分，确定中标候选人。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评标原则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依据《中华人民共和国政府采购法》，结合项目特点，评标严格按照招标文件的要求和条件进行。“公平、公正、科学、择优”为本次评标的基本原则，评标委员会将按照这一原则的要求，公正、平等地对待各投标人。同时，在评标时恪守以下原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（1）客观性原则：评标委员会将按照招标文件的要求，对投标人的投标文件进行认真评审；对投标文件的评审仅依靠投标文件本身，而不依靠投标文件以外的任何因素。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（2）统一性原则：评标委员会将按照统一的评标原则和评标方法，用同一标准进行评标。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（3）独立性原则：评标工作在评标委员会内部独立进行，不受外界任何因素的干扰和影响。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（4）保密性原则：评委及熟知情况的有关工作人员将保守投标人的商业秘密。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（5）综合性原则：评标委员会将综合比较、审查投标人的各项指标，而不以单项指标的优劣评定出中标候选人。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6）少数服从多数原则：评标委员会成员应当依法独立评标，遵守评标工作纪律。对需要共同认定的事项存在争议的，应当按照少数服从多数的原则作出评审结论；持不同意见的评标委员会成员应当在评标报告上签署不同意见并说明理由；不签署不同意见的，视为同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2、评标过程保密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2.1 开标之后，直到授予投标人合同止，凡是属于审查、澄清、评价和比较投标的有关资料以及授标意向等，均不得向投标人或其他无关的人员透露。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2.2 在评标期间，投标人企图影响招标方的任何活动将导致投标被拒绝，并承担相应的法律责任。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2.3 中标人确定后，采购人不对未中标人就评标过程以及未能中标原因作出任何解释。未中标人不得向评标委员会组成人员或其他有关人员索问评标过程的情况和材料。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3、初步评审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3.1 资格审查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开标结束后，采购人或者采购代理机构应当依法对投标人的资格进行审查。合格投标人不足 3 家的，不得评标。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3.2 评标委员会应当对符合资格的投标人的投标文件进行符合性审查，以确定其是否满足招标文件的实质性要求。评标委员会将确定每一投标人是否对招标文件的要求做出了实质性的响应，而没有重大偏差。实质性响应的投标是指投标符合招标文件的所有条款、条件和规定且没有重大偏差或保留。重大偏差或保留是指影响到招标文件规定的招标范围和内容或限制了采购人的权利和投标人的义务规定，而纠正这些偏差将影响到其他提交实质性响应投标的投标人的公平竞争地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3.2.1 重大偏差包括以下内容: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（1）不具备《中华人民共和国政府采购法》第二十二条规定条件；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（2）投标文件未按招标文件规定要求制作、签署、盖章；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（3）拒绝报价、报价不确定、高于招标控制价、有多个投标报价；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（4）评标委员会认定投标技术方案不符合招标文件要求；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（5）不符合招标文件中规定资格条件；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（6）未通过资格审查的；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（7）投标有效期不满足招标文件要求；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（8）无投标人法定代表人或其授权代表签字；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（9）报名截止时间前未在山东政府采购信息公开平台完成注册的；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（10）未经许可，以进口产品参与投标报价的；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（11）应提供而未提供政府强制采购节能产品；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（12）对招标文件要求的技术参数整体复制粘贴经评标委员会认定与所报产品不符；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（13）未提供设备的品牌、详细技术要求的；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（14）付款方式、质保期、交货期、投标有限期、逾期违约金任何一项不满足招标文件要求的；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（16）分项报价表未明确其报价费用的；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（17）评审期间，没有按评标委员会要求提交经法定代表人或授权代表签字的澄清、说明、补正或改变了投标文件实质性内容；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（18）对采购人、采购代理机构、评标委员会及其他工作人员施加影响，有碍公平、公正；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（19）投标文件不满足招标文件中条款或指标；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（20）法律、法规、规章规定属于投标无效的其他情形。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投标文件有上述情况之一的，为未能对招标文件做出实质性响应，将作无效投标处理，不允许投标人通过修正或撤消不符之处而使其投标成为实质性响应的投标。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3.2.2 评标委员会将允许投标人修改其投标文件的细微偏差。细微偏差是指投标文件在实质上响应招标文件要求，但在个别地方存在漏项或者提供了不完整的信息和数据等情况，并且补正这些遗漏或者不完整不会对其他投标人造成不公平的结果。细微偏差不影响投标文件的有效性。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3.2.3 对于投标文件中含义不明确、同类问题表述不一致或者有明显文字和计算错误的内容，评标委员会应当以书面形式要求投标人作出必要的澄清、说明或者补正。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投标人的澄清、说明或者补正应当采用书面形式，并加盖公章，或者由法定代表人或其授权的代表签字。投标人的澄清、说明或者补正不得超出投标文件的范围或者改变投标文件的实质性内容。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3.3 投标报价评审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投标人投标报价有算术错误的，评标委员会按以下原则对投标报价进行修正：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(一)投标文件中开标一览表(报价表)内容与投标文件中相应内容不一致的，以开标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一览表(报价表)为准；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(二)大写金额和小写金额不一致的，以大写金额为准；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(三)单价金额小数点或者百分比有明显错位的，以开标一览表的总价为准，并修改单价；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(四)总价金额与按单价汇总金额不一致的，以单价金额计算结果为准。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同时出现两种以上不一致的，按照前款规定的顺序修正。修正后的报价经投标人确认后产生约束力，投标人不确认的，其投标无效。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4、详细评审：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b w:val="0"/>
          <w:bCs w:val="0"/>
          <w:vertAlign w:val="baseline"/>
        </w:rPr>
      </w:pPr>
      <w:r>
        <w:rPr>
          <w:rFonts w:hint="eastAsia" w:ascii="宋体" w:hAnsi="宋体" w:eastAsia="宋体" w:cs="宋体"/>
          <w:b w:val="0"/>
          <w:bCs w:val="0"/>
          <w:color w:val="000000"/>
          <w:kern w:val="0"/>
          <w:sz w:val="24"/>
          <w:szCs w:val="24"/>
          <w:lang w:val="en-US" w:eastAsia="zh-CN" w:bidi="ar"/>
        </w:rPr>
        <w:t>评标委员会根据以下评分标准进行评标，并计算出每个有效投标人的最终得分。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323"/>
        <w:gridCol w:w="1344"/>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96"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1323"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评分项目</w:t>
            </w:r>
          </w:p>
        </w:tc>
        <w:tc>
          <w:tcPr>
            <w:tcW w:w="1344"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eastAsia="zh-CN"/>
              </w:rPr>
              <w:t>分数</w:t>
            </w:r>
          </w:p>
        </w:tc>
        <w:tc>
          <w:tcPr>
            <w:tcW w:w="6843" w:type="dxa"/>
          </w:tcPr>
          <w:p>
            <w:pPr>
              <w:keepNext w:val="0"/>
              <w:keepLines w:val="0"/>
              <w:pageBreakBefore w:val="0"/>
              <w:kinsoku/>
              <w:wordWrap/>
              <w:overflowPunct/>
              <w:topLinePunct w:val="0"/>
              <w:bidi w:val="0"/>
              <w:adjustRightInd/>
              <w:snapToGrid/>
              <w:spacing w:line="560" w:lineRule="exact"/>
              <w:ind w:firstLine="480" w:firstLineChars="200"/>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896"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323"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投标报价</w:t>
            </w:r>
          </w:p>
        </w:tc>
        <w:tc>
          <w:tcPr>
            <w:tcW w:w="1344"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cs="宋体"/>
                <w:b w:val="0"/>
                <w:bCs w:val="0"/>
                <w:sz w:val="24"/>
                <w:szCs w:val="24"/>
                <w:vertAlign w:val="baseline"/>
                <w:lang w:val="en-US" w:eastAsia="zh-CN"/>
              </w:rPr>
              <w:t>5</w:t>
            </w:r>
            <w:r>
              <w:rPr>
                <w:rFonts w:hint="eastAsia" w:ascii="宋体" w:hAnsi="宋体" w:eastAsia="宋体" w:cs="宋体"/>
                <w:b w:val="0"/>
                <w:bCs w:val="0"/>
                <w:sz w:val="24"/>
                <w:szCs w:val="24"/>
                <w:vertAlign w:val="baseline"/>
                <w:lang w:val="en-US" w:eastAsia="zh-CN"/>
              </w:rPr>
              <w:t>0</w:t>
            </w:r>
          </w:p>
        </w:tc>
        <w:tc>
          <w:tcPr>
            <w:tcW w:w="6843" w:type="dxa"/>
          </w:tcPr>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经评委会一致认定满足招标文件要求的最低报价为基准价，得满分（</w:t>
            </w:r>
            <w:r>
              <w:rPr>
                <w:rFonts w:hint="eastAsia" w:cs="宋体"/>
                <w:b w:val="0"/>
                <w:bCs w:val="0"/>
                <w:color w:val="000000"/>
                <w:kern w:val="0"/>
                <w:sz w:val="24"/>
                <w:szCs w:val="24"/>
                <w:lang w:val="en-US" w:eastAsia="zh-CN" w:bidi="ar"/>
              </w:rPr>
              <w:t>5</w:t>
            </w:r>
            <w:r>
              <w:rPr>
                <w:rFonts w:hint="eastAsia" w:ascii="宋体" w:hAnsi="宋体" w:eastAsia="宋体" w:cs="宋体"/>
                <w:b w:val="0"/>
                <w:bCs w:val="0"/>
                <w:color w:val="000000"/>
                <w:kern w:val="0"/>
                <w:sz w:val="24"/>
                <w:szCs w:val="24"/>
                <w:lang w:val="en-US" w:eastAsia="zh-CN" w:bidi="ar"/>
              </w:rPr>
              <w:t>0 分），其它投标人的价格得分统一按以下公式计算：报价得分＝（评标基准价/投标报价）×</w:t>
            </w:r>
            <w:r>
              <w:rPr>
                <w:rFonts w:hint="eastAsia" w:cs="宋体"/>
                <w:b w:val="0"/>
                <w:bCs w:val="0"/>
                <w:color w:val="000000"/>
                <w:kern w:val="0"/>
                <w:sz w:val="24"/>
                <w:szCs w:val="24"/>
                <w:lang w:val="en-US" w:eastAsia="zh-CN" w:bidi="ar"/>
              </w:rPr>
              <w:t>5</w:t>
            </w:r>
            <w:r>
              <w:rPr>
                <w:rFonts w:hint="eastAsia" w:ascii="宋体" w:hAnsi="宋体" w:eastAsia="宋体" w:cs="宋体"/>
                <w:b w:val="0"/>
                <w:bCs w:val="0"/>
                <w:color w:val="000000"/>
                <w:kern w:val="0"/>
                <w:sz w:val="24"/>
                <w:szCs w:val="24"/>
                <w:lang w:val="en-US" w:eastAsia="zh-CN" w:bidi="ar"/>
              </w:rPr>
              <w:t>0。</w:t>
            </w:r>
          </w:p>
          <w:p>
            <w:pPr>
              <w:keepNext w:val="0"/>
              <w:keepLines w:val="0"/>
              <w:pageBreakBefore w:val="0"/>
              <w:kinsoku/>
              <w:wordWrap/>
              <w:overflowPunct/>
              <w:topLinePunct w:val="0"/>
              <w:bidi w:val="0"/>
              <w:adjustRightInd/>
              <w:snapToGrid/>
              <w:spacing w:line="560" w:lineRule="exact"/>
              <w:ind w:firstLine="480" w:firstLineChars="200"/>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1" w:hRule="atLeast"/>
        </w:trPr>
        <w:tc>
          <w:tcPr>
            <w:tcW w:w="896"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1323"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产品综合实力</w:t>
            </w:r>
          </w:p>
        </w:tc>
        <w:tc>
          <w:tcPr>
            <w:tcW w:w="1344"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6843" w:type="dxa"/>
          </w:tcPr>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1、根据投标产品的综合情况（质量性能、技术经济指标、配套性和兼容性、先进性和成熟性），每一项在 0-1 分范围内评分，最高得 4 分。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2、根据产品的适用性、稳定性、安全可靠性、使用寿命等情况，每一项在 0-1 分范围内计分，最高得 4 分。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3、根据投标人的质量管理措施：包括质量控制措施、质量检测方法等，每一项在 0-2 分范围内评分，最高得 4 分。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4、根据投标人的安装调试人员配备情况、安装调试流程等，在 0-3 分范围内评分。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5、投标产品整体的设计、兼容性和升级扩展能力由评委在 0-3 分之间打分。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6、根据投标人组织机构及服务质量保证措施等能做到合理安排、机构健全，建立完整的工作台账、工作信息收集、反馈等客户质量保证措施，由评委在 0-2 分之间打分。 </w:t>
            </w:r>
          </w:p>
          <w:p>
            <w:pPr>
              <w:keepNext w:val="0"/>
              <w:keepLines w:val="0"/>
              <w:pageBreakBefore w:val="0"/>
              <w:kinsoku/>
              <w:wordWrap/>
              <w:overflowPunct/>
              <w:topLinePunct w:val="0"/>
              <w:bidi w:val="0"/>
              <w:adjustRightInd/>
              <w:snapToGrid/>
              <w:spacing w:line="560" w:lineRule="exact"/>
              <w:ind w:firstLine="480" w:firstLineChars="200"/>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896"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1323"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技术性能</w:t>
            </w:r>
          </w:p>
        </w:tc>
        <w:tc>
          <w:tcPr>
            <w:tcW w:w="1344"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cs="宋体"/>
                <w:b w:val="0"/>
                <w:bCs w:val="0"/>
                <w:sz w:val="24"/>
                <w:szCs w:val="24"/>
                <w:vertAlign w:val="baseline"/>
                <w:lang w:val="en-US" w:eastAsia="zh-CN"/>
              </w:rPr>
              <w:t>10</w:t>
            </w:r>
          </w:p>
        </w:tc>
        <w:tc>
          <w:tcPr>
            <w:tcW w:w="6843" w:type="dxa"/>
          </w:tcPr>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评委对各投标人所投产品的技术参数进行评审满足招标文件的得 </w:t>
            </w:r>
            <w:r>
              <w:rPr>
                <w:rFonts w:hint="eastAsia" w:cs="宋体"/>
                <w:b w:val="0"/>
                <w:bCs w:val="0"/>
                <w:color w:val="000000"/>
                <w:kern w:val="0"/>
                <w:sz w:val="24"/>
                <w:szCs w:val="24"/>
                <w:lang w:val="en-US" w:eastAsia="zh-CN" w:bidi="ar"/>
              </w:rPr>
              <w:t>7</w:t>
            </w:r>
            <w:r>
              <w:rPr>
                <w:rFonts w:hint="eastAsia" w:ascii="宋体" w:hAnsi="宋体" w:eastAsia="宋体" w:cs="宋体"/>
                <w:b w:val="0"/>
                <w:bCs w:val="0"/>
                <w:color w:val="000000"/>
                <w:kern w:val="0"/>
                <w:sz w:val="24"/>
                <w:szCs w:val="24"/>
                <w:lang w:val="en-US" w:eastAsia="zh-CN" w:bidi="ar"/>
              </w:rPr>
              <w:t xml:space="preserve"> 分；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在满足货物参数要求的情况下，参数每正偏离一项加 1 分，最高加 3分。每负偏离一项扣 1 分，扣完为止。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投标人提供的技术等参数必须是真实所报产品的参数，凡是提供的材料与所报产品不一致的，按提供虚假材料根据《政府采购法》第七十七条规定处理。 </w:t>
            </w:r>
          </w:p>
          <w:p>
            <w:pPr>
              <w:keepNext w:val="0"/>
              <w:keepLines w:val="0"/>
              <w:pageBreakBefore w:val="0"/>
              <w:kinsoku/>
              <w:wordWrap/>
              <w:overflowPunct/>
              <w:topLinePunct w:val="0"/>
              <w:bidi w:val="0"/>
              <w:adjustRightInd/>
              <w:snapToGrid/>
              <w:spacing w:line="560" w:lineRule="exact"/>
              <w:ind w:firstLine="480" w:firstLineChars="200"/>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1" w:hRule="atLeast"/>
        </w:trPr>
        <w:tc>
          <w:tcPr>
            <w:tcW w:w="896"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1323"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售后服务</w:t>
            </w:r>
          </w:p>
        </w:tc>
        <w:tc>
          <w:tcPr>
            <w:tcW w:w="1344"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cs="宋体"/>
                <w:b w:val="0"/>
                <w:bCs w:val="0"/>
                <w:sz w:val="24"/>
                <w:szCs w:val="24"/>
                <w:vertAlign w:val="baseline"/>
                <w:lang w:val="en-US" w:eastAsia="zh-CN"/>
              </w:rPr>
              <w:t>20</w:t>
            </w:r>
          </w:p>
        </w:tc>
        <w:tc>
          <w:tcPr>
            <w:tcW w:w="6843" w:type="dxa"/>
          </w:tcPr>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1、根据投标企业供货渠道及供货计划安排、供货期保证措施等，在 0-</w:t>
            </w:r>
            <w:r>
              <w:rPr>
                <w:rFonts w:hint="eastAsia" w:cs="宋体"/>
                <w:b w:val="0"/>
                <w:bCs w:val="0"/>
                <w:color w:val="000000"/>
                <w:kern w:val="0"/>
                <w:sz w:val="24"/>
                <w:szCs w:val="24"/>
                <w:lang w:val="en-US" w:eastAsia="zh-CN" w:bidi="ar"/>
              </w:rPr>
              <w:t>3</w:t>
            </w:r>
            <w:r>
              <w:rPr>
                <w:rFonts w:hint="eastAsia" w:ascii="宋体" w:hAnsi="宋体" w:eastAsia="宋体" w:cs="宋体"/>
                <w:b w:val="0"/>
                <w:bCs w:val="0"/>
                <w:color w:val="000000"/>
                <w:kern w:val="0"/>
                <w:sz w:val="24"/>
                <w:szCs w:val="24"/>
                <w:lang w:val="en-US" w:eastAsia="zh-CN" w:bidi="ar"/>
              </w:rPr>
              <w:t xml:space="preserve">分范围内评分。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2、根据投标企业售后服务、退换货承诺、备品备件、耗材等，每一项在 0-1 分范围内评分，最高得 4 分。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3、根据投标企业定期巡检、应急供应等，在 0-</w:t>
            </w:r>
            <w:r>
              <w:rPr>
                <w:rFonts w:hint="eastAsia" w:cs="宋体"/>
                <w:b w:val="0"/>
                <w:bCs w:val="0"/>
                <w:color w:val="000000"/>
                <w:kern w:val="0"/>
                <w:sz w:val="24"/>
                <w:szCs w:val="24"/>
                <w:lang w:val="en-US" w:eastAsia="zh-CN" w:bidi="ar"/>
              </w:rPr>
              <w:t>3</w:t>
            </w:r>
            <w:r>
              <w:rPr>
                <w:rFonts w:hint="eastAsia" w:ascii="宋体" w:hAnsi="宋体" w:eastAsia="宋体" w:cs="宋体"/>
                <w:b w:val="0"/>
                <w:bCs w:val="0"/>
                <w:color w:val="000000"/>
                <w:kern w:val="0"/>
                <w:sz w:val="24"/>
                <w:szCs w:val="24"/>
                <w:lang w:val="en-US" w:eastAsia="zh-CN" w:bidi="ar"/>
              </w:rPr>
              <w:t xml:space="preserve"> 分范围内评分。 </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4、根据投标企业故障响应时间、故障处理时间等，在 0-</w:t>
            </w:r>
            <w:r>
              <w:rPr>
                <w:rFonts w:hint="eastAsia" w:cs="宋体"/>
                <w:b w:val="0"/>
                <w:bCs w:val="0"/>
                <w:color w:val="000000"/>
                <w:kern w:val="0"/>
                <w:sz w:val="24"/>
                <w:szCs w:val="24"/>
                <w:lang w:val="en-US" w:eastAsia="zh-CN" w:bidi="ar"/>
              </w:rPr>
              <w:t>3</w:t>
            </w:r>
            <w:r>
              <w:rPr>
                <w:rFonts w:hint="eastAsia" w:ascii="宋体" w:hAnsi="宋体" w:eastAsia="宋体" w:cs="宋体"/>
                <w:b w:val="0"/>
                <w:bCs w:val="0"/>
                <w:color w:val="000000"/>
                <w:kern w:val="0"/>
                <w:sz w:val="24"/>
                <w:szCs w:val="24"/>
                <w:lang w:val="en-US" w:eastAsia="zh-CN" w:bidi="ar"/>
              </w:rPr>
              <w:t xml:space="preserve"> 分范围内评分。</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5、根据投标企业培训内容、技术支持方案等由评委在 0-</w:t>
            </w:r>
            <w:r>
              <w:rPr>
                <w:rFonts w:hint="eastAsia" w:cs="宋体"/>
                <w:b w:val="0"/>
                <w:bCs w:val="0"/>
                <w:color w:val="000000"/>
                <w:kern w:val="0"/>
                <w:sz w:val="24"/>
                <w:szCs w:val="24"/>
                <w:lang w:val="en-US" w:eastAsia="zh-CN" w:bidi="ar"/>
              </w:rPr>
              <w:t>3</w:t>
            </w:r>
            <w:r>
              <w:rPr>
                <w:rFonts w:hint="eastAsia" w:ascii="宋体" w:hAnsi="宋体" w:eastAsia="宋体" w:cs="宋体"/>
                <w:b w:val="0"/>
                <w:bCs w:val="0"/>
                <w:color w:val="000000"/>
                <w:kern w:val="0"/>
                <w:sz w:val="24"/>
                <w:szCs w:val="24"/>
                <w:lang w:val="en-US" w:eastAsia="zh-CN" w:bidi="ar"/>
              </w:rPr>
              <w:t xml:space="preserve"> 分之间打分。</w:t>
            </w:r>
          </w:p>
          <w:p>
            <w:pPr>
              <w:pStyle w:val="2"/>
              <w:ind w:left="0" w:leftChars="0" w:firstLine="0" w:firstLineChars="0"/>
              <w:rPr>
                <w:rFonts w:hint="default"/>
                <w:lang w:val="en-US"/>
              </w:rPr>
            </w:pPr>
            <w:r>
              <w:rPr>
                <w:rFonts w:hint="eastAsia" w:ascii="宋体" w:hAnsi="宋体" w:cs="宋体"/>
                <w:b w:val="0"/>
                <w:bCs w:val="0"/>
                <w:color w:val="000000"/>
                <w:kern w:val="0"/>
                <w:sz w:val="24"/>
                <w:szCs w:val="24"/>
                <w:lang w:val="en-US" w:eastAsia="zh-CN" w:bidi="ar"/>
              </w:rPr>
              <w:t>6、</w:t>
            </w:r>
            <w:r>
              <w:rPr>
                <w:rFonts w:hint="eastAsia" w:ascii="宋体" w:hAnsi="宋体" w:eastAsia="宋体" w:cs="宋体"/>
                <w:b w:val="0"/>
                <w:bCs w:val="0"/>
                <w:color w:val="000000"/>
                <w:kern w:val="0"/>
                <w:sz w:val="24"/>
                <w:szCs w:val="24"/>
                <w:lang w:val="en-US" w:eastAsia="zh-CN" w:bidi="ar"/>
              </w:rPr>
              <w:t>根据投标企业</w:t>
            </w:r>
            <w:r>
              <w:rPr>
                <w:rFonts w:hint="eastAsia" w:ascii="宋体" w:hAnsi="宋体" w:cs="宋体"/>
                <w:b w:val="0"/>
                <w:bCs w:val="0"/>
                <w:color w:val="000000"/>
                <w:kern w:val="0"/>
                <w:sz w:val="24"/>
                <w:szCs w:val="24"/>
                <w:lang w:val="en-US" w:eastAsia="zh-CN" w:bidi="ar"/>
              </w:rPr>
              <w:t>质保期时间</w:t>
            </w:r>
            <w:r>
              <w:rPr>
                <w:rFonts w:hint="eastAsia" w:ascii="宋体" w:hAnsi="宋体" w:eastAsia="宋体" w:cs="宋体"/>
                <w:b w:val="0"/>
                <w:bCs w:val="0"/>
                <w:color w:val="000000"/>
                <w:kern w:val="0"/>
                <w:sz w:val="24"/>
                <w:szCs w:val="24"/>
                <w:lang w:val="en-US" w:eastAsia="zh-CN" w:bidi="ar"/>
              </w:rPr>
              <w:t>，在 0-</w:t>
            </w:r>
            <w:r>
              <w:rPr>
                <w:rFonts w:hint="eastAsia" w:ascii="宋体" w:hAnsi="宋体" w:cs="宋体"/>
                <w:b w:val="0"/>
                <w:bCs w:val="0"/>
                <w:color w:val="000000"/>
                <w:kern w:val="0"/>
                <w:sz w:val="24"/>
                <w:szCs w:val="24"/>
                <w:lang w:val="en-US" w:eastAsia="zh-CN" w:bidi="ar"/>
              </w:rPr>
              <w:t>4</w:t>
            </w:r>
            <w:r>
              <w:rPr>
                <w:rFonts w:hint="eastAsia" w:ascii="宋体" w:hAnsi="宋体" w:eastAsia="宋体" w:cs="宋体"/>
                <w:b w:val="0"/>
                <w:bCs w:val="0"/>
                <w:color w:val="000000"/>
                <w:kern w:val="0"/>
                <w:sz w:val="24"/>
                <w:szCs w:val="24"/>
                <w:lang w:val="en-US" w:eastAsia="zh-CN" w:bidi="ar"/>
              </w:rPr>
              <w:t xml:space="preserve"> 分范围内评分。 </w:t>
            </w:r>
          </w:p>
          <w:p>
            <w:pPr>
              <w:keepNext w:val="0"/>
              <w:keepLines w:val="0"/>
              <w:pageBreakBefore w:val="0"/>
              <w:kinsoku/>
              <w:wordWrap/>
              <w:overflowPunct/>
              <w:topLinePunct w:val="0"/>
              <w:bidi w:val="0"/>
              <w:adjustRightInd/>
              <w:snapToGrid/>
              <w:spacing w:line="560" w:lineRule="exact"/>
              <w:ind w:firstLine="480" w:firstLineChars="200"/>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19" w:type="dxa"/>
            <w:gridSpan w:val="2"/>
            <w:vAlign w:val="center"/>
          </w:tcPr>
          <w:p>
            <w:pPr>
              <w:keepNext w:val="0"/>
              <w:keepLines w:val="0"/>
              <w:pageBreakBefore w:val="0"/>
              <w:kinsoku/>
              <w:wordWrap/>
              <w:overflowPunct/>
              <w:topLinePunct w:val="0"/>
              <w:bidi w:val="0"/>
              <w:adjustRightInd/>
              <w:snapToGrid/>
              <w:spacing w:line="560" w:lineRule="exact"/>
              <w:ind w:firstLine="480" w:firstLineChars="200"/>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满分</w:t>
            </w:r>
          </w:p>
        </w:tc>
        <w:tc>
          <w:tcPr>
            <w:tcW w:w="1344" w:type="dxa"/>
            <w:vAlign w:val="center"/>
          </w:tcPr>
          <w:p>
            <w:pPr>
              <w:keepNext w:val="0"/>
              <w:keepLines w:val="0"/>
              <w:pageBreakBefore w:val="0"/>
              <w:kinsoku/>
              <w:wordWrap/>
              <w:overflowPunct/>
              <w:topLinePunct w:val="0"/>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6843" w:type="dxa"/>
          </w:tcPr>
          <w:p>
            <w:pPr>
              <w:keepNext w:val="0"/>
              <w:keepLines w:val="0"/>
              <w:pageBreakBefore w:val="0"/>
              <w:kinsoku/>
              <w:wordWrap/>
              <w:overflowPunct/>
              <w:topLinePunct w:val="0"/>
              <w:bidi w:val="0"/>
              <w:adjustRightInd/>
              <w:snapToGrid/>
              <w:spacing w:line="560" w:lineRule="exact"/>
              <w:ind w:firstLine="480" w:firstLineChars="200"/>
              <w:textAlignment w:val="auto"/>
              <w:rPr>
                <w:rFonts w:hint="eastAsia" w:ascii="宋体" w:hAnsi="宋体" w:eastAsia="宋体" w:cs="宋体"/>
                <w:b w:val="0"/>
                <w:bCs w:val="0"/>
                <w:sz w:val="24"/>
                <w:szCs w:val="24"/>
                <w:vertAlign w:val="baseline"/>
              </w:rPr>
            </w:pPr>
          </w:p>
        </w:tc>
      </w:tr>
    </w:tbl>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4.1 定标原则：全体评委按照评分标准的规定对各有效投标人进行综合评审，按最终得分由高到低的顺序排名。最终得分相同者，报价得分高者排名在前，投标报价得分也相同的，由评标委员会按照技术部分得分由高到低的顺序确定。推荐 1-3 名中标候选人。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四、禁止投标人串通投标或以不正当手段谋取中标，如出现以下情形将依法追究法律责任。</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1、投标人有下列情形之一的，依法追究法律责任：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(一)向评标委员会行贿或者提供其他不正当利益；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(二)中标后无正当理由拒不与采购人签订政府采购合同；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(三)未按照招标文件确定的事项签订政府采购合同；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(四)将政府采购合同转包；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(五)提供假冒伪劣产品；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(六)擅自变更、中止或者终止政府采购合同。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投标人有前款第一项规定情形的，中标无效。评审阶段资格发生变化，投标人未依法通知采购人和采购代理机构的，处以采购金额 5‰的罚款，列入不良行为记录名单，中标无效。</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投标人捏造事实、提供虚假材料或者以非法手段取得证明材料进行投诉的，由财政部门列入不良行为记录名单，禁止其 1 至 3 年内参加政府采购活动。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rFonts w:hint="default" w:eastAsia="宋体"/>
          <w:b w:val="0"/>
          <w:bCs w:val="0"/>
          <w:lang w:val="en-US" w:eastAsia="zh-CN"/>
        </w:rPr>
      </w:pPr>
      <w:r>
        <w:rPr>
          <w:rFonts w:hint="eastAsia" w:ascii="宋体" w:hAnsi="宋体" w:eastAsia="宋体" w:cs="宋体"/>
          <w:b w:val="0"/>
          <w:bCs w:val="0"/>
          <w:color w:val="000000"/>
          <w:kern w:val="0"/>
          <w:sz w:val="24"/>
          <w:szCs w:val="24"/>
          <w:lang w:val="en-US" w:eastAsia="zh-CN" w:bidi="ar"/>
        </w:rPr>
        <w:t>2、投标人有下列情形之一的，属于恶意串通，对投标人依法追究法律责任:</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(一)投标人直接或者间接从采购人或者采购代理机构处获得其他投标人的相关情况并修改其投标文件；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(二) 投标人按照采购人或者采购代理机构的授意撤换、修改投标文件；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(三) 投标人之间协商报价、技术方案等投标文件或者投标文件的实质性内容；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(四)属于同一集团、协会、商会等组织成员的投标人按照该组织要求协同参加政府采购活动；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(五) 投标人之间事先约定由某一特定投标人中标；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(六) 投标人之间商定部分投标人放弃参加政府采购活动或者放弃中标；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(七) 投标人与采购人或者采购代理机构之间、投标人相互之间，为谋求特定投标人中标或者排斥其他投标人的其他串通行为。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3、有下列情形之一的，视为投标人相互串通投标: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(一)不同投标人的投标文件由同一单位或者个人编制;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(二)不同投标人委托同一单位或者个人办理投标事宜;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(三)不同投标人的投标文件载明的项目管理成员为同一人;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(四)不同投标人的投标文件异常一致或者投标报价呈规律性差异;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(五)不同投标人的投标文件相互混装;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4、有下列情形之一的，属于采购人与投标人串通投标: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(一)采购人在开标前开启投标文件并将有关信息泄露给其他投标人;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(二)采购人直接或者间接向投标人泄露标底、评标委员会成员等信息;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(三)采购人明示或者暗示投标人压低或者抬高投标报价;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(四)采购人授意投标人撤换、修改投标文件;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(五)采购人明示或者暗示投标人为特定投标人中标提供方便;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(六)采购人与投标人为谋求特定投标人中标而采取的其他串通行为。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5、使用通过受让或者租借等方式获取的资格、资质证书投标的，属于以他人名义投标。</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6、投标人有下列情形之一的，属于以其他方式弄虚作假的行为: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(一)使用伪造、变造的许可证件;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(二)提供虚假的财务状况或者业绩;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(三)提供虚假的项目负责人或者主要技术人员简历、劳动关系证明;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(四)提供虚假的信用状况;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(五)其他弄虚作假的行为。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7、按废标处理：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出现下列情形之一的，应予废标：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（1）符合专业条件的投标人或者对招标文件作实质响应的投标人不足三家的；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（2）出现影响采购公正的违法、违规行为的；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（3）投标人的报价均超过了采购预算，采购人不能支付的；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（4）因重大变故，采购任务取消的。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8、特殊情况下的评标方法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如出现投标人达不到法定要求的数量、串通投标、投标人互相诋毁及投标人所投报主要设备为相同品牌、型号产品并经评标委员会认定明显缺乏竞争，导致评标委员会无法评标或投标人报价均超出项目预算时，评标委员会有权停止评标，采购人经政府采购监督管理部门同意后，可以改用其它方式进行本项目。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五、评标纪律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1、评标是招标工作的重要环节，评标工作在评标委员会内独立进行。评标委员会将按照评标原则的要求，公正、平等地对待所有投标人。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2、所有评标人员应忠于职守、廉洁自律、秉公办事、不徇私情。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3、评标人员不得接受或参加投标人或与投标有关的单位、组织或个人的有碍公务的宴请、娱乐等，不得以任何形式弄虚作假。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4、评标期间，评标人员不得随意出入评标地点、与外界通讯、会客等。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5、在投标文件的审查、澄清、评价和比较以及授予合同的过程中，投标人对采购人、用户及评标委员会其他成员施加影响的任何行为，都将导致被取消投标资格。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6、为保证定标的公正性，在评标过程中，评委不得与任何投标人或与招标结果有利害关系的人员进行私下接触。在评标工作结束后，凡与评标情况有接触的任何人，不得将评标情况扩散出评标委员会以外。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7、评标过程中，当发表结论性意见时，先听取专家评委意见，用户评委随后发表意见。</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8、评标结束后，各评标人员应将全部资料整理交至采购代理机构，严禁将评标过程中的任何资料带出评标现场向投标人或其他单位提供。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9、采购代理机构与委托方应对评标委员会成员名单、拟邀请的潜在投标人名单、已购买招标文件的潜在投标人名单、评标过程予以保密。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10、评标委员会成员以及与评审有关的人员应当对评审情况和评审过程中获悉的国家秘密、商业秘密予以保密。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11、评标委员会成员应当客观、公正地履行职责，遵守职业道德，对所提出的评审意见承担个人责任。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12、评标工作开始前，由工作人员负责收缴并保管评委、工作人员的通讯工具。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13、在政府采购活动中，采购人员及相关人员与投标人有下列利害关系之一的，应当回避：</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（一）参加采购活动前 3 年内与投标人存在劳动关系；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（二）参加采购活动前 3 年内担任投标人的董事、监事；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（三）参加采购活动前 3 年内是投标人的控股股东或者实际控制人；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（四）与投标人的法定代表人或者负责人有夫妻、直系血亲、三代以内旁系血亲或者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近姻亲关系；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（五）与投标人有其他可能影响政府采购活动公平、公正进行的关系。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投标人认为采购人员及相关人员与其他投标人有利害关系的，可以向采购人书面提出回避申请，并说明理由。采购人应当及时询问被申请回避人员，有利害关系的被申请回避人员应当回避。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六、中标通知书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采购代理机构应当自评审结束之日起 2 个工作日内将评标报告送交采购人。采购人应当自收到评标报告之日起 5 个工作日内在评标报告推荐的中标候选人中按顺序确定中标人。</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采购人应当自中标人确定之日起 2 个工作日内，发出中标通知书，同时在县级人民政府网站上公告中标结果。</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《中标通知书》将作为签订合同的依据，且是合同的一个组成部分。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七、 签订合同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1、中标人须按《中标通知书》指定的时间、地点按照招标文件和投标文件确定的事项由采购代理机构协助与采购人签订政府采购合同，签订政府采购合同的时间在《中 标通知书》发出之日五个工作日内。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2、招标文件及其补充文件、中标人的投标文件及其澄清文件等，均为合同附件。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3、如中标人拒签合同，则按违约处理。采购人可依照《中华人民共和国政府采购法》、《中华人民共和国政府采购法实施条例》规定追究法律责任。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4、政府采购代理机构应当督促采购人和中标人及时签订合同，发生拖延或者拒绝签订合同、中止或者终止合同以及其他合同签订、履行异常情况时，应当了解情况，积极主动协调，协调无效时，应及时报同级财政部门，财政部门依法对责任方作出处理或处罚。</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5、中标人因不可抗力或者自身原因不能履行政府采购合同的，采购人可以与排位在中标人之后第一位的中标候选人签订政府采购合同，以此类推，也可进行重新招标。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八、质疑投诉：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投标人（供应商）可以委托代理人进行质疑和投诉。其授权委托书应当载明代理人的姓名或者名称、代理事项、具体权限、期限和相关事项。投标人（供应商）为自然人的，应当由本人签字；投标人（供应商）为法人或者其他组织的，应当由法定代表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主要负责人签字或者盖章，并加盖公章。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代理人提出质疑和投诉，应当提交投标人（供应商）签署的授权委托书。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以联合体形式参加政府采购活动的，其投诉应当由组成联合体的所有投标人（供应商）共同提出。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投标人（供应商）认为采购文件、采购过程、中标或者成交结果使自己的权益受到损害的，可以在知道或者应知其权益受到损害之日起 7 个工作日内，以书面形式向采购人、采购代理机构提出质疑。投标人（供应商）应当在法定质疑期内一次性提出针对同一采购程序环节的质疑。质疑投标人（供应商）对采购人、采购代理机构的答复不满意，或者采购人、采购代理机构未在规定时间内作出答复的，可以在答复期满后 15 个工作日内向规定的财政部门提起投诉。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质疑的提出和答复、投诉的提起和处理应严格按照中华人民共和国财政部令【第94号】《政府采购质疑和投诉办法》的规定。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质疑函收件人：白卿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rFonts w:hint="default"/>
          <w:b w:val="0"/>
          <w:bCs w:val="0"/>
          <w:lang w:val="en-US"/>
        </w:rPr>
      </w:pPr>
      <w:r>
        <w:rPr>
          <w:rFonts w:hint="eastAsia" w:ascii="宋体" w:hAnsi="宋体" w:eastAsia="宋体" w:cs="宋体"/>
          <w:b w:val="0"/>
          <w:bCs w:val="0"/>
          <w:color w:val="000000"/>
          <w:kern w:val="0"/>
          <w:sz w:val="24"/>
          <w:szCs w:val="24"/>
          <w:lang w:val="en-US" w:eastAsia="zh-CN" w:bidi="ar"/>
        </w:rPr>
        <w:t>联系电话：15198983480</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通讯地址：云南省昆明市寻甸县仁德镇文苑路35号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九、解释权：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 xml:space="preserve">1、本招标文件的最终解释权为采购人，解释以采购人的书面解释为准。 </w:t>
      </w:r>
    </w:p>
    <w:p>
      <w:pPr>
        <w:keepNext w:val="0"/>
        <w:keepLines w:val="0"/>
        <w:pageBreakBefore w:val="0"/>
        <w:widowControl/>
        <w:suppressLineNumbers w:val="0"/>
        <w:kinsoku/>
        <w:wordWrap/>
        <w:overflowPunct/>
        <w:topLinePunct w:val="0"/>
        <w:bidi w:val="0"/>
        <w:adjustRightInd/>
        <w:snapToGrid/>
        <w:spacing w:line="560" w:lineRule="exact"/>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2、招标文件未做须知明示，而又有相关法律、法规规定的，投标人应同时遵守相关法律、法规。</w:t>
      </w:r>
    </w:p>
    <w:p>
      <w:pPr>
        <w:pStyle w:val="2"/>
        <w:ind w:left="0" w:leftChars="0" w:firstLine="0" w:firstLineChars="0"/>
        <w:rPr>
          <w:rFonts w:hint="eastAsia" w:eastAsia="宋体"/>
          <w:lang w:val="en-US" w:eastAsia="zh-CN"/>
        </w:rPr>
      </w:pPr>
    </w:p>
    <w:sectPr>
      <w:headerReference r:id="rId5" w:type="default"/>
      <w:footerReference r:id="rId6" w:type="default"/>
      <w:pgSz w:w="11910" w:h="16840"/>
      <w:pgMar w:top="1520" w:right="860" w:bottom="1120" w:left="860" w:header="0" w:footer="9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3677920</wp:posOffset>
              </wp:positionH>
              <wp:positionV relativeFrom="page">
                <wp:posOffset>9966325</wp:posOffset>
              </wp:positionV>
              <wp:extent cx="203835"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0383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wps:txbx>
                    <wps:bodyPr lIns="0" tIns="0" rIns="0" bIns="0" upright="1"/>
                  </wps:wsp>
                </a:graphicData>
              </a:graphic>
            </wp:anchor>
          </w:drawing>
        </mc:Choice>
        <mc:Fallback>
          <w:pict>
            <v:shape id="文本框 1" o:spid="_x0000_s1026" o:spt="202" type="#_x0000_t202" style="position:absolute;left:0pt;margin-left:289.6pt;margin-top:784.75pt;height:11pt;width:16.05pt;mso-position-horizontal-relative:page;mso-position-vertical-relative:page;z-index:-251657216;mso-width-relative:page;mso-height-relative:page;" filled="f" stroked="f" coordsize="21600,21600" o:gfxdata="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CSU9q2wAAAA0BAAAPAAAAAAAAAAEAIAAAACIAAABkcnMvZG93bnJldi54bWxQ&#10;SwECFAAUAAAACACHTuJAwyiQ+bsBAABxAwAADgAAAAAAAAABACAAAAAqAQAAZHJzL2Uyb0RvYy54&#10;bWxQSwUGAAAAAAYABgBZAQAAVwU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94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64" w:hanging="241"/>
      </w:pPr>
      <w:rPr>
        <w:rFonts w:hint="default"/>
        <w:lang w:val="zh-CN" w:eastAsia="zh-CN" w:bidi="zh-CN"/>
      </w:rPr>
    </w:lvl>
    <w:lvl w:ilvl="2" w:tentative="0">
      <w:start w:val="0"/>
      <w:numFmt w:val="bullet"/>
      <w:lvlText w:val="•"/>
      <w:lvlJc w:val="left"/>
      <w:pPr>
        <w:ind w:left="2789" w:hanging="241"/>
      </w:pPr>
      <w:rPr>
        <w:rFonts w:hint="default"/>
        <w:lang w:val="zh-CN" w:eastAsia="zh-CN" w:bidi="zh-CN"/>
      </w:rPr>
    </w:lvl>
    <w:lvl w:ilvl="3" w:tentative="0">
      <w:start w:val="0"/>
      <w:numFmt w:val="bullet"/>
      <w:lvlText w:val="•"/>
      <w:lvlJc w:val="left"/>
      <w:pPr>
        <w:ind w:left="3713" w:hanging="241"/>
      </w:pPr>
      <w:rPr>
        <w:rFonts w:hint="default"/>
        <w:lang w:val="zh-CN" w:eastAsia="zh-CN" w:bidi="zh-CN"/>
      </w:rPr>
    </w:lvl>
    <w:lvl w:ilvl="4" w:tentative="0">
      <w:start w:val="0"/>
      <w:numFmt w:val="bullet"/>
      <w:lvlText w:val="•"/>
      <w:lvlJc w:val="left"/>
      <w:pPr>
        <w:ind w:left="4638" w:hanging="241"/>
      </w:pPr>
      <w:rPr>
        <w:rFonts w:hint="default"/>
        <w:lang w:val="zh-CN" w:eastAsia="zh-CN" w:bidi="zh-CN"/>
      </w:rPr>
    </w:lvl>
    <w:lvl w:ilvl="5" w:tentative="0">
      <w:start w:val="0"/>
      <w:numFmt w:val="bullet"/>
      <w:lvlText w:val="•"/>
      <w:lvlJc w:val="left"/>
      <w:pPr>
        <w:ind w:left="5563" w:hanging="241"/>
      </w:pPr>
      <w:rPr>
        <w:rFonts w:hint="default"/>
        <w:lang w:val="zh-CN" w:eastAsia="zh-CN" w:bidi="zh-CN"/>
      </w:rPr>
    </w:lvl>
    <w:lvl w:ilvl="6" w:tentative="0">
      <w:start w:val="0"/>
      <w:numFmt w:val="bullet"/>
      <w:lvlText w:val="•"/>
      <w:lvlJc w:val="left"/>
      <w:pPr>
        <w:ind w:left="6487" w:hanging="241"/>
      </w:pPr>
      <w:rPr>
        <w:rFonts w:hint="default"/>
        <w:lang w:val="zh-CN" w:eastAsia="zh-CN" w:bidi="zh-CN"/>
      </w:rPr>
    </w:lvl>
    <w:lvl w:ilvl="7" w:tentative="0">
      <w:start w:val="0"/>
      <w:numFmt w:val="bullet"/>
      <w:lvlText w:val="•"/>
      <w:lvlJc w:val="left"/>
      <w:pPr>
        <w:ind w:left="7412" w:hanging="241"/>
      </w:pPr>
      <w:rPr>
        <w:rFonts w:hint="default"/>
        <w:lang w:val="zh-CN" w:eastAsia="zh-CN" w:bidi="zh-CN"/>
      </w:rPr>
    </w:lvl>
    <w:lvl w:ilvl="8" w:tentative="0">
      <w:start w:val="0"/>
      <w:numFmt w:val="bullet"/>
      <w:lvlText w:val="•"/>
      <w:lvlJc w:val="left"/>
      <w:pPr>
        <w:ind w:left="8336" w:hanging="241"/>
      </w:pPr>
      <w:rPr>
        <w:rFonts w:hint="default"/>
        <w:lang w:val="zh-CN" w:eastAsia="zh-CN" w:bidi="zh-CN"/>
      </w:rPr>
    </w:lvl>
  </w:abstractNum>
  <w:abstractNum w:abstractNumId="1">
    <w:nsid w:val="B965CEB9"/>
    <w:multiLevelType w:val="singleLevel"/>
    <w:tmpl w:val="B965CEB9"/>
    <w:lvl w:ilvl="0" w:tentative="0">
      <w:start w:val="1"/>
      <w:numFmt w:val="decimal"/>
      <w:suff w:val="nothing"/>
      <w:lvlText w:val="%1、"/>
      <w:lvlJc w:val="left"/>
    </w:lvl>
  </w:abstractNum>
  <w:abstractNum w:abstractNumId="2">
    <w:nsid w:val="BF205925"/>
    <w:multiLevelType w:val="multilevel"/>
    <w:tmpl w:val="BF205925"/>
    <w:lvl w:ilvl="0" w:tentative="0">
      <w:start w:val="1"/>
      <w:numFmt w:val="decimal"/>
      <w:lvlText w:val="%1."/>
      <w:lvlJc w:val="left"/>
      <w:pPr>
        <w:ind w:left="222"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216" w:hanging="241"/>
      </w:pPr>
      <w:rPr>
        <w:rFonts w:hint="default"/>
        <w:lang w:val="zh-CN" w:eastAsia="zh-CN" w:bidi="zh-CN"/>
      </w:rPr>
    </w:lvl>
    <w:lvl w:ilvl="2" w:tentative="0">
      <w:start w:val="0"/>
      <w:numFmt w:val="bullet"/>
      <w:lvlText w:val="•"/>
      <w:lvlJc w:val="left"/>
      <w:pPr>
        <w:ind w:left="2213" w:hanging="241"/>
      </w:pPr>
      <w:rPr>
        <w:rFonts w:hint="default"/>
        <w:lang w:val="zh-CN" w:eastAsia="zh-CN" w:bidi="zh-CN"/>
      </w:rPr>
    </w:lvl>
    <w:lvl w:ilvl="3" w:tentative="0">
      <w:start w:val="0"/>
      <w:numFmt w:val="bullet"/>
      <w:lvlText w:val="•"/>
      <w:lvlJc w:val="left"/>
      <w:pPr>
        <w:ind w:left="3209" w:hanging="241"/>
      </w:pPr>
      <w:rPr>
        <w:rFonts w:hint="default"/>
        <w:lang w:val="zh-CN" w:eastAsia="zh-CN" w:bidi="zh-CN"/>
      </w:rPr>
    </w:lvl>
    <w:lvl w:ilvl="4" w:tentative="0">
      <w:start w:val="0"/>
      <w:numFmt w:val="bullet"/>
      <w:lvlText w:val="•"/>
      <w:lvlJc w:val="left"/>
      <w:pPr>
        <w:ind w:left="4206" w:hanging="241"/>
      </w:pPr>
      <w:rPr>
        <w:rFonts w:hint="default"/>
        <w:lang w:val="zh-CN" w:eastAsia="zh-CN" w:bidi="zh-CN"/>
      </w:rPr>
    </w:lvl>
    <w:lvl w:ilvl="5" w:tentative="0">
      <w:start w:val="0"/>
      <w:numFmt w:val="bullet"/>
      <w:lvlText w:val="•"/>
      <w:lvlJc w:val="left"/>
      <w:pPr>
        <w:ind w:left="5203" w:hanging="241"/>
      </w:pPr>
      <w:rPr>
        <w:rFonts w:hint="default"/>
        <w:lang w:val="zh-CN" w:eastAsia="zh-CN" w:bidi="zh-CN"/>
      </w:rPr>
    </w:lvl>
    <w:lvl w:ilvl="6" w:tentative="0">
      <w:start w:val="0"/>
      <w:numFmt w:val="bullet"/>
      <w:lvlText w:val="•"/>
      <w:lvlJc w:val="left"/>
      <w:pPr>
        <w:ind w:left="6199" w:hanging="241"/>
      </w:pPr>
      <w:rPr>
        <w:rFonts w:hint="default"/>
        <w:lang w:val="zh-CN" w:eastAsia="zh-CN" w:bidi="zh-CN"/>
      </w:rPr>
    </w:lvl>
    <w:lvl w:ilvl="7" w:tentative="0">
      <w:start w:val="0"/>
      <w:numFmt w:val="bullet"/>
      <w:lvlText w:val="•"/>
      <w:lvlJc w:val="left"/>
      <w:pPr>
        <w:ind w:left="7196" w:hanging="241"/>
      </w:pPr>
      <w:rPr>
        <w:rFonts w:hint="default"/>
        <w:lang w:val="zh-CN" w:eastAsia="zh-CN" w:bidi="zh-CN"/>
      </w:rPr>
    </w:lvl>
    <w:lvl w:ilvl="8" w:tentative="0">
      <w:start w:val="0"/>
      <w:numFmt w:val="bullet"/>
      <w:lvlText w:val="•"/>
      <w:lvlJc w:val="left"/>
      <w:pPr>
        <w:ind w:left="8192" w:hanging="241"/>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943" w:hanging="241"/>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222" w:hanging="420"/>
        <w:jc w:val="left"/>
      </w:pPr>
      <w:rPr>
        <w:rFonts w:hint="default"/>
        <w:w w:val="100"/>
        <w:lang w:val="zh-CN" w:eastAsia="zh-CN" w:bidi="zh-CN"/>
      </w:rPr>
    </w:lvl>
    <w:lvl w:ilvl="2" w:tentative="0">
      <w:start w:val="1"/>
      <w:numFmt w:val="decimal"/>
      <w:lvlText w:val="%1.%2.%3"/>
      <w:lvlJc w:val="left"/>
      <w:pPr>
        <w:ind w:left="222"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994" w:hanging="660"/>
      </w:pPr>
      <w:rPr>
        <w:rFonts w:hint="default"/>
        <w:lang w:val="zh-CN" w:eastAsia="zh-CN" w:bidi="zh-CN"/>
      </w:rPr>
    </w:lvl>
    <w:lvl w:ilvl="4" w:tentative="0">
      <w:start w:val="0"/>
      <w:numFmt w:val="bullet"/>
      <w:lvlText w:val="•"/>
      <w:lvlJc w:val="left"/>
      <w:pPr>
        <w:ind w:left="4022" w:hanging="660"/>
      </w:pPr>
      <w:rPr>
        <w:rFonts w:hint="default"/>
        <w:lang w:val="zh-CN" w:eastAsia="zh-CN" w:bidi="zh-CN"/>
      </w:rPr>
    </w:lvl>
    <w:lvl w:ilvl="5" w:tentative="0">
      <w:start w:val="0"/>
      <w:numFmt w:val="bullet"/>
      <w:lvlText w:val="•"/>
      <w:lvlJc w:val="left"/>
      <w:pPr>
        <w:ind w:left="5049" w:hanging="660"/>
      </w:pPr>
      <w:rPr>
        <w:rFonts w:hint="default"/>
        <w:lang w:val="zh-CN" w:eastAsia="zh-CN" w:bidi="zh-CN"/>
      </w:rPr>
    </w:lvl>
    <w:lvl w:ilvl="6" w:tentative="0">
      <w:start w:val="0"/>
      <w:numFmt w:val="bullet"/>
      <w:lvlText w:val="•"/>
      <w:lvlJc w:val="left"/>
      <w:pPr>
        <w:ind w:left="6076" w:hanging="660"/>
      </w:pPr>
      <w:rPr>
        <w:rFonts w:hint="default"/>
        <w:lang w:val="zh-CN" w:eastAsia="zh-CN" w:bidi="zh-CN"/>
      </w:rPr>
    </w:lvl>
    <w:lvl w:ilvl="7" w:tentative="0">
      <w:start w:val="0"/>
      <w:numFmt w:val="bullet"/>
      <w:lvlText w:val="•"/>
      <w:lvlJc w:val="left"/>
      <w:pPr>
        <w:ind w:left="7104" w:hanging="660"/>
      </w:pPr>
      <w:rPr>
        <w:rFonts w:hint="default"/>
        <w:lang w:val="zh-CN" w:eastAsia="zh-CN" w:bidi="zh-CN"/>
      </w:rPr>
    </w:lvl>
    <w:lvl w:ilvl="8" w:tentative="0">
      <w:start w:val="0"/>
      <w:numFmt w:val="bullet"/>
      <w:lvlText w:val="•"/>
      <w:lvlJc w:val="left"/>
      <w:pPr>
        <w:ind w:left="8131" w:hanging="660"/>
      </w:pPr>
      <w:rPr>
        <w:rFonts w:hint="default"/>
        <w:lang w:val="zh-CN" w:eastAsia="zh-CN" w:bidi="zh-CN"/>
      </w:rPr>
    </w:lvl>
  </w:abstractNum>
  <w:abstractNum w:abstractNumId="4">
    <w:nsid w:val="0053208E"/>
    <w:multiLevelType w:val="multilevel"/>
    <w:tmpl w:val="0053208E"/>
    <w:lvl w:ilvl="0" w:tentative="0">
      <w:start w:val="1"/>
      <w:numFmt w:val="decimal"/>
      <w:lvlText w:val="%1"/>
      <w:lvlJc w:val="left"/>
      <w:pPr>
        <w:ind w:left="1122" w:hanging="420"/>
        <w:jc w:val="left"/>
      </w:pPr>
      <w:rPr>
        <w:rFonts w:hint="default"/>
        <w:lang w:val="zh-CN" w:eastAsia="zh-CN" w:bidi="zh-CN"/>
      </w:rPr>
    </w:lvl>
    <w:lvl w:ilvl="1" w:tentative="0">
      <w:start w:val="1"/>
      <w:numFmt w:val="decimal"/>
      <w:lvlText w:val="%1.%2"/>
      <w:lvlJc w:val="left"/>
      <w:pPr>
        <w:ind w:left="1122"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362"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321" w:hanging="660"/>
      </w:pPr>
      <w:rPr>
        <w:rFonts w:hint="default"/>
        <w:lang w:val="zh-CN" w:eastAsia="zh-CN" w:bidi="zh-CN"/>
      </w:rPr>
    </w:lvl>
    <w:lvl w:ilvl="4" w:tentative="0">
      <w:start w:val="0"/>
      <w:numFmt w:val="bullet"/>
      <w:lvlText w:val="•"/>
      <w:lvlJc w:val="left"/>
      <w:pPr>
        <w:ind w:left="4302" w:hanging="660"/>
      </w:pPr>
      <w:rPr>
        <w:rFonts w:hint="default"/>
        <w:lang w:val="zh-CN" w:eastAsia="zh-CN" w:bidi="zh-CN"/>
      </w:rPr>
    </w:lvl>
    <w:lvl w:ilvl="5" w:tentative="0">
      <w:start w:val="0"/>
      <w:numFmt w:val="bullet"/>
      <w:lvlText w:val="•"/>
      <w:lvlJc w:val="left"/>
      <w:pPr>
        <w:ind w:left="5282" w:hanging="660"/>
      </w:pPr>
      <w:rPr>
        <w:rFonts w:hint="default"/>
        <w:lang w:val="zh-CN" w:eastAsia="zh-CN" w:bidi="zh-CN"/>
      </w:rPr>
    </w:lvl>
    <w:lvl w:ilvl="6" w:tentative="0">
      <w:start w:val="0"/>
      <w:numFmt w:val="bullet"/>
      <w:lvlText w:val="•"/>
      <w:lvlJc w:val="left"/>
      <w:pPr>
        <w:ind w:left="6263" w:hanging="660"/>
      </w:pPr>
      <w:rPr>
        <w:rFonts w:hint="default"/>
        <w:lang w:val="zh-CN" w:eastAsia="zh-CN" w:bidi="zh-CN"/>
      </w:rPr>
    </w:lvl>
    <w:lvl w:ilvl="7" w:tentative="0">
      <w:start w:val="0"/>
      <w:numFmt w:val="bullet"/>
      <w:lvlText w:val="•"/>
      <w:lvlJc w:val="left"/>
      <w:pPr>
        <w:ind w:left="7244" w:hanging="660"/>
      </w:pPr>
      <w:rPr>
        <w:rFonts w:hint="default"/>
        <w:lang w:val="zh-CN" w:eastAsia="zh-CN" w:bidi="zh-CN"/>
      </w:rPr>
    </w:lvl>
    <w:lvl w:ilvl="8" w:tentative="0">
      <w:start w:val="0"/>
      <w:numFmt w:val="bullet"/>
      <w:lvlText w:val="•"/>
      <w:lvlJc w:val="left"/>
      <w:pPr>
        <w:ind w:left="8224" w:hanging="660"/>
      </w:pPr>
      <w:rPr>
        <w:rFonts w:hint="default"/>
        <w:lang w:val="zh-CN" w:eastAsia="zh-CN" w:bidi="zh-CN"/>
      </w:rPr>
    </w:lvl>
  </w:abstractNum>
  <w:abstractNum w:abstractNumId="5">
    <w:nsid w:val="59ADCABA"/>
    <w:multiLevelType w:val="multilevel"/>
    <w:tmpl w:val="59ADCABA"/>
    <w:lvl w:ilvl="0" w:tentative="0">
      <w:start w:val="1"/>
      <w:numFmt w:val="decimal"/>
      <w:lvlText w:val="%1."/>
      <w:lvlJc w:val="left"/>
      <w:pPr>
        <w:ind w:left="943" w:hanging="241"/>
        <w:jc w:val="left"/>
      </w:pPr>
      <w:rPr>
        <w:rFonts w:hint="default" w:ascii="宋体" w:hAnsi="宋体" w:eastAsia="宋体" w:cs="宋体"/>
        <w:spacing w:val="-60"/>
        <w:w w:val="100"/>
        <w:sz w:val="22"/>
        <w:szCs w:val="22"/>
        <w:lang w:val="zh-CN" w:eastAsia="zh-CN" w:bidi="zh-CN"/>
      </w:rPr>
    </w:lvl>
    <w:lvl w:ilvl="1" w:tentative="0">
      <w:start w:val="1"/>
      <w:numFmt w:val="decimal"/>
      <w:lvlText w:val="%1.%2"/>
      <w:lvlJc w:val="left"/>
      <w:pPr>
        <w:ind w:left="222"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7" w:hanging="420"/>
      </w:pPr>
      <w:rPr>
        <w:rFonts w:hint="default"/>
        <w:lang w:val="zh-CN" w:eastAsia="zh-CN" w:bidi="zh-CN"/>
      </w:rPr>
    </w:lvl>
    <w:lvl w:ilvl="3" w:tentative="0">
      <w:start w:val="0"/>
      <w:numFmt w:val="bullet"/>
      <w:lvlText w:val="•"/>
      <w:lvlJc w:val="left"/>
      <w:pPr>
        <w:ind w:left="2994" w:hanging="420"/>
      </w:pPr>
      <w:rPr>
        <w:rFonts w:hint="default"/>
        <w:lang w:val="zh-CN" w:eastAsia="zh-CN" w:bidi="zh-CN"/>
      </w:rPr>
    </w:lvl>
    <w:lvl w:ilvl="4" w:tentative="0">
      <w:start w:val="0"/>
      <w:numFmt w:val="bullet"/>
      <w:lvlText w:val="•"/>
      <w:lvlJc w:val="left"/>
      <w:pPr>
        <w:ind w:left="4022" w:hanging="420"/>
      </w:pPr>
      <w:rPr>
        <w:rFonts w:hint="default"/>
        <w:lang w:val="zh-CN" w:eastAsia="zh-CN" w:bidi="zh-CN"/>
      </w:rPr>
    </w:lvl>
    <w:lvl w:ilvl="5" w:tentative="0">
      <w:start w:val="0"/>
      <w:numFmt w:val="bullet"/>
      <w:lvlText w:val="•"/>
      <w:lvlJc w:val="left"/>
      <w:pPr>
        <w:ind w:left="5049" w:hanging="420"/>
      </w:pPr>
      <w:rPr>
        <w:rFonts w:hint="default"/>
        <w:lang w:val="zh-CN" w:eastAsia="zh-CN" w:bidi="zh-CN"/>
      </w:rPr>
    </w:lvl>
    <w:lvl w:ilvl="6" w:tentative="0">
      <w:start w:val="0"/>
      <w:numFmt w:val="bullet"/>
      <w:lvlText w:val="•"/>
      <w:lvlJc w:val="left"/>
      <w:pPr>
        <w:ind w:left="6076" w:hanging="420"/>
      </w:pPr>
      <w:rPr>
        <w:rFonts w:hint="default"/>
        <w:lang w:val="zh-CN" w:eastAsia="zh-CN" w:bidi="zh-CN"/>
      </w:rPr>
    </w:lvl>
    <w:lvl w:ilvl="7" w:tentative="0">
      <w:start w:val="0"/>
      <w:numFmt w:val="bullet"/>
      <w:lvlText w:val="•"/>
      <w:lvlJc w:val="left"/>
      <w:pPr>
        <w:ind w:left="7104" w:hanging="420"/>
      </w:pPr>
      <w:rPr>
        <w:rFonts w:hint="default"/>
        <w:lang w:val="zh-CN" w:eastAsia="zh-CN" w:bidi="zh-CN"/>
      </w:rPr>
    </w:lvl>
    <w:lvl w:ilvl="8" w:tentative="0">
      <w:start w:val="0"/>
      <w:numFmt w:val="bullet"/>
      <w:lvlText w:val="•"/>
      <w:lvlJc w:val="left"/>
      <w:pPr>
        <w:ind w:left="8131" w:hanging="420"/>
      </w:pPr>
      <w:rPr>
        <w:rFonts w:hint="default"/>
        <w:lang w:val="zh-CN" w:eastAsia="zh-CN" w:bidi="zh-CN"/>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D70A5"/>
    <w:rsid w:val="0FCC7906"/>
    <w:rsid w:val="1CA8252A"/>
    <w:rsid w:val="32310EE8"/>
    <w:rsid w:val="4AEE2683"/>
    <w:rsid w:val="4B680665"/>
    <w:rsid w:val="51FF3751"/>
    <w:rsid w:val="66AF6133"/>
    <w:rsid w:val="68605964"/>
    <w:rsid w:val="6AB51EC1"/>
    <w:rsid w:val="71D415F1"/>
    <w:rsid w:val="7C1F1941"/>
    <w:rsid w:val="7D2C525F"/>
    <w:rsid w:val="7F415B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left="222"/>
      <w:outlineLvl w:val="1"/>
    </w:pPr>
    <w:rPr>
      <w:rFonts w:ascii="宋体" w:hAnsi="宋体" w:eastAsia="宋体" w:cs="宋体"/>
      <w:b/>
      <w:bCs/>
      <w:sz w:val="28"/>
      <w:szCs w:val="28"/>
      <w:lang w:val="zh-CN" w:eastAsia="zh-CN" w:bidi="zh-CN"/>
    </w:rPr>
  </w:style>
  <w:style w:type="paragraph" w:styleId="5">
    <w:name w:val="heading 2"/>
    <w:basedOn w:val="1"/>
    <w:next w:val="6"/>
    <w:qFormat/>
    <w:uiPriority w:val="1"/>
    <w:pPr>
      <w:outlineLvl w:val="2"/>
    </w:pPr>
    <w:rPr>
      <w:rFonts w:ascii="宋体" w:hAnsi="宋体" w:eastAsia="宋体" w:cs="宋体"/>
      <w:b/>
      <w:bCs/>
      <w:sz w:val="24"/>
      <w:szCs w:val="24"/>
      <w:lang w:val="zh-CN" w:eastAsia="zh-CN" w:bidi="zh-CN"/>
    </w:rPr>
  </w:style>
  <w:style w:type="paragraph" w:styleId="7">
    <w:name w:val="heading 3"/>
    <w:basedOn w:val="1"/>
    <w:next w:val="1"/>
    <w:qFormat/>
    <w:uiPriority w:val="99"/>
    <w:pPr>
      <w:keepNext/>
      <w:keepLines/>
      <w:widowControl w:val="0"/>
      <w:spacing w:before="380" w:after="380" w:line="412" w:lineRule="auto"/>
      <w:jc w:val="center"/>
      <w:outlineLvl w:val="2"/>
    </w:pPr>
    <w:rPr>
      <w:rFonts w:ascii="Times New Roman" w:hAnsi="Times New Roman" w:eastAsia="宋体"/>
      <w:b/>
      <w:bCs/>
      <w:sz w:val="28"/>
      <w:szCs w:val="32"/>
    </w:rPr>
  </w:style>
  <w:style w:type="character" w:default="1" w:styleId="17">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ind w:firstLine="420" w:firstLineChars="200"/>
      <w:jc w:val="left"/>
    </w:pPr>
    <w:rPr>
      <w:rFonts w:ascii="Calibri" w:hAnsi="Calibri"/>
      <w:szCs w:val="22"/>
    </w:rPr>
  </w:style>
  <w:style w:type="paragraph" w:styleId="3">
    <w:name w:val="Body Text Indent"/>
    <w:basedOn w:val="1"/>
    <w:unhideWhenUsed/>
    <w:qFormat/>
    <w:uiPriority w:val="99"/>
    <w:pPr>
      <w:spacing w:line="460" w:lineRule="exact"/>
      <w:ind w:firstLine="510"/>
    </w:pPr>
  </w:style>
  <w:style w:type="paragraph" w:styleId="6">
    <w:name w:val="Normal Indent"/>
    <w:basedOn w:val="1"/>
    <w:unhideWhenUsed/>
    <w:qFormat/>
    <w:uiPriority w:val="99"/>
    <w:pPr>
      <w:ind w:firstLine="420" w:firstLineChars="200"/>
    </w:pPr>
  </w:style>
  <w:style w:type="paragraph" w:styleId="8">
    <w:name w:val="Body Text 3"/>
    <w:basedOn w:val="1"/>
    <w:unhideWhenUsed/>
    <w:qFormat/>
    <w:uiPriority w:val="99"/>
    <w:rPr>
      <w:rFonts w:ascii="宋体"/>
      <w:sz w:val="24"/>
      <w:szCs w:val="24"/>
    </w:rPr>
  </w:style>
  <w:style w:type="paragraph" w:styleId="9">
    <w:name w:val="Body Text"/>
    <w:basedOn w:val="1"/>
    <w:next w:val="10"/>
    <w:qFormat/>
    <w:uiPriority w:val="1"/>
    <w:pPr>
      <w:ind w:left="222"/>
    </w:pPr>
    <w:rPr>
      <w:rFonts w:ascii="宋体" w:hAnsi="宋体" w:eastAsia="宋体" w:cs="宋体"/>
      <w:sz w:val="24"/>
      <w:szCs w:val="24"/>
      <w:lang w:val="zh-CN" w:eastAsia="zh-CN" w:bidi="zh-CN"/>
    </w:rPr>
  </w:style>
  <w:style w:type="paragraph" w:styleId="10">
    <w:name w:val="toc 5"/>
    <w:basedOn w:val="1"/>
    <w:next w:val="1"/>
    <w:unhideWhenUsed/>
    <w:qFormat/>
    <w:uiPriority w:val="39"/>
    <w:pPr>
      <w:ind w:left="840"/>
    </w:pPr>
    <w:rPr>
      <w:rFonts w:ascii="Calibri" w:hAnsi="Calibri" w:cs="Calibri"/>
      <w:sz w:val="18"/>
      <w:szCs w:val="18"/>
    </w:rPr>
  </w:style>
  <w:style w:type="paragraph" w:styleId="11">
    <w:name w:val="Plain Text"/>
    <w:basedOn w:val="1"/>
    <w:next w:val="1"/>
    <w:qFormat/>
    <w:uiPriority w:val="0"/>
    <w:rPr>
      <w:rFonts w:ascii="宋体" w:hAnsi="Courier New"/>
      <w:szCs w:val="20"/>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spacing w:before="100" w:beforeAutospacing="1" w:after="100" w:afterAutospacing="1"/>
    </w:pPr>
    <w:rPr>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222" w:firstLine="480"/>
    </w:pPr>
    <w:rPr>
      <w:rFonts w:ascii="宋体" w:hAnsi="宋体" w:eastAsia="宋体" w:cs="宋体"/>
      <w:lang w:val="zh-CN" w:eastAsia="zh-CN" w:bidi="zh-CN"/>
    </w:rPr>
  </w:style>
  <w:style w:type="paragraph" w:customStyle="1" w:styleId="20">
    <w:name w:val="Table Paragraph"/>
    <w:basedOn w:val="1"/>
    <w:qFormat/>
    <w:uiPriority w:val="1"/>
    <w:rPr>
      <w:rFonts w:ascii="宋体" w:hAnsi="宋体" w:eastAsia="宋体" w:cs="宋体"/>
      <w:lang w:val="zh-CN" w:eastAsia="zh-CN" w:bidi="zh-CN"/>
    </w:rPr>
  </w:style>
  <w:style w:type="character" w:customStyle="1" w:styleId="21">
    <w:name w:val="15"/>
    <w:qFormat/>
    <w:uiPriority w:val="0"/>
    <w:rPr>
      <w:rFonts w:hint="default" w:ascii="Times New Roman" w:hAnsi="Times New Roman" w:cs="Times New Roman"/>
      <w:b/>
      <w:bCs/>
      <w:kern w:val="44"/>
      <w:sz w:val="44"/>
      <w:szCs w:val="44"/>
    </w:rPr>
  </w:style>
  <w:style w:type="paragraph" w:customStyle="1" w:styleId="22">
    <w:name w:val="_Style 2"/>
    <w:basedOn w:val="1"/>
    <w:qFormat/>
    <w:uiPriority w:val="0"/>
  </w:style>
  <w:style w:type="paragraph" w:customStyle="1" w:styleId="23">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character" w:customStyle="1" w:styleId="24">
    <w:name w:val="16"/>
    <w:qFormat/>
    <w:uiPriority w:val="0"/>
    <w:rPr>
      <w:rFonts w:hint="default" w:ascii="Times New Roman" w:hAnsi="Times New Roman" w:cs="Times New Roman"/>
      <w:b/>
      <w:bCs/>
      <w:sz w:val="32"/>
      <w:szCs w:val="32"/>
    </w:rPr>
  </w:style>
  <w:style w:type="paragraph" w:customStyle="1" w:styleId="25">
    <w:name w:val="样式 样式 首行缩进:  2.57 字符 + 首行缩进:  2.57 字符"/>
    <w:basedOn w:val="1"/>
    <w:qFormat/>
    <w:uiPriority w:val="0"/>
    <w:pPr>
      <w:spacing w:line="360" w:lineRule="auto"/>
      <w:ind w:firstLine="771" w:firstLineChars="257"/>
    </w:pPr>
    <w:rPr>
      <w:rFonts w:eastAsia="仿宋" w:cs="宋体"/>
      <w:sz w:val="30"/>
      <w:szCs w:val="30"/>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2022-01-02T03:48:00Z</dcterms:created>
  <dc:creator>jsb</dc:creator>
  <cp:lastModifiedBy>Administrator</cp:lastModifiedBy>
  <cp:lastPrinted>2022-01-03T14:33:00Z</cp:lastPrinted>
  <dcterms:modified xsi:type="dcterms:W3CDTF">2022-01-04T06:54:53Z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WPS 文字</vt:lpwstr>
  </property>
  <property fmtid="{D5CDD505-2E9C-101B-9397-08002B2CF9AE}" pid="4" name="LastSaved">
    <vt:filetime>2022-01-02T00:00:00Z</vt:filetime>
  </property>
  <property fmtid="{D5CDD505-2E9C-101B-9397-08002B2CF9AE}" pid="5" name="KSOProductBuildVer">
    <vt:lpwstr>2052-11.1.0.11194</vt:lpwstr>
  </property>
  <property fmtid="{D5CDD505-2E9C-101B-9397-08002B2CF9AE}" pid="6" name="ICV">
    <vt:lpwstr>51283568B12648119838284DEDB36C4B</vt:lpwstr>
  </property>
</Properties>
</file>