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2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微软雅黑" w:eastAsia="方正小标宋简体"/>
          <w:b w:val="0"/>
          <w:sz w:val="36"/>
          <w:szCs w:val="36"/>
        </w:rPr>
      </w:pPr>
      <w:r>
        <w:rPr>
          <w:rFonts w:hint="eastAsia" w:ascii="方正小标宋简体" w:hAnsi="微软雅黑" w:eastAsia="方正小标宋简体"/>
          <w:b w:val="0"/>
          <w:sz w:val="36"/>
          <w:szCs w:val="36"/>
        </w:rPr>
        <w:t>教育部办公厅《关于坚决查处变相违规开展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方正小标宋简体" w:hAnsi="微软雅黑" w:eastAsia="方正小标宋简体"/>
          <w:b w:val="0"/>
          <w:sz w:val="36"/>
          <w:szCs w:val="36"/>
        </w:rPr>
      </w:pPr>
      <w:r>
        <w:rPr>
          <w:rFonts w:hint="eastAsia" w:ascii="方正小标宋简体" w:hAnsi="微软雅黑" w:eastAsia="方正小标宋简体"/>
          <w:b w:val="0"/>
          <w:sz w:val="36"/>
          <w:szCs w:val="36"/>
        </w:rPr>
        <w:t>学科类校外培训问题的通知》中关于学科类培训应依法依规予以查处的行为：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1.违反培训主体有关规定，证照不全的机构或个人，以咨询、文化传播、“家政服务”“住家教师”“众筹私教”等名义违规开展学科类培训。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2.违反培训人员有关规定，不具备教师资格的人员违规开展学科类培训，在职中小学教师违规开展有偿补课。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3.违反培训时间有关规定，通过“直播变录播”等方式违规开展学科类培训。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4.违反培训地点有关规定，组织异地培训，在居民楼、酒店、咖啡厅等场所，化整为零在登记场所之外开展“一对一”“一对多”等学科类培训。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5.违反培训内容有关规定，以游学、研学、夏令营、思维素养、国学素养等名义，或者在科技、体育、文化艺术等非学科类培训中，违规开展学科类培训。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6.违反培训方式有关规定，线下机构通过即时通讯、网络会议、直播平台等方式违规开展线上学科类培训。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7.其他违反相关规定的隐形变异学科类培训。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E2D46"/>
    <w:rsid w:val="0F1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2022-01-13T03:10:00Z</dcterms:created>
  <dc:creator>Administrator</dc:creator>
  <cp:lastModifiedBy>Administrator</cp:lastModifiedBy>
  <dcterms:modified xsi:type="dcterms:W3CDTF">2022-01-13T03:11:07Z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