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粗黑宋简体" w:hAnsi="方正粗黑宋简体" w:eastAsia="方正粗黑宋简体" w:cs="方正粗黑宋简体"/>
          <w:sz w:val="32"/>
          <w:szCs w:val="32"/>
          <w:lang w:val="en-US" w:eastAsia="zh-CN"/>
        </w:rPr>
      </w:pPr>
      <w:r>
        <w:rPr>
          <w:rFonts w:hint="eastAsia" w:ascii="方正粗黑宋简体" w:hAnsi="方正粗黑宋简体" w:eastAsia="方正粗黑宋简体" w:cs="方正粗黑宋简体"/>
          <w:sz w:val="32"/>
          <w:szCs w:val="32"/>
          <w:lang w:eastAsia="zh-CN"/>
        </w:rPr>
        <w:t>附件</w:t>
      </w:r>
      <w:r>
        <w:rPr>
          <w:rFonts w:hint="eastAsia" w:ascii="方正粗黑宋简体" w:hAnsi="方正粗黑宋简体" w:eastAsia="方正粗黑宋简体" w:cs="方正粗黑宋简体"/>
          <w:sz w:val="32"/>
          <w:szCs w:val="32"/>
          <w:lang w:val="en-US" w:eastAsia="zh-CN"/>
        </w:rPr>
        <w:t>3</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昆明市应急管理局规范行政强制裁量权细化标准表</w:t>
      </w:r>
    </w:p>
    <w:tbl>
      <w:tblPr>
        <w:tblStyle w:val="5"/>
        <w:tblW w:w="13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7"/>
        <w:gridCol w:w="1165"/>
        <w:gridCol w:w="1560"/>
        <w:gridCol w:w="3814"/>
        <w:gridCol w:w="1815"/>
        <w:gridCol w:w="2715"/>
        <w:gridCol w:w="120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强制种类</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强制事项</w:t>
            </w:r>
          </w:p>
        </w:tc>
        <w:tc>
          <w:tcPr>
            <w:tcW w:w="3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法律依据</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适用情形</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强制流程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Style w:val="8"/>
                <w:b/>
                <w:bCs/>
                <w:lang w:val="en-US" w:eastAsia="zh-CN" w:bidi="ar"/>
              </w:rPr>
            </w:pPr>
            <w:r>
              <w:rPr>
                <w:rStyle w:val="8"/>
                <w:b/>
                <w:bCs/>
                <w:lang w:val="en-US" w:eastAsia="zh-CN" w:bidi="ar"/>
              </w:rPr>
              <w:t>裁量情节</w:t>
            </w: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Style w:val="8"/>
                <w:b/>
                <w:bCs/>
                <w:lang w:val="en-US" w:eastAsia="zh-CN" w:bidi="ar"/>
              </w:rPr>
            </w:pPr>
            <w:r>
              <w:rPr>
                <w:rStyle w:val="8"/>
                <w:b/>
                <w:bCs/>
                <w:lang w:val="en-US" w:eastAsia="zh-CN" w:bidi="ar"/>
              </w:rPr>
              <w:t>强制时限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7" w:hRule="atLeast"/>
        </w:trPr>
        <w:tc>
          <w:tcPr>
            <w:tcW w:w="43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16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查封场所、设施、设备、器材，扣押危险化学品</w:t>
            </w:r>
          </w:p>
        </w:tc>
        <w:tc>
          <w:tcPr>
            <w:tcW w:w="1560"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查封或者扣押有根据认为不符合保障安全生产的国家标准或者行业标准的设施、设备、器材以及违法生产、储存、使用、经营危险化学品；查封违法生产、储存、使用、经营危险化学品的作业场所</w:t>
            </w:r>
          </w:p>
        </w:tc>
        <w:tc>
          <w:tcPr>
            <w:tcW w:w="3814"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default"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w:t>
            </w:r>
            <w:r>
              <w:rPr>
                <w:rStyle w:val="9"/>
                <w:rFonts w:hint="eastAsia" w:ascii="仿宋_GB2312" w:hAnsi="仿宋_GB2312" w:eastAsia="仿宋_GB2312" w:cs="仿宋_GB2312"/>
                <w:sz w:val="18"/>
                <w:szCs w:val="18"/>
                <w:lang w:val="en-US" w:eastAsia="zh-CN" w:bidi="ar"/>
              </w:rPr>
              <w:t>《中华人民共和国安全生产法》（2021年修正）第六十五条第一款第（四）项：“对有根据认为不符合保障安全生产的国家标准或者行业标准的设施、设备、器材以及违法生</w:t>
            </w:r>
            <w:bookmarkStart w:id="0" w:name="_GoBack"/>
            <w:bookmarkEnd w:id="0"/>
            <w:r>
              <w:rPr>
                <w:rStyle w:val="9"/>
                <w:rFonts w:hint="eastAsia" w:ascii="仿宋_GB2312" w:hAnsi="仿宋_GB2312" w:eastAsia="仿宋_GB2312" w:cs="仿宋_GB2312"/>
                <w:sz w:val="18"/>
                <w:szCs w:val="18"/>
                <w:lang w:val="en-US" w:eastAsia="zh-CN" w:bidi="ar"/>
              </w:rPr>
              <w:t>产、储存、使用、经营、运输的危险物品予以查封或者扣押，对违法生产、储存、使用、经营危险物品的作业场所予以查封，并依法作出处理决定。”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default"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中华人民共和国行政强制法》（2012年实施）第九条：“行政强制措施的种类：（一）限制公民人身自由；（二）查封场所、设施或者财物；（三）扣押财物；（四）冻结存款、汇款；（五）其他行政强制措施。”</w:t>
            </w:r>
          </w:p>
        </w:tc>
        <w:tc>
          <w:tcPr>
            <w:tcW w:w="18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default" w:ascii="仿宋_GB2312" w:hAnsi="仿宋_GB2312" w:eastAsia="仿宋_GB2312" w:cs="仿宋_GB2312"/>
                <w:sz w:val="18"/>
                <w:szCs w:val="18"/>
                <w:lang w:val="en-US" w:eastAsia="zh-CN" w:bidi="ar"/>
              </w:rPr>
              <w:t>有根据</w:t>
            </w:r>
            <w:r>
              <w:rPr>
                <w:rStyle w:val="8"/>
                <w:rFonts w:hint="eastAsia" w:ascii="仿宋_GB2312" w:hAnsi="仿宋_GB2312" w:eastAsia="仿宋_GB2312" w:cs="仿宋_GB2312"/>
                <w:sz w:val="18"/>
                <w:szCs w:val="18"/>
                <w:lang w:val="en-US" w:eastAsia="zh-CN" w:bidi="ar"/>
              </w:rPr>
              <w:t>认为不符合保障安全生产的国家标准或者行业标准的设施、设备、器材，违法生产、储存、使用、经营、运输的危险物品，以及违法生产、储存、使用、经营危险物品的作业场所。</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批准：除情况紧急以外，实施前须经行政机关负责人批准；情况紧急，需要当场实施行政强制措施的，行政执法人员应当在二十四小时内向行政机关负责人报告，并补办批准手续。行政机关负责人认为不应当采取行政强制措施的，应当立即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2.告知：通知当事人到场，当场告知当事人采取行政强制措施的理由、依据以及当事人依法享有的权利、救济途径；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3.听取意见：听取当事人的陈述和申辩，并且制作现场笔录；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4.决定：充分听取当事人意见，对当事人提出的事实、理由和证据进行记录复核，无正当理由的，报经批准，作出实施强制措施的决定；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5.执行：按照规定的程序和执行要件，制作并当场交付扣押决定书和清单。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20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未构成重大事故隐患的</w:t>
            </w:r>
          </w:p>
        </w:tc>
        <w:tc>
          <w:tcPr>
            <w:tcW w:w="114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不超过30日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7" w:hRule="atLeast"/>
        </w:trPr>
        <w:tc>
          <w:tcPr>
            <w:tcW w:w="43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16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81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8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200"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构成重大事故隐患的</w:t>
            </w:r>
          </w:p>
        </w:tc>
        <w:tc>
          <w:tcPr>
            <w:tcW w:w="1145"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不超过60日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9"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停止供电、停止供应民用爆炸物品</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对企业拒不执行消除事故隐患的决定，采取停止供电、停止供应民用爆炸物品等措施</w:t>
            </w:r>
          </w:p>
        </w:tc>
        <w:tc>
          <w:tcPr>
            <w:tcW w:w="3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Style w:val="8"/>
                <w:rFonts w:hint="eastAsia" w:ascii="仿宋_GB2312" w:hAnsi="仿宋_GB2312" w:eastAsia="仿宋_GB2312" w:cs="仿宋_GB2312"/>
                <w:sz w:val="18"/>
                <w:szCs w:val="18"/>
                <w:lang w:val="en-US" w:eastAsia="zh-CN" w:bidi="ar"/>
              </w:rPr>
              <w:t>1.</w:t>
            </w:r>
            <w:r>
              <w:rPr>
                <w:rStyle w:val="9"/>
                <w:rFonts w:hint="eastAsia" w:ascii="仿宋_GB2312" w:hAnsi="仿宋_GB2312" w:eastAsia="仿宋_GB2312" w:cs="仿宋_GB2312"/>
                <w:sz w:val="18"/>
                <w:szCs w:val="18"/>
                <w:lang w:val="en-US" w:eastAsia="zh-CN" w:bidi="ar"/>
              </w:rPr>
              <w:t>《中华人民共和国安全生产法》（2021年修正）第七十条第一款：“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i w:val="0"/>
                <w:color w:val="000000"/>
                <w:kern w:val="0"/>
                <w:sz w:val="18"/>
                <w:szCs w:val="18"/>
                <w:u w:val="none"/>
                <w:lang w:val="en-US" w:eastAsia="zh-CN" w:bidi="ar"/>
              </w:rPr>
              <w:t>存在重大事故隐患的生产经营单位在接到停产停业、停止施工、停止使用相关设施或者设备的决定后拒不执行，有发生生产安全事故的现实危险，在保证安全的前提下生经营单位企业拒不执行消除事故隐患的决定，</w:t>
            </w:r>
            <w:r>
              <w:rPr>
                <w:rStyle w:val="8"/>
                <w:rFonts w:hint="eastAsia" w:ascii="仿宋_GB2312" w:hAnsi="仿宋_GB2312" w:eastAsia="仿宋_GB2312" w:cs="仿宋_GB2312"/>
                <w:sz w:val="18"/>
                <w:szCs w:val="18"/>
                <w:lang w:val="en-US" w:eastAsia="zh-CN" w:bidi="ar"/>
              </w:rPr>
              <w:t>有发生生产安全事故的现实危险，在保证安全的前提下。</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1.批准：实施前须经行政机关负责人批准；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2.告知：除有危及生产安全的紧急情形外，应当提前24小时通知生产经营单位；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3.听取意见：听取当事人的陈述和申辩，制作现场笔录；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4.通知：采用书面形式，函告有关单位应当予以配合；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5.解除：生产经营单位依法履行行政决定、采取相应措施消除事故隐患的，负有安全生产监督管理职责的部门应当及时解除前款规定的措施。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有发生生产安全事故的现实危险的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重大事故隐患消除之日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47" w:hRule="atLeast"/>
        </w:trPr>
        <w:tc>
          <w:tcPr>
            <w:tcW w:w="43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16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加处罚款，将查封、扣押的财物拍卖、依法处理或者将冻结的存款、汇款划拨抵缴罚款</w:t>
            </w:r>
          </w:p>
        </w:tc>
        <w:tc>
          <w:tcPr>
            <w:tcW w:w="156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加处、抵缴罚款，实施拍卖、划拨及依法处理</w:t>
            </w:r>
          </w:p>
        </w:tc>
        <w:tc>
          <w:tcPr>
            <w:tcW w:w="3814"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default"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中华人民共和国行政处罚法》（2021年修正）第七十二条第一款（一）、（二）项：“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部门规章：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2.《安全生产违法行为行政处罚办法》（根据2015年4月2日国家安全监管总局令第77号修正） 第五十九条：“行政处罚决定依法作出后，当事人应当在行政处罚决定的期限内，予以履行；当事人逾期不履的，作出行政处罚决定的安全监管监察部门可以采取下列措施：（一）到期不缴纳罚款的，每日按罚款数额的3%加处罚款，但不得超过罚款数额；（二）根据法律规定，将查封、扣押的设施、设备、器材和危险物品拍卖所得价款抵缴罚款；（三）申请人民法院强制执行。当事人对行政处罚决定不服申请行政复议或者提起行政诉讼的，行政处罚不停止执行，法律另有规定的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w:t>
            </w:r>
          </w:p>
        </w:tc>
        <w:tc>
          <w:tcPr>
            <w:tcW w:w="181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逾期不履行行政处罚决定。</w:t>
            </w:r>
          </w:p>
        </w:tc>
        <w:tc>
          <w:tcPr>
            <w:tcW w:w="271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1.催告：申请人民法院强制执行前，应当催告当事人履行义务，告知当事人采取行政强制措施的理由、依据以及当事人依法享有的权利，听取当事人的陈述和申辩，进行记录和复核；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2.决定：充分听取当事人意见，对当事人提出的事实、理由和证据进行记录复核，无正当理由的，报经批准，作出加处罚款决定和拍卖决定；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eastAsia="zh-CN" w:bidi="ar"/>
              </w:rPr>
            </w:pPr>
            <w:r>
              <w:rPr>
                <w:rStyle w:val="8"/>
                <w:rFonts w:hint="eastAsia" w:ascii="仿宋_GB2312" w:hAnsi="仿宋_GB2312" w:eastAsia="仿宋_GB2312" w:cs="仿宋_GB2312"/>
                <w:sz w:val="18"/>
                <w:szCs w:val="18"/>
                <w:lang w:val="en-US" w:eastAsia="zh-CN" w:bidi="ar"/>
              </w:rPr>
              <w:t>3.执行：根据法律规定，将查封、扣押的设施、设备、器材和危险物品拍卖所得价款抵缴罚款；依法申请人民法院强制执行。</w:t>
            </w:r>
          </w:p>
        </w:tc>
        <w:tc>
          <w:tcPr>
            <w:tcW w:w="120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default"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自生效行政处罚决定确定的履行期限届满之日起</w:t>
            </w:r>
          </w:p>
        </w:tc>
      </w:tr>
    </w:tbl>
    <w:p>
      <w:pPr>
        <w:rPr>
          <w:rFonts w:hint="eastAsia"/>
          <w:lang w:eastAsia="zh-CN"/>
        </w:rPr>
      </w:pPr>
    </w:p>
    <w:sectPr>
      <w:footerReference r:id="rId3" w:type="default"/>
      <w:pgSz w:w="16838" w:h="11906" w:orient="landscape"/>
      <w:pgMar w:top="16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361EE"/>
    <w:rsid w:val="028B7E8B"/>
    <w:rsid w:val="07905D78"/>
    <w:rsid w:val="08762C0C"/>
    <w:rsid w:val="08DD40CF"/>
    <w:rsid w:val="0BBF52D7"/>
    <w:rsid w:val="13D61991"/>
    <w:rsid w:val="218B6372"/>
    <w:rsid w:val="23687127"/>
    <w:rsid w:val="2FDC1593"/>
    <w:rsid w:val="36BC7752"/>
    <w:rsid w:val="38551925"/>
    <w:rsid w:val="3EEA7871"/>
    <w:rsid w:val="3FE17DE6"/>
    <w:rsid w:val="46D26FAD"/>
    <w:rsid w:val="4C310E51"/>
    <w:rsid w:val="507F4707"/>
    <w:rsid w:val="517F1B6F"/>
    <w:rsid w:val="56D361EE"/>
    <w:rsid w:val="59556CEF"/>
    <w:rsid w:val="5C425712"/>
    <w:rsid w:val="5E485532"/>
    <w:rsid w:val="61216714"/>
    <w:rsid w:val="612D0598"/>
    <w:rsid w:val="6A6B0214"/>
    <w:rsid w:val="6AFA3141"/>
    <w:rsid w:val="718D5B87"/>
    <w:rsid w:val="72B34BAE"/>
    <w:rsid w:val="7F454E4B"/>
    <w:rsid w:val="7FD5DC48"/>
    <w:rsid w:val="F7F7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18"/>
      <w:szCs w:val="18"/>
      <w:u w:val="none"/>
    </w:rPr>
  </w:style>
  <w:style w:type="character" w:customStyle="1" w:styleId="9">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2020-10-14T04:53:00Z</dcterms:created>
  <dc:creator>山林</dc:creator>
  <cp:lastModifiedBy>何如悦</cp:lastModifiedBy>
  <dcterms:modified xsi:type="dcterms:W3CDTF">2022-02-23T05:08:15Z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773592234_cloud</vt:lpwstr>
  </property>
  <property fmtid="{D5CDD505-2E9C-101B-9397-08002B2CF9AE}" pid="4" name="ICV">
    <vt:lpwstr>E6A48C49F32C4450AF9CC1A5A9326D56</vt:lpwstr>
  </property>
</Properties>
</file>