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3415" w:type="dxa"/>
        <w:tblInd w:w="96" w:type="dxa"/>
        <w:tblLayout w:type="autofit"/>
        <w:tblCellMar>
          <w:top w:w="0" w:type="dxa"/>
          <w:left w:w="108" w:type="dxa"/>
          <w:bottom w:w="0" w:type="dxa"/>
          <w:right w:w="108" w:type="dxa"/>
        </w:tblCellMar>
      </w:tblPr>
      <w:tblGrid>
        <w:gridCol w:w="693"/>
        <w:gridCol w:w="1832"/>
        <w:gridCol w:w="5168"/>
        <w:gridCol w:w="2267"/>
        <w:gridCol w:w="1619"/>
        <w:gridCol w:w="1836"/>
      </w:tblGrid>
      <w:tr>
        <w:tblPrEx>
          <w:tblCellMar>
            <w:top w:w="0" w:type="dxa"/>
            <w:left w:w="108" w:type="dxa"/>
            <w:bottom w:w="0" w:type="dxa"/>
            <w:right w:w="108" w:type="dxa"/>
          </w:tblCellMar>
        </w:tblPrEx>
        <w:trPr>
          <w:trHeight w:val="444" w:hRule="atLeast"/>
        </w:trPr>
        <w:tc>
          <w:tcPr>
            <w:tcW w:w="13415" w:type="dxa"/>
            <w:gridSpan w:val="6"/>
            <w:tcBorders>
              <w:top w:val="nil"/>
              <w:left w:val="nil"/>
              <w:bottom w:val="nil"/>
              <w:right w:val="nil"/>
            </w:tcBorders>
            <w:shd w:val="clear" w:color="auto" w:fill="auto"/>
            <w:noWrap/>
            <w:vAlign w:val="center"/>
          </w:tcPr>
          <w:p>
            <w:pPr>
              <w:widowControl/>
              <w:jc w:val="left"/>
              <w:textAlignment w:val="center"/>
              <w:rPr>
                <w:rFonts w:ascii="黑体" w:hAnsi="宋体" w:eastAsia="黑体" w:cs="黑体"/>
                <w:color w:val="000000"/>
                <w:kern w:val="0"/>
                <w:sz w:val="36"/>
                <w:szCs w:val="36"/>
                <w:lang w:bidi="ar"/>
              </w:rPr>
            </w:pPr>
            <w:r>
              <w:rPr>
                <w:rFonts w:hint="eastAsia" w:ascii="仿宋_GB2312" w:hAnsi="仿宋_GB2312" w:eastAsia="仿宋_GB2312" w:cs="仿宋_GB2312"/>
                <w:color w:val="000000"/>
                <w:kern w:val="0"/>
                <w:sz w:val="32"/>
                <w:szCs w:val="32"/>
                <w:lang w:bidi="ar"/>
              </w:rPr>
              <w:t xml:space="preserve">附件2                           </w:t>
            </w:r>
            <w:r>
              <w:rPr>
                <w:rFonts w:hint="eastAsia" w:ascii="黑体" w:hAnsi="宋体" w:eastAsia="黑体" w:cs="黑体"/>
                <w:color w:val="000000"/>
                <w:kern w:val="0"/>
                <w:sz w:val="36"/>
                <w:szCs w:val="36"/>
                <w:lang w:bidi="ar"/>
              </w:rPr>
              <w:t>从轻处罚事项清单</w:t>
            </w:r>
          </w:p>
          <w:p>
            <w:pPr>
              <w:widowControl/>
              <w:jc w:val="left"/>
              <w:textAlignment w:val="center"/>
              <w:rPr>
                <w:rFonts w:ascii="黑体" w:hAnsi="宋体" w:eastAsia="黑体" w:cs="黑体"/>
                <w:color w:val="000000"/>
                <w:kern w:val="0"/>
                <w:sz w:val="36"/>
                <w:szCs w:val="36"/>
                <w:lang w:bidi="ar"/>
              </w:rPr>
            </w:pPr>
            <w:bookmarkStart w:id="0" w:name="_GoBack"/>
            <w:bookmarkEnd w:id="0"/>
          </w:p>
        </w:tc>
      </w:tr>
      <w:tr>
        <w:tblPrEx>
          <w:tblCellMar>
            <w:top w:w="0" w:type="dxa"/>
            <w:left w:w="108" w:type="dxa"/>
            <w:bottom w:w="0" w:type="dxa"/>
            <w:right w:w="108" w:type="dxa"/>
          </w:tblCellMar>
        </w:tblPrEx>
        <w:trPr>
          <w:trHeight w:val="62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序号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行政处罚事项</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设定法律依据</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适用情形</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从轻处罚法律依据</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kern w:val="0"/>
                <w:sz w:val="24"/>
                <w:lang w:bidi="ar"/>
              </w:rPr>
            </w:pPr>
            <w:r>
              <w:rPr>
                <w:rFonts w:hint="eastAsia" w:ascii="黑体" w:hAnsi="宋体" w:eastAsia="黑体" w:cs="黑体"/>
                <w:b/>
                <w:bCs/>
                <w:color w:val="000000"/>
                <w:kern w:val="0"/>
                <w:sz w:val="24"/>
                <w:lang w:bidi="ar"/>
              </w:rPr>
              <w:t>备注</w:t>
            </w:r>
          </w:p>
        </w:tc>
      </w:tr>
      <w:tr>
        <w:tblPrEx>
          <w:tblCellMar>
            <w:top w:w="0" w:type="dxa"/>
            <w:left w:w="108" w:type="dxa"/>
            <w:bottom w:w="0" w:type="dxa"/>
            <w:right w:w="108" w:type="dxa"/>
          </w:tblCellMar>
        </w:tblPrEx>
        <w:trPr>
          <w:trHeight w:val="3432"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单位的决策机构、主要负责人或者个人经营的投资人不依照《中华人民共和国安全生产法》规定保证安全生产所必需的资金投入，致使生产经营单位不具备安全生产条件的，导致发生生产安全事故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九十三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有前款违法行为，导致发生生产安全事故的，对生产经营单位的主要负责人给予撤职处分，对个人经营的投资人处二万元以上二十万元以下的罚款；构成犯罪的，依照刑法有关规定追究刑事责任。</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发生生产安全事故未造成亡人事故，主动消除或者减轻违法行为危害后果的。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819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对生产经营单位的主要负责人未履行《中华人民共和国安全生产法》规定的安全生产管理职责的处罚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《中华人民共和国安全生产法》第二十一条：生产经营单位的主要负责人对本单位安全生产工作负有下列职责:</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（一）建立健全并落实本单位全员安全生产责任制，加强安全生产标准化建设；</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（二）组织制定并实施本单位安全生产规章制度和操作规程；</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（三）组织制定并实施本单位安全生产教育和培训计划；</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（四）保证本单位安全生产投入的有效实施；</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（五）组织建立并落实安全风险分级管控和隐患排查治理双重预防工作机制，督促、检查本单位的安全生产工作，及时消除生产安全事故隐患；</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（六）组织制定并实施本单位的生产安全事故应急救援预案；</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（七）及时、如实报告生产安全事故。</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《中华人民共和国安全生产法》第九十五条：生产经营单位的主要负责人未履行本法规定的安全生产管理职责，导致发生生产安全事故的，由应急管理部门依照下列规定处以罚款:</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（一）发生一般事故的，处上一年年收入百分之四十的罚款；</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（二）发生较大事故的，处上一年年收入百分之六十的罚款；</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（三）发生重大事故的，处上一年年收入百分之八十的罚款；</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（四）发生特别重大事故的，处上一年年收入百分之一百的罚款。</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有三项以下职责未履行，主动消除或者减轻违法行为危害后果的。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686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对生产经营单位的其他负责人和安全生产管理人员未履行《中华人民共和国安全生产法》规定的安全生产管理职责的处罚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color w:val="000000"/>
                <w:kern w:val="0"/>
                <w:sz w:val="22"/>
                <w:szCs w:val="22"/>
                <w:lang w:bidi="ar"/>
              </w:rPr>
            </w:pPr>
            <w:r>
              <w:rPr>
                <w:rFonts w:hint="eastAsia" w:ascii="黑体" w:hAnsi="黑体" w:eastAsia="黑体" w:cs="黑体"/>
                <w:color w:val="000000"/>
                <w:kern w:val="0"/>
                <w:szCs w:val="21"/>
                <w:lang w:bidi="ar"/>
              </w:rPr>
              <w:t>《中华人民共和国安全生产法》第二十五条：生产经营单位的安全生产管理机构以及安全生产管理人员履行下列职责:</w:t>
            </w:r>
            <w:r>
              <w:rPr>
                <w:rFonts w:hint="eastAsia" w:ascii="黑体" w:hAnsi="黑体" w:eastAsia="黑体" w:cs="黑体"/>
                <w:color w:val="000000"/>
                <w:kern w:val="0"/>
                <w:szCs w:val="21"/>
                <w:lang w:bidi="ar"/>
              </w:rPr>
              <w:br w:type="textWrapping"/>
            </w:r>
            <w:r>
              <w:rPr>
                <w:rFonts w:hint="eastAsia" w:ascii="黑体" w:hAnsi="黑体" w:eastAsia="黑体" w:cs="黑体"/>
                <w:color w:val="000000"/>
                <w:kern w:val="0"/>
                <w:szCs w:val="21"/>
                <w:lang w:bidi="ar"/>
              </w:rPr>
              <w:t>（一）组织或者参与拟订本单位安全生产规章制度、操作规程和生产安全事故应急救援预案；</w:t>
            </w:r>
            <w:r>
              <w:rPr>
                <w:rFonts w:hint="eastAsia" w:ascii="黑体" w:hAnsi="黑体" w:eastAsia="黑体" w:cs="黑体"/>
                <w:color w:val="000000"/>
                <w:kern w:val="0"/>
                <w:szCs w:val="21"/>
                <w:lang w:bidi="ar"/>
              </w:rPr>
              <w:br w:type="textWrapping"/>
            </w:r>
            <w:r>
              <w:rPr>
                <w:rFonts w:hint="eastAsia" w:ascii="黑体" w:hAnsi="黑体" w:eastAsia="黑体" w:cs="黑体"/>
                <w:color w:val="000000"/>
                <w:kern w:val="0"/>
                <w:szCs w:val="21"/>
                <w:lang w:bidi="ar"/>
              </w:rPr>
              <w:t>（二）组织或者参与本单位安全生产教育和培训，如实记录安全生产教育和培训情况；</w:t>
            </w:r>
            <w:r>
              <w:rPr>
                <w:rFonts w:hint="eastAsia" w:ascii="黑体" w:hAnsi="黑体" w:eastAsia="黑体" w:cs="黑体"/>
                <w:color w:val="000000"/>
                <w:kern w:val="0"/>
                <w:szCs w:val="21"/>
                <w:lang w:bidi="ar"/>
              </w:rPr>
              <w:br w:type="textWrapping"/>
            </w:r>
            <w:r>
              <w:rPr>
                <w:rFonts w:hint="eastAsia" w:ascii="黑体" w:hAnsi="黑体" w:eastAsia="黑体" w:cs="黑体"/>
                <w:color w:val="000000"/>
                <w:kern w:val="0"/>
                <w:szCs w:val="21"/>
                <w:lang w:bidi="ar"/>
              </w:rPr>
              <w:t>（三）组织开展危险源辨识和评估，督促落实本单位重大危险源的安全管理措施；</w:t>
            </w:r>
            <w:r>
              <w:rPr>
                <w:rFonts w:hint="eastAsia" w:ascii="黑体" w:hAnsi="黑体" w:eastAsia="黑体" w:cs="黑体"/>
                <w:color w:val="000000"/>
                <w:kern w:val="0"/>
                <w:szCs w:val="21"/>
                <w:lang w:bidi="ar"/>
              </w:rPr>
              <w:br w:type="textWrapping"/>
            </w:r>
            <w:r>
              <w:rPr>
                <w:rFonts w:hint="eastAsia" w:ascii="黑体" w:hAnsi="黑体" w:eastAsia="黑体" w:cs="黑体"/>
                <w:color w:val="000000"/>
                <w:kern w:val="0"/>
                <w:szCs w:val="21"/>
                <w:lang w:bidi="ar"/>
              </w:rPr>
              <w:t>（四）组织或者参与本单位应急救援演练；</w:t>
            </w:r>
            <w:r>
              <w:rPr>
                <w:rFonts w:hint="eastAsia" w:ascii="黑体" w:hAnsi="黑体" w:eastAsia="黑体" w:cs="黑体"/>
                <w:color w:val="000000"/>
                <w:kern w:val="0"/>
                <w:szCs w:val="21"/>
                <w:lang w:bidi="ar"/>
              </w:rPr>
              <w:br w:type="textWrapping"/>
            </w:r>
            <w:r>
              <w:rPr>
                <w:rFonts w:hint="eastAsia" w:ascii="黑体" w:hAnsi="黑体" w:eastAsia="黑体" w:cs="黑体"/>
                <w:color w:val="000000"/>
                <w:kern w:val="0"/>
                <w:szCs w:val="21"/>
                <w:lang w:bidi="ar"/>
              </w:rPr>
              <w:t>（五）检查本单位的安全生产状况，及时排查生产安全事故隐患，提出改进安全生产管理的建议；</w:t>
            </w:r>
            <w:r>
              <w:rPr>
                <w:rFonts w:hint="eastAsia" w:ascii="黑体" w:hAnsi="黑体" w:eastAsia="黑体" w:cs="黑体"/>
                <w:color w:val="000000"/>
                <w:kern w:val="0"/>
                <w:szCs w:val="21"/>
                <w:lang w:bidi="ar"/>
              </w:rPr>
              <w:br w:type="textWrapping"/>
            </w:r>
            <w:r>
              <w:rPr>
                <w:rFonts w:hint="eastAsia" w:ascii="黑体" w:hAnsi="黑体" w:eastAsia="黑体" w:cs="黑体"/>
                <w:color w:val="000000"/>
                <w:kern w:val="0"/>
                <w:szCs w:val="21"/>
                <w:lang w:bidi="ar"/>
              </w:rPr>
              <w:t>（六）制止和纠正违章指挥、强令冒险作业、违反操作规程的行为；</w:t>
            </w:r>
            <w:r>
              <w:rPr>
                <w:rFonts w:hint="eastAsia" w:ascii="黑体" w:hAnsi="黑体" w:eastAsia="黑体" w:cs="黑体"/>
                <w:color w:val="000000"/>
                <w:kern w:val="0"/>
                <w:szCs w:val="21"/>
                <w:lang w:bidi="ar"/>
              </w:rPr>
              <w:br w:type="textWrapping"/>
            </w:r>
            <w:r>
              <w:rPr>
                <w:rFonts w:hint="eastAsia" w:ascii="黑体" w:hAnsi="黑体" w:eastAsia="黑体" w:cs="黑体"/>
                <w:color w:val="000000"/>
                <w:kern w:val="0"/>
                <w:szCs w:val="21"/>
                <w:lang w:bidi="ar"/>
              </w:rPr>
              <w:t>（七）督促落实本单位安全生产整改措施。</w:t>
            </w:r>
            <w:r>
              <w:rPr>
                <w:rFonts w:hint="eastAsia" w:ascii="黑体" w:hAnsi="黑体" w:eastAsia="黑体" w:cs="黑体"/>
                <w:color w:val="000000"/>
                <w:kern w:val="0"/>
                <w:szCs w:val="21"/>
                <w:lang w:bidi="ar"/>
              </w:rPr>
              <w:br w:type="textWrapping"/>
            </w:r>
            <w:r>
              <w:rPr>
                <w:rFonts w:hint="eastAsia" w:ascii="黑体" w:hAnsi="黑体" w:eastAsia="黑体" w:cs="黑体"/>
                <w:color w:val="000000"/>
                <w:kern w:val="0"/>
                <w:szCs w:val="21"/>
                <w:lang w:bidi="ar"/>
              </w:rPr>
              <w:t>生产经营单位可以设置专职安全生产分管负责人，协助本单位主要负责人履行安全生产管理职责。</w:t>
            </w:r>
            <w:r>
              <w:rPr>
                <w:rFonts w:hint="eastAsia" w:ascii="黑体" w:hAnsi="黑体" w:eastAsia="黑体" w:cs="黑体"/>
                <w:color w:val="000000"/>
                <w:kern w:val="0"/>
                <w:szCs w:val="21"/>
                <w:lang w:bidi="ar"/>
              </w:rPr>
              <w:br w:type="textWrapping"/>
            </w:r>
            <w:r>
              <w:rPr>
                <w:rFonts w:hint="eastAsia" w:ascii="黑体" w:hAnsi="黑体" w:eastAsia="黑体" w:cs="黑体"/>
                <w:color w:val="000000"/>
                <w:kern w:val="0"/>
                <w:szCs w:val="21"/>
                <w:lang w:bidi="ar"/>
              </w:rPr>
              <w:t>《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有三项以下职责未履行，主动消除或者减轻违法行为危害后果的。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496"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对生产经营单位未按照规定设置安全生产管理机构或者配备安全生产管理人员、注册安全工程师的处罚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九十七条第一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r>
              <w:rPr>
                <w:rFonts w:hint="eastAsia" w:ascii="黑体" w:hAnsi="黑体" w:eastAsia="黑体" w:cs="黑体"/>
                <w:color w:val="000000"/>
                <w:kern w:val="0"/>
                <w:sz w:val="22"/>
                <w:szCs w:val="22"/>
                <w:lang w:bidi="ar"/>
              </w:rPr>
              <w:br w:type="textWrapping"/>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三年内未发生安全生产责任事故，主动消除违法行为危害后果，且在限期内改正的。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566"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对未按照规定对从业人员、被派遣劳动者、实习学生进行安全生产教育和培训，或者未按照规定如实告知有关的安全生产事项的处罚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九十七条第三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云南省安全生产条例》第五十二条第一款：生产经营单位违反本条例第十五条、第十八条、第二十二条规定的，责令限期改正，可以处1万元以上5万元以下的罚款；逾期未改正的，责令停产停业整顿，并处5万元以上10万元以下的罚款，对其直接负责的主管人员和其他直接责任人员处1万元以上2万元以下的罚款。</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未按照规定进行安全生产教育和培训或者未按照规定如实告知有关的安全生产事项的从业人员、被派遣劳动者、实习学生在4人以下，主动消除违法行为的。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1872"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6</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对生产经营单位未如实记录安全生产教育和培训情况的处罚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 xml:space="preserve">《中华人民共和国安全生产法》第九十七条第四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三年内未发生安全生产责任事故，主动消除违法行为危害后果，且在限期内改正的。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1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7</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对生产经营单位未按照规定制定生产安全事故应急救援预案或者未定期组织演练的处罚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九十七条第六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三年内未发生安全生产责任事故，主动消除违法行为危害后果，且在限期内改正的。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70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8</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对特种作业人员未按照规定经专门的安全作业培训并取得相应资格，上岗作业的处罚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九十七条第七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有3人以下特种作业人员未按照规定经专门的安全作业培训并取得相应资格，上岗作业，主动消除违法行为的。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312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9</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对未按照规定对矿山、金属冶炼建设项目或者用于生产、储存、装卸危险物品的建设项目进行安全评价的处罚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九十八条第一项：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一）未按照规定对矿山、金属冶炼建设项目或者用于生产、储存、装卸危险物品的建设项目进行安全评价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三年内未发生安全生产责任事故，主动消除违法行为后果，且在限期内改正的。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1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1</w:t>
            </w:r>
            <w:r>
              <w:rPr>
                <w:rFonts w:hint="default" w:ascii="黑体" w:hAnsi="黑体" w:eastAsia="黑体" w:cs="黑体"/>
                <w:color w:val="000000"/>
                <w:kern w:val="0"/>
                <w:sz w:val="22"/>
                <w:szCs w:val="22"/>
                <w:lang w:bidi="ar"/>
              </w:rPr>
              <w:t>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对未对安全设备进行经常性维护、保养和定期检测的处罚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九十九条第三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三年内未发生安全生产责任事故，主动消除违法行为后果，且在限期内改正的。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496"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11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对关闭、破坏直接关系生产安全的监控、报警、防护、救生设备、设施，或者篡改、隐瞒、销毁其相关数据、信息的处罚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九十九条第四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关闭、破坏直接关系生产安全的监控、报警、防护、救生设备、设施，或者篡改、隐瞒、销毁其相关数据、信息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从业人员在50人以下的非高危生产经营单位关闭、破坏，主动消除违法行为的。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496"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12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对未为从业人员提供符合国家标准或者行业标准的劳动防护用品的处罚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九十九条第五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三年内未发生安全生产责任事故，主动消除违法行为后果，且在限期内改正的。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312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13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对危险物品的容器、运输工具，以及涉及人身安全、危险性较大的海洋石油开采特种设备和矿山井下特种设备未经具有专业资质的机构检测、检验合格，取得安全使用证或者安全标志，投入使用的处罚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九十九条第六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六）危险物品的容器、运输工具，以及涉及人身安全、危险性较大的海洋石油开采特种设备和矿山井下特种设备未经具有专业资质的机构检测、检验合格，取得安全使用证或者安全标志，投入使用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投入使用的期限在三个月以下，主动消除违法行为的。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1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14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对使用应当淘汰的危及生产安全的工艺、设备的处罚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九十九条第七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使用1种（台、套）应当淘汰的危及生产安全的工艺或者设备，主动消除违法行为的。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9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15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对餐饮等行业的生产经营单位使用燃气未安装可燃气体报警装置的处罚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九十九条第八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八）餐饮等行业的生产经营单位使用燃气未安装可燃气体报警装置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使用燃气未安装可燃气体报警装置在三个月以下，主动消除违法行为的。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80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16</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对生产、经营、运输、储存、使用危险物品或者处置废弃危险物品，未建立专门安全管理制度、未采取可靠的安全措施的处罚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零一条第一项：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　</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三年内未发生安全生产责任事故，主动消除违法行为后果，且在限期内改正的。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496"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17</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对重大危险源未登记建档，未进行定期检测、评估、监控，未制定应急预案，或者未告知应急措施的处罚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零一条第二项：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重大危险源有未登记建档，或者未进行评估、监控，或者未制定应急预案三种情形之一，主动消除违法行为的。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80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18</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对进行爆破、吊装、动火、临时用电以及国务院应急管理部门会同国务院有关部门规定的其他危险作业，未安排专门人员进行现场安全管理的处罚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零一条第三项：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动火、临时用电以及国务院应急管理部门会同国务院有关部门规定的其他危险作业，未安排专门人员进行现场安全管理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危险作业时，落实安全措施不完善，主动消除违法行为的。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496"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19</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对生产经营单位未建立安全风险分级管控制度或者未按照安全风险分级采取相应管控措施的处罚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零一条第四项：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度或者未按照安全风险分级采取相应管控措施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三年内未发生安全生产责任事故，主动消除违法行为后果，且在限期内改正的。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496"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20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对未建立事故隐患排查治理制度，或者重大事故隐患排查治理情况未按照规定报告的处罚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零一条第五项：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从业人员在100人以下的非高危生产经营单位或从业人员在50人以下的高危生产经营单位，未建立事故隐患排查治理制度，主动消除违法行为的。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602"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21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对生产经营单位未采取措施消除事故隐患的处罚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未消除事故隐患有3项以下（重大事故隐患除外），主动消除违法行为的。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80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22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对生产经营单位将生产经营项目、场所、设备发包或者出租给不具备安全生产条件或者相应资质的单位或者个人的处罚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零三条第一款：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没有违法所得或违法所得在5万元以下，主动消除违法行为的。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62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2</w:t>
            </w:r>
            <w:r>
              <w:rPr>
                <w:rFonts w:hint="eastAsia" w:ascii="黑体" w:hAnsi="黑体" w:eastAsia="黑体" w:cs="黑体"/>
                <w:color w:val="000000"/>
                <w:kern w:val="0"/>
                <w:sz w:val="22"/>
                <w:szCs w:val="22"/>
                <w:lang w:bidi="ar"/>
              </w:rPr>
              <w:t>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对生产经营单位未与承包单位、承租单位签订专门的安全生产管理协议或者未在承包合同、租赁合同中明确各自的安全生产管理职责，或者未对承包单位、承租单位的安全生产统一协调、管理的处罚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三年内未发生安全生产责任事故，主动消除违法行为后果，且在限期内改正的。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374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24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对矿山、金属冶炼建设项目和用于生产、储存、装卸危险物品的建设项目的施工单位未按照规定对施工项目进行安全管理和施工单位倒卖、出租、出借、挂靠或者以其他形式非法转让施工资质的的处罚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零三条第三款：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建设项目投资额在500万元以下、或违法所得在5万元以下，主动消除违法行为的。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992"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2</w:t>
            </w:r>
            <w:r>
              <w:rPr>
                <w:rFonts w:hint="eastAsia" w:ascii="黑体" w:hAnsi="黑体" w:eastAsia="黑体" w:cs="黑体"/>
                <w:color w:val="000000"/>
                <w:kern w:val="0"/>
                <w:sz w:val="22"/>
                <w:szCs w:val="22"/>
                <w:lang w:bidi="ar"/>
              </w:rPr>
              <w:t>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对两个以上生产经营单位在同一作业区域内进行可能危及对方安全生产的生产经营活动，未签订安全生产管理协议或者未指定专职安全生产管理人员进行安全检查与协调的处罚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三年内未发生安全生产责任事故，主动消除违法行为后果，且在限期内改正的。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1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26</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对生产、经营、储存、使用危险物品的车间、商店、仓库与员工宿舍在同一座建筑内，或者与员工宿舍的距离不符合安全要求的处罚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零五条第一项：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三年内未发生安全生产责任事故，主动消除违法行为后果，且在限期内改正的。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496"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27</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对生产经营场所和员工宿舍未设有符合紧急疏散需要、标志明显、保持畅通的出口、疏散通道，或者占用、锁闭、封堵生产经营场所或者员工宿舍出口、疏散通道的处罚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零五条第二项：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（二）生产经营场所和员工宿舍未设有符合紧急疏散需要、标志明显、保持畅通的出口、疏散通道，或者占用、锁闭、封堵生产经营场所或者员工宿舍出口、疏散通道的。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有未设有符合紧急疏散需要、标志明显、保持畅通的出口、疏散通道三种情形之一的，或者占用生产经营场所或者员工宿舍出口、疏散通道，主动消除违法行为的。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872"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28</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对生产经营单位拒绝、阻碍负有安全生产监督管理职责的部门依法实施监督检查的处罚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零八条规定：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采用逃避、躲避方式的，经多次教育说服后主动配合，减轻违法行为危害后果的。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195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29</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对高危行业、领域的生产经营单位未按照国家规定投保安全生产责任保险的处罚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零九条：高危行业、领域的生产经营单位未按照国家规定投保安全生产责任保险的，责令限期改正，处五万元以上十万元以下的罚款；逾期未改正的，处十万元以上二十万元以下的罚款。</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单位从业人员在30人以下，主动消除违法行为的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9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30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对生产经营单位的主要负责人在本单位发生生产安全事故时,不立即组织抢救或者在事故调查处理期间擅离职守或者逃匿的、对该事故隐瞒不报、谎报或者迟报的处罚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一十条：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生产经营单位的主要负责人对生产安全事故隐瞒不报、谎报或者迟报的，依照前款规定处罚。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发生生产安全事故未造成人员死亡，主动消除或者减轻违法行为危害后果的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297"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31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对发生一般事故负有责任的单位的处罚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一十四条第一款第（一）项：发生生产安全事故，对负有责任的生产经营单位除要求其依法承担相应的赔偿等责任外，由应急管理部门依照下列规定处以罚款:（一）发生一般事故的，处三十万元以上一百万元以下的罚款。</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造成1人死亡，或者造成5人以下重伤，或者200万元以下直接经济损失，主动减轻违法行为危害后果的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70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32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对发生较大事故负有责任的单位的处罚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一十四条第一款第（二）项：发生生产安全事故，对负有责任的生产经营单位除要求其依法承担相应的赔偿等责任外，由应急管理部门依照下列规定处以罚款:（二）发生较大事故的，处一百万元以上二百万元以下的罚款。</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造成3人以上5人以下死亡，或者造成10以上15人以下重伤，或者1000万以上2000万元以下直接经济损失，主动减轻违法行为危害后果的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99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33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对发生重大事故负有责任的单位的处罚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一十四条第一款第（三）项：发生生产安全事故，对负有责任的生产经营单位除要求其依法承担相应的赔偿等责任外，由应急管理部门依照下列规定处以罚款:（三）发生重大事故的，处二百万元以上一千万元以下的罚款。</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造成10人以上15人以下死亡，或者造成50人以上60人以下重伤，或者5000万元以上6000万以下直接经济损失，主动减轻违法行为危害后果的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84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34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对发生特别重大事故负有责任的单位的处罚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一十四条第一款第（四）项：发生生产安全事故，对负有责任的生产经营单位除要求其依法承担相应的赔偿等责任外，由应急管理部门依照下列规定处以罚款:（四）发生特别重大事故的，处一千万元以上二千万元以下的罚款。</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造成30人以上35人以下死亡，或者造成100以上110人以下重伤，或者1亿以上1.5亿元以下直接经济损失，主动减轻违法行为危害后果的。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bl>
    <w:p>
      <w:pPr>
        <w:rPr>
          <w:rFonts w:hint="eastAsia"/>
        </w:rPr>
      </w:pPr>
    </w:p>
    <w:sectPr>
      <w:pgSz w:w="16838" w:h="11906" w:orient="landscape"/>
      <w:pgMar w:top="2200" w:right="1440" w:bottom="203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50195"/>
    <w:rsid w:val="002F6C1B"/>
    <w:rsid w:val="00356D28"/>
    <w:rsid w:val="00662028"/>
    <w:rsid w:val="009348AF"/>
    <w:rsid w:val="00B14D81"/>
    <w:rsid w:val="00C464A8"/>
    <w:rsid w:val="00DC18A5"/>
    <w:rsid w:val="00F017D5"/>
    <w:rsid w:val="0AF71779"/>
    <w:rsid w:val="2BC646B1"/>
    <w:rsid w:val="3F87FF63"/>
    <w:rsid w:val="59EA5282"/>
    <w:rsid w:val="6D2F9D85"/>
    <w:rsid w:val="6EFF492E"/>
    <w:rsid w:val="6FF326D0"/>
    <w:rsid w:val="72F7A651"/>
    <w:rsid w:val="7A7774DF"/>
    <w:rsid w:val="7B77693E"/>
    <w:rsid w:val="7DF50195"/>
    <w:rsid w:val="7EFF952D"/>
    <w:rsid w:val="7FFD4576"/>
    <w:rsid w:val="9FD13D60"/>
    <w:rsid w:val="B5FF6E45"/>
    <w:rsid w:val="BEFF5D02"/>
    <w:rsid w:val="BFD62FBF"/>
    <w:rsid w:val="D37F6633"/>
    <w:rsid w:val="F6FED695"/>
    <w:rsid w:val="F7FF81C5"/>
    <w:rsid w:val="FEDF00C4"/>
    <w:rsid w:val="FF7BB8A7"/>
    <w:rsid w:val="FFABE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rPr>
      <w:rFonts w:ascii="Times New Roman" w:hAnsi="Times New Roman"/>
    </w:rPr>
  </w:style>
  <w:style w:type="paragraph" w:styleId="3">
    <w:name w:val="Body Text Indent"/>
    <w:basedOn w:val="1"/>
    <w:next w:val="4"/>
    <w:qFormat/>
    <w:uiPriority w:val="0"/>
    <w:pPr>
      <w:spacing w:after="120" w:line="240" w:lineRule="atLeast"/>
      <w:ind w:left="420" w:leftChars="200"/>
    </w:pPr>
    <w:rPr>
      <w:rFonts w:ascii="Calibri" w:hAnsi="Calibri" w:eastAsia="宋体" w:cs="Times New Roman"/>
      <w:spacing w:val="-6"/>
      <w:szCs w:val="20"/>
    </w:rPr>
  </w:style>
  <w:style w:type="paragraph" w:styleId="4">
    <w:name w:val="Normal Indent"/>
    <w:basedOn w:val="1"/>
    <w:qFormat/>
    <w:uiPriority w:val="0"/>
    <w:pPr>
      <w:spacing w:line="240" w:lineRule="atLeast"/>
      <w:ind w:firstLine="420" w:firstLineChars="200"/>
    </w:pPr>
    <w:rPr>
      <w:rFonts w:ascii="Calibri" w:hAnsi="Calibri" w:eastAsia="仿宋" w:cs="Times New Roman"/>
      <w:spacing w:val="-6"/>
      <w:sz w:val="32"/>
      <w:szCs w:val="20"/>
    </w:rPr>
  </w:style>
  <w:style w:type="paragraph" w:styleId="5">
    <w:name w:val="annotation text"/>
    <w:basedOn w:val="1"/>
    <w:link w:val="12"/>
    <w:qFormat/>
    <w:uiPriority w:val="0"/>
    <w:pPr>
      <w:jc w:val="left"/>
    </w:pPr>
  </w:style>
  <w:style w:type="paragraph" w:styleId="6">
    <w:name w:val="annotation subject"/>
    <w:basedOn w:val="5"/>
    <w:next w:val="5"/>
    <w:link w:val="13"/>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paragraph" w:customStyle="1" w:styleId="11">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2">
    <w:name w:val="批注文字 字符"/>
    <w:basedOn w:val="9"/>
    <w:link w:val="5"/>
    <w:qFormat/>
    <w:uiPriority w:val="0"/>
    <w:rPr>
      <w:rFonts w:asciiTheme="minorHAnsi" w:hAnsiTheme="minorHAnsi" w:eastAsiaTheme="minorEastAsia" w:cstheme="minorBidi"/>
      <w:kern w:val="2"/>
      <w:sz w:val="21"/>
      <w:szCs w:val="24"/>
    </w:rPr>
  </w:style>
  <w:style w:type="character" w:customStyle="1" w:styleId="13">
    <w:name w:val="批注主题 字符"/>
    <w:basedOn w:val="12"/>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2424</Words>
  <Characters>13823</Characters>
  <Lines>115</Lines>
  <Paragraphs>32</Paragraphs>
  <TotalTime>39</TotalTime>
  <ScaleCrop>false</ScaleCrop>
  <LinksUpToDate>false</LinksUpToDate>
  <CharactersWithSpaces>16215</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2022-10-25T08:26:00Z</dcterms:created>
  <dc:creator>山林</dc:creator>
  <cp:lastModifiedBy>user</cp:lastModifiedBy>
  <dcterms:modified xsi:type="dcterms:W3CDTF">2022-11-17T17:34:24Z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3F52BBD4FE124130B0AF4E1C807CBCCA</vt:lpwstr>
  </property>
</Properties>
</file>