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rPr>
      </w:pPr>
    </w:p>
    <w:sdt>
      <w:sdtPr>
        <w:rPr>
          <w:rFonts w:ascii="宋体" w:hAnsi="宋体"/>
          <w:color w:val="auto"/>
          <w:sz w:val="32"/>
          <w:szCs w:val="32"/>
        </w:rPr>
        <w:id w:val="147465151"/>
        <w:docPartObj>
          <w:docPartGallery w:val="Table of Contents"/>
          <w:docPartUnique/>
        </w:docPartObj>
      </w:sdtPr>
      <w:sdtEndPr>
        <w:rPr>
          <w:rFonts w:ascii="Times New Roman" w:hAnsi="Times New Roman"/>
          <w:color w:val="auto"/>
          <w:sz w:val="32"/>
          <w:szCs w:val="21"/>
        </w:rPr>
      </w:sdtEndPr>
      <w:sdtContent>
        <w:p>
          <w:pPr>
            <w:spacing w:line="360" w:lineRule="auto"/>
            <w:jc w:val="center"/>
            <w:rPr>
              <w:color w:val="auto"/>
              <w:sz w:val="32"/>
              <w:szCs w:val="32"/>
            </w:rPr>
          </w:pPr>
          <w:r>
            <w:rPr>
              <w:b/>
              <w:bCs/>
              <w:color w:val="auto"/>
              <w:sz w:val="32"/>
              <w:szCs w:val="32"/>
            </w:rPr>
            <w:t>目录</w:t>
          </w:r>
        </w:p>
        <w:p>
          <w:pPr>
            <w:pStyle w:val="20"/>
            <w:tabs>
              <w:tab w:val="right" w:leader="dot" w:pos="8844"/>
            </w:tabs>
            <w:spacing w:line="360" w:lineRule="auto"/>
            <w:rPr>
              <w:color w:val="auto"/>
              <w:sz w:val="28"/>
              <w:szCs w:val="28"/>
            </w:rPr>
          </w:pPr>
          <w:r>
            <w:rPr>
              <w:color w:val="auto"/>
              <w:sz w:val="28"/>
              <w:szCs w:val="28"/>
            </w:rPr>
            <w:fldChar w:fldCharType="begin"/>
          </w:r>
          <w:r>
            <w:rPr>
              <w:color w:val="auto"/>
              <w:sz w:val="28"/>
              <w:szCs w:val="28"/>
            </w:rPr>
            <w:instrText xml:space="preserve">TOC \o "1-3" \h \u </w:instrText>
          </w:r>
          <w:r>
            <w:rPr>
              <w:color w:val="auto"/>
              <w:sz w:val="28"/>
              <w:szCs w:val="28"/>
            </w:rPr>
            <w:fldChar w:fldCharType="separate"/>
          </w:r>
          <w:r>
            <w:rPr>
              <w:color w:val="auto"/>
            </w:rPr>
            <w:fldChar w:fldCharType="begin"/>
          </w:r>
          <w:r>
            <w:rPr>
              <w:color w:val="auto"/>
            </w:rPr>
            <w:instrText xml:space="preserve"> HYPERLINK \l "_Toc32651" </w:instrText>
          </w:r>
          <w:r>
            <w:rPr>
              <w:color w:val="auto"/>
            </w:rPr>
            <w:fldChar w:fldCharType="separate"/>
          </w:r>
          <w:r>
            <w:rPr>
              <w:color w:val="auto"/>
              <w:sz w:val="28"/>
              <w:szCs w:val="28"/>
            </w:rPr>
            <w:t>一、建设项目基本情况</w:t>
          </w:r>
          <w:r>
            <w:rPr>
              <w:color w:val="auto"/>
              <w:sz w:val="28"/>
              <w:szCs w:val="28"/>
            </w:rPr>
            <w:tab/>
          </w:r>
          <w:r>
            <w:rPr>
              <w:color w:val="auto"/>
              <w:sz w:val="28"/>
              <w:szCs w:val="28"/>
            </w:rPr>
            <w:fldChar w:fldCharType="begin"/>
          </w:r>
          <w:r>
            <w:rPr>
              <w:color w:val="auto"/>
              <w:sz w:val="28"/>
              <w:szCs w:val="28"/>
            </w:rPr>
            <w:instrText xml:space="preserve"> PAGEREF _Toc32651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20"/>
            <w:tabs>
              <w:tab w:val="right" w:leader="dot" w:pos="8844"/>
            </w:tabs>
            <w:spacing w:line="360" w:lineRule="auto"/>
            <w:rPr>
              <w:color w:val="auto"/>
              <w:sz w:val="28"/>
              <w:szCs w:val="28"/>
            </w:rPr>
          </w:pPr>
          <w:r>
            <w:rPr>
              <w:color w:val="auto"/>
            </w:rPr>
            <w:fldChar w:fldCharType="begin"/>
          </w:r>
          <w:r>
            <w:rPr>
              <w:color w:val="auto"/>
            </w:rPr>
            <w:instrText xml:space="preserve"> HYPERLINK \l "_Toc29522" </w:instrText>
          </w:r>
          <w:r>
            <w:rPr>
              <w:color w:val="auto"/>
            </w:rPr>
            <w:fldChar w:fldCharType="separate"/>
          </w:r>
          <w:r>
            <w:rPr>
              <w:color w:val="auto"/>
              <w:sz w:val="28"/>
              <w:szCs w:val="28"/>
            </w:rPr>
            <w:t>二、建设项目工程分析</w:t>
          </w:r>
          <w:r>
            <w:rPr>
              <w:color w:val="auto"/>
              <w:sz w:val="28"/>
              <w:szCs w:val="28"/>
            </w:rPr>
            <w:tab/>
          </w:r>
          <w:r>
            <w:rPr>
              <w:color w:val="auto"/>
              <w:sz w:val="28"/>
              <w:szCs w:val="28"/>
            </w:rPr>
            <w:fldChar w:fldCharType="begin"/>
          </w:r>
          <w:r>
            <w:rPr>
              <w:color w:val="auto"/>
              <w:sz w:val="28"/>
              <w:szCs w:val="28"/>
            </w:rPr>
            <w:instrText xml:space="preserve"> PAGEREF _Toc29522 \h </w:instrText>
          </w:r>
          <w:r>
            <w:rPr>
              <w:color w:val="auto"/>
              <w:sz w:val="28"/>
              <w:szCs w:val="28"/>
            </w:rPr>
            <w:fldChar w:fldCharType="separate"/>
          </w:r>
          <w:r>
            <w:rPr>
              <w:color w:val="auto"/>
              <w:sz w:val="28"/>
              <w:szCs w:val="28"/>
            </w:rPr>
            <w:t>38</w:t>
          </w:r>
          <w:r>
            <w:rPr>
              <w:color w:val="auto"/>
              <w:sz w:val="28"/>
              <w:szCs w:val="28"/>
            </w:rPr>
            <w:fldChar w:fldCharType="end"/>
          </w:r>
          <w:r>
            <w:rPr>
              <w:color w:val="auto"/>
              <w:sz w:val="28"/>
              <w:szCs w:val="28"/>
            </w:rPr>
            <w:fldChar w:fldCharType="end"/>
          </w:r>
        </w:p>
        <w:p>
          <w:pPr>
            <w:pStyle w:val="20"/>
            <w:tabs>
              <w:tab w:val="right" w:leader="dot" w:pos="8844"/>
            </w:tabs>
            <w:spacing w:line="360" w:lineRule="auto"/>
            <w:rPr>
              <w:color w:val="auto"/>
              <w:sz w:val="28"/>
              <w:szCs w:val="28"/>
            </w:rPr>
          </w:pPr>
          <w:r>
            <w:rPr>
              <w:color w:val="auto"/>
            </w:rPr>
            <w:fldChar w:fldCharType="begin"/>
          </w:r>
          <w:r>
            <w:rPr>
              <w:color w:val="auto"/>
            </w:rPr>
            <w:instrText xml:space="preserve"> HYPERLINK \l "_Toc30778" </w:instrText>
          </w:r>
          <w:r>
            <w:rPr>
              <w:color w:val="auto"/>
            </w:rPr>
            <w:fldChar w:fldCharType="separate"/>
          </w:r>
          <w:r>
            <w:rPr>
              <w:color w:val="auto"/>
              <w:sz w:val="28"/>
              <w:szCs w:val="28"/>
            </w:rPr>
            <w:t>三、区域环境质量现状、环境保护目标及评价标准</w:t>
          </w:r>
          <w:r>
            <w:rPr>
              <w:color w:val="auto"/>
              <w:sz w:val="28"/>
              <w:szCs w:val="28"/>
            </w:rPr>
            <w:tab/>
          </w:r>
          <w:r>
            <w:rPr>
              <w:color w:val="auto"/>
              <w:sz w:val="28"/>
              <w:szCs w:val="28"/>
            </w:rPr>
            <w:fldChar w:fldCharType="begin"/>
          </w:r>
          <w:r>
            <w:rPr>
              <w:color w:val="auto"/>
              <w:sz w:val="28"/>
              <w:szCs w:val="28"/>
            </w:rPr>
            <w:instrText xml:space="preserve"> PAGEREF _Toc30778 \h </w:instrText>
          </w:r>
          <w:r>
            <w:rPr>
              <w:color w:val="auto"/>
              <w:sz w:val="28"/>
              <w:szCs w:val="28"/>
            </w:rPr>
            <w:fldChar w:fldCharType="separate"/>
          </w:r>
          <w:r>
            <w:rPr>
              <w:color w:val="auto"/>
              <w:sz w:val="28"/>
              <w:szCs w:val="28"/>
            </w:rPr>
            <w:t>61</w:t>
          </w:r>
          <w:r>
            <w:rPr>
              <w:color w:val="auto"/>
              <w:sz w:val="28"/>
              <w:szCs w:val="28"/>
            </w:rPr>
            <w:fldChar w:fldCharType="end"/>
          </w:r>
          <w:r>
            <w:rPr>
              <w:color w:val="auto"/>
              <w:sz w:val="28"/>
              <w:szCs w:val="28"/>
            </w:rPr>
            <w:fldChar w:fldCharType="end"/>
          </w:r>
        </w:p>
        <w:p>
          <w:pPr>
            <w:pStyle w:val="20"/>
            <w:tabs>
              <w:tab w:val="right" w:leader="dot" w:pos="8844"/>
            </w:tabs>
            <w:spacing w:line="360" w:lineRule="auto"/>
            <w:rPr>
              <w:color w:val="auto"/>
              <w:sz w:val="28"/>
              <w:szCs w:val="28"/>
            </w:rPr>
          </w:pPr>
          <w:r>
            <w:rPr>
              <w:color w:val="auto"/>
            </w:rPr>
            <w:fldChar w:fldCharType="begin"/>
          </w:r>
          <w:r>
            <w:rPr>
              <w:color w:val="auto"/>
            </w:rPr>
            <w:instrText xml:space="preserve"> HYPERLINK \l "_Toc3837" </w:instrText>
          </w:r>
          <w:r>
            <w:rPr>
              <w:color w:val="auto"/>
            </w:rPr>
            <w:fldChar w:fldCharType="separate"/>
          </w:r>
          <w:r>
            <w:rPr>
              <w:color w:val="auto"/>
              <w:sz w:val="28"/>
              <w:szCs w:val="28"/>
            </w:rPr>
            <w:t>四、主要环境影响和保护措施</w:t>
          </w:r>
          <w:r>
            <w:rPr>
              <w:color w:val="auto"/>
              <w:sz w:val="28"/>
              <w:szCs w:val="28"/>
            </w:rPr>
            <w:tab/>
          </w:r>
          <w:r>
            <w:rPr>
              <w:color w:val="auto"/>
              <w:sz w:val="28"/>
              <w:szCs w:val="28"/>
            </w:rPr>
            <w:fldChar w:fldCharType="begin"/>
          </w:r>
          <w:r>
            <w:rPr>
              <w:color w:val="auto"/>
              <w:sz w:val="28"/>
              <w:szCs w:val="28"/>
            </w:rPr>
            <w:instrText xml:space="preserve"> PAGEREF _Toc3837 \h </w:instrText>
          </w:r>
          <w:r>
            <w:rPr>
              <w:color w:val="auto"/>
              <w:sz w:val="28"/>
              <w:szCs w:val="28"/>
            </w:rPr>
            <w:fldChar w:fldCharType="separate"/>
          </w:r>
          <w:r>
            <w:rPr>
              <w:color w:val="auto"/>
              <w:sz w:val="28"/>
              <w:szCs w:val="28"/>
            </w:rPr>
            <w:t>69</w:t>
          </w:r>
          <w:r>
            <w:rPr>
              <w:color w:val="auto"/>
              <w:sz w:val="28"/>
              <w:szCs w:val="28"/>
            </w:rPr>
            <w:fldChar w:fldCharType="end"/>
          </w:r>
          <w:r>
            <w:rPr>
              <w:color w:val="auto"/>
              <w:sz w:val="28"/>
              <w:szCs w:val="28"/>
            </w:rPr>
            <w:fldChar w:fldCharType="end"/>
          </w:r>
        </w:p>
        <w:p>
          <w:pPr>
            <w:pStyle w:val="20"/>
            <w:tabs>
              <w:tab w:val="right" w:leader="dot" w:pos="8844"/>
            </w:tabs>
            <w:spacing w:line="360" w:lineRule="auto"/>
            <w:rPr>
              <w:color w:val="auto"/>
              <w:sz w:val="28"/>
              <w:szCs w:val="28"/>
            </w:rPr>
          </w:pPr>
          <w:r>
            <w:rPr>
              <w:color w:val="auto"/>
            </w:rPr>
            <w:fldChar w:fldCharType="begin"/>
          </w:r>
          <w:r>
            <w:rPr>
              <w:color w:val="auto"/>
            </w:rPr>
            <w:instrText xml:space="preserve"> HYPERLINK \l "_Toc18351" </w:instrText>
          </w:r>
          <w:r>
            <w:rPr>
              <w:color w:val="auto"/>
            </w:rPr>
            <w:fldChar w:fldCharType="separate"/>
          </w:r>
          <w:r>
            <w:rPr>
              <w:color w:val="auto"/>
              <w:sz w:val="28"/>
              <w:szCs w:val="28"/>
            </w:rPr>
            <w:t>五、环境保护措施监督检查清单</w:t>
          </w:r>
          <w:r>
            <w:rPr>
              <w:color w:val="auto"/>
              <w:sz w:val="28"/>
              <w:szCs w:val="28"/>
            </w:rPr>
            <w:tab/>
          </w:r>
          <w:r>
            <w:rPr>
              <w:color w:val="auto"/>
              <w:sz w:val="28"/>
              <w:szCs w:val="28"/>
            </w:rPr>
            <w:fldChar w:fldCharType="begin"/>
          </w:r>
          <w:r>
            <w:rPr>
              <w:color w:val="auto"/>
              <w:sz w:val="28"/>
              <w:szCs w:val="28"/>
            </w:rPr>
            <w:instrText xml:space="preserve"> PAGEREF _Toc18351 \h </w:instrText>
          </w:r>
          <w:r>
            <w:rPr>
              <w:color w:val="auto"/>
              <w:sz w:val="28"/>
              <w:szCs w:val="28"/>
            </w:rPr>
            <w:fldChar w:fldCharType="separate"/>
          </w:r>
          <w:r>
            <w:rPr>
              <w:color w:val="auto"/>
              <w:sz w:val="28"/>
              <w:szCs w:val="28"/>
            </w:rPr>
            <w:t>87</w:t>
          </w:r>
          <w:r>
            <w:rPr>
              <w:color w:val="auto"/>
              <w:sz w:val="28"/>
              <w:szCs w:val="28"/>
            </w:rPr>
            <w:fldChar w:fldCharType="end"/>
          </w:r>
          <w:r>
            <w:rPr>
              <w:color w:val="auto"/>
              <w:sz w:val="28"/>
              <w:szCs w:val="28"/>
            </w:rPr>
            <w:fldChar w:fldCharType="end"/>
          </w:r>
        </w:p>
        <w:p>
          <w:pPr>
            <w:pStyle w:val="20"/>
            <w:tabs>
              <w:tab w:val="right" w:leader="dot" w:pos="8844"/>
            </w:tabs>
            <w:spacing w:line="360" w:lineRule="auto"/>
            <w:rPr>
              <w:color w:val="auto"/>
              <w:sz w:val="28"/>
              <w:szCs w:val="28"/>
            </w:rPr>
          </w:pPr>
          <w:r>
            <w:rPr>
              <w:color w:val="auto"/>
            </w:rPr>
            <w:fldChar w:fldCharType="begin"/>
          </w:r>
          <w:r>
            <w:rPr>
              <w:color w:val="auto"/>
            </w:rPr>
            <w:instrText xml:space="preserve"> HYPERLINK \l "_Toc7771" </w:instrText>
          </w:r>
          <w:r>
            <w:rPr>
              <w:color w:val="auto"/>
            </w:rPr>
            <w:fldChar w:fldCharType="separate"/>
          </w:r>
          <w:r>
            <w:rPr>
              <w:color w:val="auto"/>
              <w:sz w:val="28"/>
              <w:szCs w:val="28"/>
            </w:rPr>
            <w:t>六、结论</w:t>
          </w:r>
          <w:r>
            <w:rPr>
              <w:color w:val="auto"/>
              <w:sz w:val="28"/>
              <w:szCs w:val="28"/>
            </w:rPr>
            <w:tab/>
          </w:r>
          <w:r>
            <w:rPr>
              <w:color w:val="auto"/>
              <w:sz w:val="28"/>
              <w:szCs w:val="28"/>
            </w:rPr>
            <w:fldChar w:fldCharType="begin"/>
          </w:r>
          <w:r>
            <w:rPr>
              <w:color w:val="auto"/>
              <w:sz w:val="28"/>
              <w:szCs w:val="28"/>
            </w:rPr>
            <w:instrText xml:space="preserve"> PAGEREF _Toc7771 \h </w:instrText>
          </w:r>
          <w:r>
            <w:rPr>
              <w:color w:val="auto"/>
              <w:sz w:val="28"/>
              <w:szCs w:val="28"/>
            </w:rPr>
            <w:fldChar w:fldCharType="separate"/>
          </w:r>
          <w:r>
            <w:rPr>
              <w:color w:val="auto"/>
              <w:sz w:val="28"/>
              <w:szCs w:val="28"/>
            </w:rPr>
            <w:t>103</w:t>
          </w:r>
          <w:r>
            <w:rPr>
              <w:color w:val="auto"/>
              <w:sz w:val="28"/>
              <w:szCs w:val="28"/>
            </w:rPr>
            <w:fldChar w:fldCharType="end"/>
          </w:r>
          <w:r>
            <w:rPr>
              <w:color w:val="auto"/>
              <w:sz w:val="28"/>
              <w:szCs w:val="28"/>
            </w:rPr>
            <w:fldChar w:fldCharType="end"/>
          </w:r>
        </w:p>
        <w:p>
          <w:pPr>
            <w:spacing w:line="360" w:lineRule="auto"/>
            <w:rPr>
              <w:color w:val="auto"/>
              <w:szCs w:val="21"/>
            </w:rPr>
          </w:pPr>
          <w:r>
            <w:rPr>
              <w:color w:val="auto"/>
              <w:sz w:val="28"/>
              <w:szCs w:val="28"/>
            </w:rPr>
            <w:fldChar w:fldCharType="end"/>
          </w:r>
        </w:p>
      </w:sdtContent>
    </w:sdt>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sectPr>
          <w:footerReference r:id="rId3" w:type="default"/>
          <w:pgSz w:w="11906" w:h="16838"/>
          <w:pgMar w:top="1701" w:right="1531" w:bottom="1701" w:left="1531" w:header="851" w:footer="1077" w:gutter="0"/>
          <w:pgNumType w:start="1"/>
          <w:cols w:space="720" w:num="1"/>
          <w:docGrid w:linePitch="312" w:charSpace="0"/>
        </w:sectPr>
      </w:pPr>
    </w:p>
    <w:p>
      <w:pPr>
        <w:spacing w:line="360" w:lineRule="auto"/>
        <w:rPr>
          <w:b/>
          <w:bCs/>
          <w:color w:val="auto"/>
          <w:sz w:val="28"/>
          <w:szCs w:val="28"/>
        </w:rPr>
      </w:pPr>
      <w:r>
        <w:rPr>
          <w:b/>
          <w:bCs/>
          <w:color w:val="auto"/>
          <w:sz w:val="28"/>
          <w:szCs w:val="28"/>
        </w:rPr>
        <w:t>附件</w:t>
      </w:r>
    </w:p>
    <w:p>
      <w:pPr>
        <w:spacing w:line="360" w:lineRule="auto"/>
        <w:ind w:firstLine="480" w:firstLineChars="200"/>
        <w:rPr>
          <w:color w:val="auto"/>
          <w:sz w:val="24"/>
        </w:rPr>
      </w:pPr>
      <w:r>
        <w:rPr>
          <w:color w:val="auto"/>
          <w:sz w:val="24"/>
        </w:rPr>
        <w:t>附件1：委托书</w:t>
      </w:r>
      <w:r>
        <w:rPr>
          <w:rFonts w:hint="eastAsia"/>
          <w:color w:val="auto"/>
          <w:sz w:val="24"/>
        </w:rPr>
        <w:t>；</w:t>
      </w:r>
    </w:p>
    <w:p>
      <w:pPr>
        <w:autoSpaceDE w:val="0"/>
        <w:autoSpaceDN w:val="0"/>
        <w:spacing w:line="360" w:lineRule="auto"/>
        <w:ind w:firstLine="480" w:firstLineChars="200"/>
        <w:rPr>
          <w:color w:val="auto"/>
          <w:sz w:val="24"/>
        </w:rPr>
      </w:pPr>
      <w:r>
        <w:rPr>
          <w:color w:val="auto"/>
          <w:sz w:val="24"/>
        </w:rPr>
        <w:t>附件2：投资项目备案证</w:t>
      </w:r>
      <w:r>
        <w:rPr>
          <w:rFonts w:hint="eastAsia"/>
          <w:color w:val="auto"/>
          <w:sz w:val="24"/>
        </w:rPr>
        <w:t>；</w:t>
      </w:r>
    </w:p>
    <w:p>
      <w:pPr>
        <w:autoSpaceDE w:val="0"/>
        <w:autoSpaceDN w:val="0"/>
        <w:spacing w:line="360" w:lineRule="auto"/>
        <w:ind w:firstLine="480" w:firstLineChars="200"/>
        <w:rPr>
          <w:color w:val="auto"/>
          <w:sz w:val="24"/>
        </w:rPr>
      </w:pPr>
      <w:r>
        <w:rPr>
          <w:color w:val="auto"/>
          <w:sz w:val="24"/>
        </w:rPr>
        <w:t>附件3：厂房租赁合同</w:t>
      </w:r>
      <w:r>
        <w:rPr>
          <w:rFonts w:hint="eastAsia"/>
          <w:color w:val="auto"/>
          <w:sz w:val="24"/>
        </w:rPr>
        <w:t>；</w:t>
      </w:r>
    </w:p>
    <w:p>
      <w:pPr>
        <w:autoSpaceDE w:val="0"/>
        <w:autoSpaceDN w:val="0"/>
        <w:spacing w:line="360" w:lineRule="auto"/>
        <w:ind w:firstLine="480" w:firstLineChars="200"/>
        <w:jc w:val="left"/>
        <w:rPr>
          <w:color w:val="auto"/>
          <w:sz w:val="24"/>
        </w:rPr>
      </w:pPr>
      <w:r>
        <w:rPr>
          <w:color w:val="auto"/>
          <w:sz w:val="24"/>
        </w:rPr>
        <w:t>附件4：营业执照</w:t>
      </w:r>
      <w:r>
        <w:rPr>
          <w:rFonts w:hint="eastAsia"/>
          <w:color w:val="auto"/>
          <w:sz w:val="24"/>
        </w:rPr>
        <w:t>；</w:t>
      </w:r>
    </w:p>
    <w:p>
      <w:pPr>
        <w:autoSpaceDE w:val="0"/>
        <w:autoSpaceDN w:val="0"/>
        <w:spacing w:line="360" w:lineRule="auto"/>
        <w:ind w:firstLine="480" w:firstLineChars="200"/>
        <w:jc w:val="left"/>
        <w:rPr>
          <w:color w:val="auto"/>
          <w:sz w:val="24"/>
        </w:rPr>
      </w:pPr>
      <w:r>
        <w:rPr>
          <w:color w:val="auto"/>
          <w:sz w:val="24"/>
        </w:rPr>
        <w:t>附件5：云环函〔2020〕261号关于《寻甸特色产业园区总体规划修编（2018—2035年）环境影响报告书》审查意见的函</w:t>
      </w:r>
      <w:r>
        <w:rPr>
          <w:rFonts w:hint="eastAsia"/>
          <w:color w:val="auto"/>
          <w:sz w:val="24"/>
        </w:rPr>
        <w:t>；</w:t>
      </w:r>
    </w:p>
    <w:p>
      <w:pPr>
        <w:autoSpaceDE w:val="0"/>
        <w:autoSpaceDN w:val="0"/>
        <w:spacing w:line="360" w:lineRule="auto"/>
        <w:ind w:firstLine="480" w:firstLineChars="200"/>
        <w:jc w:val="left"/>
        <w:rPr>
          <w:color w:val="auto"/>
          <w:sz w:val="24"/>
        </w:rPr>
      </w:pPr>
      <w:r>
        <w:rPr>
          <w:color w:val="auto"/>
          <w:sz w:val="24"/>
        </w:rPr>
        <w:t>附件</w:t>
      </w:r>
      <w:r>
        <w:rPr>
          <w:rFonts w:hint="eastAsia"/>
          <w:color w:val="auto"/>
          <w:sz w:val="24"/>
        </w:rPr>
        <w:t>6</w:t>
      </w:r>
      <w:r>
        <w:rPr>
          <w:color w:val="auto"/>
          <w:sz w:val="24"/>
        </w:rPr>
        <w:t>：云南省工业和信息化委关于同意寻甸特色产业园区规划建设装备制造园的复函</w:t>
      </w:r>
      <w:r>
        <w:rPr>
          <w:rFonts w:hint="eastAsia"/>
          <w:color w:val="auto"/>
          <w:sz w:val="24"/>
        </w:rPr>
        <w:t>；</w:t>
      </w:r>
    </w:p>
    <w:p>
      <w:pPr>
        <w:autoSpaceDE w:val="0"/>
        <w:autoSpaceDN w:val="0"/>
        <w:spacing w:line="360" w:lineRule="auto"/>
        <w:ind w:firstLine="480" w:firstLineChars="200"/>
        <w:jc w:val="left"/>
        <w:rPr>
          <w:color w:val="auto"/>
          <w:sz w:val="24"/>
        </w:rPr>
      </w:pPr>
      <w:r>
        <w:rPr>
          <w:color w:val="auto"/>
          <w:sz w:val="24"/>
        </w:rPr>
        <w:t>附件</w:t>
      </w:r>
      <w:r>
        <w:rPr>
          <w:rFonts w:hint="eastAsia"/>
          <w:color w:val="auto"/>
          <w:sz w:val="24"/>
        </w:rPr>
        <w:t>7</w:t>
      </w:r>
      <w:r>
        <w:rPr>
          <w:color w:val="auto"/>
          <w:sz w:val="24"/>
        </w:rPr>
        <w:t>：云南省环境保护厅关于《寻甸特色产业园区装备制造园专项规划（2009-2025）环境影响报告书》审查意见的函</w:t>
      </w:r>
      <w:r>
        <w:rPr>
          <w:rFonts w:hint="eastAsia"/>
          <w:color w:val="auto"/>
          <w:sz w:val="24"/>
        </w:rPr>
        <w:t>；</w:t>
      </w:r>
    </w:p>
    <w:p>
      <w:pPr>
        <w:widowControl/>
        <w:adjustRightInd w:val="0"/>
        <w:snapToGrid w:val="0"/>
        <w:spacing w:line="360" w:lineRule="auto"/>
        <w:ind w:firstLine="480" w:firstLineChars="200"/>
        <w:jc w:val="left"/>
        <w:rPr>
          <w:color w:val="auto"/>
          <w:sz w:val="24"/>
        </w:rPr>
      </w:pPr>
      <w:r>
        <w:rPr>
          <w:rFonts w:hint="eastAsia"/>
          <w:color w:val="auto"/>
          <w:sz w:val="24"/>
        </w:rPr>
        <w:t>附件8：环境质量现状监测报告；</w:t>
      </w:r>
    </w:p>
    <w:p>
      <w:pPr>
        <w:widowControl/>
        <w:adjustRightInd w:val="0"/>
        <w:snapToGrid w:val="0"/>
        <w:spacing w:line="360" w:lineRule="auto"/>
        <w:ind w:firstLine="480" w:firstLineChars="200"/>
        <w:jc w:val="left"/>
        <w:rPr>
          <w:color w:val="auto"/>
          <w:sz w:val="24"/>
        </w:rPr>
      </w:pPr>
      <w:r>
        <w:rPr>
          <w:rFonts w:hint="eastAsia"/>
          <w:color w:val="auto"/>
          <w:sz w:val="24"/>
        </w:rPr>
        <w:t>附件9：一体化污水处理装置监测报告；</w:t>
      </w:r>
    </w:p>
    <w:p>
      <w:pPr>
        <w:widowControl/>
        <w:adjustRightInd w:val="0"/>
        <w:snapToGrid w:val="0"/>
        <w:spacing w:line="360" w:lineRule="auto"/>
        <w:ind w:firstLine="480" w:firstLineChars="200"/>
        <w:jc w:val="left"/>
        <w:rPr>
          <w:color w:val="auto"/>
          <w:sz w:val="24"/>
        </w:rPr>
      </w:pPr>
      <w:r>
        <w:rPr>
          <w:rFonts w:hint="eastAsia"/>
          <w:color w:val="auto"/>
          <w:sz w:val="24"/>
        </w:rPr>
        <w:t>附件10：技术服务合同</w:t>
      </w:r>
    </w:p>
    <w:p>
      <w:pPr>
        <w:widowControl/>
        <w:adjustRightInd w:val="0"/>
        <w:snapToGrid w:val="0"/>
        <w:spacing w:line="360" w:lineRule="auto"/>
        <w:ind w:firstLine="480" w:firstLineChars="200"/>
        <w:jc w:val="left"/>
        <w:rPr>
          <w:color w:val="auto"/>
          <w:sz w:val="24"/>
        </w:rPr>
      </w:pPr>
      <w:r>
        <w:rPr>
          <w:rFonts w:hint="eastAsia"/>
          <w:color w:val="auto"/>
          <w:sz w:val="24"/>
        </w:rPr>
        <w:t>附件11：项目入园同意书</w:t>
      </w:r>
    </w:p>
    <w:p>
      <w:pPr>
        <w:widowControl/>
        <w:adjustRightInd w:val="0"/>
        <w:snapToGrid w:val="0"/>
        <w:spacing w:line="360" w:lineRule="auto"/>
        <w:ind w:firstLine="480" w:firstLineChars="200"/>
        <w:jc w:val="left"/>
        <w:rPr>
          <w:color w:val="auto"/>
          <w:sz w:val="24"/>
        </w:rPr>
      </w:pPr>
      <w:r>
        <w:rPr>
          <w:rFonts w:hint="eastAsia"/>
          <w:color w:val="auto"/>
          <w:sz w:val="24"/>
        </w:rPr>
        <w:t>附件12：公示截图</w:t>
      </w:r>
    </w:p>
    <w:p>
      <w:pPr>
        <w:autoSpaceDE w:val="0"/>
        <w:autoSpaceDN w:val="0"/>
        <w:spacing w:line="360" w:lineRule="auto"/>
        <w:jc w:val="left"/>
        <w:rPr>
          <w:b/>
          <w:bCs/>
          <w:color w:val="auto"/>
          <w:sz w:val="24"/>
        </w:rPr>
      </w:pPr>
      <w:r>
        <w:rPr>
          <w:b/>
          <w:bCs/>
          <w:color w:val="auto"/>
          <w:sz w:val="24"/>
        </w:rPr>
        <w:t>附图：</w:t>
      </w:r>
    </w:p>
    <w:p>
      <w:pPr>
        <w:autoSpaceDE w:val="0"/>
        <w:autoSpaceDN w:val="0"/>
        <w:adjustRightInd w:val="0"/>
        <w:snapToGrid w:val="0"/>
        <w:spacing w:line="360" w:lineRule="auto"/>
        <w:ind w:firstLine="480" w:firstLineChars="200"/>
        <w:jc w:val="left"/>
        <w:rPr>
          <w:color w:val="auto"/>
          <w:sz w:val="24"/>
        </w:rPr>
      </w:pPr>
      <w:r>
        <w:rPr>
          <w:color w:val="auto"/>
          <w:sz w:val="24"/>
        </w:rPr>
        <w:t>附图1：</w:t>
      </w:r>
      <w:r>
        <w:rPr>
          <w:rFonts w:hint="eastAsia"/>
          <w:color w:val="auto"/>
          <w:sz w:val="24"/>
        </w:rPr>
        <w:t>地理位置图；</w:t>
      </w:r>
    </w:p>
    <w:p>
      <w:pPr>
        <w:autoSpaceDE w:val="0"/>
        <w:autoSpaceDN w:val="0"/>
        <w:adjustRightInd w:val="0"/>
        <w:snapToGrid w:val="0"/>
        <w:spacing w:line="360" w:lineRule="auto"/>
        <w:ind w:firstLine="480" w:firstLineChars="200"/>
        <w:jc w:val="left"/>
        <w:rPr>
          <w:color w:val="auto"/>
          <w:sz w:val="24"/>
        </w:rPr>
      </w:pPr>
      <w:r>
        <w:rPr>
          <w:color w:val="auto"/>
          <w:sz w:val="24"/>
        </w:rPr>
        <w:t>附图2：</w:t>
      </w:r>
      <w:r>
        <w:rPr>
          <w:rFonts w:hint="eastAsia"/>
          <w:color w:val="auto"/>
          <w:sz w:val="24"/>
        </w:rPr>
        <w:t>项目区域水系图；</w:t>
      </w:r>
    </w:p>
    <w:p>
      <w:pPr>
        <w:autoSpaceDE w:val="0"/>
        <w:autoSpaceDN w:val="0"/>
        <w:adjustRightInd w:val="0"/>
        <w:snapToGrid w:val="0"/>
        <w:spacing w:line="360" w:lineRule="auto"/>
        <w:ind w:firstLine="480" w:firstLineChars="200"/>
        <w:jc w:val="left"/>
        <w:rPr>
          <w:color w:val="auto"/>
          <w:sz w:val="24"/>
        </w:rPr>
      </w:pPr>
      <w:r>
        <w:rPr>
          <w:color w:val="auto"/>
          <w:sz w:val="24"/>
        </w:rPr>
        <w:t>附图</w:t>
      </w:r>
      <w:r>
        <w:rPr>
          <w:rFonts w:hint="eastAsia"/>
          <w:color w:val="auto"/>
          <w:sz w:val="24"/>
        </w:rPr>
        <w:t>3.1</w:t>
      </w:r>
      <w:r>
        <w:rPr>
          <w:color w:val="auto"/>
          <w:sz w:val="24"/>
        </w:rPr>
        <w:t>：</w:t>
      </w:r>
      <w:r>
        <w:rPr>
          <w:rFonts w:hint="eastAsia"/>
          <w:color w:val="auto"/>
          <w:sz w:val="24"/>
        </w:rPr>
        <w:t>云南鹏腾机械设备制造有限公司厂区</w:t>
      </w:r>
      <w:r>
        <w:rPr>
          <w:color w:val="auto"/>
          <w:sz w:val="24"/>
        </w:rPr>
        <w:t>总平面布置</w:t>
      </w:r>
      <w:r>
        <w:rPr>
          <w:rFonts w:hint="eastAsia"/>
          <w:color w:val="auto"/>
          <w:sz w:val="24"/>
        </w:rPr>
        <w:t>；</w:t>
      </w:r>
    </w:p>
    <w:p>
      <w:pPr>
        <w:autoSpaceDE w:val="0"/>
        <w:autoSpaceDN w:val="0"/>
        <w:adjustRightInd w:val="0"/>
        <w:snapToGrid w:val="0"/>
        <w:spacing w:line="360" w:lineRule="auto"/>
        <w:ind w:firstLine="480" w:firstLineChars="200"/>
        <w:jc w:val="left"/>
        <w:rPr>
          <w:color w:val="auto"/>
          <w:sz w:val="24"/>
        </w:rPr>
      </w:pPr>
      <w:r>
        <w:rPr>
          <w:rFonts w:hint="eastAsia"/>
          <w:color w:val="auto"/>
          <w:sz w:val="24"/>
        </w:rPr>
        <w:t>附图3.2：本项目平面布置图及环保设施分布图；</w:t>
      </w:r>
    </w:p>
    <w:p>
      <w:pPr>
        <w:autoSpaceDE w:val="0"/>
        <w:autoSpaceDN w:val="0"/>
        <w:adjustRightInd w:val="0"/>
        <w:snapToGrid w:val="0"/>
        <w:spacing w:line="360" w:lineRule="auto"/>
        <w:ind w:firstLine="480" w:firstLineChars="200"/>
        <w:jc w:val="left"/>
        <w:rPr>
          <w:color w:val="auto"/>
          <w:sz w:val="24"/>
        </w:rPr>
      </w:pPr>
      <w:r>
        <w:rPr>
          <w:color w:val="auto"/>
          <w:sz w:val="24"/>
        </w:rPr>
        <w:t>附图</w:t>
      </w:r>
      <w:r>
        <w:rPr>
          <w:rFonts w:hint="eastAsia"/>
          <w:color w:val="auto"/>
          <w:sz w:val="24"/>
        </w:rPr>
        <w:t>4</w:t>
      </w:r>
      <w:r>
        <w:rPr>
          <w:color w:val="auto"/>
          <w:sz w:val="24"/>
        </w:rPr>
        <w:t>：项目</w:t>
      </w:r>
      <w:r>
        <w:rPr>
          <w:rFonts w:hint="eastAsia"/>
          <w:color w:val="auto"/>
          <w:sz w:val="24"/>
        </w:rPr>
        <w:t>周边关系</w:t>
      </w:r>
      <w:r>
        <w:rPr>
          <w:color w:val="auto"/>
          <w:sz w:val="24"/>
        </w:rPr>
        <w:t>图</w:t>
      </w:r>
      <w:r>
        <w:rPr>
          <w:rFonts w:hint="eastAsia"/>
          <w:color w:val="auto"/>
          <w:sz w:val="24"/>
        </w:rPr>
        <w:t>；</w:t>
      </w:r>
    </w:p>
    <w:p>
      <w:pPr>
        <w:autoSpaceDE w:val="0"/>
        <w:autoSpaceDN w:val="0"/>
        <w:adjustRightInd w:val="0"/>
        <w:snapToGrid w:val="0"/>
        <w:spacing w:line="360" w:lineRule="auto"/>
        <w:ind w:firstLine="480" w:firstLineChars="200"/>
        <w:jc w:val="left"/>
        <w:rPr>
          <w:color w:val="auto"/>
          <w:sz w:val="24"/>
        </w:rPr>
      </w:pPr>
      <w:r>
        <w:rPr>
          <w:color w:val="auto"/>
          <w:sz w:val="24"/>
        </w:rPr>
        <w:t>附图</w:t>
      </w:r>
      <w:r>
        <w:rPr>
          <w:rFonts w:hint="eastAsia"/>
          <w:color w:val="auto"/>
          <w:sz w:val="24"/>
        </w:rPr>
        <w:t>5</w:t>
      </w:r>
      <w:r>
        <w:rPr>
          <w:color w:val="auto"/>
          <w:sz w:val="24"/>
        </w:rPr>
        <w:t>：寻甸特色产业园区羊街片区用地规划图</w:t>
      </w:r>
      <w:r>
        <w:rPr>
          <w:rFonts w:hint="eastAsia"/>
          <w:color w:val="auto"/>
          <w:sz w:val="24"/>
        </w:rPr>
        <w:t>；</w:t>
      </w:r>
    </w:p>
    <w:p>
      <w:pPr>
        <w:autoSpaceDE w:val="0"/>
        <w:autoSpaceDN w:val="0"/>
        <w:adjustRightInd w:val="0"/>
        <w:snapToGrid w:val="0"/>
        <w:spacing w:line="360" w:lineRule="auto"/>
        <w:ind w:firstLine="480" w:firstLineChars="200"/>
        <w:jc w:val="left"/>
        <w:rPr>
          <w:color w:val="auto"/>
          <w:sz w:val="24"/>
        </w:rPr>
      </w:pPr>
      <w:r>
        <w:rPr>
          <w:rFonts w:hint="eastAsia"/>
          <w:color w:val="auto"/>
          <w:sz w:val="24"/>
        </w:rPr>
        <w:t>附图6：</w:t>
      </w:r>
      <w:r>
        <w:rPr>
          <w:color w:val="auto"/>
          <w:sz w:val="24"/>
        </w:rPr>
        <w:t>项目区与寻甸县生态保护红线位置关系图</w:t>
      </w:r>
      <w:r>
        <w:rPr>
          <w:rFonts w:hint="eastAsia"/>
          <w:color w:val="auto"/>
          <w:sz w:val="24"/>
        </w:rPr>
        <w:t>；</w:t>
      </w:r>
    </w:p>
    <w:p>
      <w:pPr>
        <w:autoSpaceDE w:val="0"/>
        <w:autoSpaceDN w:val="0"/>
        <w:adjustRightInd w:val="0"/>
        <w:snapToGrid w:val="0"/>
        <w:spacing w:line="360" w:lineRule="auto"/>
        <w:ind w:firstLine="480" w:firstLineChars="200"/>
        <w:jc w:val="left"/>
        <w:rPr>
          <w:color w:val="auto"/>
          <w:sz w:val="24"/>
        </w:rPr>
      </w:pPr>
      <w:r>
        <w:rPr>
          <w:rFonts w:hint="eastAsia"/>
          <w:color w:val="auto"/>
          <w:sz w:val="24"/>
        </w:rPr>
        <w:t>附图7：</w:t>
      </w:r>
      <w:r>
        <w:rPr>
          <w:color w:val="auto"/>
          <w:sz w:val="24"/>
        </w:rPr>
        <w:t>项目区与清水海引水工程（一期）水源保护区位置关系图</w:t>
      </w:r>
    </w:p>
    <w:p>
      <w:pPr>
        <w:autoSpaceDE w:val="0"/>
        <w:autoSpaceDN w:val="0"/>
        <w:adjustRightInd w:val="0"/>
        <w:snapToGrid w:val="0"/>
        <w:spacing w:line="360" w:lineRule="auto"/>
        <w:ind w:firstLine="480" w:firstLineChars="200"/>
        <w:jc w:val="left"/>
        <w:rPr>
          <w:color w:val="auto"/>
          <w:sz w:val="24"/>
        </w:rPr>
      </w:pPr>
      <w:r>
        <w:rPr>
          <w:color w:val="auto"/>
          <w:sz w:val="24"/>
        </w:rPr>
        <w:t>附图</w:t>
      </w:r>
      <w:r>
        <w:rPr>
          <w:rFonts w:hint="eastAsia"/>
          <w:color w:val="auto"/>
          <w:sz w:val="24"/>
        </w:rPr>
        <w:t>8</w:t>
      </w:r>
      <w:r>
        <w:rPr>
          <w:color w:val="auto"/>
          <w:sz w:val="24"/>
        </w:rPr>
        <w:t>：项目区与云南寻甸黑颈鹤省级自然保护区位置关系图</w:t>
      </w:r>
      <w:r>
        <w:rPr>
          <w:rFonts w:hint="eastAsia"/>
          <w:color w:val="auto"/>
          <w:sz w:val="24"/>
        </w:rPr>
        <w:t>；</w:t>
      </w:r>
    </w:p>
    <w:p>
      <w:pPr>
        <w:autoSpaceDE w:val="0"/>
        <w:autoSpaceDN w:val="0"/>
        <w:adjustRightInd w:val="0"/>
        <w:snapToGrid w:val="0"/>
        <w:spacing w:line="360" w:lineRule="auto"/>
        <w:ind w:firstLine="480" w:firstLineChars="200"/>
        <w:jc w:val="left"/>
        <w:rPr>
          <w:color w:val="auto"/>
          <w:sz w:val="24"/>
        </w:rPr>
      </w:pPr>
      <w:r>
        <w:rPr>
          <w:color w:val="auto"/>
          <w:sz w:val="24"/>
        </w:rPr>
        <w:t>附图</w:t>
      </w:r>
      <w:r>
        <w:rPr>
          <w:rFonts w:hint="eastAsia"/>
          <w:color w:val="auto"/>
          <w:sz w:val="24"/>
        </w:rPr>
        <w:t>9</w:t>
      </w:r>
      <w:r>
        <w:rPr>
          <w:color w:val="auto"/>
          <w:sz w:val="24"/>
        </w:rPr>
        <w:t>：项目区与牛栏江（云南段）水环境保护分区位置关系图</w:t>
      </w:r>
      <w:r>
        <w:rPr>
          <w:rFonts w:hint="eastAsia"/>
          <w:color w:val="auto"/>
          <w:sz w:val="24"/>
        </w:rPr>
        <w:t>；</w:t>
      </w:r>
    </w:p>
    <w:p>
      <w:pPr>
        <w:spacing w:line="360" w:lineRule="auto"/>
        <w:rPr>
          <w:color w:val="auto"/>
        </w:rPr>
        <w:sectPr>
          <w:footerReference r:id="rId4" w:type="default"/>
          <w:pgSz w:w="11906" w:h="16838"/>
          <w:pgMar w:top="1701" w:right="1531" w:bottom="1701" w:left="1531" w:header="851" w:footer="1077" w:gutter="0"/>
          <w:pgNumType w:start="1"/>
          <w:cols w:space="720" w:num="1"/>
          <w:docGrid w:linePitch="312" w:charSpace="0"/>
        </w:sectPr>
      </w:pPr>
    </w:p>
    <w:p>
      <w:pPr>
        <w:pStyle w:val="4"/>
        <w:ind w:left="0" w:firstLine="0"/>
        <w:rPr>
          <w:rFonts w:ascii="宋体" w:hAnsi="宋体" w:eastAsia="宋体" w:cs="宋体"/>
          <w:color w:val="auto"/>
        </w:rPr>
      </w:pPr>
      <w:bookmarkStart w:id="0" w:name="_Toc32651"/>
      <w:bookmarkStart w:id="1" w:name="_Toc30294"/>
      <w:bookmarkStart w:id="2" w:name="_Toc26129"/>
      <w:r>
        <w:rPr>
          <w:rFonts w:hint="eastAsia" w:ascii="宋体" w:hAnsi="宋体" w:eastAsia="宋体" w:cs="宋体"/>
          <w:color w:val="auto"/>
        </w:rPr>
        <w:t>一、建设项目基本情况</w:t>
      </w:r>
      <w:bookmarkEnd w:id="0"/>
      <w:bookmarkEnd w:id="1"/>
      <w:bookmarkEnd w:id="2"/>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56"/>
        <w:gridCol w:w="1832"/>
        <w:gridCol w:w="1860"/>
        <w:gridCol w:w="32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6" w:type="dxa"/>
            <w:tcMar>
              <w:top w:w="16" w:type="dxa"/>
              <w:left w:w="16" w:type="dxa"/>
              <w:right w:w="16" w:type="dxa"/>
            </w:tcMar>
            <w:vAlign w:val="center"/>
          </w:tcPr>
          <w:p>
            <w:pPr>
              <w:spacing w:line="360" w:lineRule="auto"/>
              <w:jc w:val="left"/>
              <w:rPr>
                <w:color w:val="auto"/>
                <w:sz w:val="24"/>
              </w:rPr>
            </w:pPr>
            <w:r>
              <w:rPr>
                <w:color w:val="auto"/>
                <w:sz w:val="24"/>
              </w:rPr>
              <w:t>建设项目名称</w:t>
            </w:r>
          </w:p>
        </w:tc>
        <w:tc>
          <w:tcPr>
            <w:tcW w:w="6974" w:type="dxa"/>
            <w:gridSpan w:val="3"/>
            <w:vAlign w:val="center"/>
          </w:tcPr>
          <w:p>
            <w:pPr>
              <w:spacing w:line="360" w:lineRule="auto"/>
              <w:jc w:val="center"/>
              <w:rPr>
                <w:color w:val="auto"/>
                <w:sz w:val="24"/>
              </w:rPr>
            </w:pPr>
            <w:r>
              <w:rPr>
                <w:color w:val="auto"/>
                <w:sz w:val="24"/>
              </w:rPr>
              <w:t>云南塑发科技有限公司新建改性塑料生产建设项目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6" w:type="dxa"/>
            <w:tcMar>
              <w:top w:w="16" w:type="dxa"/>
              <w:left w:w="16" w:type="dxa"/>
              <w:right w:w="16" w:type="dxa"/>
            </w:tcMar>
            <w:vAlign w:val="center"/>
          </w:tcPr>
          <w:p>
            <w:pPr>
              <w:spacing w:line="360" w:lineRule="auto"/>
              <w:jc w:val="left"/>
              <w:rPr>
                <w:color w:val="auto"/>
                <w:sz w:val="24"/>
              </w:rPr>
            </w:pPr>
            <w:r>
              <w:rPr>
                <w:color w:val="auto"/>
                <w:sz w:val="24"/>
              </w:rPr>
              <w:t>项目代码</w:t>
            </w:r>
          </w:p>
        </w:tc>
        <w:tc>
          <w:tcPr>
            <w:tcW w:w="6974" w:type="dxa"/>
            <w:gridSpan w:val="3"/>
            <w:vAlign w:val="center"/>
          </w:tcPr>
          <w:p>
            <w:pPr>
              <w:spacing w:line="360" w:lineRule="auto"/>
              <w:jc w:val="center"/>
              <w:rPr>
                <w:color w:val="auto"/>
                <w:sz w:val="24"/>
              </w:rPr>
            </w:pPr>
            <w:r>
              <w:rPr>
                <w:rFonts w:hint="eastAsia"/>
                <w:color w:val="auto"/>
                <w:sz w:val="24"/>
              </w:rPr>
              <w:t>2204</w:t>
            </w:r>
            <w:r>
              <w:rPr>
                <w:color w:val="auto"/>
                <w:sz w:val="24"/>
              </w:rPr>
              <w:t>-530129-</w:t>
            </w:r>
            <w:r>
              <w:rPr>
                <w:rFonts w:hint="eastAsia"/>
                <w:color w:val="auto"/>
                <w:sz w:val="24"/>
              </w:rPr>
              <w:t>04-05</w:t>
            </w:r>
            <w:r>
              <w:rPr>
                <w:color w:val="auto"/>
                <w:sz w:val="24"/>
              </w:rPr>
              <w:t>-</w:t>
            </w:r>
            <w:r>
              <w:rPr>
                <w:rFonts w:hint="eastAsia"/>
                <w:color w:val="auto"/>
                <w:sz w:val="24"/>
              </w:rPr>
              <w:t>115973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6" w:type="dxa"/>
            <w:tcMar>
              <w:top w:w="16" w:type="dxa"/>
              <w:left w:w="16" w:type="dxa"/>
              <w:right w:w="16" w:type="dxa"/>
            </w:tcMar>
            <w:vAlign w:val="center"/>
          </w:tcPr>
          <w:p>
            <w:pPr>
              <w:spacing w:line="360" w:lineRule="auto"/>
              <w:jc w:val="left"/>
              <w:rPr>
                <w:color w:val="auto"/>
                <w:sz w:val="24"/>
              </w:rPr>
            </w:pPr>
            <w:r>
              <w:rPr>
                <w:color w:val="auto"/>
                <w:sz w:val="24"/>
              </w:rPr>
              <w:t>建设单位联系人</w:t>
            </w:r>
          </w:p>
        </w:tc>
        <w:tc>
          <w:tcPr>
            <w:tcW w:w="1832" w:type="dxa"/>
            <w:vAlign w:val="center"/>
          </w:tcPr>
          <w:p>
            <w:pPr>
              <w:spacing w:line="360" w:lineRule="auto"/>
              <w:jc w:val="center"/>
              <w:rPr>
                <w:color w:val="auto"/>
                <w:sz w:val="24"/>
              </w:rPr>
            </w:pPr>
            <w:r>
              <w:rPr>
                <w:rFonts w:hint="eastAsia"/>
                <w:color w:val="auto"/>
                <w:sz w:val="24"/>
              </w:rPr>
              <w:t>刘景松</w:t>
            </w:r>
          </w:p>
        </w:tc>
        <w:tc>
          <w:tcPr>
            <w:tcW w:w="1860" w:type="dxa"/>
            <w:vAlign w:val="center"/>
          </w:tcPr>
          <w:p>
            <w:pPr>
              <w:spacing w:line="360" w:lineRule="auto"/>
              <w:jc w:val="center"/>
              <w:rPr>
                <w:color w:val="auto"/>
                <w:sz w:val="24"/>
              </w:rPr>
            </w:pPr>
            <w:r>
              <w:rPr>
                <w:color w:val="auto"/>
                <w:sz w:val="24"/>
              </w:rPr>
              <w:t>联系方式</w:t>
            </w:r>
          </w:p>
        </w:tc>
        <w:tc>
          <w:tcPr>
            <w:tcW w:w="3282" w:type="dxa"/>
            <w:vAlign w:val="center"/>
          </w:tcPr>
          <w:p>
            <w:pPr>
              <w:spacing w:line="360" w:lineRule="auto"/>
              <w:jc w:val="center"/>
              <w:rPr>
                <w:color w:val="auto"/>
                <w:sz w:val="24"/>
              </w:rPr>
            </w:pPr>
            <w:r>
              <w:rPr>
                <w:rFonts w:hint="eastAsia"/>
                <w:color w:val="auto"/>
                <w:sz w:val="24"/>
              </w:rPr>
              <w:t>131</w:t>
            </w:r>
            <w:r>
              <w:rPr>
                <w:rFonts w:hint="eastAsia"/>
                <w:color w:val="auto"/>
                <w:sz w:val="24"/>
                <w:lang w:val="en-US" w:eastAsia="zh-CN"/>
              </w:rPr>
              <w:t>****</w:t>
            </w:r>
            <w:r>
              <w:rPr>
                <w:rFonts w:hint="eastAsia"/>
                <w:color w:val="auto"/>
                <w:sz w:val="24"/>
              </w:rPr>
              <w:t>0911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6" w:type="dxa"/>
            <w:tcMar>
              <w:top w:w="16" w:type="dxa"/>
              <w:left w:w="16" w:type="dxa"/>
              <w:right w:w="16" w:type="dxa"/>
            </w:tcMar>
            <w:vAlign w:val="center"/>
          </w:tcPr>
          <w:p>
            <w:pPr>
              <w:spacing w:line="360" w:lineRule="auto"/>
              <w:jc w:val="left"/>
              <w:rPr>
                <w:color w:val="auto"/>
                <w:sz w:val="24"/>
              </w:rPr>
            </w:pPr>
            <w:r>
              <w:rPr>
                <w:color w:val="auto"/>
                <w:sz w:val="24"/>
              </w:rPr>
              <w:t>建设地点</w:t>
            </w:r>
          </w:p>
        </w:tc>
        <w:tc>
          <w:tcPr>
            <w:tcW w:w="6974" w:type="dxa"/>
            <w:gridSpan w:val="3"/>
            <w:vAlign w:val="center"/>
          </w:tcPr>
          <w:p>
            <w:pPr>
              <w:pStyle w:val="11"/>
              <w:jc w:val="center"/>
              <w:rPr>
                <w:color w:val="auto"/>
                <w:szCs w:val="24"/>
                <w:lang w:val="en-US"/>
              </w:rPr>
            </w:pPr>
            <w:r>
              <w:rPr>
                <w:color w:val="auto"/>
                <w:szCs w:val="21"/>
                <w:u w:val="single"/>
              </w:rPr>
              <w:t xml:space="preserve"> 云南 </w:t>
            </w:r>
            <w:r>
              <w:rPr>
                <w:color w:val="auto"/>
                <w:szCs w:val="21"/>
              </w:rPr>
              <w:t>省</w:t>
            </w:r>
            <w:r>
              <w:rPr>
                <w:color w:val="auto"/>
                <w:szCs w:val="21"/>
                <w:u w:val="single"/>
              </w:rPr>
              <w:t xml:space="preserve">  昆明  </w:t>
            </w:r>
            <w:r>
              <w:rPr>
                <w:color w:val="auto"/>
                <w:szCs w:val="21"/>
              </w:rPr>
              <w:t>市</w:t>
            </w:r>
            <w:r>
              <w:rPr>
                <w:rFonts w:hint="eastAsia"/>
                <w:color w:val="auto"/>
                <w:szCs w:val="21"/>
                <w:u w:val="single"/>
              </w:rPr>
              <w:t>寻甸</w:t>
            </w:r>
            <w:r>
              <w:rPr>
                <w:color w:val="auto"/>
                <w:szCs w:val="21"/>
              </w:rPr>
              <w:t>县（区）</w:t>
            </w:r>
            <w:r>
              <w:rPr>
                <w:rFonts w:hint="eastAsia"/>
                <w:color w:val="auto"/>
                <w:szCs w:val="21"/>
                <w:u w:val="single"/>
              </w:rPr>
              <w:t>羊街镇</w:t>
            </w:r>
            <w:r>
              <w:rPr>
                <w:color w:val="auto"/>
                <w:szCs w:val="21"/>
              </w:rPr>
              <w:t>（街道）</w:t>
            </w:r>
            <w:r>
              <w:rPr>
                <w:rFonts w:hint="eastAsia"/>
                <w:color w:val="auto"/>
                <w:szCs w:val="21"/>
                <w:u w:val="single"/>
                <w:lang w:val="en-US"/>
              </w:rPr>
              <w:t>特色产业园区羊街片区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556" w:type="dxa"/>
            <w:tcMar>
              <w:top w:w="16" w:type="dxa"/>
              <w:left w:w="16" w:type="dxa"/>
              <w:right w:w="16" w:type="dxa"/>
            </w:tcMar>
            <w:vAlign w:val="center"/>
          </w:tcPr>
          <w:p>
            <w:pPr>
              <w:spacing w:line="360" w:lineRule="auto"/>
              <w:jc w:val="left"/>
              <w:rPr>
                <w:color w:val="auto"/>
                <w:sz w:val="24"/>
              </w:rPr>
            </w:pPr>
            <w:r>
              <w:rPr>
                <w:color w:val="auto"/>
                <w:sz w:val="24"/>
              </w:rPr>
              <w:t>地理坐标</w:t>
            </w:r>
          </w:p>
        </w:tc>
        <w:tc>
          <w:tcPr>
            <w:tcW w:w="6974" w:type="dxa"/>
            <w:gridSpan w:val="3"/>
            <w:vAlign w:val="center"/>
          </w:tcPr>
          <w:p>
            <w:pPr>
              <w:spacing w:line="360" w:lineRule="auto"/>
              <w:jc w:val="center"/>
              <w:rPr>
                <w:color w:val="auto"/>
                <w:sz w:val="24"/>
              </w:rPr>
            </w:pPr>
            <w:r>
              <w:rPr>
                <w:color w:val="auto"/>
                <w:sz w:val="24"/>
              </w:rPr>
              <w:t>（</w:t>
            </w:r>
            <w:r>
              <w:rPr>
                <w:rFonts w:hint="eastAsia"/>
                <w:color w:val="auto"/>
                <w:sz w:val="24"/>
              </w:rPr>
              <w:t>E</w:t>
            </w:r>
            <w:r>
              <w:rPr>
                <w:color w:val="auto"/>
                <w:sz w:val="24"/>
              </w:rPr>
              <w:t>103度</w:t>
            </w:r>
            <w:r>
              <w:rPr>
                <w:rFonts w:hint="eastAsia"/>
                <w:color w:val="auto"/>
                <w:sz w:val="24"/>
              </w:rPr>
              <w:t>09</w:t>
            </w:r>
            <w:r>
              <w:rPr>
                <w:color w:val="auto"/>
                <w:sz w:val="24"/>
              </w:rPr>
              <w:t>分</w:t>
            </w:r>
            <w:r>
              <w:rPr>
                <w:rFonts w:hint="eastAsia"/>
                <w:color w:val="auto"/>
                <w:sz w:val="24"/>
              </w:rPr>
              <w:t>06.552</w:t>
            </w:r>
            <w:r>
              <w:rPr>
                <w:color w:val="auto"/>
                <w:sz w:val="24"/>
              </w:rPr>
              <w:t>秒，</w:t>
            </w:r>
            <w:r>
              <w:rPr>
                <w:rFonts w:hint="eastAsia"/>
                <w:color w:val="auto"/>
                <w:sz w:val="24"/>
              </w:rPr>
              <w:t>N</w:t>
            </w:r>
            <w:r>
              <w:rPr>
                <w:color w:val="auto"/>
                <w:sz w:val="24"/>
              </w:rPr>
              <w:t>25度</w:t>
            </w:r>
            <w:r>
              <w:rPr>
                <w:rFonts w:hint="eastAsia"/>
                <w:color w:val="auto"/>
                <w:sz w:val="24"/>
              </w:rPr>
              <w:t>28</w:t>
            </w:r>
            <w:r>
              <w:rPr>
                <w:color w:val="auto"/>
                <w:sz w:val="24"/>
              </w:rPr>
              <w:t>分</w:t>
            </w:r>
            <w:r>
              <w:rPr>
                <w:rFonts w:hint="eastAsia"/>
                <w:color w:val="auto"/>
                <w:sz w:val="24"/>
              </w:rPr>
              <w:t>33.762</w:t>
            </w:r>
            <w:r>
              <w:rPr>
                <w:color w:val="auto"/>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1556" w:type="dxa"/>
            <w:tcMar>
              <w:top w:w="16" w:type="dxa"/>
              <w:left w:w="16" w:type="dxa"/>
              <w:right w:w="16" w:type="dxa"/>
            </w:tcMar>
            <w:vAlign w:val="center"/>
          </w:tcPr>
          <w:p>
            <w:pPr>
              <w:spacing w:line="360" w:lineRule="auto"/>
              <w:jc w:val="left"/>
              <w:rPr>
                <w:color w:val="auto"/>
                <w:sz w:val="24"/>
              </w:rPr>
            </w:pPr>
            <w:r>
              <w:rPr>
                <w:color w:val="auto"/>
                <w:sz w:val="24"/>
              </w:rPr>
              <w:t>国民经济行业类别</w:t>
            </w:r>
          </w:p>
        </w:tc>
        <w:tc>
          <w:tcPr>
            <w:tcW w:w="1832" w:type="dxa"/>
            <w:vAlign w:val="center"/>
          </w:tcPr>
          <w:p>
            <w:pPr>
              <w:spacing w:line="360" w:lineRule="auto"/>
              <w:jc w:val="center"/>
              <w:rPr>
                <w:color w:val="auto"/>
                <w:sz w:val="24"/>
              </w:rPr>
            </w:pPr>
            <w:r>
              <w:rPr>
                <w:rFonts w:hint="eastAsia"/>
                <w:color w:val="auto"/>
                <w:sz w:val="24"/>
              </w:rPr>
              <w:t>C2929塑料零件及其他塑料制品制造</w:t>
            </w:r>
          </w:p>
        </w:tc>
        <w:tc>
          <w:tcPr>
            <w:tcW w:w="1860" w:type="dxa"/>
            <w:vAlign w:val="center"/>
          </w:tcPr>
          <w:p>
            <w:pPr>
              <w:spacing w:line="360" w:lineRule="auto"/>
              <w:jc w:val="center"/>
              <w:rPr>
                <w:color w:val="auto"/>
                <w:sz w:val="24"/>
              </w:rPr>
            </w:pPr>
            <w:bookmarkStart w:id="3" w:name="_Hlk49843745"/>
            <w:r>
              <w:rPr>
                <w:color w:val="auto"/>
                <w:sz w:val="24"/>
              </w:rPr>
              <w:t>建设项目</w:t>
            </w:r>
          </w:p>
          <w:p>
            <w:pPr>
              <w:spacing w:line="360" w:lineRule="auto"/>
              <w:jc w:val="center"/>
              <w:rPr>
                <w:color w:val="auto"/>
                <w:sz w:val="24"/>
              </w:rPr>
            </w:pPr>
            <w:r>
              <w:rPr>
                <w:color w:val="auto"/>
                <w:sz w:val="24"/>
              </w:rPr>
              <w:t>行业类别</w:t>
            </w:r>
            <w:bookmarkEnd w:id="3"/>
          </w:p>
        </w:tc>
        <w:tc>
          <w:tcPr>
            <w:tcW w:w="3282" w:type="dxa"/>
            <w:vAlign w:val="center"/>
          </w:tcPr>
          <w:p>
            <w:pPr>
              <w:pStyle w:val="11"/>
              <w:ind w:firstLine="0"/>
              <w:rPr>
                <w:color w:val="auto"/>
                <w:szCs w:val="24"/>
              </w:rPr>
            </w:pPr>
            <w:r>
              <w:rPr>
                <w:rFonts w:hint="eastAsia"/>
                <w:color w:val="auto"/>
                <w:szCs w:val="24"/>
                <w:lang w:val="en-US"/>
              </w:rPr>
              <w:t>二十六</w:t>
            </w:r>
            <w:r>
              <w:rPr>
                <w:color w:val="auto"/>
                <w:szCs w:val="24"/>
              </w:rPr>
              <w:t>、</w:t>
            </w:r>
            <w:r>
              <w:rPr>
                <w:rFonts w:hint="eastAsia"/>
                <w:color w:val="auto"/>
                <w:szCs w:val="24"/>
                <w:lang w:val="en-US"/>
              </w:rPr>
              <w:t>橡胶和塑料制品业53塑料制品业292 其他（年用非溶剂型低VOCs含量涂料10吨以下的除外）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83" w:hRule="atLeast"/>
          <w:jc w:val="center"/>
        </w:trPr>
        <w:tc>
          <w:tcPr>
            <w:tcW w:w="1556" w:type="dxa"/>
            <w:tcMar>
              <w:top w:w="16" w:type="dxa"/>
              <w:left w:w="16" w:type="dxa"/>
              <w:right w:w="16" w:type="dxa"/>
            </w:tcMar>
            <w:vAlign w:val="center"/>
          </w:tcPr>
          <w:p>
            <w:pPr>
              <w:spacing w:line="360" w:lineRule="auto"/>
              <w:jc w:val="left"/>
              <w:rPr>
                <w:color w:val="auto"/>
                <w:sz w:val="24"/>
              </w:rPr>
            </w:pPr>
            <w:r>
              <w:rPr>
                <w:color w:val="auto"/>
                <w:sz w:val="24"/>
              </w:rPr>
              <w:t>建设性质</w:t>
            </w:r>
          </w:p>
        </w:tc>
        <w:tc>
          <w:tcPr>
            <w:tcW w:w="1832" w:type="dxa"/>
            <w:vAlign w:val="center"/>
          </w:tcPr>
          <w:p>
            <w:pPr>
              <w:spacing w:line="360" w:lineRule="auto"/>
              <w:jc w:val="left"/>
              <w:rPr>
                <w:color w:val="auto"/>
                <w:sz w:val="24"/>
              </w:rPr>
            </w:pPr>
            <w:r>
              <w:rPr>
                <w:color w:val="auto"/>
                <w:sz w:val="24"/>
              </w:rPr>
              <w:sym w:font="Wingdings 2" w:char="0052"/>
            </w:r>
            <w:r>
              <w:rPr>
                <w:color w:val="auto"/>
                <w:sz w:val="24"/>
              </w:rPr>
              <w:t>新建（迁建）</w:t>
            </w:r>
          </w:p>
          <w:p>
            <w:pPr>
              <w:spacing w:line="360" w:lineRule="auto"/>
              <w:jc w:val="left"/>
              <w:rPr>
                <w:color w:val="auto"/>
                <w:sz w:val="24"/>
              </w:rPr>
            </w:pPr>
            <w:r>
              <w:rPr>
                <w:color w:val="auto"/>
                <w:sz w:val="24"/>
              </w:rPr>
              <w:sym w:font="Wingdings 2" w:char="00A3"/>
            </w:r>
            <w:r>
              <w:rPr>
                <w:color w:val="auto"/>
                <w:sz w:val="24"/>
              </w:rPr>
              <w:t>改建</w:t>
            </w:r>
          </w:p>
          <w:p>
            <w:pPr>
              <w:spacing w:line="360" w:lineRule="auto"/>
              <w:jc w:val="left"/>
              <w:rPr>
                <w:color w:val="auto"/>
                <w:sz w:val="24"/>
              </w:rPr>
            </w:pPr>
            <w:r>
              <w:rPr>
                <w:color w:val="auto"/>
                <w:sz w:val="24"/>
              </w:rPr>
              <w:sym w:font="Wingdings 2" w:char="00A3"/>
            </w:r>
            <w:r>
              <w:rPr>
                <w:color w:val="auto"/>
                <w:sz w:val="24"/>
              </w:rPr>
              <w:t>扩建</w:t>
            </w:r>
          </w:p>
          <w:p>
            <w:pPr>
              <w:spacing w:line="360" w:lineRule="auto"/>
              <w:jc w:val="left"/>
              <w:rPr>
                <w:color w:val="auto"/>
                <w:sz w:val="24"/>
              </w:rPr>
            </w:pPr>
            <w:r>
              <w:rPr>
                <w:color w:val="auto"/>
                <w:sz w:val="24"/>
              </w:rPr>
              <w:sym w:font="Wingdings 2" w:char="00A3"/>
            </w:r>
            <w:r>
              <w:rPr>
                <w:color w:val="auto"/>
                <w:sz w:val="24"/>
              </w:rPr>
              <w:t>技术改造</w:t>
            </w:r>
          </w:p>
        </w:tc>
        <w:tc>
          <w:tcPr>
            <w:tcW w:w="1860" w:type="dxa"/>
            <w:vAlign w:val="center"/>
          </w:tcPr>
          <w:p>
            <w:pPr>
              <w:spacing w:line="360" w:lineRule="auto"/>
              <w:jc w:val="center"/>
              <w:rPr>
                <w:color w:val="auto"/>
                <w:sz w:val="24"/>
              </w:rPr>
            </w:pPr>
            <w:r>
              <w:rPr>
                <w:color w:val="auto"/>
                <w:sz w:val="24"/>
              </w:rPr>
              <w:t>建设项目</w:t>
            </w:r>
          </w:p>
          <w:p>
            <w:pPr>
              <w:spacing w:line="360" w:lineRule="auto"/>
              <w:jc w:val="center"/>
              <w:rPr>
                <w:color w:val="auto"/>
                <w:sz w:val="24"/>
              </w:rPr>
            </w:pPr>
            <w:r>
              <w:rPr>
                <w:color w:val="auto"/>
                <w:sz w:val="24"/>
              </w:rPr>
              <w:t>申报情形</w:t>
            </w:r>
          </w:p>
        </w:tc>
        <w:tc>
          <w:tcPr>
            <w:tcW w:w="3282" w:type="dxa"/>
            <w:vAlign w:val="center"/>
          </w:tcPr>
          <w:p>
            <w:pPr>
              <w:spacing w:line="360" w:lineRule="auto"/>
              <w:jc w:val="left"/>
              <w:rPr>
                <w:color w:val="auto"/>
                <w:sz w:val="24"/>
              </w:rPr>
            </w:pPr>
            <w:r>
              <w:rPr>
                <w:color w:val="auto"/>
                <w:sz w:val="24"/>
              </w:rPr>
              <w:sym w:font="Wingdings 2" w:char="0052"/>
            </w:r>
            <w:r>
              <w:rPr>
                <w:color w:val="auto"/>
                <w:sz w:val="24"/>
              </w:rPr>
              <w:t>首次申报项目</w:t>
            </w:r>
          </w:p>
          <w:p>
            <w:pPr>
              <w:spacing w:line="360" w:lineRule="auto"/>
              <w:jc w:val="left"/>
              <w:rPr>
                <w:color w:val="auto"/>
                <w:sz w:val="24"/>
              </w:rPr>
            </w:pPr>
            <w:r>
              <w:rPr>
                <w:color w:val="auto"/>
                <w:sz w:val="24"/>
              </w:rPr>
              <w:t>□不予批准后再次申报项目</w:t>
            </w:r>
          </w:p>
          <w:p>
            <w:pPr>
              <w:spacing w:line="360" w:lineRule="auto"/>
              <w:jc w:val="left"/>
              <w:rPr>
                <w:color w:val="auto"/>
                <w:sz w:val="24"/>
              </w:rPr>
            </w:pPr>
            <w:r>
              <w:rPr>
                <w:color w:val="auto"/>
                <w:sz w:val="24"/>
              </w:rPr>
              <w:sym w:font="Wingdings 2" w:char="00A3"/>
            </w:r>
            <w:r>
              <w:rPr>
                <w:color w:val="auto"/>
                <w:sz w:val="24"/>
              </w:rPr>
              <w:t>超五年重新审核项目</w:t>
            </w:r>
          </w:p>
          <w:p>
            <w:pPr>
              <w:spacing w:line="360" w:lineRule="auto"/>
              <w:jc w:val="left"/>
              <w:rPr>
                <w:color w:val="auto"/>
                <w:sz w:val="24"/>
              </w:rPr>
            </w:pPr>
            <w:r>
              <w:rPr>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1556" w:type="dxa"/>
            <w:tcMar>
              <w:top w:w="16" w:type="dxa"/>
              <w:left w:w="16" w:type="dxa"/>
              <w:right w:w="16" w:type="dxa"/>
            </w:tcMar>
            <w:vAlign w:val="center"/>
          </w:tcPr>
          <w:p>
            <w:pPr>
              <w:spacing w:line="360" w:lineRule="auto"/>
              <w:jc w:val="left"/>
              <w:rPr>
                <w:color w:val="auto"/>
                <w:sz w:val="24"/>
              </w:rPr>
            </w:pPr>
            <w:r>
              <w:rPr>
                <w:color w:val="auto"/>
                <w:sz w:val="24"/>
              </w:rPr>
              <w:t>项目审批（核准/备案）部门（选填）</w:t>
            </w:r>
          </w:p>
        </w:tc>
        <w:tc>
          <w:tcPr>
            <w:tcW w:w="1832" w:type="dxa"/>
            <w:vAlign w:val="center"/>
          </w:tcPr>
          <w:p>
            <w:pPr>
              <w:spacing w:line="360" w:lineRule="auto"/>
              <w:jc w:val="center"/>
              <w:rPr>
                <w:color w:val="auto"/>
                <w:sz w:val="24"/>
              </w:rPr>
            </w:pPr>
            <w:r>
              <w:rPr>
                <w:rStyle w:val="35"/>
                <w:i w:val="0"/>
                <w:iCs w:val="0"/>
                <w:color w:val="auto"/>
                <w:sz w:val="24"/>
                <w:shd w:val="clear" w:color="auto" w:fill="FFFFFF"/>
              </w:rPr>
              <w:t>寻甸</w:t>
            </w:r>
            <w:r>
              <w:rPr>
                <w:color w:val="auto"/>
                <w:sz w:val="24"/>
                <w:shd w:val="clear" w:color="auto" w:fill="FFFFFF"/>
              </w:rPr>
              <w:t>回族彝族自治县发展和改革局</w:t>
            </w:r>
          </w:p>
        </w:tc>
        <w:tc>
          <w:tcPr>
            <w:tcW w:w="1860" w:type="dxa"/>
            <w:vAlign w:val="center"/>
          </w:tcPr>
          <w:p>
            <w:pPr>
              <w:spacing w:line="360" w:lineRule="auto"/>
              <w:jc w:val="center"/>
              <w:rPr>
                <w:color w:val="auto"/>
                <w:sz w:val="24"/>
              </w:rPr>
            </w:pPr>
            <w:r>
              <w:rPr>
                <w:color w:val="auto"/>
                <w:sz w:val="24"/>
              </w:rPr>
              <w:t>项目审批（核准/</w:t>
            </w:r>
          </w:p>
          <w:p>
            <w:pPr>
              <w:spacing w:line="360" w:lineRule="auto"/>
              <w:jc w:val="center"/>
              <w:rPr>
                <w:color w:val="auto"/>
                <w:sz w:val="24"/>
              </w:rPr>
            </w:pPr>
            <w:r>
              <w:rPr>
                <w:color w:val="auto"/>
                <w:sz w:val="24"/>
              </w:rPr>
              <w:t>备案）文号（选填）</w:t>
            </w:r>
          </w:p>
        </w:tc>
        <w:tc>
          <w:tcPr>
            <w:tcW w:w="3282" w:type="dxa"/>
            <w:vAlign w:val="center"/>
          </w:tcPr>
          <w:p>
            <w:pPr>
              <w:spacing w:line="360" w:lineRule="auto"/>
              <w:jc w:val="center"/>
              <w:rPr>
                <w:color w:val="auto"/>
                <w:sz w:val="24"/>
              </w:rPr>
            </w:pPr>
            <w:r>
              <w:rPr>
                <w:rFonts w:hint="eastAsia"/>
                <w:color w:val="auto"/>
                <w:sz w:val="24"/>
              </w:rPr>
              <w:t>2204</w:t>
            </w:r>
            <w:r>
              <w:rPr>
                <w:color w:val="auto"/>
                <w:sz w:val="24"/>
              </w:rPr>
              <w:t>-530129-</w:t>
            </w:r>
            <w:r>
              <w:rPr>
                <w:rFonts w:hint="eastAsia"/>
                <w:color w:val="auto"/>
                <w:sz w:val="24"/>
              </w:rPr>
              <w:t>04-05</w:t>
            </w:r>
            <w:r>
              <w:rPr>
                <w:color w:val="auto"/>
                <w:sz w:val="24"/>
              </w:rPr>
              <w:t>-</w:t>
            </w:r>
            <w:r>
              <w:rPr>
                <w:rFonts w:hint="eastAsia"/>
                <w:color w:val="auto"/>
                <w:sz w:val="24"/>
              </w:rPr>
              <w:t>115973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6" w:type="dxa"/>
            <w:tcMar>
              <w:top w:w="16" w:type="dxa"/>
              <w:left w:w="16" w:type="dxa"/>
              <w:right w:w="16" w:type="dxa"/>
            </w:tcMar>
            <w:vAlign w:val="center"/>
          </w:tcPr>
          <w:p>
            <w:pPr>
              <w:spacing w:line="360" w:lineRule="auto"/>
              <w:jc w:val="left"/>
              <w:rPr>
                <w:color w:val="auto"/>
                <w:sz w:val="24"/>
              </w:rPr>
            </w:pPr>
            <w:r>
              <w:rPr>
                <w:color w:val="auto"/>
                <w:sz w:val="24"/>
              </w:rPr>
              <w:t>总投资（万元）</w:t>
            </w:r>
          </w:p>
        </w:tc>
        <w:tc>
          <w:tcPr>
            <w:tcW w:w="1832" w:type="dxa"/>
            <w:vAlign w:val="center"/>
          </w:tcPr>
          <w:p>
            <w:pPr>
              <w:spacing w:line="360" w:lineRule="auto"/>
              <w:jc w:val="center"/>
              <w:rPr>
                <w:color w:val="auto"/>
                <w:sz w:val="24"/>
              </w:rPr>
            </w:pPr>
            <w:r>
              <w:rPr>
                <w:rFonts w:hint="eastAsia"/>
                <w:color w:val="auto"/>
                <w:sz w:val="24"/>
              </w:rPr>
              <w:t>2000</w:t>
            </w:r>
          </w:p>
        </w:tc>
        <w:tc>
          <w:tcPr>
            <w:tcW w:w="1860" w:type="dxa"/>
            <w:tcMar>
              <w:top w:w="16" w:type="dxa"/>
              <w:left w:w="16" w:type="dxa"/>
              <w:right w:w="16" w:type="dxa"/>
            </w:tcMar>
            <w:vAlign w:val="center"/>
          </w:tcPr>
          <w:p>
            <w:pPr>
              <w:spacing w:line="360" w:lineRule="auto"/>
              <w:jc w:val="center"/>
              <w:rPr>
                <w:color w:val="auto"/>
                <w:sz w:val="24"/>
              </w:rPr>
            </w:pPr>
            <w:r>
              <w:rPr>
                <w:color w:val="auto"/>
                <w:sz w:val="24"/>
              </w:rPr>
              <w:t>环保投资（万元）</w:t>
            </w:r>
          </w:p>
        </w:tc>
        <w:tc>
          <w:tcPr>
            <w:tcW w:w="3282" w:type="dxa"/>
            <w:vAlign w:val="center"/>
          </w:tcPr>
          <w:p>
            <w:pPr>
              <w:spacing w:line="360" w:lineRule="auto"/>
              <w:jc w:val="center"/>
              <w:rPr>
                <w:color w:val="auto"/>
                <w:sz w:val="24"/>
              </w:rPr>
            </w:pPr>
            <w:r>
              <w:rPr>
                <w:rFonts w:hint="eastAsia"/>
                <w:color w:val="auto"/>
                <w:sz w:val="24"/>
              </w:rPr>
              <w:t>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6" w:type="dxa"/>
            <w:tcMar>
              <w:top w:w="16" w:type="dxa"/>
              <w:left w:w="16" w:type="dxa"/>
              <w:right w:w="16" w:type="dxa"/>
            </w:tcMar>
            <w:vAlign w:val="center"/>
          </w:tcPr>
          <w:p>
            <w:pPr>
              <w:spacing w:line="360" w:lineRule="auto"/>
              <w:jc w:val="left"/>
              <w:rPr>
                <w:color w:val="auto"/>
                <w:sz w:val="24"/>
              </w:rPr>
            </w:pPr>
            <w:r>
              <w:rPr>
                <w:color w:val="auto"/>
                <w:sz w:val="24"/>
              </w:rPr>
              <w:t>环保投资占比（%）</w:t>
            </w:r>
          </w:p>
        </w:tc>
        <w:tc>
          <w:tcPr>
            <w:tcW w:w="1832" w:type="dxa"/>
            <w:vAlign w:val="center"/>
          </w:tcPr>
          <w:p>
            <w:pPr>
              <w:spacing w:line="360" w:lineRule="auto"/>
              <w:jc w:val="center"/>
              <w:rPr>
                <w:color w:val="auto"/>
                <w:sz w:val="24"/>
              </w:rPr>
            </w:pPr>
            <w:r>
              <w:rPr>
                <w:rFonts w:hint="eastAsia"/>
                <w:color w:val="auto"/>
                <w:sz w:val="24"/>
              </w:rPr>
              <w:t>4.73</w:t>
            </w:r>
          </w:p>
        </w:tc>
        <w:tc>
          <w:tcPr>
            <w:tcW w:w="1860" w:type="dxa"/>
            <w:tcMar>
              <w:top w:w="16" w:type="dxa"/>
              <w:left w:w="16" w:type="dxa"/>
              <w:right w:w="16" w:type="dxa"/>
            </w:tcMar>
            <w:vAlign w:val="center"/>
          </w:tcPr>
          <w:p>
            <w:pPr>
              <w:spacing w:line="360" w:lineRule="auto"/>
              <w:jc w:val="center"/>
              <w:rPr>
                <w:color w:val="auto"/>
                <w:sz w:val="24"/>
              </w:rPr>
            </w:pPr>
            <w:r>
              <w:rPr>
                <w:color w:val="auto"/>
                <w:sz w:val="24"/>
              </w:rPr>
              <w:t>施工工期</w:t>
            </w:r>
          </w:p>
        </w:tc>
        <w:tc>
          <w:tcPr>
            <w:tcW w:w="3282" w:type="dxa"/>
            <w:vAlign w:val="center"/>
          </w:tcPr>
          <w:p>
            <w:pPr>
              <w:spacing w:line="360" w:lineRule="auto"/>
              <w:jc w:val="center"/>
              <w:rPr>
                <w:color w:val="auto"/>
                <w:sz w:val="24"/>
              </w:rPr>
            </w:pPr>
            <w:r>
              <w:rPr>
                <w:rFonts w:hint="eastAsia"/>
                <w:color w:val="auto"/>
                <w:sz w:val="24"/>
              </w:rPr>
              <w:t>1</w:t>
            </w:r>
            <w:r>
              <w:rPr>
                <w:color w:val="auto"/>
                <w:sz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6" w:type="dxa"/>
            <w:tcMar>
              <w:top w:w="16" w:type="dxa"/>
              <w:left w:w="16" w:type="dxa"/>
              <w:right w:w="16" w:type="dxa"/>
            </w:tcMar>
            <w:vAlign w:val="center"/>
          </w:tcPr>
          <w:p>
            <w:pPr>
              <w:spacing w:line="360" w:lineRule="auto"/>
              <w:jc w:val="left"/>
              <w:rPr>
                <w:color w:val="auto"/>
                <w:sz w:val="24"/>
              </w:rPr>
            </w:pPr>
            <w:r>
              <w:rPr>
                <w:color w:val="auto"/>
                <w:sz w:val="24"/>
              </w:rPr>
              <w:t>是否开工建设</w:t>
            </w:r>
          </w:p>
        </w:tc>
        <w:tc>
          <w:tcPr>
            <w:tcW w:w="1832" w:type="dxa"/>
            <w:vAlign w:val="center"/>
          </w:tcPr>
          <w:p>
            <w:pPr>
              <w:spacing w:line="360" w:lineRule="auto"/>
              <w:jc w:val="left"/>
              <w:rPr>
                <w:color w:val="auto"/>
                <w:sz w:val="24"/>
              </w:rPr>
            </w:pPr>
            <w:r>
              <w:rPr>
                <w:color w:val="auto"/>
                <w:sz w:val="24"/>
              </w:rPr>
              <w:sym w:font="Wingdings 2" w:char="0052"/>
            </w:r>
            <w:r>
              <w:rPr>
                <w:color w:val="auto"/>
                <w:sz w:val="24"/>
              </w:rPr>
              <w:t>否</w:t>
            </w:r>
          </w:p>
          <w:p>
            <w:pPr>
              <w:spacing w:line="360" w:lineRule="auto"/>
              <w:jc w:val="left"/>
              <w:rPr>
                <w:color w:val="auto"/>
                <w:sz w:val="24"/>
              </w:rPr>
            </w:pPr>
            <w:r>
              <w:rPr>
                <w:color w:val="auto"/>
                <w:sz w:val="24"/>
              </w:rPr>
              <w:sym w:font="Wingdings 2" w:char="00A3"/>
            </w:r>
            <w:r>
              <w:rPr>
                <w:color w:val="auto"/>
                <w:sz w:val="24"/>
              </w:rPr>
              <w:t>是</w:t>
            </w:r>
          </w:p>
        </w:tc>
        <w:tc>
          <w:tcPr>
            <w:tcW w:w="1860" w:type="dxa"/>
            <w:tcMar>
              <w:top w:w="16" w:type="dxa"/>
              <w:left w:w="16" w:type="dxa"/>
              <w:right w:w="16" w:type="dxa"/>
            </w:tcMar>
            <w:vAlign w:val="center"/>
          </w:tcPr>
          <w:p>
            <w:pPr>
              <w:spacing w:line="360" w:lineRule="auto"/>
              <w:jc w:val="center"/>
              <w:rPr>
                <w:color w:val="auto"/>
                <w:sz w:val="24"/>
              </w:rPr>
            </w:pPr>
            <w:r>
              <w:rPr>
                <w:color w:val="auto"/>
                <w:sz w:val="24"/>
              </w:rPr>
              <w:t>用地面积（m</w:t>
            </w:r>
            <w:r>
              <w:rPr>
                <w:color w:val="auto"/>
                <w:sz w:val="24"/>
                <w:vertAlign w:val="superscript"/>
              </w:rPr>
              <w:t>2</w:t>
            </w:r>
            <w:r>
              <w:rPr>
                <w:color w:val="auto"/>
                <w:sz w:val="24"/>
              </w:rPr>
              <w:t>）</w:t>
            </w:r>
          </w:p>
        </w:tc>
        <w:tc>
          <w:tcPr>
            <w:tcW w:w="3282" w:type="dxa"/>
            <w:vAlign w:val="center"/>
          </w:tcPr>
          <w:p>
            <w:pPr>
              <w:spacing w:line="360" w:lineRule="auto"/>
              <w:jc w:val="center"/>
              <w:rPr>
                <w:color w:val="auto"/>
                <w:sz w:val="24"/>
              </w:rPr>
            </w:pPr>
            <w:r>
              <w:rPr>
                <w:rFonts w:hint="eastAsia"/>
                <w:color w:val="auto"/>
                <w:sz w:val="24"/>
              </w:rPr>
              <w:t>2900</w:t>
            </w:r>
            <w:r>
              <w:rPr>
                <w:color w:val="auto"/>
                <w:sz w:val="24"/>
              </w:rPr>
              <w:t>m</w:t>
            </w:r>
            <w:r>
              <w:rPr>
                <w:color w:val="auto"/>
                <w:sz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56" w:type="dxa"/>
            <w:vAlign w:val="center"/>
          </w:tcPr>
          <w:p>
            <w:pPr>
              <w:spacing w:line="360" w:lineRule="auto"/>
              <w:jc w:val="center"/>
              <w:rPr>
                <w:color w:val="auto"/>
                <w:sz w:val="24"/>
              </w:rPr>
            </w:pPr>
            <w:r>
              <w:rPr>
                <w:color w:val="auto"/>
                <w:sz w:val="24"/>
              </w:rPr>
              <w:t>专项评价设置情况</w:t>
            </w:r>
          </w:p>
        </w:tc>
        <w:tc>
          <w:tcPr>
            <w:tcW w:w="6974" w:type="dxa"/>
            <w:gridSpan w:val="3"/>
            <w:vAlign w:val="center"/>
          </w:tcPr>
          <w:p>
            <w:pPr>
              <w:spacing w:line="360" w:lineRule="auto"/>
              <w:ind w:firstLine="480" w:firstLineChars="200"/>
              <w:jc w:val="left"/>
              <w:rPr>
                <w:color w:val="auto"/>
                <w:sz w:val="24"/>
              </w:rPr>
            </w:pPr>
            <w:r>
              <w:rPr>
                <w:rFonts w:hint="eastAsia"/>
                <w:color w:val="auto"/>
                <w:sz w:val="24"/>
              </w:rPr>
              <w:t>本项目生产废水经自建污水处理设施处理后回用于生产线，生活废水依托云南鹏腾机械设备制造有限公司内已建污水处理站处理后回用于绿化，不设置地表水专项评价；</w:t>
            </w:r>
          </w:p>
          <w:p>
            <w:pPr>
              <w:spacing w:line="360" w:lineRule="auto"/>
              <w:ind w:firstLine="480" w:firstLineChars="200"/>
              <w:jc w:val="left"/>
              <w:rPr>
                <w:color w:val="auto"/>
                <w:sz w:val="24"/>
              </w:rPr>
            </w:pPr>
            <w:r>
              <w:rPr>
                <w:rFonts w:hint="eastAsia"/>
                <w:color w:val="auto"/>
                <w:sz w:val="24"/>
              </w:rPr>
              <w:t>本项目不涉及集中式饮用水水源和热水、矿泉水、温泉等特殊地下水资源保护区，不设置地下水专项评价；</w:t>
            </w:r>
          </w:p>
          <w:p>
            <w:pPr>
              <w:spacing w:line="360" w:lineRule="auto"/>
              <w:ind w:firstLine="480" w:firstLineChars="200"/>
              <w:jc w:val="left"/>
              <w:rPr>
                <w:color w:val="auto"/>
                <w:sz w:val="24"/>
              </w:rPr>
            </w:pPr>
            <w:r>
              <w:rPr>
                <w:color w:val="auto"/>
                <w:sz w:val="24"/>
              </w:rPr>
              <w:t>本项目</w:t>
            </w:r>
            <w:r>
              <w:rPr>
                <w:rFonts w:hint="eastAsia"/>
                <w:color w:val="auto"/>
                <w:sz w:val="24"/>
              </w:rPr>
              <w:t>生产过程排放的废气中不涉及有毒有害污染物、二噁英、苯并[a]芘、氰化物、氯气等，</w:t>
            </w:r>
            <w:r>
              <w:rPr>
                <w:color w:val="auto"/>
                <w:sz w:val="24"/>
              </w:rPr>
              <w:t>因此不设大气专项评价；</w:t>
            </w:r>
          </w:p>
          <w:p>
            <w:pPr>
              <w:spacing w:line="360" w:lineRule="auto"/>
              <w:ind w:firstLine="480" w:firstLineChars="200"/>
              <w:jc w:val="left"/>
              <w:rPr>
                <w:color w:val="auto"/>
                <w:sz w:val="24"/>
              </w:rPr>
            </w:pPr>
            <w:r>
              <w:rPr>
                <w:color w:val="auto"/>
                <w:sz w:val="24"/>
              </w:rPr>
              <w:t>本项目涉及的有毒有害和易燃易爆危险物质存储量未超过临界量，不进行环境风险专项评价。</w:t>
            </w:r>
          </w:p>
          <w:p>
            <w:pPr>
              <w:spacing w:line="360" w:lineRule="auto"/>
              <w:ind w:firstLine="480" w:firstLineChars="200"/>
              <w:jc w:val="left"/>
              <w:rPr>
                <w:color w:val="auto"/>
                <w:sz w:val="24"/>
              </w:rPr>
            </w:pPr>
            <w:r>
              <w:rPr>
                <w:rFonts w:hint="eastAsia"/>
                <w:color w:val="auto"/>
                <w:sz w:val="24"/>
              </w:rPr>
              <w:t>本项目不涉及直接向海排放污染物的海洋工程建设项目，因此不设海洋专项评价。</w:t>
            </w:r>
          </w:p>
          <w:p>
            <w:pPr>
              <w:spacing w:line="360" w:lineRule="auto"/>
              <w:ind w:firstLine="480" w:firstLineChars="200"/>
              <w:jc w:val="left"/>
              <w:rPr>
                <w:color w:val="auto"/>
                <w:sz w:val="24"/>
              </w:rPr>
            </w:pPr>
            <w:r>
              <w:rPr>
                <w:rFonts w:hint="eastAsia"/>
                <w:color w:val="auto"/>
                <w:sz w:val="24"/>
              </w:rPr>
              <w:t>本项目不涉及向河道取水，因此不设生态专项评价。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56" w:type="dxa"/>
            <w:vAlign w:val="center"/>
          </w:tcPr>
          <w:p>
            <w:pPr>
              <w:spacing w:line="360" w:lineRule="auto"/>
              <w:jc w:val="center"/>
              <w:rPr>
                <w:color w:val="auto"/>
                <w:sz w:val="24"/>
              </w:rPr>
            </w:pPr>
            <w:r>
              <w:rPr>
                <w:color w:val="auto"/>
                <w:sz w:val="24"/>
              </w:rPr>
              <w:t>规划情况</w:t>
            </w:r>
          </w:p>
        </w:tc>
        <w:tc>
          <w:tcPr>
            <w:tcW w:w="6974" w:type="dxa"/>
            <w:gridSpan w:val="3"/>
            <w:vAlign w:val="center"/>
          </w:tcPr>
          <w:p>
            <w:pPr>
              <w:spacing w:line="360" w:lineRule="auto"/>
              <w:jc w:val="left"/>
              <w:rPr>
                <w:color w:val="auto"/>
                <w:sz w:val="24"/>
              </w:rPr>
            </w:pPr>
            <w:r>
              <w:rPr>
                <w:rFonts w:hint="eastAsia"/>
                <w:b/>
                <w:bCs/>
                <w:color w:val="auto"/>
                <w:sz w:val="24"/>
              </w:rPr>
              <w:t>规划名称：</w:t>
            </w:r>
            <w:r>
              <w:rPr>
                <w:rFonts w:hint="eastAsia"/>
                <w:color w:val="auto"/>
                <w:sz w:val="24"/>
              </w:rPr>
              <w:t>《寻甸特色产业园区总体规划修编（2018-2035年）》</w:t>
            </w:r>
          </w:p>
          <w:p>
            <w:pPr>
              <w:spacing w:line="360" w:lineRule="auto"/>
              <w:jc w:val="left"/>
              <w:rPr>
                <w:color w:val="auto"/>
              </w:rPr>
            </w:pPr>
            <w:r>
              <w:rPr>
                <w:rFonts w:hint="eastAsia"/>
                <w:b/>
                <w:bCs/>
                <w:color w:val="auto"/>
                <w:sz w:val="24"/>
              </w:rPr>
              <w:t>审批机关：</w:t>
            </w:r>
            <w:r>
              <w:rPr>
                <w:rFonts w:hint="eastAsia"/>
                <w:color w:val="auto"/>
                <w:sz w:val="24"/>
              </w:rPr>
              <w:t>云南省工业和信息化委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56" w:type="dxa"/>
            <w:vAlign w:val="center"/>
          </w:tcPr>
          <w:p>
            <w:pPr>
              <w:spacing w:line="360" w:lineRule="auto"/>
              <w:jc w:val="center"/>
              <w:rPr>
                <w:color w:val="auto"/>
                <w:sz w:val="24"/>
              </w:rPr>
            </w:pPr>
            <w:r>
              <w:rPr>
                <w:color w:val="auto"/>
                <w:sz w:val="24"/>
              </w:rPr>
              <w:t>规划环境影响评价情况</w:t>
            </w:r>
          </w:p>
        </w:tc>
        <w:tc>
          <w:tcPr>
            <w:tcW w:w="6974" w:type="dxa"/>
            <w:gridSpan w:val="3"/>
            <w:vAlign w:val="center"/>
          </w:tcPr>
          <w:p>
            <w:pPr>
              <w:spacing w:line="360" w:lineRule="auto"/>
              <w:jc w:val="left"/>
              <w:rPr>
                <w:color w:val="auto"/>
                <w:sz w:val="24"/>
              </w:rPr>
            </w:pPr>
            <w:r>
              <w:rPr>
                <w:rFonts w:hint="eastAsia"/>
                <w:b/>
                <w:bCs/>
                <w:color w:val="auto"/>
                <w:sz w:val="24"/>
              </w:rPr>
              <w:t>相关规划名称：</w:t>
            </w:r>
            <w:r>
              <w:rPr>
                <w:rFonts w:hint="eastAsia"/>
                <w:color w:val="auto"/>
                <w:sz w:val="24"/>
              </w:rPr>
              <w:t>《寻甸特色产业园区总体规划（修编）（2018-2035年）环境影响报告书》（2020年6月；寻甸特色产业园区管理委员会）；</w:t>
            </w:r>
          </w:p>
          <w:p>
            <w:pPr>
              <w:spacing w:line="360" w:lineRule="auto"/>
              <w:jc w:val="left"/>
              <w:rPr>
                <w:b/>
                <w:bCs/>
                <w:color w:val="auto"/>
                <w:sz w:val="24"/>
              </w:rPr>
            </w:pPr>
            <w:r>
              <w:rPr>
                <w:rFonts w:hint="eastAsia"/>
                <w:b/>
                <w:bCs/>
                <w:color w:val="auto"/>
                <w:sz w:val="24"/>
              </w:rPr>
              <w:t>审批机关：</w:t>
            </w:r>
            <w:r>
              <w:rPr>
                <w:rFonts w:hint="eastAsia"/>
                <w:color w:val="auto"/>
                <w:sz w:val="24"/>
              </w:rPr>
              <w:t>云南省生态环境厅；</w:t>
            </w:r>
          </w:p>
          <w:p>
            <w:pPr>
              <w:spacing w:line="360" w:lineRule="auto"/>
              <w:jc w:val="left"/>
              <w:rPr>
                <w:color w:val="auto"/>
                <w:sz w:val="24"/>
              </w:rPr>
            </w:pPr>
            <w:r>
              <w:rPr>
                <w:rFonts w:hint="eastAsia"/>
                <w:b/>
                <w:bCs/>
                <w:color w:val="auto"/>
                <w:sz w:val="24"/>
              </w:rPr>
              <w:t>审批文件名称及文号：</w:t>
            </w:r>
            <w:r>
              <w:rPr>
                <w:rFonts w:hint="eastAsia"/>
                <w:color w:val="auto"/>
                <w:sz w:val="24"/>
              </w:rPr>
              <w:t>云南省生态环境厅关于《寻甸特色产业园区总体规划（修编）（2018-2035年）环境影响报告书》审查意见的函（云环函[2020]261号）；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3" w:hRule="atLeast"/>
          <w:jc w:val="center"/>
        </w:trPr>
        <w:tc>
          <w:tcPr>
            <w:tcW w:w="1556" w:type="dxa"/>
            <w:vAlign w:val="center"/>
          </w:tcPr>
          <w:p>
            <w:pPr>
              <w:spacing w:line="360" w:lineRule="auto"/>
              <w:jc w:val="center"/>
              <w:rPr>
                <w:color w:val="auto"/>
                <w:sz w:val="24"/>
              </w:rPr>
            </w:pPr>
            <w:r>
              <w:rPr>
                <w:color w:val="auto"/>
                <w:sz w:val="24"/>
              </w:rPr>
              <w:t>规划及规划环境影响评价符合性分析</w:t>
            </w:r>
          </w:p>
        </w:tc>
        <w:tc>
          <w:tcPr>
            <w:tcW w:w="6974" w:type="dxa"/>
            <w:gridSpan w:val="3"/>
            <w:vAlign w:val="center"/>
          </w:tcPr>
          <w:p>
            <w:pPr>
              <w:spacing w:line="360" w:lineRule="auto"/>
              <w:ind w:firstLine="482" w:firstLineChars="200"/>
              <w:rPr>
                <w:b/>
                <w:bCs/>
                <w:color w:val="auto"/>
                <w:sz w:val="24"/>
              </w:rPr>
            </w:pPr>
            <w:r>
              <w:rPr>
                <w:b/>
                <w:bCs/>
                <w:color w:val="auto"/>
                <w:sz w:val="24"/>
              </w:rPr>
              <w:t>1、项目与《寻甸特色产业园区总体规划修编（2018-2035）》及规划环评符合性分析</w:t>
            </w:r>
          </w:p>
          <w:p>
            <w:pPr>
              <w:spacing w:line="360" w:lineRule="auto"/>
              <w:ind w:firstLine="480" w:firstLineChars="200"/>
              <w:rPr>
                <w:color w:val="auto"/>
                <w:sz w:val="24"/>
              </w:rPr>
            </w:pPr>
            <w:r>
              <w:rPr>
                <w:color w:val="auto"/>
                <w:sz w:val="24"/>
              </w:rPr>
              <w:t>寻甸特色产业园区管理委员会于2019年8月委托云南保兴环境科技咨询有限公司编制了《寻甸特色产业园区总体规划修编（2018-2035）》，2019年11月12日，云南省生态环境厅会同云南省工业和信息化厅在昆明召开了技术审查会，并通过了专家审查。2020年6月2日，云南省生态环境厅出具了“云南省生态环境厅关于《寻甸特色产业园区总体规划修编（2018-2035）环境影响报告书》审查意见的函”（云环函[2020]261号）。</w:t>
            </w:r>
          </w:p>
          <w:p>
            <w:pPr>
              <w:spacing w:line="360" w:lineRule="auto"/>
              <w:ind w:firstLine="482" w:firstLineChars="200"/>
              <w:rPr>
                <w:b/>
                <w:bCs/>
                <w:color w:val="auto"/>
                <w:sz w:val="24"/>
              </w:rPr>
            </w:pPr>
            <w:r>
              <w:rPr>
                <w:b/>
                <w:bCs/>
                <w:color w:val="auto"/>
                <w:sz w:val="24"/>
              </w:rPr>
              <w:t>1）与园区总体规划符合性分析</w:t>
            </w:r>
          </w:p>
          <w:p>
            <w:pPr>
              <w:spacing w:line="360" w:lineRule="auto"/>
              <w:ind w:firstLine="480" w:firstLineChars="200"/>
              <w:rPr>
                <w:color w:val="auto"/>
                <w:sz w:val="24"/>
              </w:rPr>
            </w:pPr>
            <w:r>
              <w:rPr>
                <w:color w:val="auto"/>
                <w:sz w:val="24"/>
              </w:rPr>
              <w:t>寻甸特色产业园区规划为“一园两片区”的空间结构：一园：寻甸特色产业园区；两片区：即金所片区、羊街片区。</w:t>
            </w:r>
          </w:p>
          <w:p>
            <w:pPr>
              <w:spacing w:line="360" w:lineRule="auto"/>
              <w:ind w:firstLine="480" w:firstLineChars="200"/>
              <w:rPr>
                <w:color w:val="auto"/>
                <w:sz w:val="24"/>
              </w:rPr>
            </w:pPr>
            <w:r>
              <w:rPr>
                <w:color w:val="auto"/>
                <w:sz w:val="24"/>
              </w:rPr>
              <w:t>金所片区：规划范围位于金所街道办事处北侧，东至渝昆高速，南至金所收费站及金柯线一带，西至谓所村，北至种羊场围栏，规划占地面积9.59平方公里。功能定位以服务现状企业、发展新型建材、现代家居制造、新型能源产业为主。</w:t>
            </w:r>
          </w:p>
          <w:p>
            <w:pPr>
              <w:spacing w:line="360" w:lineRule="auto"/>
              <w:ind w:firstLine="480" w:firstLineChars="200"/>
              <w:rPr>
                <w:color w:val="auto"/>
                <w:sz w:val="24"/>
              </w:rPr>
            </w:pPr>
            <w:r>
              <w:rPr>
                <w:color w:val="auto"/>
                <w:sz w:val="24"/>
              </w:rPr>
              <w:t>羊街片区：规划范围位于羊街镇东北侧，规划区东至丰乐村一带，南至观音山，西邻渝昆高速，北至狮子山脚下，规划占地面积8.64平方公里。功能定位以先进装备制造和家居制造产业为主。</w:t>
            </w:r>
          </w:p>
          <w:p>
            <w:pPr>
              <w:spacing w:line="360" w:lineRule="auto"/>
              <w:ind w:firstLine="482" w:firstLineChars="200"/>
              <w:rPr>
                <w:b/>
                <w:bCs/>
                <w:color w:val="auto"/>
                <w:sz w:val="24"/>
              </w:rPr>
            </w:pPr>
            <w:r>
              <w:rPr>
                <w:b/>
                <w:bCs/>
                <w:color w:val="auto"/>
                <w:sz w:val="24"/>
              </w:rPr>
              <w:t>2）项目建设与园区准入条件分析</w:t>
            </w:r>
          </w:p>
          <w:p>
            <w:pPr>
              <w:spacing w:line="360" w:lineRule="auto"/>
              <w:ind w:firstLine="480" w:firstLineChars="200"/>
              <w:jc w:val="center"/>
              <w:rPr>
                <w:color w:val="auto"/>
                <w:sz w:val="24"/>
              </w:rPr>
            </w:pPr>
            <w:r>
              <w:rPr>
                <w:color w:val="auto"/>
                <w:sz w:val="24"/>
              </w:rPr>
              <w:t>根据《寻甸特色产业园区总体规划修编（2018-2035）环境影响报告书》，项目建设与园区准入条件符合性分析详见表1-1。</w:t>
            </w:r>
          </w:p>
          <w:p>
            <w:pPr>
              <w:pStyle w:val="2"/>
              <w:spacing w:before="0" w:after="0" w:line="360" w:lineRule="auto"/>
              <w:ind w:right="0" w:firstLine="482" w:firstLineChars="200"/>
              <w:jc w:val="center"/>
              <w:rPr>
                <w:b/>
                <w:bCs/>
                <w:color w:val="auto"/>
              </w:rPr>
            </w:pPr>
            <w:r>
              <w:rPr>
                <w:b/>
                <w:bCs/>
                <w:color w:val="auto"/>
                <w:sz w:val="24"/>
                <w:szCs w:val="24"/>
              </w:rPr>
              <w:t xml:space="preserve">表1-1 </w:t>
            </w:r>
            <w:r>
              <w:rPr>
                <w:rFonts w:hint="eastAsia"/>
                <w:b/>
                <w:bCs/>
                <w:color w:val="auto"/>
                <w:sz w:val="24"/>
                <w:szCs w:val="24"/>
              </w:rPr>
              <w:t>准入负面清单对照情况一览表</w:t>
            </w:r>
          </w:p>
          <w:tbl>
            <w:tblPr>
              <w:tblStyle w:val="31"/>
              <w:tblW w:w="6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2877"/>
              <w:gridCol w:w="3000"/>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8" w:type="dxa"/>
                  <w:gridSpan w:val="2"/>
                </w:tcPr>
                <w:p>
                  <w:pPr>
                    <w:pStyle w:val="2"/>
                    <w:spacing w:before="0" w:after="0" w:line="360" w:lineRule="auto"/>
                    <w:ind w:right="0"/>
                    <w:rPr>
                      <w:color w:val="auto"/>
                      <w:sz w:val="21"/>
                      <w:szCs w:val="21"/>
                    </w:rPr>
                  </w:pPr>
                  <w:r>
                    <w:rPr>
                      <w:b/>
                      <w:color w:val="auto"/>
                      <w:sz w:val="21"/>
                      <w:szCs w:val="21"/>
                    </w:rPr>
                    <w:t>限制和禁止引进的项目和行业</w:t>
                  </w:r>
                </w:p>
              </w:tc>
              <w:tc>
                <w:tcPr>
                  <w:tcW w:w="3000" w:type="dxa"/>
                  <w:vAlign w:val="center"/>
                </w:tcPr>
                <w:p>
                  <w:pPr>
                    <w:jc w:val="center"/>
                    <w:rPr>
                      <w:color w:val="auto"/>
                      <w:szCs w:val="21"/>
                    </w:rPr>
                  </w:pPr>
                  <w:r>
                    <w:rPr>
                      <w:b/>
                      <w:color w:val="auto"/>
                      <w:szCs w:val="21"/>
                    </w:rPr>
                    <w:t>本项目概况</w:t>
                  </w:r>
                </w:p>
              </w:tc>
              <w:tc>
                <w:tcPr>
                  <w:tcW w:w="480" w:type="dxa"/>
                  <w:vAlign w:val="center"/>
                </w:tcPr>
                <w:p>
                  <w:pPr>
                    <w:jc w:val="center"/>
                    <w:rPr>
                      <w:color w:val="auto"/>
                      <w:szCs w:val="21"/>
                    </w:rPr>
                  </w:pPr>
                  <w:r>
                    <w:rPr>
                      <w:b/>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401" w:type="dxa"/>
                </w:tcPr>
                <w:p>
                  <w:pPr>
                    <w:pStyle w:val="2"/>
                    <w:spacing w:before="0" w:after="0" w:line="240" w:lineRule="auto"/>
                    <w:ind w:right="0"/>
                    <w:rPr>
                      <w:color w:val="auto"/>
                      <w:sz w:val="21"/>
                      <w:szCs w:val="21"/>
                    </w:rPr>
                  </w:pPr>
                  <w:r>
                    <w:rPr>
                      <w:color w:val="auto"/>
                      <w:sz w:val="21"/>
                      <w:szCs w:val="21"/>
                    </w:rPr>
                    <w:t>禁入行业</w:t>
                  </w:r>
                </w:p>
              </w:tc>
              <w:tc>
                <w:tcPr>
                  <w:tcW w:w="2877" w:type="dxa"/>
                </w:tcPr>
                <w:p>
                  <w:pPr>
                    <w:rPr>
                      <w:color w:val="auto"/>
                      <w:szCs w:val="21"/>
                    </w:rPr>
                  </w:pPr>
                  <w:r>
                    <w:rPr>
                      <w:color w:val="auto"/>
                      <w:szCs w:val="21"/>
                    </w:rPr>
                    <w:t>（1）《产业结构调整指导目录（2011年本）》（2013年修正）（或更新）中禁止、限制类的行业。</w:t>
                  </w:r>
                </w:p>
                <w:p>
                  <w:pPr>
                    <w:rPr>
                      <w:color w:val="auto"/>
                      <w:szCs w:val="21"/>
                    </w:rPr>
                  </w:pPr>
                  <w:r>
                    <w:rPr>
                      <w:color w:val="auto"/>
                      <w:szCs w:val="21"/>
                    </w:rPr>
                    <w:t>（2）《外商投资产业指导目录（2017年修订）》中禁止类。</w:t>
                  </w:r>
                </w:p>
                <w:p>
                  <w:pPr>
                    <w:rPr>
                      <w:color w:val="auto"/>
                      <w:szCs w:val="21"/>
                    </w:rPr>
                  </w:pPr>
                  <w:r>
                    <w:rPr>
                      <w:color w:val="auto"/>
                      <w:szCs w:val="21"/>
                    </w:rPr>
                    <w:t>（3）生产《环境保护综合名录（2017年版）》中“高污染、环境风险”产品。</w:t>
                  </w:r>
                </w:p>
                <w:p>
                  <w:pPr>
                    <w:rPr>
                      <w:color w:val="auto"/>
                      <w:szCs w:val="21"/>
                    </w:rPr>
                  </w:pPr>
                  <w:r>
                    <w:rPr>
                      <w:color w:val="auto"/>
                      <w:szCs w:val="21"/>
                    </w:rPr>
                    <w:t>（4）禁止引入其他不在园区产业定位、不符合园区环保要求项目，如化工、造纸制浆、印染、染料、制革、电镀、医药、食品、水泥、炼焦、炼硫、炼砷、炼油、电镀、农药、氮肥、有色金属等项目。</w:t>
                  </w:r>
                </w:p>
                <w:p>
                  <w:pPr>
                    <w:rPr>
                      <w:color w:val="auto"/>
                      <w:szCs w:val="21"/>
                    </w:rPr>
                  </w:pPr>
                  <w:r>
                    <w:rPr>
                      <w:color w:val="auto"/>
                      <w:szCs w:val="21"/>
                    </w:rPr>
                    <w:t>（5）禁止引入造纸、印染、食品饮料、农副产品加工等需水量大，生产废水不能实现循环回用不外排的企业。</w:t>
                  </w:r>
                </w:p>
                <w:p>
                  <w:pPr>
                    <w:rPr>
                      <w:color w:val="auto"/>
                      <w:szCs w:val="21"/>
                    </w:rPr>
                  </w:pPr>
                  <w:r>
                    <w:rPr>
                      <w:color w:val="auto"/>
                      <w:szCs w:val="21"/>
                    </w:rPr>
                    <w:t>（6）污水成分复杂或废水、废液按现有技术无法妥善处置的产业。</w:t>
                  </w:r>
                </w:p>
                <w:p>
                  <w:pPr>
                    <w:rPr>
                      <w:color w:val="auto"/>
                      <w:szCs w:val="21"/>
                    </w:rPr>
                  </w:pPr>
                  <w:r>
                    <w:rPr>
                      <w:color w:val="auto"/>
                      <w:szCs w:val="21"/>
                    </w:rPr>
                    <w:t>（7）物耗、能耗相对较高，产生的大气污染类型复杂、环境风险较大的产业、项目或工艺；且产生的大气污染物无法自身治理或妥善处置或处理成本较高的产生。</w:t>
                  </w:r>
                </w:p>
                <w:p>
                  <w:pPr>
                    <w:rPr>
                      <w:color w:val="auto"/>
                      <w:szCs w:val="21"/>
                    </w:rPr>
                  </w:pPr>
                  <w:r>
                    <w:rPr>
                      <w:color w:val="auto"/>
                      <w:szCs w:val="21"/>
                    </w:rPr>
                    <w:t>（8）不能严格按“三同时”要求建厂的企业，无法满足卫生防护距离、大气环境防护距离的企业。</w:t>
                  </w:r>
                </w:p>
                <w:p>
                  <w:pPr>
                    <w:rPr>
                      <w:color w:val="auto"/>
                      <w:szCs w:val="21"/>
                    </w:rPr>
                  </w:pPr>
                  <w:r>
                    <w:rPr>
                      <w:color w:val="auto"/>
                      <w:szCs w:val="21"/>
                    </w:rPr>
                    <w:t>（9）与《云南省牛栏江保护条例》存在冲突的项目。</w:t>
                  </w:r>
                </w:p>
                <w:p>
                  <w:pPr>
                    <w:pStyle w:val="2"/>
                    <w:spacing w:before="0" w:after="0" w:line="240" w:lineRule="auto"/>
                    <w:ind w:right="0"/>
                    <w:rPr>
                      <w:color w:val="auto"/>
                      <w:sz w:val="21"/>
                      <w:szCs w:val="21"/>
                    </w:rPr>
                  </w:pPr>
                  <w:r>
                    <w:rPr>
                      <w:color w:val="auto"/>
                      <w:sz w:val="21"/>
                      <w:szCs w:val="21"/>
                    </w:rPr>
                    <w:t>（10）禁止引入单位产品能耗、物耗、污染物产生量和排放量等清洁生产指标达不到国内先进水平的产业（项目）；资源综合利用率低、产生废物量大，且按近期技术水平不能综合利用的行业；高耗水且排放污水、废液按现有技术经济无法治理或妥善处置的产业。</w:t>
                  </w:r>
                </w:p>
              </w:tc>
              <w:tc>
                <w:tcPr>
                  <w:tcW w:w="3000" w:type="dxa"/>
                </w:tcPr>
                <w:p>
                  <w:pPr>
                    <w:rPr>
                      <w:color w:val="auto"/>
                      <w:szCs w:val="21"/>
                    </w:rPr>
                  </w:pPr>
                  <w:r>
                    <w:rPr>
                      <w:color w:val="auto"/>
                      <w:szCs w:val="21"/>
                    </w:rPr>
                    <w:t>（1）本项目为利用废旧</w:t>
                  </w:r>
                  <w:r>
                    <w:rPr>
                      <w:rFonts w:hint="eastAsia"/>
                      <w:color w:val="auto"/>
                      <w:szCs w:val="21"/>
                    </w:rPr>
                    <w:t>编织袋</w:t>
                  </w:r>
                  <w:bookmarkStart w:id="36" w:name="_GoBack"/>
                  <w:bookmarkEnd w:id="36"/>
                  <w:r>
                    <w:rPr>
                      <w:color w:val="auto"/>
                      <w:szCs w:val="21"/>
                    </w:rPr>
                    <w:t>再生塑料颗粒，不属于《产业结构调整指导目录（2019年本）》中禁止、限制类行业。</w:t>
                  </w:r>
                </w:p>
                <w:p>
                  <w:pPr>
                    <w:rPr>
                      <w:color w:val="auto"/>
                      <w:szCs w:val="21"/>
                    </w:rPr>
                  </w:pPr>
                  <w:r>
                    <w:rPr>
                      <w:color w:val="auto"/>
                      <w:szCs w:val="21"/>
                    </w:rPr>
                    <w:t>（2）项目不属于《外商投资产业指导目录（2017年修订）》中禁止类。</w:t>
                  </w:r>
                </w:p>
                <w:p>
                  <w:pPr>
                    <w:rPr>
                      <w:color w:val="auto"/>
                      <w:szCs w:val="21"/>
                    </w:rPr>
                  </w:pPr>
                  <w:r>
                    <w:rPr>
                      <w:color w:val="auto"/>
                      <w:szCs w:val="21"/>
                    </w:rPr>
                    <w:t>（3）项目生产的塑料颗粒不属于高污染、环境风险产品。</w:t>
                  </w:r>
                </w:p>
                <w:p>
                  <w:pPr>
                    <w:rPr>
                      <w:color w:val="auto"/>
                      <w:szCs w:val="21"/>
                    </w:rPr>
                  </w:pPr>
                  <w:r>
                    <w:rPr>
                      <w:color w:val="auto"/>
                      <w:szCs w:val="21"/>
                    </w:rPr>
                    <w:t>（4）项目生产的塑料颗粒可用于生产建筑材料、园艺用料、办公用品、非食品容器及可重复利用的包装箱、娱乐设施和室外家具等塑料制品，与羊街片区产业定位不冲突。</w:t>
                  </w:r>
                </w:p>
                <w:p>
                  <w:pPr>
                    <w:rPr>
                      <w:color w:val="auto"/>
                      <w:szCs w:val="21"/>
                    </w:rPr>
                  </w:pPr>
                  <w:r>
                    <w:rPr>
                      <w:color w:val="auto"/>
                      <w:szCs w:val="21"/>
                    </w:rPr>
                    <w:t>（5）项目不属于禁止的需水量大，生产废水不能实现循环回用不外排的企业。</w:t>
                  </w:r>
                </w:p>
                <w:p>
                  <w:pPr>
                    <w:rPr>
                      <w:color w:val="auto"/>
                      <w:szCs w:val="21"/>
                    </w:rPr>
                  </w:pPr>
                  <w:r>
                    <w:rPr>
                      <w:color w:val="auto"/>
                      <w:szCs w:val="21"/>
                    </w:rPr>
                    <w:t>（6）项目生产过程中冷却水循环利用，不外排；生活污水依托云南鹏腾机械设备制造有限公司污水处理设施处理后，回用于绿化，不外排。</w:t>
                  </w:r>
                </w:p>
                <w:p>
                  <w:pPr>
                    <w:rPr>
                      <w:color w:val="auto"/>
                      <w:szCs w:val="21"/>
                    </w:rPr>
                  </w:pPr>
                  <w:r>
                    <w:rPr>
                      <w:color w:val="auto"/>
                      <w:szCs w:val="21"/>
                    </w:rPr>
                    <w:t>（7）项目生产物耗、能耗不高，项目产生的废气主要为非甲烷总烃，本次拟采用集气罩+“水洗装置+除湿除雾装置+</w:t>
                  </w:r>
                  <w:r>
                    <w:rPr>
                      <w:rFonts w:hint="eastAsia"/>
                      <w:color w:val="auto"/>
                      <w:szCs w:val="21"/>
                      <w:lang w:val="en-US" w:eastAsia="zh-CN"/>
                    </w:rPr>
                    <w:t>一级</w:t>
                  </w:r>
                  <w:r>
                    <w:rPr>
                      <w:color w:val="auto"/>
                      <w:szCs w:val="21"/>
                    </w:rPr>
                    <w:t>活性炭吸附+光氧催化装置”装置进行净化后，通过1根20m高的排气筒外排。集气罩集气效率为80%，</w:t>
                  </w:r>
                  <w:r>
                    <w:rPr>
                      <w:color w:val="auto"/>
                      <w:kern w:val="0"/>
                      <w:szCs w:val="21"/>
                    </w:rPr>
                    <w:t>有机废气综合去除效率80%，颗粒物综合去除效率75%</w:t>
                  </w:r>
                  <w:r>
                    <w:rPr>
                      <w:color w:val="auto"/>
                      <w:szCs w:val="21"/>
                    </w:rPr>
                    <w:t>，经环评预测，有组织排放的非甲烷总烃、颗粒物均能达大气污染物综合排放标准（GB16297-1996）》表2二级标准；臭气浓度执行《恶臭污染物排放标准》（GB14554-93）表2中“臭气浓度≤20（无量纲）”的限值要求。</w:t>
                  </w:r>
                </w:p>
                <w:p>
                  <w:pPr>
                    <w:rPr>
                      <w:color w:val="auto"/>
                      <w:szCs w:val="21"/>
                    </w:rPr>
                  </w:pPr>
                  <w:r>
                    <w:rPr>
                      <w:color w:val="auto"/>
                      <w:szCs w:val="21"/>
                    </w:rPr>
                    <w:t>（8）项目位于羊街片区，属工业园区建设用地，项目周边均为园区内其它企业，项目不设卫生防护距离要求。</w:t>
                  </w:r>
                </w:p>
                <w:p>
                  <w:pPr>
                    <w:rPr>
                      <w:color w:val="auto"/>
                      <w:szCs w:val="21"/>
                    </w:rPr>
                  </w:pPr>
                  <w:r>
                    <w:rPr>
                      <w:color w:val="auto"/>
                      <w:szCs w:val="21"/>
                    </w:rPr>
                    <w:t>（9）经下文分析，项目与《云南省牛栏江保护条例》不冲突。</w:t>
                  </w:r>
                </w:p>
                <w:p>
                  <w:pPr>
                    <w:pStyle w:val="2"/>
                    <w:spacing w:before="0" w:after="0" w:line="240" w:lineRule="auto"/>
                    <w:ind w:right="0"/>
                    <w:rPr>
                      <w:color w:val="auto"/>
                      <w:sz w:val="21"/>
                      <w:szCs w:val="21"/>
                    </w:rPr>
                  </w:pPr>
                  <w:r>
                    <w:rPr>
                      <w:color w:val="auto"/>
                      <w:sz w:val="21"/>
                      <w:szCs w:val="21"/>
                    </w:rPr>
                    <w:t>（10）项目不属于高能耗、高污染企业，项目产生的废气经处理后可达标排放，废水经处理后不外排。</w:t>
                  </w:r>
                </w:p>
              </w:tc>
              <w:tc>
                <w:tcPr>
                  <w:tcW w:w="480" w:type="dxa"/>
                </w:tcPr>
                <w:p>
                  <w:pPr>
                    <w:pStyle w:val="2"/>
                    <w:spacing w:before="0" w:after="0" w:line="240" w:lineRule="auto"/>
                    <w:ind w:right="0"/>
                    <w:rPr>
                      <w:color w:val="auto"/>
                      <w:sz w:val="21"/>
                      <w:szCs w:val="21"/>
                    </w:rPr>
                  </w:pPr>
                  <w:r>
                    <w:rPr>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401" w:type="dxa"/>
                  <w:vAlign w:val="center"/>
                </w:tcPr>
                <w:p>
                  <w:pPr>
                    <w:jc w:val="center"/>
                    <w:rPr>
                      <w:color w:val="auto"/>
                      <w:szCs w:val="21"/>
                    </w:rPr>
                  </w:pPr>
                  <w:r>
                    <w:rPr>
                      <w:color w:val="auto"/>
                      <w:szCs w:val="21"/>
                    </w:rPr>
                    <w:t>禁入</w:t>
                  </w:r>
                </w:p>
                <w:p>
                  <w:pPr>
                    <w:jc w:val="center"/>
                    <w:rPr>
                      <w:color w:val="auto"/>
                      <w:szCs w:val="21"/>
                    </w:rPr>
                  </w:pPr>
                  <w:r>
                    <w:rPr>
                      <w:color w:val="auto"/>
                      <w:szCs w:val="21"/>
                    </w:rPr>
                    <w:t>工艺</w:t>
                  </w:r>
                </w:p>
              </w:tc>
              <w:tc>
                <w:tcPr>
                  <w:tcW w:w="2877" w:type="dxa"/>
                  <w:vAlign w:val="center"/>
                </w:tcPr>
                <w:p>
                  <w:pPr>
                    <w:rPr>
                      <w:color w:val="auto"/>
                      <w:szCs w:val="21"/>
                    </w:rPr>
                  </w:pPr>
                  <w:r>
                    <w:rPr>
                      <w:color w:val="auto"/>
                      <w:szCs w:val="21"/>
                    </w:rPr>
                    <w:t>（1）《产业结构调整指导目录（2011年本）》（2013年修正）（或更新）中淘汰、落后的生产工艺。</w:t>
                  </w:r>
                </w:p>
                <w:p>
                  <w:pPr>
                    <w:rPr>
                      <w:color w:val="auto"/>
                      <w:szCs w:val="21"/>
                    </w:rPr>
                  </w:pPr>
                  <w:r>
                    <w:rPr>
                      <w:color w:val="auto"/>
                      <w:szCs w:val="21"/>
                    </w:rPr>
                    <w:t>（2）《部分工业行业淘汰落后生产工艺装备和产品指导目录（2010年本）》的生产工艺；</w:t>
                  </w:r>
                </w:p>
                <w:p>
                  <w:pPr>
                    <w:rPr>
                      <w:color w:val="auto"/>
                      <w:szCs w:val="21"/>
                    </w:rPr>
                  </w:pPr>
                  <w:r>
                    <w:rPr>
                      <w:color w:val="auto"/>
                      <w:szCs w:val="21"/>
                    </w:rPr>
                    <w:t>（3）现有污染治理技术不成熟，或现有技术经济条件难以承受污染物治理成本的。</w:t>
                  </w:r>
                </w:p>
                <w:p>
                  <w:pPr>
                    <w:rPr>
                      <w:color w:val="auto"/>
                      <w:szCs w:val="21"/>
                    </w:rPr>
                  </w:pPr>
                  <w:r>
                    <w:rPr>
                      <w:color w:val="auto"/>
                      <w:szCs w:val="21"/>
                    </w:rPr>
                    <w:t>（4）装备制造产业中含电镀、钝化、传统磷化等不能实现工业废水循环回用的企业禁止入驻。</w:t>
                  </w:r>
                </w:p>
                <w:p>
                  <w:pPr>
                    <w:rPr>
                      <w:color w:val="auto"/>
                      <w:szCs w:val="21"/>
                    </w:rPr>
                  </w:pPr>
                  <w:r>
                    <w:rPr>
                      <w:color w:val="auto"/>
                      <w:szCs w:val="21"/>
                    </w:rPr>
                    <w:t>（5）涂装、印刷、粘合、工业清洗行业中淘汰以三氟氯乙烷、甲基仿和四氯化碳为清洗剂或溶剂的生产工艺。</w:t>
                  </w:r>
                </w:p>
                <w:p>
                  <w:pPr>
                    <w:rPr>
                      <w:color w:val="auto"/>
                      <w:szCs w:val="21"/>
                    </w:rPr>
                  </w:pPr>
                  <w:r>
                    <w:rPr>
                      <w:color w:val="auto"/>
                      <w:szCs w:val="21"/>
                    </w:rPr>
                    <w:t>（6）园区不再统一规划固废处置场，未来入驻企业禁止在园区内新建永久性工业固废处置场。</w:t>
                  </w:r>
                </w:p>
                <w:p>
                  <w:pPr>
                    <w:rPr>
                      <w:color w:val="auto"/>
                      <w:szCs w:val="21"/>
                    </w:rPr>
                  </w:pPr>
                  <w:r>
                    <w:rPr>
                      <w:color w:val="auto"/>
                      <w:szCs w:val="21"/>
                    </w:rPr>
                    <w:t>（7）禁止入园企业开采地下水作为生产、生活用水。</w:t>
                  </w:r>
                </w:p>
              </w:tc>
              <w:tc>
                <w:tcPr>
                  <w:tcW w:w="3000" w:type="dxa"/>
                  <w:vAlign w:val="center"/>
                </w:tcPr>
                <w:p>
                  <w:pPr>
                    <w:rPr>
                      <w:color w:val="auto"/>
                      <w:szCs w:val="21"/>
                    </w:rPr>
                  </w:pPr>
                  <w:r>
                    <w:rPr>
                      <w:color w:val="auto"/>
                      <w:szCs w:val="21"/>
                    </w:rPr>
                    <w:t>（1）本项目为再生塑料颗粒生产，不属于《产业结构调整指导目录（2019年本）》中禁止、限制类行业。</w:t>
                  </w:r>
                </w:p>
                <w:p>
                  <w:pPr>
                    <w:rPr>
                      <w:color w:val="auto"/>
                      <w:szCs w:val="21"/>
                    </w:rPr>
                  </w:pPr>
                  <w:r>
                    <w:rPr>
                      <w:color w:val="auto"/>
                      <w:szCs w:val="21"/>
                    </w:rPr>
                    <w:t>（2）项目不属于《部分工业行业淘汰落后生产工艺装备和产品指导目录（2010年本）》的生产工艺。</w:t>
                  </w:r>
                </w:p>
                <w:p>
                  <w:pPr>
                    <w:rPr>
                      <w:color w:val="auto"/>
                      <w:szCs w:val="21"/>
                    </w:rPr>
                  </w:pPr>
                  <w:r>
                    <w:rPr>
                      <w:color w:val="auto"/>
                      <w:szCs w:val="21"/>
                    </w:rPr>
                    <w:t>（3）项目生产过程中产生的非甲烷总烃采用集气罩+“水洗装置+除湿除雾装置+</w:t>
                  </w:r>
                  <w:r>
                    <w:rPr>
                      <w:rFonts w:hint="eastAsia"/>
                      <w:color w:val="auto"/>
                      <w:szCs w:val="21"/>
                      <w:lang w:val="en-US" w:eastAsia="zh-CN"/>
                    </w:rPr>
                    <w:t>一级</w:t>
                  </w:r>
                  <w:r>
                    <w:rPr>
                      <w:color w:val="auto"/>
                      <w:szCs w:val="21"/>
                    </w:rPr>
                    <w:t>活性炭吸附+光氧催化”装置进行净化后，通过1根20m高的排气筒外排，该废气处理工艺属《排污许可证申请与核发技术规范 废弃资源加工业》（HJ1034-2019）中“污染防治可行技术参考表”中推荐的污染防治技术，其处理工艺成熟，成本可控。</w:t>
                  </w:r>
                </w:p>
                <w:p>
                  <w:pPr>
                    <w:rPr>
                      <w:color w:val="auto"/>
                      <w:szCs w:val="21"/>
                    </w:rPr>
                  </w:pPr>
                  <w:r>
                    <w:rPr>
                      <w:color w:val="auto"/>
                      <w:szCs w:val="21"/>
                    </w:rPr>
                    <w:t>（4）项目不含电镀、钝化、传统磷化等工业废水。</w:t>
                  </w:r>
                </w:p>
                <w:p>
                  <w:pPr>
                    <w:rPr>
                      <w:color w:val="auto"/>
                      <w:szCs w:val="21"/>
                    </w:rPr>
                  </w:pPr>
                  <w:r>
                    <w:rPr>
                      <w:color w:val="auto"/>
                      <w:szCs w:val="21"/>
                    </w:rPr>
                    <w:t>（5）项目不属于涂装、印刷、粘合、工业清洗行业。项目塑料颗粒加工过程中不使用阻燃剂和抗氧化剂。</w:t>
                  </w:r>
                </w:p>
                <w:p>
                  <w:pPr>
                    <w:rPr>
                      <w:color w:val="auto"/>
                      <w:szCs w:val="21"/>
                    </w:rPr>
                  </w:pPr>
                  <w:r>
                    <w:rPr>
                      <w:color w:val="auto"/>
                      <w:szCs w:val="21"/>
                    </w:rPr>
                    <w:t>（6）项目不设工业固废处置场。</w:t>
                  </w:r>
                </w:p>
                <w:p>
                  <w:pPr>
                    <w:rPr>
                      <w:color w:val="auto"/>
                      <w:szCs w:val="21"/>
                    </w:rPr>
                  </w:pPr>
                  <w:r>
                    <w:rPr>
                      <w:color w:val="auto"/>
                      <w:szCs w:val="21"/>
                    </w:rPr>
                    <w:t>（7）项目不开采地下水。</w:t>
                  </w:r>
                </w:p>
              </w:tc>
              <w:tc>
                <w:tcPr>
                  <w:tcW w:w="480" w:type="dxa"/>
                </w:tcPr>
                <w:p>
                  <w:pPr>
                    <w:pStyle w:val="2"/>
                    <w:spacing w:before="0" w:after="0" w:line="240" w:lineRule="auto"/>
                    <w:ind w:right="0"/>
                    <w:rPr>
                      <w:color w:val="auto"/>
                      <w:sz w:val="21"/>
                      <w:szCs w:val="21"/>
                    </w:rPr>
                  </w:pPr>
                  <w:r>
                    <w:rPr>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01" w:type="dxa"/>
                  <w:vAlign w:val="center"/>
                </w:tcPr>
                <w:p>
                  <w:pPr>
                    <w:jc w:val="center"/>
                    <w:rPr>
                      <w:color w:val="auto"/>
                      <w:szCs w:val="21"/>
                    </w:rPr>
                  </w:pPr>
                  <w:r>
                    <w:rPr>
                      <w:color w:val="auto"/>
                      <w:szCs w:val="21"/>
                    </w:rPr>
                    <w:t>禁入产品</w:t>
                  </w:r>
                </w:p>
              </w:tc>
              <w:tc>
                <w:tcPr>
                  <w:tcW w:w="2877" w:type="dxa"/>
                  <w:vAlign w:val="center"/>
                </w:tcPr>
                <w:p>
                  <w:pPr>
                    <w:rPr>
                      <w:color w:val="auto"/>
                      <w:szCs w:val="21"/>
                    </w:rPr>
                  </w:pPr>
                  <w:r>
                    <w:rPr>
                      <w:color w:val="auto"/>
                      <w:szCs w:val="21"/>
                    </w:rPr>
                    <w:t>《部分工业行业淘汰落后生产工艺装备和产品指导目录（2010年本）》的产品。</w:t>
                  </w:r>
                </w:p>
              </w:tc>
              <w:tc>
                <w:tcPr>
                  <w:tcW w:w="3000" w:type="dxa"/>
                  <w:vAlign w:val="center"/>
                </w:tcPr>
                <w:p>
                  <w:pPr>
                    <w:autoSpaceDE w:val="0"/>
                    <w:autoSpaceDN w:val="0"/>
                    <w:rPr>
                      <w:color w:val="auto"/>
                      <w:szCs w:val="21"/>
                    </w:rPr>
                  </w:pPr>
                  <w:r>
                    <w:rPr>
                      <w:color w:val="auto"/>
                      <w:kern w:val="0"/>
                      <w:szCs w:val="21"/>
                    </w:rPr>
                    <w:t>项目生产的塑料颗粒，不属于《部分工业行业淘汰落后生产工艺装备和产品指导目录（2010年本）》的产品</w:t>
                  </w:r>
                </w:p>
              </w:tc>
              <w:tc>
                <w:tcPr>
                  <w:tcW w:w="480" w:type="dxa"/>
                </w:tcPr>
                <w:p>
                  <w:pPr>
                    <w:pStyle w:val="2"/>
                    <w:spacing w:before="0" w:after="0" w:line="240" w:lineRule="auto"/>
                    <w:ind w:right="0"/>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401" w:type="dxa"/>
                  <w:vAlign w:val="center"/>
                </w:tcPr>
                <w:p>
                  <w:pPr>
                    <w:jc w:val="center"/>
                    <w:rPr>
                      <w:color w:val="auto"/>
                      <w:szCs w:val="21"/>
                    </w:rPr>
                  </w:pPr>
                  <w:r>
                    <w:rPr>
                      <w:color w:val="auto"/>
                      <w:szCs w:val="21"/>
                    </w:rPr>
                    <w:t>限制进入</w:t>
                  </w:r>
                </w:p>
              </w:tc>
              <w:tc>
                <w:tcPr>
                  <w:tcW w:w="2877" w:type="dxa"/>
                  <w:vAlign w:val="center"/>
                </w:tcPr>
                <w:p>
                  <w:pPr>
                    <w:autoSpaceDE w:val="0"/>
                    <w:autoSpaceDN w:val="0"/>
                    <w:rPr>
                      <w:color w:val="auto"/>
                      <w:kern w:val="0"/>
                      <w:szCs w:val="21"/>
                    </w:rPr>
                  </w:pPr>
                  <w:r>
                    <w:rPr>
                      <w:color w:val="auto"/>
                      <w:kern w:val="0"/>
                      <w:szCs w:val="21"/>
                    </w:rPr>
                    <w:t>（1）严格限制引进《产业结构调整指导目录（2011年本）》（2013年修正）中所列的限制类项目。</w:t>
                  </w:r>
                </w:p>
                <w:p>
                  <w:pPr>
                    <w:rPr>
                      <w:color w:val="auto"/>
                      <w:kern w:val="0"/>
                      <w:szCs w:val="21"/>
                    </w:rPr>
                  </w:pPr>
                  <w:r>
                    <w:rPr>
                      <w:color w:val="auto"/>
                      <w:kern w:val="0"/>
                      <w:szCs w:val="21"/>
                    </w:rPr>
                    <w:t>（2）《外商投资产业指导目录（2015年修订）》中所列的限制类项目。</w:t>
                  </w:r>
                </w:p>
                <w:p>
                  <w:pPr>
                    <w:rPr>
                      <w:color w:val="auto"/>
                      <w:kern w:val="0"/>
                      <w:szCs w:val="21"/>
                    </w:rPr>
                  </w:pPr>
                  <w:r>
                    <w:rPr>
                      <w:color w:val="auto"/>
                      <w:kern w:val="0"/>
                      <w:szCs w:val="21"/>
                    </w:rPr>
                    <w:t>（3）严格限制引进涉及《中国严格限制进出口的有毒化学品目录（2012年本）》中所列有毒化学品的项目。</w:t>
                  </w:r>
                </w:p>
                <w:p>
                  <w:pPr>
                    <w:rPr>
                      <w:color w:val="auto"/>
                      <w:kern w:val="0"/>
                      <w:szCs w:val="21"/>
                    </w:rPr>
                  </w:pPr>
                  <w:r>
                    <w:rPr>
                      <w:color w:val="auto"/>
                      <w:kern w:val="0"/>
                      <w:szCs w:val="21"/>
                    </w:rPr>
                    <w:t>（4）严禁引入技术含量较低的加工类产业。</w:t>
                  </w:r>
                </w:p>
                <w:p>
                  <w:pPr>
                    <w:rPr>
                      <w:color w:val="auto"/>
                      <w:szCs w:val="21"/>
                    </w:rPr>
                  </w:pPr>
                  <w:r>
                    <w:rPr>
                      <w:color w:val="auto"/>
                      <w:kern w:val="0"/>
                      <w:szCs w:val="21"/>
                    </w:rPr>
                    <w:t>（5）严禁引入物耗、水耗和能耗相对较高，但符合园区总体规划产业类别的其他产业（①属于规划既定行业，但污染类型复杂、环境风险较大的产业、项目或工艺；②产生废物，且按自有技术水平无法治理或妥善处置的；③现有污染治理技术不成熟，或现有技术经济条件难以承受污染物治理成本的）。</w:t>
                  </w:r>
                </w:p>
              </w:tc>
              <w:tc>
                <w:tcPr>
                  <w:tcW w:w="3000" w:type="dxa"/>
                  <w:vAlign w:val="center"/>
                </w:tcPr>
                <w:p>
                  <w:pPr>
                    <w:autoSpaceDE w:val="0"/>
                    <w:autoSpaceDN w:val="0"/>
                    <w:rPr>
                      <w:color w:val="auto"/>
                      <w:kern w:val="0"/>
                      <w:szCs w:val="21"/>
                    </w:rPr>
                  </w:pPr>
                  <w:r>
                    <w:rPr>
                      <w:color w:val="auto"/>
                      <w:kern w:val="0"/>
                      <w:szCs w:val="21"/>
                    </w:rPr>
                    <w:t>（1）本项目为利用废旧编织袋生产塑料颗粒，不属于《产业结构调整指导目录（2019年本）》中禁止、限制类行业。</w:t>
                  </w:r>
                </w:p>
                <w:p>
                  <w:pPr>
                    <w:autoSpaceDE w:val="0"/>
                    <w:autoSpaceDN w:val="0"/>
                    <w:rPr>
                      <w:color w:val="auto"/>
                      <w:kern w:val="0"/>
                      <w:szCs w:val="21"/>
                    </w:rPr>
                  </w:pPr>
                  <w:r>
                    <w:rPr>
                      <w:color w:val="auto"/>
                      <w:kern w:val="0"/>
                      <w:szCs w:val="21"/>
                    </w:rPr>
                    <w:t>（2）项目不属于《外商投资产业指导目录（2017年修订）》中限制类。</w:t>
                  </w:r>
                </w:p>
                <w:p>
                  <w:pPr>
                    <w:autoSpaceDE w:val="0"/>
                    <w:autoSpaceDN w:val="0"/>
                    <w:rPr>
                      <w:color w:val="auto"/>
                      <w:kern w:val="0"/>
                      <w:szCs w:val="21"/>
                    </w:rPr>
                  </w:pPr>
                  <w:r>
                    <w:rPr>
                      <w:color w:val="auto"/>
                      <w:kern w:val="0"/>
                      <w:szCs w:val="21"/>
                    </w:rPr>
                    <w:t>（3）项目不涉及《中国严格限制进出口的有毒化学品目录（2012年本）》中所列有毒化学品的项目。</w:t>
                  </w:r>
                </w:p>
                <w:p>
                  <w:pPr>
                    <w:autoSpaceDE w:val="0"/>
                    <w:autoSpaceDN w:val="0"/>
                    <w:rPr>
                      <w:color w:val="auto"/>
                      <w:kern w:val="0"/>
                      <w:szCs w:val="21"/>
                    </w:rPr>
                  </w:pPr>
                  <w:r>
                    <w:rPr>
                      <w:color w:val="auto"/>
                      <w:kern w:val="0"/>
                      <w:szCs w:val="21"/>
                    </w:rPr>
                    <w:t>（4）项目不属于技术含量较低的加工类产业。</w:t>
                  </w:r>
                </w:p>
                <w:p>
                  <w:pPr>
                    <w:rPr>
                      <w:color w:val="auto"/>
                      <w:szCs w:val="21"/>
                    </w:rPr>
                  </w:pPr>
                  <w:r>
                    <w:rPr>
                      <w:color w:val="auto"/>
                      <w:kern w:val="0"/>
                      <w:szCs w:val="21"/>
                    </w:rPr>
                    <w:t>（5）项目不属于高物耗、高水耗及高能耗企业。</w:t>
                  </w:r>
                </w:p>
              </w:tc>
              <w:tc>
                <w:tcPr>
                  <w:tcW w:w="480" w:type="dxa"/>
                </w:tcPr>
                <w:p>
                  <w:pPr>
                    <w:pStyle w:val="2"/>
                    <w:spacing w:before="0" w:after="0" w:line="240" w:lineRule="auto"/>
                    <w:ind w:right="0"/>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401" w:type="dxa"/>
                  <w:vAlign w:val="center"/>
                </w:tcPr>
                <w:p>
                  <w:pPr>
                    <w:jc w:val="center"/>
                    <w:rPr>
                      <w:color w:val="auto"/>
                      <w:szCs w:val="21"/>
                    </w:rPr>
                  </w:pPr>
                  <w:r>
                    <w:rPr>
                      <w:color w:val="auto"/>
                      <w:szCs w:val="21"/>
                    </w:rPr>
                    <w:t>现状产业区</w:t>
                  </w:r>
                </w:p>
              </w:tc>
              <w:tc>
                <w:tcPr>
                  <w:tcW w:w="2877" w:type="dxa"/>
                  <w:vAlign w:val="center"/>
                </w:tcPr>
                <w:p>
                  <w:pPr>
                    <w:autoSpaceDE w:val="0"/>
                    <w:autoSpaceDN w:val="0"/>
                    <w:rPr>
                      <w:color w:val="auto"/>
                      <w:kern w:val="0"/>
                      <w:szCs w:val="21"/>
                    </w:rPr>
                  </w:pPr>
                  <w:r>
                    <w:rPr>
                      <w:color w:val="auto"/>
                      <w:kern w:val="0"/>
                      <w:szCs w:val="21"/>
                    </w:rPr>
                    <w:t>现有煤磷盐化工企业、水泥熟料生产企业严禁新增、扩建重污染的煤磷盐化工项目，严禁新增三类工业用地，现有煤磷盐化工项目通过技术改造、产业升级、环保整改等进行节能减排，推行污染物超低排放改造，禁止新的煤、磷、盐化工产业、水泥熟料生产企业入驻。</w:t>
                  </w:r>
                </w:p>
              </w:tc>
              <w:tc>
                <w:tcPr>
                  <w:tcW w:w="3000" w:type="dxa"/>
                  <w:vAlign w:val="center"/>
                </w:tcPr>
                <w:p>
                  <w:pPr>
                    <w:rPr>
                      <w:color w:val="auto"/>
                      <w:kern w:val="0"/>
                      <w:szCs w:val="21"/>
                    </w:rPr>
                  </w:pPr>
                  <w:r>
                    <w:rPr>
                      <w:color w:val="auto"/>
                    </w:rPr>
                    <w:t>项目为塑料零件及其他塑料制品制造项目，生产用水可循环使用不外排，不属于所列禁止行业。</w:t>
                  </w:r>
                </w:p>
              </w:tc>
              <w:tc>
                <w:tcPr>
                  <w:tcW w:w="480" w:type="dxa"/>
                </w:tcPr>
                <w:p>
                  <w:pPr>
                    <w:pStyle w:val="2"/>
                    <w:spacing w:before="0" w:after="0" w:line="240" w:lineRule="auto"/>
                    <w:ind w:right="0"/>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401" w:type="dxa"/>
                  <w:vAlign w:val="center"/>
                </w:tcPr>
                <w:p>
                  <w:pPr>
                    <w:jc w:val="center"/>
                    <w:rPr>
                      <w:color w:val="auto"/>
                      <w:szCs w:val="21"/>
                    </w:rPr>
                  </w:pPr>
                  <w:r>
                    <w:rPr>
                      <w:color w:val="auto"/>
                      <w:kern w:val="0"/>
                      <w:szCs w:val="21"/>
                    </w:rPr>
                    <w:t>新型建材产业</w:t>
                  </w:r>
                </w:p>
              </w:tc>
              <w:tc>
                <w:tcPr>
                  <w:tcW w:w="2877" w:type="dxa"/>
                  <w:vAlign w:val="center"/>
                </w:tcPr>
                <w:p>
                  <w:pPr>
                    <w:autoSpaceDE w:val="0"/>
                    <w:autoSpaceDN w:val="0"/>
                    <w:rPr>
                      <w:color w:val="auto"/>
                      <w:kern w:val="0"/>
                      <w:szCs w:val="21"/>
                    </w:rPr>
                  </w:pPr>
                  <w:r>
                    <w:rPr>
                      <w:color w:val="auto"/>
                      <w:kern w:val="0"/>
                      <w:szCs w:val="21"/>
                    </w:rPr>
                    <w:t>入驻企业为新型墙体材料、新型防水密封材料、新型保温隔热材料和装饰装修材料等新型建材企业，禁止水泥生产、矿渣棉、玻璃棉、手工制作墙板生产线、非烧结、非蒸压粉煤灰生产线企业入驻</w:t>
                  </w:r>
                </w:p>
              </w:tc>
              <w:tc>
                <w:tcPr>
                  <w:tcW w:w="3000" w:type="dxa"/>
                  <w:vAlign w:val="center"/>
                </w:tcPr>
                <w:p>
                  <w:pPr>
                    <w:rPr>
                      <w:color w:val="auto"/>
                      <w:kern w:val="0"/>
                      <w:szCs w:val="21"/>
                    </w:rPr>
                  </w:pPr>
                  <w:r>
                    <w:rPr>
                      <w:color w:val="auto"/>
                    </w:rPr>
                    <w:t>本项目不属于新型建材产业</w:t>
                  </w:r>
                </w:p>
              </w:tc>
              <w:tc>
                <w:tcPr>
                  <w:tcW w:w="480" w:type="dxa"/>
                </w:tcPr>
                <w:p>
                  <w:pPr>
                    <w:pStyle w:val="2"/>
                    <w:spacing w:before="0" w:after="0" w:line="240" w:lineRule="auto"/>
                    <w:ind w:right="0"/>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401" w:type="dxa"/>
                  <w:vAlign w:val="center"/>
                </w:tcPr>
                <w:p>
                  <w:pPr>
                    <w:jc w:val="center"/>
                    <w:rPr>
                      <w:color w:val="auto"/>
                      <w:szCs w:val="21"/>
                    </w:rPr>
                  </w:pPr>
                  <w:r>
                    <w:rPr>
                      <w:color w:val="auto"/>
                      <w:kern w:val="0"/>
                      <w:szCs w:val="21"/>
                    </w:rPr>
                    <w:t>先进装备制造产业</w:t>
                  </w:r>
                </w:p>
              </w:tc>
              <w:tc>
                <w:tcPr>
                  <w:tcW w:w="2877" w:type="dxa"/>
                  <w:vAlign w:val="center"/>
                </w:tcPr>
                <w:p>
                  <w:pPr>
                    <w:autoSpaceDE w:val="0"/>
                    <w:autoSpaceDN w:val="0"/>
                    <w:rPr>
                      <w:color w:val="auto"/>
                      <w:kern w:val="0"/>
                      <w:szCs w:val="21"/>
                    </w:rPr>
                  </w:pPr>
                  <w:r>
                    <w:rPr>
                      <w:color w:val="auto"/>
                      <w:kern w:val="0"/>
                      <w:szCs w:val="21"/>
                    </w:rPr>
                    <w:t>禁止采用电镀、钝化、传统磷化工工艺企业，包括电子器件和电路板生产制造，生产废水不能循环回用的企业入驻</w:t>
                  </w:r>
                </w:p>
              </w:tc>
              <w:tc>
                <w:tcPr>
                  <w:tcW w:w="3000" w:type="dxa"/>
                  <w:vAlign w:val="center"/>
                </w:tcPr>
                <w:p>
                  <w:pPr>
                    <w:rPr>
                      <w:color w:val="auto"/>
                      <w:kern w:val="0"/>
                      <w:szCs w:val="21"/>
                    </w:rPr>
                  </w:pPr>
                  <w:r>
                    <w:rPr>
                      <w:color w:val="auto"/>
                    </w:rPr>
                    <w:t>本项目不属于以上企业，生产废水完全循环使用不外排。</w:t>
                  </w:r>
                </w:p>
              </w:tc>
              <w:tc>
                <w:tcPr>
                  <w:tcW w:w="480" w:type="dxa"/>
                </w:tcPr>
                <w:p>
                  <w:pPr>
                    <w:pStyle w:val="2"/>
                    <w:spacing w:before="0" w:after="0" w:line="240" w:lineRule="auto"/>
                    <w:ind w:right="0"/>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01" w:type="dxa"/>
                  <w:vAlign w:val="center"/>
                </w:tcPr>
                <w:p>
                  <w:pPr>
                    <w:jc w:val="center"/>
                    <w:rPr>
                      <w:color w:val="auto"/>
                      <w:kern w:val="0"/>
                      <w:szCs w:val="21"/>
                    </w:rPr>
                  </w:pPr>
                  <w:r>
                    <w:rPr>
                      <w:color w:val="auto"/>
                      <w:kern w:val="0"/>
                      <w:szCs w:val="21"/>
                    </w:rPr>
                    <w:t>家居</w:t>
                  </w:r>
                </w:p>
                <w:p>
                  <w:pPr>
                    <w:jc w:val="center"/>
                    <w:rPr>
                      <w:color w:val="auto"/>
                      <w:szCs w:val="21"/>
                    </w:rPr>
                  </w:pPr>
                  <w:r>
                    <w:rPr>
                      <w:color w:val="auto"/>
                      <w:kern w:val="0"/>
                      <w:szCs w:val="21"/>
                    </w:rPr>
                    <w:t>制造</w:t>
                  </w:r>
                </w:p>
              </w:tc>
              <w:tc>
                <w:tcPr>
                  <w:tcW w:w="2877" w:type="dxa"/>
                  <w:vAlign w:val="center"/>
                </w:tcPr>
                <w:p>
                  <w:pPr>
                    <w:autoSpaceDE w:val="0"/>
                    <w:autoSpaceDN w:val="0"/>
                    <w:rPr>
                      <w:color w:val="auto"/>
                      <w:kern w:val="0"/>
                      <w:szCs w:val="21"/>
                    </w:rPr>
                  </w:pPr>
                  <w:r>
                    <w:rPr>
                      <w:color w:val="auto"/>
                      <w:kern w:val="0"/>
                      <w:szCs w:val="21"/>
                    </w:rPr>
                    <w:t>禁止采用传统制胶工艺，生产废水不能循环回用的企业入驻</w:t>
                  </w:r>
                </w:p>
              </w:tc>
              <w:tc>
                <w:tcPr>
                  <w:tcW w:w="3000" w:type="dxa"/>
                  <w:vAlign w:val="center"/>
                </w:tcPr>
                <w:p>
                  <w:pPr>
                    <w:rPr>
                      <w:color w:val="auto"/>
                      <w:kern w:val="0"/>
                      <w:szCs w:val="21"/>
                    </w:rPr>
                  </w:pPr>
                  <w:r>
                    <w:rPr>
                      <w:color w:val="auto"/>
                    </w:rPr>
                    <w:t>本项目不属于家居制造企业</w:t>
                  </w:r>
                </w:p>
              </w:tc>
              <w:tc>
                <w:tcPr>
                  <w:tcW w:w="480" w:type="dxa"/>
                </w:tcPr>
                <w:p>
                  <w:pPr>
                    <w:pStyle w:val="2"/>
                    <w:spacing w:before="0" w:after="0" w:line="240" w:lineRule="auto"/>
                    <w:ind w:right="0"/>
                    <w:rPr>
                      <w:color w:val="auto"/>
                      <w:sz w:val="21"/>
                      <w:szCs w:val="21"/>
                    </w:rPr>
                  </w:pPr>
                  <w:r>
                    <w:rPr>
                      <w:rFonts w:hint="eastAsia"/>
                      <w:color w:val="auto"/>
                      <w:sz w:val="21"/>
                      <w:szCs w:val="21"/>
                    </w:rPr>
                    <w:t>符合</w:t>
                  </w:r>
                </w:p>
              </w:tc>
            </w:tr>
          </w:tbl>
          <w:p>
            <w:pPr>
              <w:spacing w:line="360" w:lineRule="auto"/>
              <w:ind w:firstLine="480" w:firstLineChars="200"/>
              <w:rPr>
                <w:color w:val="auto"/>
                <w:sz w:val="24"/>
              </w:rPr>
            </w:pPr>
            <w:r>
              <w:rPr>
                <w:color w:val="auto"/>
                <w:sz w:val="24"/>
              </w:rPr>
              <w:t>综上分析，项目位于寻甸特色产业园区羊街片区</w:t>
            </w:r>
            <w:r>
              <w:rPr>
                <w:rFonts w:hint="eastAsia"/>
                <w:color w:val="auto"/>
                <w:sz w:val="24"/>
              </w:rPr>
              <w:t>租用</w:t>
            </w:r>
            <w:r>
              <w:rPr>
                <w:color w:val="auto"/>
                <w:sz w:val="24"/>
              </w:rPr>
              <w:t>云南鹏腾机械设备制造有限公司</w:t>
            </w:r>
            <w:r>
              <w:rPr>
                <w:rFonts w:hint="eastAsia"/>
                <w:color w:val="auto"/>
                <w:sz w:val="24"/>
              </w:rPr>
              <w:t>的标准厂房</w:t>
            </w:r>
            <w:r>
              <w:rPr>
                <w:color w:val="auto"/>
                <w:sz w:val="24"/>
              </w:rPr>
              <w:t>，属于塑料零件及其他塑料制品制造项目，项目不在羊街片区功能定位范围内，但项目也不属于园区禁止、限制类项目，因此本项目建设与寻甸特色产业园区总体规划不冲突。</w:t>
            </w:r>
          </w:p>
          <w:p>
            <w:pPr>
              <w:spacing w:line="360" w:lineRule="auto"/>
              <w:ind w:firstLine="482" w:firstLineChars="200"/>
              <w:rPr>
                <w:b/>
                <w:color w:val="auto"/>
                <w:sz w:val="24"/>
              </w:rPr>
            </w:pPr>
            <w:r>
              <w:rPr>
                <w:b/>
                <w:color w:val="auto"/>
                <w:sz w:val="24"/>
              </w:rPr>
              <w:t>3）与规划环评审查意见相符性分析</w:t>
            </w:r>
          </w:p>
          <w:p>
            <w:pPr>
              <w:spacing w:line="360" w:lineRule="auto"/>
              <w:ind w:firstLine="480" w:firstLineChars="200"/>
              <w:rPr>
                <w:color w:val="auto"/>
                <w:sz w:val="24"/>
              </w:rPr>
            </w:pPr>
            <w:r>
              <w:rPr>
                <w:color w:val="auto"/>
                <w:sz w:val="24"/>
              </w:rPr>
              <w:t>①关于园区水资源保障和水环境保护问题</w:t>
            </w:r>
          </w:p>
          <w:p>
            <w:pPr>
              <w:spacing w:line="360" w:lineRule="auto"/>
              <w:ind w:firstLine="480" w:firstLineChars="200"/>
              <w:rPr>
                <w:color w:val="auto"/>
                <w:sz w:val="24"/>
              </w:rPr>
            </w:pPr>
            <w:r>
              <w:rPr>
                <w:color w:val="auto"/>
                <w:sz w:val="24"/>
              </w:rPr>
              <w:t>根据云南省生态环境厅出具的“云南省生态环境厅关于《寻甸特色产业园区总体规划修编（2018-2035年）环境影响报告书》审查意见的函”（云环函[2020]261号），园区应当建设污水集中和分散处理设施，工业污水处理达标后，在园区内综合回用，实现工业污水零排放。积极与地方政府沟通协调，强化片区环境综合整治，加强园区生活污水的收集处理，提高污水回用率，有效改善区域水环境质量。规划区金所片区地表水、地下水存在连通关系，区域地下水为岩溶地质构造，是规划区与牛栏江相连的通道，须强化园区地下水污染防控措施。入园企业禁止抽取地下水。</w:t>
            </w:r>
          </w:p>
          <w:p>
            <w:pPr>
              <w:spacing w:line="360" w:lineRule="auto"/>
              <w:ind w:firstLine="480" w:firstLineChars="200"/>
              <w:rPr>
                <w:color w:val="auto"/>
                <w:sz w:val="24"/>
              </w:rPr>
            </w:pPr>
            <w:r>
              <w:rPr>
                <w:color w:val="auto"/>
                <w:sz w:val="24"/>
              </w:rPr>
              <w:t>项目不抽取地下水，生产用水由园区供水管网供给。</w:t>
            </w:r>
          </w:p>
          <w:p>
            <w:pPr>
              <w:spacing w:line="360" w:lineRule="auto"/>
              <w:ind w:firstLine="480" w:firstLineChars="200"/>
              <w:rPr>
                <w:color w:val="auto"/>
                <w:sz w:val="24"/>
              </w:rPr>
            </w:pPr>
            <w:r>
              <w:rPr>
                <w:color w:val="auto"/>
                <w:sz w:val="24"/>
              </w:rPr>
              <w:t>项目生产废水经污水处理设施（</w:t>
            </w:r>
            <w:r>
              <w:rPr>
                <w:rFonts w:hint="eastAsia"/>
                <w:color w:val="auto"/>
                <w:sz w:val="24"/>
              </w:rPr>
              <w:t>格栅+隔油+水解</w:t>
            </w:r>
            <w:r>
              <w:rPr>
                <w:color w:val="auto"/>
                <w:sz w:val="24"/>
              </w:rPr>
              <w:t>+</w:t>
            </w:r>
            <w:r>
              <w:rPr>
                <w:rFonts w:hint="eastAsia"/>
                <w:color w:val="auto"/>
                <w:sz w:val="24"/>
              </w:rPr>
              <w:t>生物接触氧化法</w:t>
            </w:r>
            <w:r>
              <w:rPr>
                <w:color w:val="auto"/>
                <w:sz w:val="24"/>
              </w:rPr>
              <w:t>）处理后汇入清水</w:t>
            </w:r>
            <w:r>
              <w:rPr>
                <w:rFonts w:hint="eastAsia"/>
                <w:color w:val="auto"/>
                <w:sz w:val="24"/>
              </w:rPr>
              <w:t>回用</w:t>
            </w:r>
            <w:r>
              <w:rPr>
                <w:color w:val="auto"/>
                <w:sz w:val="24"/>
              </w:rPr>
              <w:t>池回用于生产线，不外排。生活污水</w:t>
            </w:r>
            <w:r>
              <w:rPr>
                <w:rFonts w:hint="eastAsia"/>
                <w:color w:val="auto"/>
                <w:sz w:val="24"/>
              </w:rPr>
              <w:t>依托</w:t>
            </w:r>
            <w:r>
              <w:rPr>
                <w:color w:val="auto"/>
                <w:sz w:val="24"/>
              </w:rPr>
              <w:t>云南鹏腾机械设备制造有限公司污水处理设施处理后，回用于绿化，不外排。</w:t>
            </w:r>
          </w:p>
          <w:p>
            <w:pPr>
              <w:spacing w:line="360" w:lineRule="auto"/>
              <w:ind w:firstLine="480" w:firstLineChars="200"/>
              <w:rPr>
                <w:color w:val="auto"/>
                <w:sz w:val="24"/>
              </w:rPr>
            </w:pPr>
            <w:r>
              <w:rPr>
                <w:color w:val="auto"/>
                <w:sz w:val="24"/>
              </w:rPr>
              <w:t>项目地下水污染防治措施按照“源头控制、分区防治、污染监控、应急响应”相结合的原则，从污染物的产生、入渗、扩散、应急响应进行控制，有效控制地下水不被污染。</w:t>
            </w:r>
          </w:p>
          <w:p>
            <w:pPr>
              <w:spacing w:line="360" w:lineRule="auto"/>
              <w:ind w:firstLine="480" w:firstLineChars="200"/>
              <w:rPr>
                <w:color w:val="auto"/>
                <w:sz w:val="24"/>
              </w:rPr>
            </w:pPr>
            <w:r>
              <w:rPr>
                <w:color w:val="auto"/>
                <w:sz w:val="24"/>
              </w:rPr>
              <w:t>②关于大气环境质量要求</w:t>
            </w:r>
          </w:p>
          <w:p>
            <w:pPr>
              <w:spacing w:line="360" w:lineRule="auto"/>
              <w:ind w:firstLine="480" w:firstLineChars="200"/>
              <w:rPr>
                <w:color w:val="auto"/>
                <w:sz w:val="24"/>
              </w:rPr>
            </w:pPr>
            <w:r>
              <w:rPr>
                <w:color w:val="auto"/>
                <w:sz w:val="24"/>
              </w:rPr>
              <w:t>根据云南省生态环境厅出具的“云南省生态环境厅关于《寻甸特色产业园区总体规划修编（2018-2035年）环境影响报告书》审查意见的函”（云环函[2020]261号），严守环境质量底线，严格入园项目环境管理。根据国家和云南省有关大气、水、土壤污染防治行动计划相关要求，采取有效措施减少主要污染物、挥发性有机物和臭气异味等特征污染物的排放总量，确保实现区域环境质量改善目标。</w:t>
            </w:r>
          </w:p>
          <w:p>
            <w:pPr>
              <w:spacing w:line="360" w:lineRule="auto"/>
              <w:ind w:firstLine="480" w:firstLineChars="200"/>
              <w:rPr>
                <w:color w:val="auto"/>
                <w:sz w:val="24"/>
              </w:rPr>
            </w:pPr>
            <w:r>
              <w:rPr>
                <w:color w:val="auto"/>
                <w:sz w:val="24"/>
              </w:rPr>
              <w:t>项目熔融挤出设备的废气排放点为主机排气孔、主机至副机进料口、副机挤出口，本项目拟在各产污点上方安装集气罩，收集废气经“水洗装置+除湿除雾装置+</w:t>
            </w:r>
            <w:r>
              <w:rPr>
                <w:rFonts w:hint="eastAsia"/>
                <w:color w:val="auto"/>
                <w:sz w:val="24"/>
                <w:lang w:val="en-US" w:eastAsia="zh-CN"/>
              </w:rPr>
              <w:t>一级</w:t>
            </w:r>
            <w:r>
              <w:rPr>
                <w:color w:val="auto"/>
                <w:sz w:val="24"/>
              </w:rPr>
              <w:t>活性炭吸附装置+光氧催化装置”处理后，经</w:t>
            </w:r>
            <w:r>
              <w:rPr>
                <w:rFonts w:hint="eastAsia"/>
                <w:color w:val="auto"/>
                <w:sz w:val="24"/>
              </w:rPr>
              <w:t>20</w:t>
            </w:r>
            <w:r>
              <w:rPr>
                <w:color w:val="auto"/>
                <w:sz w:val="24"/>
              </w:rPr>
              <w:t>m排气筒有组织排放。项目建设符合园区大气环境质量要求。</w:t>
            </w:r>
          </w:p>
          <w:p>
            <w:pPr>
              <w:spacing w:line="360" w:lineRule="auto"/>
              <w:ind w:firstLine="480" w:firstLineChars="200"/>
              <w:rPr>
                <w:color w:val="auto"/>
              </w:rPr>
            </w:pPr>
            <w:r>
              <w:rPr>
                <w:color w:val="auto"/>
                <w:sz w:val="24"/>
              </w:rPr>
              <w:t>综上所述，项目建设与所在园区规划及其环评相符。综上所述，项目建设与《寻甸特色产业园区总体规划修编（2018-2035）》及规划环评审查意见相符。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9" w:hRule="atLeast"/>
          <w:jc w:val="center"/>
        </w:trPr>
        <w:tc>
          <w:tcPr>
            <w:tcW w:w="1556" w:type="dxa"/>
            <w:vAlign w:val="center"/>
          </w:tcPr>
          <w:p>
            <w:pPr>
              <w:spacing w:line="360" w:lineRule="auto"/>
              <w:jc w:val="center"/>
              <w:rPr>
                <w:color w:val="auto"/>
                <w:sz w:val="24"/>
              </w:rPr>
            </w:pPr>
            <w:r>
              <w:rPr>
                <w:color w:val="auto"/>
                <w:sz w:val="24"/>
              </w:rPr>
              <w:t>其他符合性分析</w:t>
            </w:r>
          </w:p>
        </w:tc>
        <w:tc>
          <w:tcPr>
            <w:tcW w:w="6974" w:type="dxa"/>
            <w:gridSpan w:val="3"/>
            <w:vAlign w:val="center"/>
          </w:tcPr>
          <w:p>
            <w:pPr>
              <w:spacing w:line="360" w:lineRule="auto"/>
              <w:ind w:firstLine="482" w:firstLineChars="200"/>
              <w:rPr>
                <w:b/>
                <w:bCs/>
                <w:color w:val="auto"/>
                <w:sz w:val="24"/>
              </w:rPr>
            </w:pPr>
            <w:r>
              <w:rPr>
                <w:b/>
                <w:bCs/>
                <w:color w:val="auto"/>
                <w:sz w:val="24"/>
              </w:rPr>
              <w:t>1、产业政策符合性分析</w:t>
            </w:r>
          </w:p>
          <w:p>
            <w:pPr>
              <w:spacing w:line="360" w:lineRule="auto"/>
              <w:ind w:firstLine="480" w:firstLineChars="200"/>
              <w:rPr>
                <w:rStyle w:val="37"/>
                <w:color w:val="auto"/>
                <w:kern w:val="0"/>
                <w:sz w:val="24"/>
              </w:rPr>
            </w:pPr>
            <w:r>
              <w:rPr>
                <w:color w:val="auto"/>
                <w:sz w:val="24"/>
              </w:rPr>
              <w:t>项目主要以</w:t>
            </w:r>
            <w:r>
              <w:rPr>
                <w:bCs/>
                <w:color w:val="auto"/>
                <w:kern w:val="0"/>
                <w:sz w:val="24"/>
              </w:rPr>
              <w:t>废弃农用地膜、废编织袋、一般废旧塑料</w:t>
            </w:r>
            <w:r>
              <w:rPr>
                <w:color w:val="auto"/>
                <w:sz w:val="24"/>
              </w:rPr>
              <w:t>为原料，原料均不属于受到危险化学品、农药等污染的废弃物，且建设单位在购买时，严格进行筛选，同时</w:t>
            </w:r>
            <w:r>
              <w:rPr>
                <w:rStyle w:val="37"/>
                <w:color w:val="auto"/>
                <w:kern w:val="0"/>
                <w:sz w:val="24"/>
              </w:rPr>
              <w:t>项目使用的废旧塑料由第三方回收公司严格筛选回收后运至厂内，本项目不包含收购及运输过程；</w:t>
            </w:r>
            <w:r>
              <w:rPr>
                <w:color w:val="auto"/>
                <w:sz w:val="24"/>
              </w:rPr>
              <w:t>建立原料可追溯的台账，严控受到危险化学品、农药等污染的废弃塑料包装物、废弃一次性医疗用塑料制品等塑料类危险废物，以及氟塑料等特种工程塑料进入厂区</w:t>
            </w:r>
            <w:r>
              <w:rPr>
                <w:rStyle w:val="37"/>
                <w:color w:val="auto"/>
                <w:kern w:val="0"/>
                <w:sz w:val="24"/>
              </w:rPr>
              <w:t>。</w:t>
            </w:r>
          </w:p>
          <w:p>
            <w:pPr>
              <w:spacing w:line="360" w:lineRule="auto"/>
              <w:ind w:firstLine="480" w:firstLineChars="200"/>
              <w:rPr>
                <w:color w:val="auto"/>
                <w:sz w:val="24"/>
              </w:rPr>
            </w:pPr>
            <w:r>
              <w:rPr>
                <w:color w:val="auto"/>
                <w:sz w:val="24"/>
              </w:rPr>
              <w:t>根据《产业结构调整指导目录（2019年本）》，本项目属于第一类“鼓励类”第“四十三条环境保护与资源节约综合利用”中的第27小条：废旧木材、废旧电器电子产品、废印刷电路板、废旧电池、废旧船舶、废旧农机、废塑料、废旧纺织品及纺织废料和边角料、废（碎）玻璃、废橡胶、废弃油脂等废旧物资等资源循环再利用技术、设备开发及应用，为鼓励类项目。</w:t>
            </w:r>
          </w:p>
          <w:p>
            <w:pPr>
              <w:spacing w:line="360" w:lineRule="auto"/>
              <w:ind w:firstLine="480" w:firstLineChars="200"/>
              <w:rPr>
                <w:color w:val="auto"/>
                <w:sz w:val="24"/>
              </w:rPr>
            </w:pPr>
            <w:r>
              <w:rPr>
                <w:color w:val="auto"/>
                <w:sz w:val="24"/>
              </w:rPr>
              <w:t>同时项目已取得寻甸回族彝族自治县发展和改革局出具的投资项目备案证（项目代码：</w:t>
            </w:r>
            <w:r>
              <w:rPr>
                <w:rFonts w:hint="eastAsia"/>
                <w:color w:val="auto"/>
                <w:sz w:val="24"/>
              </w:rPr>
              <w:t>2204</w:t>
            </w:r>
            <w:r>
              <w:rPr>
                <w:color w:val="auto"/>
                <w:sz w:val="24"/>
              </w:rPr>
              <w:t>-530129-</w:t>
            </w:r>
            <w:r>
              <w:rPr>
                <w:rFonts w:hint="eastAsia"/>
                <w:color w:val="auto"/>
                <w:sz w:val="24"/>
              </w:rPr>
              <w:t>04-05</w:t>
            </w:r>
            <w:r>
              <w:rPr>
                <w:color w:val="auto"/>
                <w:sz w:val="24"/>
              </w:rPr>
              <w:t>-</w:t>
            </w:r>
            <w:r>
              <w:rPr>
                <w:rFonts w:hint="eastAsia"/>
                <w:color w:val="auto"/>
                <w:sz w:val="24"/>
              </w:rPr>
              <w:t>115973</w:t>
            </w:r>
            <w:r>
              <w:rPr>
                <w:color w:val="auto"/>
                <w:sz w:val="24"/>
              </w:rPr>
              <w:t>）。且项目拟使用的生产设备不属于《部分工业行业淘汰落后生产工艺装备和产品指导目录（2010年本）》规定的淘汰设备范畴。</w:t>
            </w:r>
          </w:p>
          <w:p>
            <w:pPr>
              <w:spacing w:line="360" w:lineRule="auto"/>
              <w:ind w:firstLine="480" w:firstLineChars="200"/>
              <w:rPr>
                <w:color w:val="auto"/>
                <w:sz w:val="24"/>
              </w:rPr>
            </w:pPr>
            <w:r>
              <w:rPr>
                <w:color w:val="auto"/>
                <w:sz w:val="24"/>
              </w:rPr>
              <w:t>因此，项目符合国家和地方产业政策要求。</w:t>
            </w:r>
          </w:p>
          <w:p>
            <w:pPr>
              <w:numPr>
                <w:ilvl w:val="0"/>
                <w:numId w:val="2"/>
              </w:numPr>
              <w:spacing w:line="360" w:lineRule="auto"/>
              <w:ind w:firstLine="482"/>
              <w:rPr>
                <w:b/>
                <w:bCs/>
                <w:color w:val="auto"/>
                <w:sz w:val="24"/>
              </w:rPr>
            </w:pPr>
            <w:r>
              <w:rPr>
                <w:b/>
                <w:bCs/>
                <w:color w:val="auto"/>
                <w:sz w:val="24"/>
              </w:rPr>
              <w:t>项目“三线一单”符合性分析</w:t>
            </w:r>
          </w:p>
          <w:p>
            <w:pPr>
              <w:spacing w:line="360" w:lineRule="auto"/>
              <w:ind w:firstLine="480" w:firstLineChars="200"/>
              <w:rPr>
                <w:color w:val="auto"/>
                <w:sz w:val="24"/>
              </w:rPr>
            </w:pPr>
            <w:r>
              <w:rPr>
                <w:color w:val="auto"/>
                <w:sz w:val="24"/>
              </w:rPr>
              <w:t>根据2021年11月23日昆明市人民政府发布的《昆明市人民政府关于昆明市“三线一单”生态环境分区管控的实施意见》（昆政发〔2021〕21号）的要求，项目与区域“三线一单”符合性分析详见下表：</w:t>
            </w:r>
          </w:p>
          <w:p>
            <w:pPr>
              <w:spacing w:line="360" w:lineRule="auto"/>
              <w:jc w:val="center"/>
              <w:rPr>
                <w:b/>
                <w:bCs/>
                <w:color w:val="auto"/>
                <w:sz w:val="24"/>
              </w:rPr>
            </w:pPr>
            <w:r>
              <w:rPr>
                <w:b/>
                <w:bCs/>
                <w:color w:val="auto"/>
                <w:sz w:val="24"/>
              </w:rPr>
              <w:t>表1-</w:t>
            </w:r>
            <w:r>
              <w:rPr>
                <w:rFonts w:hint="eastAsia"/>
                <w:b/>
                <w:bCs/>
                <w:color w:val="auto"/>
                <w:sz w:val="24"/>
              </w:rPr>
              <w:t>2</w:t>
            </w:r>
            <w:r>
              <w:rPr>
                <w:b/>
                <w:bCs/>
                <w:color w:val="auto"/>
                <w:sz w:val="24"/>
              </w:rPr>
              <w:t xml:space="preserve">  “三线一单”符合性分析表</w:t>
            </w:r>
          </w:p>
          <w:tbl>
            <w:tblPr>
              <w:tblStyle w:val="3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6"/>
              <w:gridCol w:w="2762"/>
              <w:gridCol w:w="2637"/>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9" w:type="pct"/>
                  <w:gridSpan w:val="3"/>
                  <w:noWrap/>
                  <w:vAlign w:val="center"/>
                </w:tcPr>
                <w:p>
                  <w:pPr>
                    <w:jc w:val="center"/>
                    <w:rPr>
                      <w:b/>
                      <w:bCs/>
                      <w:color w:val="auto"/>
                      <w:szCs w:val="21"/>
                    </w:rPr>
                  </w:pPr>
                  <w:r>
                    <w:rPr>
                      <w:b/>
                      <w:bCs/>
                      <w:color w:val="auto"/>
                      <w:szCs w:val="21"/>
                    </w:rPr>
                    <w:t>文件内容</w:t>
                  </w:r>
                </w:p>
              </w:tc>
              <w:tc>
                <w:tcPr>
                  <w:tcW w:w="1955" w:type="pct"/>
                  <w:noWrap/>
                  <w:vAlign w:val="center"/>
                </w:tcPr>
                <w:p>
                  <w:pPr>
                    <w:jc w:val="center"/>
                    <w:rPr>
                      <w:b/>
                      <w:bCs/>
                      <w:color w:val="auto"/>
                      <w:szCs w:val="21"/>
                    </w:rPr>
                  </w:pPr>
                  <w:r>
                    <w:rPr>
                      <w:b/>
                      <w:bCs/>
                      <w:color w:val="auto"/>
                      <w:szCs w:val="21"/>
                    </w:rPr>
                    <w:t>相符性分析</w:t>
                  </w:r>
                </w:p>
              </w:tc>
              <w:tc>
                <w:tcPr>
                  <w:tcW w:w="415" w:type="pct"/>
                  <w:noWrap/>
                  <w:vAlign w:val="center"/>
                </w:tcPr>
                <w:p>
                  <w:pPr>
                    <w:jc w:val="center"/>
                    <w:rPr>
                      <w:b/>
                      <w:bCs/>
                      <w:color w:val="auto"/>
                      <w:szCs w:val="21"/>
                    </w:rPr>
                  </w:pPr>
                  <w:r>
                    <w:rPr>
                      <w:b/>
                      <w:bCs/>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rPr>
              <w:tc>
                <w:tcPr>
                  <w:tcW w:w="5000" w:type="pct"/>
                  <w:gridSpan w:val="5"/>
                  <w:noWrap/>
                  <w:vAlign w:val="center"/>
                </w:tcPr>
                <w:p>
                  <w:pPr>
                    <w:spacing w:line="360" w:lineRule="auto"/>
                    <w:jc w:val="center"/>
                    <w:rPr>
                      <w:b/>
                      <w:bCs/>
                      <w:color w:val="auto"/>
                      <w:szCs w:val="21"/>
                    </w:rPr>
                  </w:pPr>
                  <w:r>
                    <w:rPr>
                      <w:b/>
                      <w:bCs/>
                      <w:color w:val="auto"/>
                      <w:szCs w:val="21"/>
                    </w:rPr>
                    <w:t>1、生态保护红线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9" w:type="pct"/>
                  <w:gridSpan w:val="3"/>
                  <w:noWrap/>
                  <w:vAlign w:val="center"/>
                </w:tcPr>
                <w:p>
                  <w:pPr>
                    <w:rPr>
                      <w:color w:val="auto"/>
                      <w:szCs w:val="21"/>
                    </w:rPr>
                  </w:pPr>
                  <w:r>
                    <w:rPr>
                      <w:color w:val="auto"/>
                      <w:szCs w:val="21"/>
                    </w:rPr>
                    <w:t>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加强资源环境承载力控制，防止过度垦殖、放牧、采伐、取水、渔猎、旅游等对生态功能造成损害，确保自然生态系统的稳定。划入一般生态空间的各类自然保护地原则上按照原管控要求进行管理，其他一般生态空间根据用途分区，依法依规进行生态环境管控。</w:t>
                  </w:r>
                </w:p>
              </w:tc>
              <w:tc>
                <w:tcPr>
                  <w:tcW w:w="1955" w:type="pct"/>
                  <w:noWrap/>
                  <w:vAlign w:val="center"/>
                </w:tcPr>
                <w:p>
                  <w:pPr>
                    <w:adjustRightInd w:val="0"/>
                    <w:snapToGrid w:val="0"/>
                    <w:rPr>
                      <w:color w:val="auto"/>
                      <w:szCs w:val="21"/>
                    </w:rPr>
                  </w:pPr>
                  <w:r>
                    <w:rPr>
                      <w:color w:val="auto"/>
                      <w:szCs w:val="21"/>
                    </w:rPr>
                    <w:t>项目位于寻甸县特色产业园羊街片区云南鹏腾机械设备制造有限公司</w:t>
                  </w:r>
                  <w:r>
                    <w:rPr>
                      <w:rFonts w:hint="eastAsia"/>
                      <w:color w:val="auto"/>
                      <w:szCs w:val="21"/>
                    </w:rPr>
                    <w:t>1号厂房11跨</w:t>
                  </w:r>
                  <w:r>
                    <w:rPr>
                      <w:color w:val="auto"/>
                      <w:szCs w:val="21"/>
                    </w:rPr>
                    <w:t>空置场地。</w:t>
                  </w:r>
                  <w:r>
                    <w:rPr>
                      <w:rFonts w:hint="eastAsia"/>
                      <w:color w:val="auto"/>
                      <w:szCs w:val="21"/>
                    </w:rPr>
                    <w:t>项目选址于原云南鹏腾机械设备制造有限公司厂区范围内，项目不新增占地，</w:t>
                  </w:r>
                  <w:r>
                    <w:rPr>
                      <w:color w:val="auto"/>
                      <w:szCs w:val="21"/>
                    </w:rPr>
                    <w:t>根据寻甸回族彝族自治县自然资源局及寻甸县回族彝族自治县林业和草原局于2019年12月3日出具的《关于寻甸特色产业园区金所、羊街片区规划范围是否涉及生态保护红线的情况说明》附图</w:t>
                  </w:r>
                  <w:r>
                    <w:rPr>
                      <w:rFonts w:hint="eastAsia"/>
                      <w:color w:val="auto"/>
                      <w:szCs w:val="21"/>
                    </w:rPr>
                    <w:t>10，项目选址不在生态红线范围内，符合生态保护红线要求。</w:t>
                  </w:r>
                </w:p>
                <w:p>
                  <w:pPr>
                    <w:rPr>
                      <w:color w:val="auto"/>
                      <w:szCs w:val="21"/>
                    </w:rPr>
                  </w:pPr>
                </w:p>
              </w:tc>
              <w:tc>
                <w:tcPr>
                  <w:tcW w:w="415" w:type="pct"/>
                  <w:noWrap/>
                  <w:vAlign w:val="center"/>
                </w:tcPr>
                <w:p>
                  <w:pPr>
                    <w:spacing w:line="360" w:lineRule="auto"/>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ign w:val="center"/>
                </w:tcPr>
                <w:p>
                  <w:pPr>
                    <w:spacing w:line="360" w:lineRule="auto"/>
                    <w:jc w:val="center"/>
                    <w:rPr>
                      <w:color w:val="auto"/>
                      <w:szCs w:val="21"/>
                    </w:rPr>
                  </w:pPr>
                  <w:r>
                    <w:rPr>
                      <w:b/>
                      <w:bCs/>
                      <w:color w:val="auto"/>
                      <w:szCs w:val="21"/>
                    </w:rPr>
                    <w:t>2、环境质量底线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2629" w:type="pct"/>
                  <w:gridSpan w:val="3"/>
                  <w:noWrap/>
                  <w:vAlign w:val="center"/>
                </w:tcPr>
                <w:p>
                  <w:pPr>
                    <w:rPr>
                      <w:color w:val="auto"/>
                      <w:szCs w:val="21"/>
                    </w:rPr>
                  </w:pPr>
                  <w:r>
                    <w:rPr>
                      <w:color w:val="auto"/>
                      <w:szCs w:val="21"/>
                    </w:rPr>
                    <w:t>到2025年，全市生态环境质量持续改善，生态空间得到优化和有效保护，区域生态安全屏障更加牢固。全市环境空气质量总体保持优良，主城建成区空气质量优良天数占比达99%以上，二氧化硫（SO</w:t>
                  </w:r>
                  <w:r>
                    <w:rPr>
                      <w:color w:val="auto"/>
                      <w:szCs w:val="21"/>
                      <w:vertAlign w:val="subscript"/>
                    </w:rPr>
                    <w:t>2</w:t>
                  </w:r>
                  <w:r>
                    <w:rPr>
                      <w:color w:val="auto"/>
                      <w:szCs w:val="21"/>
                    </w:rPr>
                    <w:t>）和氮氧化物（NO</w:t>
                  </w:r>
                  <w:r>
                    <w:rPr>
                      <w:color w:val="auto"/>
                      <w:szCs w:val="21"/>
                      <w:vertAlign w:val="subscript"/>
                    </w:rPr>
                    <w:t>X</w:t>
                  </w:r>
                  <w:r>
                    <w:rPr>
                      <w:color w:val="auto"/>
                      <w:szCs w:val="21"/>
                    </w:rPr>
                    <w:t>）排放总量控制在省下达的目标以内，主城区空气中颗粒物（PM</w:t>
                  </w:r>
                  <w:r>
                    <w:rPr>
                      <w:color w:val="auto"/>
                      <w:szCs w:val="21"/>
                      <w:vertAlign w:val="subscript"/>
                    </w:rPr>
                    <w:t>10</w:t>
                  </w:r>
                  <w:r>
                    <w:rPr>
                      <w:color w:val="auto"/>
                      <w:szCs w:val="21"/>
                    </w:rPr>
                    <w:t>、PM</w:t>
                  </w:r>
                  <w:r>
                    <w:rPr>
                      <w:color w:val="auto"/>
                      <w:szCs w:val="21"/>
                      <w:vertAlign w:val="subscript"/>
                    </w:rPr>
                    <w:t>2.5</w:t>
                  </w:r>
                  <w:r>
                    <w:rPr>
                      <w:color w:val="auto"/>
                      <w:szCs w:val="21"/>
                    </w:rPr>
                    <w:t>）稳定达《环境空气质量标准》二级标准以上。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土壤环境风险防范体系进一步完善</w:t>
                  </w:r>
                </w:p>
              </w:tc>
              <w:tc>
                <w:tcPr>
                  <w:tcW w:w="1955" w:type="pct"/>
                  <w:noWrap/>
                  <w:vAlign w:val="center"/>
                </w:tcPr>
                <w:p>
                  <w:pPr>
                    <w:pStyle w:val="11"/>
                    <w:spacing w:line="240" w:lineRule="auto"/>
                    <w:ind w:firstLine="0"/>
                    <w:jc w:val="both"/>
                    <w:rPr>
                      <w:rFonts w:eastAsiaTheme="minorEastAsia"/>
                      <w:color w:val="auto"/>
                      <w:sz w:val="21"/>
                      <w:szCs w:val="21"/>
                    </w:rPr>
                  </w:pPr>
                  <w:r>
                    <w:rPr>
                      <w:rFonts w:hAnsiTheme="minorEastAsia" w:eastAsiaTheme="minorEastAsia"/>
                      <w:color w:val="auto"/>
                      <w:sz w:val="21"/>
                      <w:szCs w:val="21"/>
                    </w:rPr>
                    <w:t>项目建设地位于寻甸县，不在主城建成区，本项目</w:t>
                  </w:r>
                  <w:r>
                    <w:rPr>
                      <w:rFonts w:hint="eastAsia" w:hAnsiTheme="minorEastAsia" w:eastAsiaTheme="minorEastAsia"/>
                      <w:color w:val="auto"/>
                      <w:sz w:val="21"/>
                      <w:szCs w:val="21"/>
                      <w:lang w:val="en-US"/>
                    </w:rPr>
                    <w:t>为利用废旧编织袋生产再生塑料颗粒，</w:t>
                  </w:r>
                  <w:r>
                    <w:rPr>
                      <w:rFonts w:hAnsiTheme="minorEastAsia" w:eastAsiaTheme="minorEastAsia"/>
                      <w:color w:val="auto"/>
                      <w:sz w:val="21"/>
                      <w:szCs w:val="21"/>
                    </w:rPr>
                    <w:t>主要污染物为颗粒物、</w:t>
                  </w:r>
                  <w:r>
                    <w:rPr>
                      <w:rFonts w:hint="eastAsia" w:eastAsiaTheme="minorEastAsia"/>
                      <w:color w:val="auto"/>
                      <w:sz w:val="21"/>
                      <w:szCs w:val="21"/>
                      <w:lang w:val="en-US"/>
                    </w:rPr>
                    <w:t>挥发性有机物、臭气浓度</w:t>
                  </w:r>
                  <w:r>
                    <w:rPr>
                      <w:rFonts w:hAnsiTheme="minorEastAsia" w:eastAsiaTheme="minorEastAsia"/>
                      <w:color w:val="auto"/>
                      <w:sz w:val="21"/>
                      <w:szCs w:val="21"/>
                    </w:rPr>
                    <w:t>，</w:t>
                  </w:r>
                  <w:r>
                    <w:rPr>
                      <w:rFonts w:hint="eastAsia" w:hAnsiTheme="minorEastAsia" w:eastAsiaTheme="minorEastAsia"/>
                      <w:color w:val="auto"/>
                      <w:sz w:val="21"/>
                      <w:szCs w:val="21"/>
                      <w:lang w:val="en-US"/>
                    </w:rPr>
                    <w:t>不涉及二氧化硫和氮氧化物排放，不涉及总量控制要求，符合</w:t>
                  </w:r>
                  <w:r>
                    <w:rPr>
                      <w:rFonts w:hAnsiTheme="minorEastAsia" w:eastAsiaTheme="minorEastAsia"/>
                      <w:color w:val="auto"/>
                      <w:sz w:val="21"/>
                      <w:szCs w:val="21"/>
                    </w:rPr>
                    <w:t>大气环境质量底线要求</w:t>
                  </w:r>
                  <w:r>
                    <w:rPr>
                      <w:rFonts w:hint="eastAsia" w:hAnsiTheme="minorEastAsia" w:eastAsiaTheme="minorEastAsia"/>
                      <w:color w:val="auto"/>
                      <w:sz w:val="21"/>
                      <w:szCs w:val="21"/>
                    </w:rPr>
                    <w:t>；</w:t>
                  </w:r>
                  <w:r>
                    <w:rPr>
                      <w:rFonts w:hAnsiTheme="minorEastAsia" w:eastAsiaTheme="minorEastAsia"/>
                      <w:color w:val="auto"/>
                      <w:sz w:val="21"/>
                      <w:szCs w:val="21"/>
                    </w:rPr>
                    <w:t>项目废水综合利用不外排，利于改善当地地表水环境质量，符合地表水环境质量底线要求</w:t>
                  </w:r>
                  <w:r>
                    <w:rPr>
                      <w:rFonts w:hint="eastAsia" w:hAnsiTheme="minorEastAsia" w:eastAsiaTheme="minorEastAsia"/>
                      <w:color w:val="auto"/>
                      <w:sz w:val="21"/>
                      <w:szCs w:val="21"/>
                    </w:rPr>
                    <w:t>；</w:t>
                  </w:r>
                  <w:r>
                    <w:rPr>
                      <w:rFonts w:hAnsiTheme="minorEastAsia" w:eastAsiaTheme="minorEastAsia"/>
                      <w:color w:val="auto"/>
                      <w:sz w:val="21"/>
                      <w:szCs w:val="21"/>
                    </w:rPr>
                    <w:t>项目不存在土壤环境污染途径，符合</w:t>
                  </w:r>
                  <w:r>
                    <w:rPr>
                      <w:rFonts w:hint="eastAsia" w:hAnsiTheme="minorEastAsia" w:eastAsiaTheme="minorEastAsia"/>
                      <w:color w:val="auto"/>
                      <w:sz w:val="21"/>
                      <w:szCs w:val="21"/>
                    </w:rPr>
                    <w:t>土壤</w:t>
                  </w:r>
                  <w:r>
                    <w:rPr>
                      <w:rFonts w:hAnsiTheme="minorEastAsia" w:eastAsiaTheme="minorEastAsia"/>
                      <w:color w:val="auto"/>
                      <w:sz w:val="21"/>
                      <w:szCs w:val="21"/>
                    </w:rPr>
                    <w:t>环境质量底线要求</w:t>
                  </w:r>
                </w:p>
              </w:tc>
              <w:tc>
                <w:tcPr>
                  <w:tcW w:w="415" w:type="pct"/>
                  <w:noWrap/>
                  <w:vAlign w:val="center"/>
                </w:tcPr>
                <w:p>
                  <w:pPr>
                    <w:spacing w:line="360" w:lineRule="auto"/>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ign w:val="center"/>
                </w:tcPr>
                <w:p>
                  <w:pPr>
                    <w:jc w:val="center"/>
                    <w:rPr>
                      <w:color w:val="auto"/>
                      <w:szCs w:val="21"/>
                    </w:rPr>
                  </w:pPr>
                  <w:r>
                    <w:rPr>
                      <w:b/>
                      <w:bCs/>
                      <w:color w:val="auto"/>
                      <w:szCs w:val="21"/>
                    </w:rPr>
                    <w:t>3、资源利用上线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2629" w:type="pct"/>
                  <w:gridSpan w:val="3"/>
                  <w:noWrap/>
                  <w:vAlign w:val="center"/>
                </w:tcPr>
                <w:p>
                  <w:pPr>
                    <w:widowControl/>
                    <w:rPr>
                      <w:color w:val="auto"/>
                      <w:szCs w:val="21"/>
                    </w:rPr>
                  </w:pPr>
                  <w:r>
                    <w:rPr>
                      <w:color w:val="auto"/>
                      <w:szCs w:val="21"/>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tc>
              <w:tc>
                <w:tcPr>
                  <w:tcW w:w="1955" w:type="pct"/>
                  <w:noWrap/>
                  <w:vAlign w:val="center"/>
                </w:tcPr>
                <w:p>
                  <w:pPr>
                    <w:rPr>
                      <w:color w:val="auto"/>
                      <w:szCs w:val="21"/>
                    </w:rPr>
                  </w:pPr>
                  <w:r>
                    <w:rPr>
                      <w:color w:val="auto"/>
                      <w:szCs w:val="21"/>
                    </w:rPr>
                    <w:t>本项目</w:t>
                  </w:r>
                  <w:r>
                    <w:rPr>
                      <w:rFonts w:hint="eastAsia"/>
                      <w:bCs/>
                      <w:color w:val="auto"/>
                      <w:szCs w:val="21"/>
                    </w:rPr>
                    <w:t>租用已建成空闲厂房，</w:t>
                  </w:r>
                  <w:r>
                    <w:rPr>
                      <w:bCs/>
                      <w:color w:val="auto"/>
                      <w:szCs w:val="21"/>
                    </w:rPr>
                    <w:t>占地</w:t>
                  </w:r>
                  <w:r>
                    <w:rPr>
                      <w:rFonts w:hint="eastAsia"/>
                      <w:bCs/>
                      <w:color w:val="auto"/>
                      <w:szCs w:val="21"/>
                    </w:rPr>
                    <w:t>2900</w:t>
                  </w:r>
                  <w:r>
                    <w:rPr>
                      <w:bCs/>
                      <w:color w:val="auto"/>
                      <w:szCs w:val="21"/>
                    </w:rPr>
                    <w:t>平方米</w:t>
                  </w:r>
                  <w:r>
                    <w:rPr>
                      <w:rFonts w:hint="eastAsia"/>
                      <w:bCs/>
                      <w:color w:val="auto"/>
                      <w:szCs w:val="21"/>
                    </w:rPr>
                    <w:t>，消耗约</w:t>
                  </w:r>
                  <w:r>
                    <w:rPr>
                      <w:rFonts w:hint="eastAsia"/>
                      <w:bCs/>
                      <w:color w:val="auto"/>
                      <w:szCs w:val="21"/>
                      <w:lang w:val="en-US" w:eastAsia="zh-CN"/>
                    </w:rPr>
                    <w:t>5024.14</w:t>
                  </w:r>
                  <w:r>
                    <w:rPr>
                      <w:rFonts w:hint="eastAsia"/>
                      <w:bCs/>
                      <w:color w:val="auto"/>
                      <w:szCs w:val="21"/>
                    </w:rPr>
                    <w:t>t/a新鲜水，项目采用废弃农用地膜、废编织袋、一般废旧塑料等作为原料</w:t>
                  </w:r>
                  <w:r>
                    <w:rPr>
                      <w:color w:val="auto"/>
                      <w:szCs w:val="21"/>
                    </w:rPr>
                    <w:t>，不会对当地资源利用上线造成较大影响。</w:t>
                  </w:r>
                </w:p>
              </w:tc>
              <w:tc>
                <w:tcPr>
                  <w:tcW w:w="415" w:type="pct"/>
                  <w:noWrap/>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000" w:type="pct"/>
                  <w:gridSpan w:val="5"/>
                  <w:noWrap/>
                  <w:vAlign w:val="center"/>
                </w:tcPr>
                <w:p>
                  <w:pPr>
                    <w:widowControl/>
                    <w:jc w:val="center"/>
                    <w:rPr>
                      <w:b/>
                      <w:bCs/>
                      <w:color w:val="auto"/>
                      <w:szCs w:val="21"/>
                    </w:rPr>
                  </w:pPr>
                  <w:r>
                    <w:rPr>
                      <w:b/>
                      <w:bCs/>
                      <w:color w:val="auto"/>
                      <w:szCs w:val="21"/>
                    </w:rPr>
                    <w:t>4、生态环境准入负面清单</w:t>
                  </w:r>
                </w:p>
                <w:p>
                  <w:pPr>
                    <w:widowControl/>
                    <w:jc w:val="center"/>
                    <w:rPr>
                      <w:color w:val="auto"/>
                      <w:szCs w:val="21"/>
                    </w:rPr>
                  </w:pPr>
                  <w:r>
                    <w:rPr>
                      <w:rFonts w:hint="eastAsia"/>
                      <w:b/>
                      <w:bCs/>
                      <w:color w:val="auto"/>
                      <w:szCs w:val="21"/>
                    </w:rPr>
                    <w:t>昆明市环境管控单元生态环境总体准入要求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495" w:type="pct"/>
                  <w:vMerge w:val="restart"/>
                  <w:noWrap/>
                  <w:vAlign w:val="center"/>
                </w:tcPr>
                <w:p>
                  <w:pPr>
                    <w:widowControl/>
                    <w:jc w:val="center"/>
                    <w:rPr>
                      <w:color w:val="auto"/>
                      <w:szCs w:val="21"/>
                    </w:rPr>
                  </w:pPr>
                  <w:r>
                    <w:rPr>
                      <w:color w:val="auto"/>
                      <w:szCs w:val="21"/>
                    </w:rPr>
                    <w:t>空间布局约束</w:t>
                  </w:r>
                </w:p>
              </w:tc>
              <w:tc>
                <w:tcPr>
                  <w:tcW w:w="2134" w:type="pct"/>
                  <w:gridSpan w:val="2"/>
                  <w:noWrap/>
                  <w:vAlign w:val="center"/>
                </w:tcPr>
                <w:p>
                  <w:pPr>
                    <w:widowControl/>
                    <w:rPr>
                      <w:color w:val="auto"/>
                      <w:szCs w:val="21"/>
                    </w:rPr>
                  </w:pPr>
                  <w:r>
                    <w:rPr>
                      <w:color w:val="auto"/>
                      <w:szCs w:val="21"/>
                    </w:rPr>
                    <w:t>（1）严格控制滇池、螳螂川等水污染严重地区高耗水、高污染行业发展，新建、改建、扩建重点行业建设项目实行主要水污染物排放减量置换。</w:t>
                  </w:r>
                </w:p>
              </w:tc>
              <w:tc>
                <w:tcPr>
                  <w:tcW w:w="1955" w:type="pct"/>
                  <w:vAlign w:val="center"/>
                </w:tcPr>
                <w:p>
                  <w:pPr>
                    <w:widowControl/>
                    <w:rPr>
                      <w:color w:val="auto"/>
                      <w:szCs w:val="21"/>
                    </w:rPr>
                  </w:pPr>
                  <w:r>
                    <w:rPr>
                      <w:rFonts w:hint="eastAsia"/>
                      <w:color w:val="auto"/>
                      <w:szCs w:val="21"/>
                    </w:rPr>
                    <w:t>本项目</w:t>
                  </w:r>
                  <w:r>
                    <w:rPr>
                      <w:color w:val="auto"/>
                      <w:szCs w:val="21"/>
                    </w:rPr>
                    <w:t>不属于滇池、螳螂川</w:t>
                  </w:r>
                  <w:r>
                    <w:rPr>
                      <w:rFonts w:hint="eastAsia"/>
                      <w:color w:val="auto"/>
                      <w:szCs w:val="21"/>
                    </w:rPr>
                    <w:t>流域</w:t>
                  </w:r>
                </w:p>
              </w:tc>
              <w:tc>
                <w:tcPr>
                  <w:tcW w:w="415" w:type="pct"/>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495" w:type="pct"/>
                  <w:vMerge w:val="continue"/>
                  <w:noWrap/>
                  <w:vAlign w:val="center"/>
                </w:tcPr>
                <w:p>
                  <w:pPr>
                    <w:widowControl/>
                    <w:jc w:val="center"/>
                    <w:rPr>
                      <w:color w:val="auto"/>
                      <w:szCs w:val="21"/>
                    </w:rPr>
                  </w:pPr>
                </w:p>
              </w:tc>
              <w:tc>
                <w:tcPr>
                  <w:tcW w:w="2134" w:type="pct"/>
                  <w:gridSpan w:val="2"/>
                  <w:noWrap/>
                  <w:vAlign w:val="center"/>
                </w:tcPr>
                <w:p>
                  <w:pPr>
                    <w:widowControl/>
                    <w:rPr>
                      <w:color w:val="auto"/>
                      <w:szCs w:val="21"/>
                    </w:rPr>
                  </w:pPr>
                  <w:r>
                    <w:rPr>
                      <w:color w:val="auto"/>
                      <w:szCs w:val="21"/>
                    </w:rPr>
                    <w:t>（2）牛栏江流域内，严格按照《云南省牛栏江保护条例》相关要求对水环境区进行分区管控</w:t>
                  </w:r>
                </w:p>
              </w:tc>
              <w:tc>
                <w:tcPr>
                  <w:tcW w:w="1955" w:type="pct"/>
                  <w:vAlign w:val="center"/>
                </w:tcPr>
                <w:p>
                  <w:pPr>
                    <w:widowControl/>
                    <w:rPr>
                      <w:color w:val="auto"/>
                      <w:szCs w:val="21"/>
                    </w:rPr>
                  </w:pPr>
                  <w:r>
                    <w:rPr>
                      <w:color w:val="auto"/>
                      <w:szCs w:val="21"/>
                    </w:rPr>
                    <w:t>本项目属于《云南省牛栏江保护条例》中的重点污染控制区（附图5），</w:t>
                  </w:r>
                  <w:r>
                    <w:rPr>
                      <w:rFonts w:hint="eastAsia"/>
                      <w:color w:val="auto"/>
                      <w:szCs w:val="21"/>
                    </w:rPr>
                    <w:t>经分析项目符合不涉及</w:t>
                  </w:r>
                  <w:r>
                    <w:rPr>
                      <w:color w:val="auto"/>
                      <w:szCs w:val="21"/>
                    </w:rPr>
                    <w:t>《云南省牛栏江保护条例》中第三十二、三十三条中规定的禁止行为</w:t>
                  </w:r>
                </w:p>
              </w:tc>
              <w:tc>
                <w:tcPr>
                  <w:tcW w:w="415" w:type="pct"/>
                  <w:vAlign w:val="center"/>
                </w:tcPr>
                <w:p>
                  <w:pPr>
                    <w:widowControl/>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2" w:hRule="atLeast"/>
              </w:trPr>
              <w:tc>
                <w:tcPr>
                  <w:tcW w:w="495" w:type="pct"/>
                  <w:vMerge w:val="restart"/>
                  <w:noWrap/>
                  <w:vAlign w:val="center"/>
                </w:tcPr>
                <w:p>
                  <w:pPr>
                    <w:widowControl/>
                    <w:jc w:val="center"/>
                    <w:rPr>
                      <w:color w:val="auto"/>
                      <w:szCs w:val="21"/>
                    </w:rPr>
                  </w:pPr>
                  <w:r>
                    <w:rPr>
                      <w:color w:val="auto"/>
                      <w:szCs w:val="21"/>
                    </w:rPr>
                    <w:t>污染物排放管控</w:t>
                  </w:r>
                </w:p>
              </w:tc>
              <w:tc>
                <w:tcPr>
                  <w:tcW w:w="2134" w:type="pct"/>
                  <w:gridSpan w:val="2"/>
                  <w:noWrap/>
                  <w:vAlign w:val="center"/>
                </w:tcPr>
                <w:p>
                  <w:pPr>
                    <w:widowControl/>
                    <w:rPr>
                      <w:color w:val="auto"/>
                      <w:szCs w:val="21"/>
                    </w:rPr>
                  </w:pPr>
                  <w:r>
                    <w:rPr>
                      <w:color w:val="auto"/>
                      <w:szCs w:val="21"/>
                    </w:rPr>
                    <w:t>区域内COD允许排放量不得超过1.44万吨，氨氮允许排放量不得超过0.50万吨。</w:t>
                  </w:r>
                </w:p>
              </w:tc>
              <w:tc>
                <w:tcPr>
                  <w:tcW w:w="1955" w:type="pct"/>
                  <w:noWrap/>
                  <w:vAlign w:val="center"/>
                </w:tcPr>
                <w:p>
                  <w:pPr>
                    <w:widowControl/>
                    <w:rPr>
                      <w:color w:val="auto"/>
                      <w:szCs w:val="21"/>
                    </w:rPr>
                  </w:pPr>
                  <w:r>
                    <w:rPr>
                      <w:rFonts w:hint="eastAsia"/>
                      <w:color w:val="auto"/>
                      <w:szCs w:val="21"/>
                    </w:rPr>
                    <w:t>项目产生的废水不外排</w:t>
                  </w:r>
                </w:p>
              </w:tc>
              <w:tc>
                <w:tcPr>
                  <w:tcW w:w="415" w:type="pct"/>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2" w:hRule="atLeast"/>
              </w:trPr>
              <w:tc>
                <w:tcPr>
                  <w:tcW w:w="495" w:type="pct"/>
                  <w:vMerge w:val="continue"/>
                  <w:noWrap/>
                  <w:vAlign w:val="center"/>
                </w:tcPr>
                <w:p>
                  <w:pPr>
                    <w:widowControl/>
                    <w:jc w:val="center"/>
                    <w:rPr>
                      <w:color w:val="auto"/>
                      <w:szCs w:val="21"/>
                    </w:rPr>
                  </w:pPr>
                </w:p>
              </w:tc>
              <w:tc>
                <w:tcPr>
                  <w:tcW w:w="2134" w:type="pct"/>
                  <w:gridSpan w:val="2"/>
                  <w:noWrap/>
                  <w:vAlign w:val="center"/>
                </w:tcPr>
                <w:p>
                  <w:pPr>
                    <w:widowControl/>
                    <w:rPr>
                      <w:color w:val="auto"/>
                      <w:szCs w:val="21"/>
                    </w:rPr>
                  </w:pPr>
                  <w:r>
                    <w:rPr>
                      <w:color w:val="auto"/>
                      <w:szCs w:val="21"/>
                    </w:rPr>
                    <w:t>环境空气质量总体保持优良，区域内二氧化硫排放量控制在10.06万吨/年以下、氮氧化物排放量控制在9.32万吨/年以下。</w:t>
                  </w:r>
                </w:p>
              </w:tc>
              <w:tc>
                <w:tcPr>
                  <w:tcW w:w="1955" w:type="pct"/>
                  <w:noWrap/>
                  <w:vAlign w:val="center"/>
                </w:tcPr>
                <w:p>
                  <w:pPr>
                    <w:rPr>
                      <w:color w:val="auto"/>
                      <w:szCs w:val="21"/>
                    </w:rPr>
                  </w:pPr>
                  <w:r>
                    <w:rPr>
                      <w:rFonts w:hint="eastAsia"/>
                      <w:color w:val="auto"/>
                      <w:szCs w:val="21"/>
                    </w:rPr>
                    <w:t>本项目</w:t>
                  </w:r>
                  <w:r>
                    <w:rPr>
                      <w:rFonts w:hint="eastAsia" w:hAnsiTheme="minorEastAsia" w:eastAsiaTheme="minorEastAsia"/>
                      <w:color w:val="auto"/>
                      <w:szCs w:val="21"/>
                    </w:rPr>
                    <w:t>为利用废旧编织袋生产再生塑料颗粒，</w:t>
                  </w:r>
                  <w:r>
                    <w:rPr>
                      <w:rFonts w:hAnsiTheme="minorEastAsia" w:eastAsiaTheme="minorEastAsia"/>
                      <w:color w:val="auto"/>
                      <w:szCs w:val="21"/>
                    </w:rPr>
                    <w:t>主要污染物为颗粒物、</w:t>
                  </w:r>
                  <w:r>
                    <w:rPr>
                      <w:rFonts w:hint="eastAsia" w:eastAsiaTheme="minorEastAsia"/>
                      <w:color w:val="auto"/>
                      <w:szCs w:val="21"/>
                    </w:rPr>
                    <w:t>挥发性有机物、臭气浓度</w:t>
                  </w:r>
                  <w:r>
                    <w:rPr>
                      <w:rFonts w:hAnsiTheme="minorEastAsia" w:eastAsiaTheme="minorEastAsia"/>
                      <w:color w:val="auto"/>
                      <w:szCs w:val="21"/>
                    </w:rPr>
                    <w:t>，</w:t>
                  </w:r>
                  <w:r>
                    <w:rPr>
                      <w:rFonts w:hint="eastAsia" w:hAnsiTheme="minorEastAsia" w:eastAsiaTheme="minorEastAsia"/>
                      <w:color w:val="auto"/>
                      <w:szCs w:val="21"/>
                    </w:rPr>
                    <w:t>不涉及二氧化硫和氮氧化物排放</w:t>
                  </w:r>
                  <w:r>
                    <w:rPr>
                      <w:rFonts w:hAnsiTheme="minorEastAsia" w:eastAsiaTheme="minorEastAsia"/>
                      <w:color w:val="auto"/>
                      <w:szCs w:val="21"/>
                    </w:rPr>
                    <w:t>，</w:t>
                  </w:r>
                  <w:r>
                    <w:rPr>
                      <w:rFonts w:hint="eastAsia" w:hAnsiTheme="minorEastAsia" w:eastAsiaTheme="minorEastAsia"/>
                      <w:color w:val="auto"/>
                      <w:szCs w:val="21"/>
                    </w:rPr>
                    <w:t>不涉及总量控制要求</w:t>
                  </w:r>
                </w:p>
              </w:tc>
              <w:tc>
                <w:tcPr>
                  <w:tcW w:w="415" w:type="pct"/>
                  <w:vAlign w:val="center"/>
                </w:tcPr>
                <w:p>
                  <w:pPr>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95" w:type="pct"/>
                  <w:vMerge w:val="continue"/>
                  <w:noWrap/>
                  <w:vAlign w:val="center"/>
                </w:tcPr>
                <w:p>
                  <w:pPr>
                    <w:widowControl/>
                    <w:jc w:val="center"/>
                    <w:rPr>
                      <w:color w:val="auto"/>
                      <w:szCs w:val="21"/>
                    </w:rPr>
                  </w:pPr>
                </w:p>
              </w:tc>
              <w:tc>
                <w:tcPr>
                  <w:tcW w:w="2134" w:type="pct"/>
                  <w:gridSpan w:val="2"/>
                  <w:noWrap/>
                  <w:vAlign w:val="center"/>
                </w:tcPr>
                <w:p>
                  <w:pPr>
                    <w:widowControl/>
                    <w:rPr>
                      <w:color w:val="auto"/>
                      <w:szCs w:val="21"/>
                    </w:rPr>
                  </w:pPr>
                  <w:r>
                    <w:rPr>
                      <w:color w:val="auto"/>
                      <w:szCs w:val="21"/>
                    </w:rPr>
                    <w:t>主城建成区生活垃圾无害化处理率达到100%，县城（建成区）生活垃圾无害化处理率达到80%以上，建制镇生活垃圾无害化处理率达到70%以上，特殊困难地区可适当放宽。工业固体废物处置利用率95%以上，秸秆综合利用率达到90%以上。</w:t>
                  </w:r>
                </w:p>
              </w:tc>
              <w:tc>
                <w:tcPr>
                  <w:tcW w:w="1955" w:type="pct"/>
                  <w:noWrap/>
                  <w:vAlign w:val="center"/>
                </w:tcPr>
                <w:p>
                  <w:pPr>
                    <w:rPr>
                      <w:color w:val="auto"/>
                      <w:szCs w:val="21"/>
                    </w:rPr>
                  </w:pPr>
                  <w:r>
                    <w:rPr>
                      <w:color w:val="auto"/>
                      <w:szCs w:val="21"/>
                    </w:rPr>
                    <w:t>项目</w:t>
                  </w:r>
                  <w:r>
                    <w:rPr>
                      <w:color w:val="auto"/>
                    </w:rPr>
                    <w:t>生活垃圾</w:t>
                  </w:r>
                  <w:r>
                    <w:rPr>
                      <w:rFonts w:hint="eastAsia"/>
                      <w:color w:val="auto"/>
                    </w:rPr>
                    <w:t>运至指定地点由当地环卫部门统一清运，分拣杂质能回收利用的外卖给废品回收站，不能回收利用的及时清运至园区指定地点由环卫部门集中清运处置；清洗沉渣收集后外售给当地砖厂制砖；不合格粒料返回生产线重新生产；废滤网集中收集后外售合法且具备废滤网回收再生能力的单位回收处置；</w:t>
                  </w:r>
                  <w:r>
                    <w:rPr>
                      <w:rFonts w:hint="eastAsia"/>
                      <w:color w:val="auto"/>
                      <w:lang w:val="en-US" w:eastAsia="zh-CN"/>
                    </w:rPr>
                    <w:t>生产废水处理设施</w:t>
                  </w:r>
                  <w:r>
                    <w:rPr>
                      <w:rFonts w:hint="eastAsia"/>
                      <w:color w:val="auto"/>
                    </w:rPr>
                    <w:t>污泥</w:t>
                  </w:r>
                  <w:r>
                    <w:rPr>
                      <w:rFonts w:hint="eastAsia"/>
                      <w:color w:val="auto"/>
                      <w:lang w:val="en-US" w:eastAsia="zh-CN"/>
                    </w:rPr>
                    <w:t>经鉴定后再处置，若为Ⅰ类一般固废外售当地砖厂制砖，否则按相关要求委托资质单位处置</w:t>
                  </w:r>
                  <w:r>
                    <w:rPr>
                      <w:rFonts w:hint="eastAsia"/>
                      <w:color w:val="auto"/>
                    </w:rPr>
                    <w:t>；废活性炭、废光氧管、废机油、废油桶等危险废物暂存于危废暂存间进行收集暂存，定期委托有资质的单位进行处置</w:t>
                  </w:r>
                  <w:r>
                    <w:rPr>
                      <w:color w:val="auto"/>
                      <w:szCs w:val="21"/>
                    </w:rPr>
                    <w:t>。可做到固废处置100%</w:t>
                  </w:r>
                </w:p>
              </w:tc>
              <w:tc>
                <w:tcPr>
                  <w:tcW w:w="415" w:type="pct"/>
                  <w:vAlign w:val="center"/>
                </w:tcPr>
                <w:p>
                  <w:pPr>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8" w:hRule="atLeast"/>
              </w:trPr>
              <w:tc>
                <w:tcPr>
                  <w:tcW w:w="495" w:type="pct"/>
                  <w:vMerge w:val="continue"/>
                  <w:noWrap/>
                  <w:vAlign w:val="center"/>
                </w:tcPr>
                <w:p>
                  <w:pPr>
                    <w:widowControl/>
                    <w:jc w:val="center"/>
                    <w:rPr>
                      <w:color w:val="auto"/>
                      <w:szCs w:val="21"/>
                    </w:rPr>
                  </w:pPr>
                </w:p>
              </w:tc>
              <w:tc>
                <w:tcPr>
                  <w:tcW w:w="2134" w:type="pct"/>
                  <w:gridSpan w:val="2"/>
                  <w:noWrap/>
                  <w:vAlign w:val="center"/>
                </w:tcPr>
                <w:p>
                  <w:pPr>
                    <w:widowControl/>
                    <w:rPr>
                      <w:color w:val="auto"/>
                      <w:szCs w:val="21"/>
                    </w:rPr>
                  </w:pPr>
                  <w:r>
                    <w:rPr>
                      <w:color w:val="auto"/>
                      <w:szCs w:val="21"/>
                    </w:rPr>
                    <w:t>按国家、省、市相关标准要求建设、改造、提升满足实际需求的生活垃圾处理厂（场）、粪便处理厂、厨余垃圾处理厂、建筑垃圾（渣土）处理场、垃圾转运站、公共厕所、生活垃圾分类设施等环卫基础设施。</w:t>
                  </w:r>
                </w:p>
              </w:tc>
              <w:tc>
                <w:tcPr>
                  <w:tcW w:w="1955" w:type="pct"/>
                  <w:noWrap/>
                  <w:vAlign w:val="center"/>
                </w:tcPr>
                <w:p>
                  <w:pPr>
                    <w:jc w:val="center"/>
                    <w:rPr>
                      <w:color w:val="auto"/>
                      <w:szCs w:val="21"/>
                    </w:rPr>
                  </w:pPr>
                  <w:r>
                    <w:rPr>
                      <w:rFonts w:hint="eastAsia"/>
                      <w:color w:val="auto"/>
                      <w:szCs w:val="21"/>
                    </w:rPr>
                    <w:t>项目不涉及</w:t>
                  </w:r>
                </w:p>
              </w:tc>
              <w:tc>
                <w:tcPr>
                  <w:tcW w:w="415" w:type="pct"/>
                  <w:vAlign w:val="center"/>
                </w:tcPr>
                <w:p>
                  <w:pPr>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3" w:hRule="atLeast"/>
              </w:trPr>
              <w:tc>
                <w:tcPr>
                  <w:tcW w:w="495" w:type="pct"/>
                  <w:noWrap/>
                  <w:vAlign w:val="center"/>
                </w:tcPr>
                <w:p>
                  <w:pPr>
                    <w:widowControl/>
                    <w:jc w:val="center"/>
                    <w:rPr>
                      <w:color w:val="auto"/>
                      <w:szCs w:val="21"/>
                    </w:rPr>
                  </w:pPr>
                  <w:r>
                    <w:rPr>
                      <w:color w:val="auto"/>
                      <w:szCs w:val="21"/>
                    </w:rPr>
                    <w:t>环境风险防控</w:t>
                  </w:r>
                </w:p>
              </w:tc>
              <w:tc>
                <w:tcPr>
                  <w:tcW w:w="2134" w:type="pct"/>
                  <w:gridSpan w:val="2"/>
                  <w:noWrap/>
                  <w:vAlign w:val="center"/>
                </w:tcPr>
                <w:p>
                  <w:pPr>
                    <w:widowControl/>
                    <w:rPr>
                      <w:color w:val="auto"/>
                      <w:szCs w:val="21"/>
                    </w:rPr>
                  </w:pPr>
                  <w:r>
                    <w:rPr>
                      <w:color w:val="auto"/>
                      <w:szCs w:val="21"/>
                    </w:rPr>
                    <w:t>严格控制长江、珠江两大水系干流沿岸和滇池、阳宗海流域的石化、化工、有色金属冶炼等项目环境风险，合理布局生产装置及危险化学品仓储等设施。强化与其他滇中城市的大气污染防治联防联控协作机制，加强区域内重污染天气应急联动。</w:t>
                  </w:r>
                </w:p>
              </w:tc>
              <w:tc>
                <w:tcPr>
                  <w:tcW w:w="1955" w:type="pct"/>
                  <w:noWrap/>
                  <w:vAlign w:val="center"/>
                </w:tcPr>
                <w:p>
                  <w:pPr>
                    <w:widowControl/>
                    <w:rPr>
                      <w:color w:val="auto"/>
                      <w:szCs w:val="21"/>
                    </w:rPr>
                  </w:pPr>
                  <w:r>
                    <w:rPr>
                      <w:rFonts w:hint="eastAsia"/>
                      <w:color w:val="auto"/>
                      <w:szCs w:val="21"/>
                    </w:rPr>
                    <w:t>项目为</w:t>
                  </w:r>
                  <w:r>
                    <w:rPr>
                      <w:rFonts w:hint="eastAsia" w:hAnsiTheme="minorEastAsia" w:eastAsiaTheme="minorEastAsia"/>
                      <w:color w:val="auto"/>
                      <w:szCs w:val="21"/>
                    </w:rPr>
                    <w:t>利用废旧编织袋生产再生塑料颗粒</w:t>
                  </w:r>
                  <w:r>
                    <w:rPr>
                      <w:rFonts w:hint="eastAsia"/>
                      <w:color w:val="auto"/>
                      <w:szCs w:val="21"/>
                    </w:rPr>
                    <w:t>项目，不属于</w:t>
                  </w:r>
                  <w:r>
                    <w:rPr>
                      <w:color w:val="auto"/>
                      <w:szCs w:val="21"/>
                    </w:rPr>
                    <w:t>石化、化工、有色金属冶炼等项目</w:t>
                  </w:r>
                </w:p>
              </w:tc>
              <w:tc>
                <w:tcPr>
                  <w:tcW w:w="415" w:type="pct"/>
                  <w:noWrap/>
                  <w:vAlign w:val="center"/>
                </w:tcPr>
                <w:p>
                  <w:pPr>
                    <w:widowControl/>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3" w:hRule="atLeast"/>
              </w:trPr>
              <w:tc>
                <w:tcPr>
                  <w:tcW w:w="495" w:type="pct"/>
                  <w:noWrap/>
                  <w:vAlign w:val="center"/>
                </w:tcPr>
                <w:p>
                  <w:pPr>
                    <w:widowControl/>
                    <w:jc w:val="center"/>
                    <w:rPr>
                      <w:color w:val="auto"/>
                      <w:szCs w:val="21"/>
                    </w:rPr>
                  </w:pPr>
                  <w:r>
                    <w:rPr>
                      <w:color w:val="auto"/>
                      <w:szCs w:val="21"/>
                    </w:rPr>
                    <w:t>资源利用效率</w:t>
                  </w:r>
                </w:p>
              </w:tc>
              <w:tc>
                <w:tcPr>
                  <w:tcW w:w="2134" w:type="pct"/>
                  <w:gridSpan w:val="2"/>
                  <w:noWrap/>
                  <w:vAlign w:val="center"/>
                </w:tcPr>
                <w:p>
                  <w:pPr>
                    <w:widowControl/>
                    <w:rPr>
                      <w:color w:val="auto"/>
                      <w:szCs w:val="21"/>
                    </w:rPr>
                  </w:pPr>
                  <w:r>
                    <w:rPr>
                      <w:color w:val="auto"/>
                      <w:szCs w:val="21"/>
                    </w:rPr>
                    <w:t>水资源利用效率持续提高，完成省级下达的水资源利用效率目标要求。能源利用效率持续提高，完成省级下达的能源利用效率目标。全市绿色低碳产业结构基本形成，能源生产和消费结构进一步优化，实现单位地区生产总值二氧化碳排放量完成省下达任务。非化石能源消费占能源消费总量比重达到20%。</w:t>
                  </w:r>
                </w:p>
              </w:tc>
              <w:tc>
                <w:tcPr>
                  <w:tcW w:w="1955" w:type="pct"/>
                  <w:noWrap/>
                  <w:vAlign w:val="center"/>
                </w:tcPr>
                <w:p>
                  <w:pPr>
                    <w:widowControl/>
                    <w:rPr>
                      <w:color w:val="auto"/>
                      <w:szCs w:val="21"/>
                    </w:rPr>
                  </w:pPr>
                  <w:r>
                    <w:rPr>
                      <w:rFonts w:hint="eastAsia"/>
                      <w:color w:val="auto"/>
                      <w:szCs w:val="21"/>
                    </w:rPr>
                    <w:t>本项目水资源可合理利用，且项目产生的废气经处置后全部回用，废水不外排，固废处置100%，所使用的资源可合理利用并达到合理的回收利用效果</w:t>
                  </w:r>
                </w:p>
              </w:tc>
              <w:tc>
                <w:tcPr>
                  <w:tcW w:w="415" w:type="pct"/>
                  <w:noWrap/>
                  <w:vAlign w:val="center"/>
                </w:tcPr>
                <w:p>
                  <w:pPr>
                    <w:widowControl/>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5"/>
                  <w:noWrap/>
                  <w:vAlign w:val="center"/>
                </w:tcPr>
                <w:p>
                  <w:pPr>
                    <w:widowControl/>
                    <w:jc w:val="center"/>
                    <w:rPr>
                      <w:color w:val="auto"/>
                      <w:szCs w:val="21"/>
                    </w:rPr>
                  </w:pPr>
                  <w:r>
                    <w:rPr>
                      <w:b/>
                      <w:bCs/>
                      <w:color w:val="auto"/>
                      <w:szCs w:val="21"/>
                    </w:rPr>
                    <w:t>项目属于</w:t>
                  </w:r>
                  <w:bookmarkStart w:id="4" w:name="_Toc60125444"/>
                  <w:r>
                    <w:rPr>
                      <w:rFonts w:hint="eastAsia"/>
                      <w:b/>
                      <w:bCs/>
                      <w:color w:val="auto"/>
                      <w:szCs w:val="21"/>
                    </w:rPr>
                    <w:t>寻甸特色产业园区重点管控单元</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581" w:type="pct"/>
                  <w:gridSpan w:val="2"/>
                  <w:noWrap/>
                  <w:vAlign w:val="center"/>
                </w:tcPr>
                <w:p>
                  <w:pPr>
                    <w:snapToGrid w:val="0"/>
                    <w:jc w:val="center"/>
                    <w:rPr>
                      <w:color w:val="auto"/>
                      <w:szCs w:val="21"/>
                    </w:rPr>
                  </w:pPr>
                  <w:r>
                    <w:rPr>
                      <w:rFonts w:hint="eastAsia"/>
                      <w:color w:val="auto"/>
                      <w:szCs w:val="21"/>
                    </w:rPr>
                    <w:t>空间布局约束</w:t>
                  </w:r>
                </w:p>
              </w:tc>
              <w:tc>
                <w:tcPr>
                  <w:tcW w:w="2048" w:type="pct"/>
                  <w:noWrap/>
                  <w:vAlign w:val="center"/>
                </w:tcPr>
                <w:p>
                  <w:pPr>
                    <w:snapToGrid w:val="0"/>
                    <w:rPr>
                      <w:rStyle w:val="81"/>
                      <w:rFonts w:cstheme="minorBidi"/>
                      <w:color w:val="auto"/>
                      <w:kern w:val="0"/>
                      <w:szCs w:val="21"/>
                    </w:rPr>
                  </w:pPr>
                  <w:r>
                    <w:rPr>
                      <w:rStyle w:val="81"/>
                      <w:rFonts w:cstheme="minorBidi"/>
                      <w:color w:val="auto"/>
                      <w:kern w:val="0"/>
                      <w:szCs w:val="21"/>
                    </w:rPr>
                    <w:t>1.金所片区重点发展新型材料和家具制造产业，羊街片区重点发展先进装备制造和家具制造产业。</w:t>
                  </w:r>
                </w:p>
                <w:p>
                  <w:pPr>
                    <w:snapToGrid w:val="0"/>
                    <w:rPr>
                      <w:color w:val="auto"/>
                      <w:szCs w:val="21"/>
                    </w:rPr>
                  </w:pPr>
                  <w:r>
                    <w:rPr>
                      <w:rStyle w:val="81"/>
                      <w:rFonts w:cstheme="minorBidi"/>
                      <w:color w:val="auto"/>
                      <w:kern w:val="0"/>
                      <w:szCs w:val="21"/>
                    </w:rPr>
                    <w:t>2.禁止引入造纸、印染等需水量大，生产废水不能实现循环回用不外排的企业。</w:t>
                  </w:r>
                </w:p>
              </w:tc>
              <w:tc>
                <w:tcPr>
                  <w:tcW w:w="1955" w:type="pct"/>
                  <w:noWrap/>
                  <w:vAlign w:val="center"/>
                </w:tcPr>
                <w:p>
                  <w:pPr>
                    <w:snapToGrid w:val="0"/>
                    <w:jc w:val="center"/>
                    <w:rPr>
                      <w:color w:val="auto"/>
                      <w:kern w:val="0"/>
                      <w:szCs w:val="21"/>
                    </w:rPr>
                  </w:pPr>
                  <w:r>
                    <w:rPr>
                      <w:color w:val="auto"/>
                      <w:szCs w:val="21"/>
                    </w:rPr>
                    <w:t>项目位于寻甸县特色产业园羊街片区租用云南鹏腾机械设备制造有限公司1号厂房11跨空置场地，</w:t>
                  </w:r>
                  <w:r>
                    <w:rPr>
                      <w:rFonts w:hint="eastAsia"/>
                      <w:color w:val="auto"/>
                      <w:szCs w:val="21"/>
                    </w:rPr>
                    <w:t>生产再生塑料颗粒，与羊街片区</w:t>
                  </w:r>
                  <w:r>
                    <w:rPr>
                      <w:rStyle w:val="81"/>
                      <w:rFonts w:cstheme="minorBidi"/>
                      <w:color w:val="auto"/>
                      <w:kern w:val="0"/>
                      <w:szCs w:val="21"/>
                    </w:rPr>
                    <w:t>新型材料和家具制造产业</w:t>
                  </w:r>
                  <w:r>
                    <w:rPr>
                      <w:rStyle w:val="81"/>
                      <w:rFonts w:hint="eastAsia" w:cstheme="minorBidi"/>
                      <w:color w:val="auto"/>
                      <w:kern w:val="0"/>
                      <w:szCs w:val="21"/>
                    </w:rPr>
                    <w:t>不冲突；本项目不属于</w:t>
                  </w:r>
                  <w:r>
                    <w:rPr>
                      <w:rStyle w:val="81"/>
                      <w:rFonts w:cstheme="minorBidi"/>
                      <w:color w:val="auto"/>
                      <w:kern w:val="0"/>
                      <w:szCs w:val="21"/>
                    </w:rPr>
                    <w:t>造纸、印染</w:t>
                  </w:r>
                  <w:r>
                    <w:rPr>
                      <w:rStyle w:val="81"/>
                      <w:rFonts w:hint="eastAsia" w:cstheme="minorBidi"/>
                      <w:color w:val="auto"/>
                      <w:kern w:val="0"/>
                      <w:szCs w:val="21"/>
                    </w:rPr>
                    <w:t>，且项目生产废水经自建废水处理设施处理后回用，不外排。</w:t>
                  </w:r>
                </w:p>
              </w:tc>
              <w:tc>
                <w:tcPr>
                  <w:tcW w:w="415" w:type="pct"/>
                  <w:noWrap/>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581" w:type="pct"/>
                  <w:gridSpan w:val="2"/>
                  <w:noWrap/>
                  <w:vAlign w:val="center"/>
                </w:tcPr>
                <w:p>
                  <w:pPr>
                    <w:snapToGrid w:val="0"/>
                    <w:jc w:val="center"/>
                    <w:rPr>
                      <w:color w:val="auto"/>
                      <w:szCs w:val="21"/>
                    </w:rPr>
                  </w:pPr>
                  <w:r>
                    <w:rPr>
                      <w:rFonts w:hint="eastAsia" w:cstheme="minorBidi"/>
                      <w:color w:val="auto"/>
                      <w:szCs w:val="21"/>
                    </w:rPr>
                    <w:t>污染物排放管控</w:t>
                  </w:r>
                </w:p>
              </w:tc>
              <w:tc>
                <w:tcPr>
                  <w:tcW w:w="2048" w:type="pct"/>
                  <w:noWrap/>
                  <w:vAlign w:val="center"/>
                </w:tcPr>
                <w:p>
                  <w:pPr>
                    <w:snapToGrid w:val="0"/>
                    <w:rPr>
                      <w:rStyle w:val="81"/>
                      <w:rFonts w:cstheme="minorBidi"/>
                      <w:color w:val="auto"/>
                      <w:kern w:val="0"/>
                      <w:szCs w:val="21"/>
                    </w:rPr>
                  </w:pPr>
                  <w:r>
                    <w:rPr>
                      <w:rStyle w:val="81"/>
                      <w:rFonts w:hint="eastAsia" w:cstheme="minorBidi"/>
                      <w:color w:val="auto"/>
                      <w:kern w:val="0"/>
                      <w:szCs w:val="21"/>
                    </w:rPr>
                    <w:t>1.</w:t>
                  </w:r>
                  <w:r>
                    <w:rPr>
                      <w:rStyle w:val="81"/>
                      <w:rFonts w:cstheme="minorBidi"/>
                      <w:color w:val="auto"/>
                      <w:kern w:val="0"/>
                      <w:szCs w:val="21"/>
                    </w:rPr>
                    <w:t>主要指标二氧化硫、二氧化氮、可吸入颗粒物达到《环境空气质量标准》（GB3095-2012）</w:t>
                  </w:r>
                  <w:r>
                    <w:rPr>
                      <w:rStyle w:val="81"/>
                      <w:color w:val="auto"/>
                      <w:kern w:val="0"/>
                      <w:szCs w:val="21"/>
                    </w:rPr>
                    <w:t>Ⅱ</w:t>
                  </w:r>
                  <w:r>
                    <w:rPr>
                      <w:rStyle w:val="81"/>
                      <w:rFonts w:cstheme="minorBidi"/>
                      <w:color w:val="auto"/>
                      <w:kern w:val="0"/>
                      <w:szCs w:val="21"/>
                    </w:rPr>
                    <w:t>级标准。</w:t>
                  </w:r>
                </w:p>
                <w:p>
                  <w:pPr>
                    <w:snapToGrid w:val="0"/>
                    <w:rPr>
                      <w:rStyle w:val="81"/>
                      <w:rFonts w:cstheme="minorBidi"/>
                      <w:color w:val="auto"/>
                      <w:kern w:val="0"/>
                      <w:szCs w:val="21"/>
                    </w:rPr>
                  </w:pPr>
                  <w:r>
                    <w:rPr>
                      <w:rStyle w:val="81"/>
                      <w:rFonts w:hint="eastAsia" w:cstheme="minorBidi"/>
                      <w:color w:val="auto"/>
                      <w:kern w:val="0"/>
                      <w:szCs w:val="21"/>
                    </w:rPr>
                    <w:t>2.</w:t>
                  </w:r>
                  <w:r>
                    <w:rPr>
                      <w:rStyle w:val="81"/>
                      <w:rFonts w:cstheme="minorBidi"/>
                      <w:color w:val="auto"/>
                      <w:kern w:val="0"/>
                      <w:szCs w:val="21"/>
                    </w:rPr>
                    <w:t>现状已发展成熟的煤磷盐化工企业及目前做到零排放的企业按现状方式排水，未来入住企业生产废水由企业自行处理达标后循环回用不外排。</w:t>
                  </w:r>
                </w:p>
                <w:p>
                  <w:pPr>
                    <w:snapToGrid w:val="0"/>
                    <w:rPr>
                      <w:rStyle w:val="81"/>
                      <w:rFonts w:cstheme="minorBidi"/>
                      <w:color w:val="auto"/>
                      <w:kern w:val="0"/>
                      <w:szCs w:val="21"/>
                    </w:rPr>
                  </w:pPr>
                  <w:r>
                    <w:rPr>
                      <w:rStyle w:val="81"/>
                      <w:rFonts w:cstheme="minorBidi"/>
                      <w:color w:val="auto"/>
                      <w:kern w:val="0"/>
                      <w:szCs w:val="21"/>
                    </w:rPr>
                    <w:t>3.生活垃圾无害化处理率90%以上，工业固废处置利用率不小于95%。</w:t>
                  </w:r>
                </w:p>
              </w:tc>
              <w:tc>
                <w:tcPr>
                  <w:tcW w:w="1955" w:type="pct"/>
                  <w:noWrap/>
                  <w:vAlign w:val="center"/>
                </w:tcPr>
                <w:p>
                  <w:pPr>
                    <w:snapToGrid w:val="0"/>
                    <w:rPr>
                      <w:color w:val="auto"/>
                      <w:szCs w:val="21"/>
                    </w:rPr>
                  </w:pPr>
                  <w:r>
                    <w:rPr>
                      <w:rFonts w:hint="eastAsia"/>
                      <w:color w:val="auto"/>
                      <w:szCs w:val="21"/>
                    </w:rPr>
                    <w:t>项目</w:t>
                  </w:r>
                  <w:r>
                    <w:rPr>
                      <w:color w:val="auto"/>
                      <w:szCs w:val="21"/>
                    </w:rPr>
                    <w:t>生产过程中产生的非甲烷总烃</w:t>
                  </w:r>
                  <w:r>
                    <w:rPr>
                      <w:rFonts w:hint="eastAsia"/>
                      <w:color w:val="auto"/>
                      <w:szCs w:val="21"/>
                    </w:rPr>
                    <w:t>、颗粒物</w:t>
                  </w:r>
                  <w:r>
                    <w:rPr>
                      <w:color w:val="auto"/>
                      <w:szCs w:val="21"/>
                    </w:rPr>
                    <w:t>采用集气罩+“水洗装置+除湿除雾装置+</w:t>
                  </w:r>
                  <w:r>
                    <w:rPr>
                      <w:rFonts w:hint="eastAsia"/>
                      <w:color w:val="auto"/>
                      <w:szCs w:val="21"/>
                      <w:lang w:val="en-US" w:eastAsia="zh-CN"/>
                    </w:rPr>
                    <w:t>一级</w:t>
                  </w:r>
                  <w:r>
                    <w:rPr>
                      <w:color w:val="auto"/>
                      <w:szCs w:val="21"/>
                    </w:rPr>
                    <w:t>活性炭吸附</w:t>
                  </w:r>
                  <w:r>
                    <w:rPr>
                      <w:rFonts w:hint="eastAsia"/>
                      <w:color w:val="auto"/>
                      <w:szCs w:val="21"/>
                    </w:rPr>
                    <w:t>+光氧催化</w:t>
                  </w:r>
                  <w:r>
                    <w:rPr>
                      <w:color w:val="auto"/>
                      <w:szCs w:val="21"/>
                    </w:rPr>
                    <w:t>”装置进行净化后，通过1根</w:t>
                  </w:r>
                  <w:r>
                    <w:rPr>
                      <w:rFonts w:hint="eastAsia"/>
                      <w:color w:val="auto"/>
                      <w:szCs w:val="21"/>
                    </w:rPr>
                    <w:t>20</w:t>
                  </w:r>
                  <w:r>
                    <w:rPr>
                      <w:color w:val="auto"/>
                      <w:szCs w:val="21"/>
                    </w:rPr>
                    <w:t>m高的排气筒外排，</w:t>
                  </w:r>
                  <w:r>
                    <w:rPr>
                      <w:rStyle w:val="81"/>
                      <w:rFonts w:cstheme="minorBidi"/>
                      <w:color w:val="auto"/>
                      <w:kern w:val="0"/>
                      <w:szCs w:val="21"/>
                    </w:rPr>
                    <w:t>达到《环境空气质量标准》（GB3095-2012）</w:t>
                  </w:r>
                  <w:r>
                    <w:rPr>
                      <w:rStyle w:val="81"/>
                      <w:color w:val="auto"/>
                      <w:kern w:val="0"/>
                      <w:szCs w:val="21"/>
                    </w:rPr>
                    <w:t>Ⅱ</w:t>
                  </w:r>
                  <w:r>
                    <w:rPr>
                      <w:rStyle w:val="81"/>
                      <w:rFonts w:cstheme="minorBidi"/>
                      <w:color w:val="auto"/>
                      <w:kern w:val="0"/>
                      <w:szCs w:val="21"/>
                    </w:rPr>
                    <w:t>级标准。</w:t>
                  </w:r>
                  <w:r>
                    <w:rPr>
                      <w:color w:val="auto"/>
                      <w:kern w:val="0"/>
                      <w:szCs w:val="21"/>
                    </w:rPr>
                    <w:t>项目生产废水循环使用不外排</w:t>
                  </w:r>
                  <w:r>
                    <w:rPr>
                      <w:rFonts w:hint="eastAsia"/>
                      <w:color w:val="auto"/>
                      <w:kern w:val="0"/>
                      <w:szCs w:val="21"/>
                    </w:rPr>
                    <w:t>；</w:t>
                  </w:r>
                  <w:r>
                    <w:rPr>
                      <w:color w:val="auto"/>
                      <w:szCs w:val="21"/>
                    </w:rPr>
                    <w:t>生活污水</w:t>
                  </w:r>
                  <w:r>
                    <w:rPr>
                      <w:rFonts w:hint="eastAsia"/>
                      <w:color w:val="auto"/>
                      <w:szCs w:val="21"/>
                    </w:rPr>
                    <w:t>依托</w:t>
                  </w:r>
                  <w:r>
                    <w:rPr>
                      <w:color w:val="auto"/>
                      <w:szCs w:val="21"/>
                    </w:rPr>
                    <w:t>云南鹏腾机械设备制造有限公司污水处理设施处理后，回用于绿化，不外排。本项目运营期</w:t>
                  </w:r>
                  <w:r>
                    <w:rPr>
                      <w:rFonts w:hint="eastAsia"/>
                      <w:color w:val="auto"/>
                      <w:szCs w:val="21"/>
                    </w:rPr>
                    <w:t>产生的杂物</w:t>
                  </w:r>
                  <w:r>
                    <w:rPr>
                      <w:color w:val="auto"/>
                    </w:rPr>
                    <w:t>及时清运至园区指定地点由环卫部门集中处置</w:t>
                  </w:r>
                  <w:r>
                    <w:rPr>
                      <w:rFonts w:hint="eastAsia"/>
                      <w:color w:val="auto"/>
                      <w:szCs w:val="21"/>
                    </w:rPr>
                    <w:t>、</w:t>
                  </w:r>
                  <w:r>
                    <w:rPr>
                      <w:color w:val="auto"/>
                      <w:szCs w:val="21"/>
                    </w:rPr>
                    <w:t>清洗泥渣</w:t>
                  </w:r>
                  <w:r>
                    <w:rPr>
                      <w:rFonts w:hint="eastAsia"/>
                      <w:color w:val="auto"/>
                      <w:szCs w:val="21"/>
                    </w:rPr>
                    <w:t>及</w:t>
                  </w:r>
                  <w:r>
                    <w:rPr>
                      <w:rFonts w:hint="eastAsia"/>
                      <w:color w:val="auto"/>
                      <w:lang w:val="en-US" w:eastAsia="zh-CN"/>
                    </w:rPr>
                    <w:t>生产废水处理设施</w:t>
                  </w:r>
                  <w:r>
                    <w:rPr>
                      <w:rFonts w:hint="eastAsia"/>
                      <w:color w:val="auto"/>
                      <w:szCs w:val="21"/>
                    </w:rPr>
                    <w:t>污泥</w:t>
                  </w:r>
                  <w:r>
                    <w:rPr>
                      <w:rFonts w:hint="eastAsia"/>
                      <w:color w:val="auto"/>
                      <w:lang w:val="en-US" w:eastAsia="zh-CN"/>
                    </w:rPr>
                    <w:t>经鉴定后再处置，若为Ⅰ类一般固废外售当地砖厂制砖，否则按相关要求委托资质单位处置</w:t>
                  </w:r>
                  <w:r>
                    <w:rPr>
                      <w:color w:val="auto"/>
                      <w:szCs w:val="21"/>
                    </w:rPr>
                    <w:t>、废滤网</w:t>
                  </w:r>
                  <w:r>
                    <w:rPr>
                      <w:color w:val="auto"/>
                      <w:kern w:val="0"/>
                    </w:rPr>
                    <w:t>集中收集后外售合法且具备废滤网回收再生能力的单位回收处置</w:t>
                  </w:r>
                  <w:r>
                    <w:rPr>
                      <w:color w:val="auto"/>
                      <w:szCs w:val="21"/>
                    </w:rPr>
                    <w:t>、</w:t>
                  </w:r>
                  <w:r>
                    <w:rPr>
                      <w:rFonts w:hint="eastAsia"/>
                      <w:color w:val="auto"/>
                      <w:szCs w:val="21"/>
                    </w:rPr>
                    <w:t>不合格粒料返回生产</w:t>
                  </w:r>
                  <w:r>
                    <w:rPr>
                      <w:color w:val="auto"/>
                      <w:szCs w:val="21"/>
                    </w:rPr>
                    <w:t>、废活性炭、</w:t>
                  </w:r>
                  <w:r>
                    <w:rPr>
                      <w:rFonts w:hint="eastAsia"/>
                      <w:color w:val="auto"/>
                      <w:szCs w:val="21"/>
                    </w:rPr>
                    <w:t>废光氧管、</w:t>
                  </w:r>
                  <w:r>
                    <w:rPr>
                      <w:color w:val="auto"/>
                      <w:szCs w:val="21"/>
                    </w:rPr>
                    <w:t>维修废物</w:t>
                  </w:r>
                  <w:r>
                    <w:rPr>
                      <w:color w:val="auto"/>
                    </w:rPr>
                    <w:t>分类暂存于危废暂存间内，并定期交由有资质的单位处置</w:t>
                  </w:r>
                  <w:r>
                    <w:rPr>
                      <w:rFonts w:hint="eastAsia"/>
                      <w:color w:val="auto"/>
                      <w:szCs w:val="21"/>
                    </w:rPr>
                    <w:t>、</w:t>
                  </w:r>
                  <w:r>
                    <w:rPr>
                      <w:color w:val="auto"/>
                      <w:szCs w:val="21"/>
                    </w:rPr>
                    <w:t>生活垃圾</w:t>
                  </w:r>
                  <w:r>
                    <w:rPr>
                      <w:rFonts w:hint="eastAsia"/>
                      <w:color w:val="auto"/>
                      <w:kern w:val="0"/>
                      <w:szCs w:val="21"/>
                    </w:rPr>
                    <w:t>统一收集委托当地环卫部门处置，</w:t>
                  </w:r>
                  <w:r>
                    <w:rPr>
                      <w:color w:val="auto"/>
                      <w:kern w:val="0"/>
                      <w:szCs w:val="21"/>
                    </w:rPr>
                    <w:t>固体废弃物均得到合理有效的利用和处置，处置率为100%。</w:t>
                  </w:r>
                </w:p>
              </w:tc>
              <w:tc>
                <w:tcPr>
                  <w:tcW w:w="415" w:type="pct"/>
                  <w:noWrap/>
                  <w:vAlign w:val="center"/>
                </w:tcPr>
                <w:p>
                  <w:pPr>
                    <w:snapToGrid w:val="0"/>
                    <w:jc w:val="center"/>
                    <w:rPr>
                      <w:color w:val="auto"/>
                      <w:szCs w:val="21"/>
                    </w:rPr>
                  </w:pPr>
                  <w:r>
                    <w:rPr>
                      <w:rFonts w:hint="eastAsia" w:cstheme="minorBidi"/>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581" w:type="pct"/>
                  <w:gridSpan w:val="2"/>
                  <w:noWrap/>
                  <w:vAlign w:val="center"/>
                </w:tcPr>
                <w:p>
                  <w:pPr>
                    <w:snapToGrid w:val="0"/>
                    <w:jc w:val="center"/>
                    <w:rPr>
                      <w:rStyle w:val="81"/>
                      <w:rFonts w:cstheme="minorBidi"/>
                      <w:color w:val="auto"/>
                      <w:kern w:val="0"/>
                      <w:szCs w:val="21"/>
                    </w:rPr>
                  </w:pPr>
                  <w:r>
                    <w:rPr>
                      <w:rStyle w:val="81"/>
                      <w:rFonts w:cstheme="minorBidi"/>
                      <w:color w:val="auto"/>
                      <w:kern w:val="0"/>
                      <w:szCs w:val="21"/>
                    </w:rPr>
                    <w:t>环境风险</w:t>
                  </w:r>
                </w:p>
                <w:p>
                  <w:pPr>
                    <w:snapToGrid w:val="0"/>
                    <w:jc w:val="center"/>
                    <w:rPr>
                      <w:color w:val="auto"/>
                      <w:szCs w:val="21"/>
                    </w:rPr>
                  </w:pPr>
                  <w:r>
                    <w:rPr>
                      <w:rStyle w:val="81"/>
                      <w:rFonts w:cstheme="minorBidi"/>
                      <w:color w:val="auto"/>
                      <w:kern w:val="0"/>
                      <w:szCs w:val="21"/>
                    </w:rPr>
                    <w:t>防控</w:t>
                  </w:r>
                </w:p>
              </w:tc>
              <w:tc>
                <w:tcPr>
                  <w:tcW w:w="2048" w:type="pct"/>
                  <w:noWrap/>
                  <w:vAlign w:val="center"/>
                </w:tcPr>
                <w:p>
                  <w:pPr>
                    <w:snapToGrid w:val="0"/>
                    <w:rPr>
                      <w:rStyle w:val="81"/>
                      <w:rFonts w:cstheme="minorBidi"/>
                      <w:color w:val="auto"/>
                      <w:kern w:val="0"/>
                      <w:szCs w:val="21"/>
                    </w:rPr>
                  </w:pPr>
                  <w:r>
                    <w:rPr>
                      <w:rStyle w:val="81"/>
                      <w:rFonts w:cstheme="minorBidi"/>
                      <w:color w:val="auto"/>
                      <w:kern w:val="0"/>
                      <w:szCs w:val="21"/>
                    </w:rPr>
                    <w:t>1.组织编制环境风险应急预案，通过风险源的识别，制定不同风险源的应急处理处置方案，形成应对突发事故应急处理处置能力。</w:t>
                  </w:r>
                </w:p>
                <w:p>
                  <w:pPr>
                    <w:snapToGrid w:val="0"/>
                    <w:rPr>
                      <w:color w:val="auto"/>
                      <w:szCs w:val="21"/>
                    </w:rPr>
                  </w:pPr>
                  <w:r>
                    <w:rPr>
                      <w:rStyle w:val="81"/>
                      <w:rFonts w:cstheme="minorBidi"/>
                      <w:color w:val="auto"/>
                      <w:kern w:val="0"/>
                      <w:szCs w:val="21"/>
                    </w:rPr>
                    <w:t>2.建设风险事故废水排放管道及处置池。</w:t>
                  </w:r>
                </w:p>
              </w:tc>
              <w:tc>
                <w:tcPr>
                  <w:tcW w:w="1955" w:type="pct"/>
                  <w:noWrap/>
                  <w:vAlign w:val="center"/>
                </w:tcPr>
                <w:p>
                  <w:pPr>
                    <w:snapToGrid w:val="0"/>
                    <w:jc w:val="center"/>
                    <w:rPr>
                      <w:color w:val="auto"/>
                      <w:kern w:val="0"/>
                      <w:szCs w:val="21"/>
                    </w:rPr>
                  </w:pPr>
                  <w:r>
                    <w:rPr>
                      <w:rFonts w:hint="eastAsia"/>
                      <w:color w:val="auto"/>
                      <w:szCs w:val="21"/>
                    </w:rPr>
                    <w:t>建设单位将进一步完善突发环境事件应急预案，</w:t>
                  </w:r>
                  <w:r>
                    <w:rPr>
                      <w:rStyle w:val="81"/>
                      <w:rFonts w:cstheme="minorBidi"/>
                      <w:color w:val="auto"/>
                      <w:kern w:val="0"/>
                      <w:szCs w:val="21"/>
                    </w:rPr>
                    <w:t>制定应急处理处置方案，形成应对突发事故应急处理处置能力</w:t>
                  </w:r>
                  <w:r>
                    <w:rPr>
                      <w:rFonts w:hint="eastAsia"/>
                      <w:color w:val="auto"/>
                      <w:szCs w:val="21"/>
                    </w:rPr>
                    <w:t>。项目建设</w:t>
                  </w:r>
                  <w:r>
                    <w:rPr>
                      <w:color w:val="auto"/>
                      <w:szCs w:val="21"/>
                    </w:rPr>
                    <w:t>1个容积30m</w:t>
                  </w:r>
                  <w:r>
                    <w:rPr>
                      <w:color w:val="auto"/>
                      <w:szCs w:val="21"/>
                      <w:vertAlign w:val="superscript"/>
                    </w:rPr>
                    <w:t>3</w:t>
                  </w:r>
                  <w:r>
                    <w:rPr>
                      <w:color w:val="auto"/>
                      <w:szCs w:val="21"/>
                    </w:rPr>
                    <w:t>的事故池，事故水池</w:t>
                  </w:r>
                  <w:r>
                    <w:rPr>
                      <w:rFonts w:hint="eastAsia"/>
                      <w:color w:val="auto"/>
                      <w:szCs w:val="21"/>
                    </w:rPr>
                    <w:t>暂存事故状态下的废水。</w:t>
                  </w:r>
                </w:p>
              </w:tc>
              <w:tc>
                <w:tcPr>
                  <w:tcW w:w="415" w:type="pct"/>
                  <w:noWrap/>
                  <w:vAlign w:val="center"/>
                </w:tcPr>
                <w:p>
                  <w:pPr>
                    <w:snapToGrid w:val="0"/>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581" w:type="pct"/>
                  <w:gridSpan w:val="2"/>
                  <w:noWrap/>
                  <w:vAlign w:val="center"/>
                </w:tcPr>
                <w:p>
                  <w:pPr>
                    <w:snapToGrid w:val="0"/>
                    <w:jc w:val="center"/>
                    <w:rPr>
                      <w:rStyle w:val="81"/>
                      <w:rFonts w:cstheme="minorBidi"/>
                      <w:color w:val="auto"/>
                      <w:kern w:val="0"/>
                      <w:szCs w:val="21"/>
                    </w:rPr>
                  </w:pPr>
                  <w:r>
                    <w:rPr>
                      <w:rStyle w:val="81"/>
                      <w:rFonts w:cstheme="minorBidi"/>
                      <w:color w:val="auto"/>
                      <w:kern w:val="0"/>
                      <w:szCs w:val="21"/>
                    </w:rPr>
                    <w:t>资源开发效率要求</w:t>
                  </w:r>
                </w:p>
              </w:tc>
              <w:tc>
                <w:tcPr>
                  <w:tcW w:w="2048" w:type="pct"/>
                  <w:noWrap/>
                  <w:vAlign w:val="center"/>
                </w:tcPr>
                <w:p>
                  <w:pPr>
                    <w:snapToGrid w:val="0"/>
                    <w:rPr>
                      <w:rStyle w:val="81"/>
                      <w:rFonts w:cstheme="minorBidi"/>
                      <w:color w:val="auto"/>
                      <w:kern w:val="0"/>
                      <w:szCs w:val="21"/>
                    </w:rPr>
                  </w:pPr>
                  <w:r>
                    <w:rPr>
                      <w:rStyle w:val="81"/>
                      <w:rFonts w:cstheme="minorBidi"/>
                      <w:color w:val="auto"/>
                      <w:kern w:val="0"/>
                      <w:szCs w:val="21"/>
                    </w:rPr>
                    <w:t>1.清洁生产水平不低于国家清洁生产标准规定的国内先进水平。</w:t>
                  </w:r>
                </w:p>
                <w:p>
                  <w:pPr>
                    <w:snapToGrid w:val="0"/>
                    <w:rPr>
                      <w:rStyle w:val="81"/>
                      <w:rFonts w:cstheme="minorBidi"/>
                      <w:color w:val="auto"/>
                      <w:kern w:val="0"/>
                      <w:szCs w:val="21"/>
                    </w:rPr>
                  </w:pPr>
                  <w:r>
                    <w:rPr>
                      <w:rStyle w:val="81"/>
                      <w:rFonts w:cstheme="minorBidi"/>
                      <w:color w:val="auto"/>
                      <w:kern w:val="0"/>
                      <w:szCs w:val="21"/>
                    </w:rPr>
                    <w:t>2.工业固废综合利用率≥70，再生水回用率100%，工业用水重复利用率100%，单位工业增加值综合耗能≤0.5吨标煤/万元。</w:t>
                  </w:r>
                </w:p>
              </w:tc>
              <w:tc>
                <w:tcPr>
                  <w:tcW w:w="1955" w:type="pct"/>
                  <w:noWrap/>
                  <w:vAlign w:val="center"/>
                </w:tcPr>
                <w:p>
                  <w:pPr>
                    <w:snapToGrid w:val="0"/>
                    <w:jc w:val="center"/>
                    <w:rPr>
                      <w:color w:val="auto"/>
                      <w:szCs w:val="21"/>
                    </w:rPr>
                  </w:pPr>
                  <w:r>
                    <w:rPr>
                      <w:rFonts w:hint="eastAsia"/>
                      <w:color w:val="auto"/>
                      <w:kern w:val="0"/>
                      <w:szCs w:val="21"/>
                    </w:rPr>
                    <w:t>项目生产水平</w:t>
                  </w:r>
                  <w:r>
                    <w:rPr>
                      <w:rStyle w:val="81"/>
                      <w:rFonts w:cstheme="minorBidi"/>
                      <w:color w:val="auto"/>
                      <w:kern w:val="0"/>
                      <w:szCs w:val="21"/>
                    </w:rPr>
                    <w:t>不低于国家清洁生产标准规定的国内先进水平</w:t>
                  </w:r>
                  <w:r>
                    <w:rPr>
                      <w:rFonts w:hint="eastAsia"/>
                      <w:color w:val="auto"/>
                      <w:kern w:val="0"/>
                      <w:szCs w:val="21"/>
                    </w:rPr>
                    <w:t>。</w:t>
                  </w:r>
                  <w:r>
                    <w:rPr>
                      <w:color w:val="auto"/>
                      <w:kern w:val="0"/>
                      <w:szCs w:val="21"/>
                    </w:rPr>
                    <w:t>固体废弃物均得到合理有效的利用和处置，处置率为100%</w:t>
                  </w:r>
                  <w:r>
                    <w:rPr>
                      <w:rFonts w:hint="eastAsia"/>
                      <w:color w:val="auto"/>
                      <w:kern w:val="0"/>
                      <w:szCs w:val="21"/>
                    </w:rPr>
                    <w:t>；</w:t>
                  </w:r>
                  <w:r>
                    <w:rPr>
                      <w:color w:val="auto"/>
                      <w:kern w:val="0"/>
                      <w:szCs w:val="21"/>
                    </w:rPr>
                    <w:t>项目生产废水循环使用不外排</w:t>
                  </w:r>
                  <w:r>
                    <w:rPr>
                      <w:rFonts w:hint="eastAsia"/>
                      <w:color w:val="auto"/>
                      <w:kern w:val="0"/>
                      <w:szCs w:val="21"/>
                    </w:rPr>
                    <w:t>；</w:t>
                  </w:r>
                  <w:r>
                    <w:rPr>
                      <w:color w:val="auto"/>
                      <w:szCs w:val="21"/>
                    </w:rPr>
                    <w:t>生活污水</w:t>
                  </w:r>
                  <w:r>
                    <w:rPr>
                      <w:rFonts w:hint="eastAsia"/>
                      <w:color w:val="auto"/>
                      <w:szCs w:val="21"/>
                    </w:rPr>
                    <w:t>依托</w:t>
                  </w:r>
                  <w:r>
                    <w:rPr>
                      <w:color w:val="auto"/>
                      <w:szCs w:val="21"/>
                    </w:rPr>
                    <w:t>云南鹏腾机械设备制造有限公司污水处理设施处理后，回用于绿化，不外排</w:t>
                  </w:r>
                  <w:r>
                    <w:rPr>
                      <w:rFonts w:hint="eastAsia"/>
                      <w:color w:val="auto"/>
                      <w:szCs w:val="21"/>
                    </w:rPr>
                    <w:t>；使用的能源为电能，不使用标煤。</w:t>
                  </w:r>
                </w:p>
              </w:tc>
              <w:tc>
                <w:tcPr>
                  <w:tcW w:w="415" w:type="pct"/>
                  <w:noWrap/>
                  <w:vAlign w:val="center"/>
                </w:tcPr>
                <w:p>
                  <w:pPr>
                    <w:snapToGrid w:val="0"/>
                    <w:jc w:val="center"/>
                    <w:rPr>
                      <w:color w:val="auto"/>
                      <w:szCs w:val="21"/>
                    </w:rPr>
                  </w:pPr>
                  <w:r>
                    <w:rPr>
                      <w:rFonts w:hint="eastAsia"/>
                      <w:color w:val="auto"/>
                      <w:szCs w:val="21"/>
                    </w:rPr>
                    <w:t>符合</w:t>
                  </w:r>
                </w:p>
              </w:tc>
            </w:tr>
          </w:tbl>
          <w:p>
            <w:pPr>
              <w:spacing w:line="360" w:lineRule="auto"/>
              <w:ind w:firstLine="480" w:firstLineChars="200"/>
              <w:rPr>
                <w:color w:val="auto"/>
                <w:sz w:val="24"/>
              </w:rPr>
            </w:pPr>
            <w:r>
              <w:rPr>
                <w:color w:val="auto"/>
                <w:sz w:val="24"/>
              </w:rPr>
              <w:t>综上，项目建设符合“三线一单”相关要求。</w:t>
            </w:r>
          </w:p>
          <w:p>
            <w:pPr>
              <w:spacing w:line="360" w:lineRule="auto"/>
              <w:ind w:firstLine="482" w:firstLineChars="200"/>
              <w:rPr>
                <w:b/>
                <w:bCs/>
                <w:color w:val="auto"/>
                <w:sz w:val="24"/>
              </w:rPr>
            </w:pPr>
            <w:r>
              <w:rPr>
                <w:rFonts w:hint="eastAsia"/>
                <w:b/>
                <w:bCs/>
                <w:color w:val="auto"/>
                <w:sz w:val="24"/>
              </w:rPr>
              <w:t>3</w:t>
            </w:r>
            <w:r>
              <w:rPr>
                <w:b/>
                <w:bCs/>
                <w:color w:val="auto"/>
                <w:sz w:val="24"/>
              </w:rPr>
              <w:t>、与《云南省牛栏江保护条例》符合性分析</w:t>
            </w:r>
          </w:p>
          <w:p>
            <w:pPr>
              <w:spacing w:line="360" w:lineRule="auto"/>
              <w:ind w:firstLine="480" w:firstLineChars="200"/>
              <w:rPr>
                <w:color w:val="auto"/>
                <w:sz w:val="24"/>
              </w:rPr>
            </w:pPr>
            <w:r>
              <w:rPr>
                <w:color w:val="auto"/>
                <w:sz w:val="24"/>
              </w:rPr>
              <w:t>据2012年9月28日云南省第十一届人民代表大会常务委员会第三十四次会议通过《云南省牛栏江保护条例》第一章总则中第五条中对牛栏江流域上游保护区进行了划分，划分为水源保护核心区、重点污染控制区和重点水源涵养区，具体划分情况如下：</w:t>
            </w:r>
          </w:p>
          <w:p>
            <w:pPr>
              <w:spacing w:line="360" w:lineRule="auto"/>
              <w:ind w:firstLine="480" w:firstLineChars="200"/>
              <w:rPr>
                <w:color w:val="auto"/>
                <w:sz w:val="24"/>
              </w:rPr>
            </w:pPr>
            <w:r>
              <w:rPr>
                <w:color w:val="auto"/>
                <w:sz w:val="24"/>
              </w:rPr>
              <w:t>（一）水源保护核心区包括德泽水库库区和德泽水库以上牛栏江干流区。德泽水库库区为德泽水库正常蓄水位1790m水面及沿岸外延2000m的范围，区域范围超过一级山脊线的，按照一级山脊线划定；德泽水库以上牛栏江干流区指德泽水库以上干流（包括干流源头矣纳岔口至嘉丽泽对龙河河段）水域及两岸外延1000m的范围，区域范围超过一级山脊线的，按照一级山脊线划定。</w:t>
            </w:r>
          </w:p>
          <w:p>
            <w:pPr>
              <w:spacing w:line="360" w:lineRule="auto"/>
              <w:ind w:firstLine="480" w:firstLineChars="200"/>
              <w:rPr>
                <w:color w:val="auto"/>
                <w:sz w:val="24"/>
              </w:rPr>
            </w:pPr>
            <w:r>
              <w:rPr>
                <w:color w:val="auto"/>
                <w:sz w:val="24"/>
              </w:rPr>
              <w:t>（二）重点污染控制区为水源保护核心区以外，流域范围内的坝区以及花庄河、果马河、普沙河、弥良河、对龙河、杨林河、匡郎河、前进河、马龙河水域及两岸外延3000m的区域，区域范围超过一级山脊线的，按照一级山脊线划定。</w:t>
            </w:r>
          </w:p>
          <w:p>
            <w:pPr>
              <w:spacing w:line="360" w:lineRule="auto"/>
              <w:ind w:firstLine="480" w:firstLineChars="200"/>
              <w:rPr>
                <w:color w:val="auto"/>
                <w:sz w:val="24"/>
              </w:rPr>
            </w:pPr>
            <w:r>
              <w:rPr>
                <w:color w:val="auto"/>
                <w:sz w:val="24"/>
              </w:rPr>
              <w:t>（三）重点水源涵养区为流域范围内除水源保护核心区、重点污染控制区以外的集水区域。</w:t>
            </w:r>
          </w:p>
          <w:p>
            <w:pPr>
              <w:adjustRightInd w:val="0"/>
              <w:snapToGrid w:val="0"/>
              <w:spacing w:line="360" w:lineRule="auto"/>
              <w:ind w:firstLine="480"/>
              <w:jc w:val="left"/>
              <w:rPr>
                <w:color w:val="auto"/>
                <w:sz w:val="24"/>
              </w:rPr>
            </w:pPr>
            <w:r>
              <w:rPr>
                <w:color w:val="auto"/>
                <w:sz w:val="24"/>
              </w:rPr>
              <w:t>本项目属于《云南省牛栏江保护条例》中的重点污染控制区（附图5），根据《云南省牛栏江保护条例》中第三十二、三十三条中规定的禁止行为分析项目选址符合性。</w:t>
            </w:r>
          </w:p>
          <w:p>
            <w:pPr>
              <w:widowControl/>
              <w:adjustRightInd w:val="0"/>
              <w:snapToGrid w:val="0"/>
              <w:spacing w:line="360" w:lineRule="auto"/>
              <w:ind w:firstLine="482"/>
              <w:jc w:val="center"/>
              <w:rPr>
                <w:b/>
                <w:color w:val="auto"/>
                <w:sz w:val="24"/>
              </w:rPr>
            </w:pPr>
            <w:r>
              <w:rPr>
                <w:b/>
                <w:color w:val="auto"/>
                <w:sz w:val="24"/>
              </w:rPr>
              <w:t>表1-</w:t>
            </w:r>
            <w:r>
              <w:rPr>
                <w:rFonts w:hint="eastAsia"/>
                <w:b/>
                <w:color w:val="auto"/>
                <w:sz w:val="24"/>
              </w:rPr>
              <w:t xml:space="preserve">3 </w:t>
            </w:r>
            <w:r>
              <w:rPr>
                <w:b/>
                <w:color w:val="auto"/>
                <w:sz w:val="24"/>
              </w:rPr>
              <w:t xml:space="preserve"> 项目选址与《云南省牛栏江保护条例》对照分析</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3340"/>
              <w:gridCol w:w="2126"/>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398" w:type="dxa"/>
                  <w:noWrap/>
                  <w:vAlign w:val="center"/>
                </w:tcPr>
                <w:p>
                  <w:pPr>
                    <w:adjustRightInd w:val="0"/>
                    <w:snapToGrid w:val="0"/>
                    <w:jc w:val="center"/>
                    <w:rPr>
                      <w:b/>
                      <w:bCs/>
                      <w:color w:val="auto"/>
                      <w:szCs w:val="21"/>
                    </w:rPr>
                  </w:pPr>
                  <w:r>
                    <w:rPr>
                      <w:b/>
                      <w:bCs/>
                      <w:color w:val="auto"/>
                      <w:szCs w:val="21"/>
                    </w:rPr>
                    <w:t>序号</w:t>
                  </w:r>
                </w:p>
              </w:tc>
              <w:tc>
                <w:tcPr>
                  <w:tcW w:w="3340" w:type="dxa"/>
                  <w:noWrap/>
                  <w:vAlign w:val="center"/>
                </w:tcPr>
                <w:p>
                  <w:pPr>
                    <w:adjustRightInd w:val="0"/>
                    <w:snapToGrid w:val="0"/>
                    <w:jc w:val="center"/>
                    <w:rPr>
                      <w:b/>
                      <w:bCs/>
                      <w:color w:val="auto"/>
                      <w:szCs w:val="21"/>
                    </w:rPr>
                  </w:pPr>
                  <w:r>
                    <w:rPr>
                      <w:b/>
                      <w:bCs/>
                      <w:color w:val="auto"/>
                      <w:szCs w:val="21"/>
                    </w:rPr>
                    <w:t>《云南省牛栏江保护条例》选址条件</w:t>
                  </w:r>
                </w:p>
              </w:tc>
              <w:tc>
                <w:tcPr>
                  <w:tcW w:w="2126" w:type="dxa"/>
                  <w:noWrap/>
                  <w:vAlign w:val="center"/>
                </w:tcPr>
                <w:p>
                  <w:pPr>
                    <w:adjustRightInd w:val="0"/>
                    <w:snapToGrid w:val="0"/>
                    <w:jc w:val="center"/>
                    <w:rPr>
                      <w:b/>
                      <w:bCs/>
                      <w:color w:val="auto"/>
                      <w:szCs w:val="21"/>
                    </w:rPr>
                  </w:pPr>
                  <w:r>
                    <w:rPr>
                      <w:b/>
                      <w:bCs/>
                      <w:color w:val="auto"/>
                      <w:szCs w:val="21"/>
                    </w:rPr>
                    <w:t>本项目实际情况</w:t>
                  </w:r>
                </w:p>
              </w:tc>
              <w:tc>
                <w:tcPr>
                  <w:tcW w:w="773" w:type="dxa"/>
                  <w:noWrap/>
                  <w:vAlign w:val="center"/>
                </w:tcPr>
                <w:p>
                  <w:pPr>
                    <w:adjustRightInd w:val="0"/>
                    <w:snapToGrid w:val="0"/>
                    <w:jc w:val="center"/>
                    <w:rPr>
                      <w:b/>
                      <w:bCs/>
                      <w:color w:val="auto"/>
                      <w:szCs w:val="21"/>
                    </w:rPr>
                  </w:pPr>
                  <w:r>
                    <w:rPr>
                      <w:b/>
                      <w:bCs/>
                      <w:color w:val="auto"/>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8" w:type="dxa"/>
                  <w:vMerge w:val="restart"/>
                  <w:noWrap/>
                  <w:vAlign w:val="center"/>
                </w:tcPr>
                <w:p>
                  <w:pPr>
                    <w:adjustRightInd w:val="0"/>
                    <w:snapToGrid w:val="0"/>
                    <w:jc w:val="center"/>
                    <w:rPr>
                      <w:color w:val="auto"/>
                      <w:szCs w:val="21"/>
                    </w:rPr>
                  </w:pPr>
                  <w:r>
                    <w:rPr>
                      <w:color w:val="auto"/>
                      <w:szCs w:val="21"/>
                    </w:rPr>
                    <w:t>1</w:t>
                  </w:r>
                </w:p>
              </w:tc>
              <w:tc>
                <w:tcPr>
                  <w:tcW w:w="6239" w:type="dxa"/>
                  <w:gridSpan w:val="3"/>
                  <w:noWrap/>
                  <w:vAlign w:val="center"/>
                </w:tcPr>
                <w:p>
                  <w:pPr>
                    <w:adjustRightInd w:val="0"/>
                    <w:snapToGrid w:val="0"/>
                    <w:jc w:val="center"/>
                    <w:rPr>
                      <w:color w:val="auto"/>
                      <w:szCs w:val="21"/>
                    </w:rPr>
                  </w:pPr>
                  <w:r>
                    <w:rPr>
                      <w:color w:val="auto"/>
                      <w:szCs w:val="21"/>
                    </w:rPr>
                    <w:t>三十二条重点水源涵养区禁止下列行为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8" w:type="dxa"/>
                  <w:vMerge w:val="continue"/>
                  <w:noWrap/>
                  <w:vAlign w:val="center"/>
                </w:tcPr>
                <w:p>
                  <w:pPr>
                    <w:adjustRightInd w:val="0"/>
                    <w:snapToGrid w:val="0"/>
                    <w:jc w:val="center"/>
                    <w:rPr>
                      <w:color w:val="auto"/>
                      <w:szCs w:val="21"/>
                    </w:rPr>
                  </w:pPr>
                </w:p>
              </w:tc>
              <w:tc>
                <w:tcPr>
                  <w:tcW w:w="3340" w:type="dxa"/>
                  <w:noWrap/>
                  <w:vAlign w:val="center"/>
                </w:tcPr>
                <w:p>
                  <w:pPr>
                    <w:jc w:val="center"/>
                    <w:rPr>
                      <w:color w:val="auto"/>
                      <w:szCs w:val="21"/>
                    </w:rPr>
                  </w:pPr>
                  <w:r>
                    <w:rPr>
                      <w:color w:val="auto"/>
                      <w:szCs w:val="21"/>
                    </w:rPr>
                    <w:t>（一）盗伐、滥伐林木和破坏草地；</w:t>
                  </w:r>
                </w:p>
              </w:tc>
              <w:tc>
                <w:tcPr>
                  <w:tcW w:w="2126" w:type="dxa"/>
                  <w:noWrap/>
                  <w:vAlign w:val="center"/>
                </w:tcPr>
                <w:p>
                  <w:pPr>
                    <w:jc w:val="center"/>
                    <w:rPr>
                      <w:color w:val="auto"/>
                      <w:szCs w:val="21"/>
                    </w:rPr>
                  </w:pPr>
                  <w:r>
                    <w:rPr>
                      <w:color w:val="auto"/>
                      <w:szCs w:val="21"/>
                    </w:rPr>
                    <w:t>项目位于</w:t>
                  </w:r>
                  <w:r>
                    <w:rPr>
                      <w:rFonts w:hint="eastAsia"/>
                      <w:color w:val="auto"/>
                      <w:szCs w:val="21"/>
                    </w:rPr>
                    <w:t>工业</w:t>
                  </w:r>
                  <w:r>
                    <w:rPr>
                      <w:color w:val="auto"/>
                      <w:szCs w:val="21"/>
                    </w:rPr>
                    <w:t>园区，不涉及盗伐、滥伐林木和破坏草地。</w:t>
                  </w:r>
                </w:p>
              </w:tc>
              <w:tc>
                <w:tcPr>
                  <w:tcW w:w="773" w:type="dxa"/>
                  <w:noWrap/>
                  <w:vAlign w:val="center"/>
                </w:tcPr>
                <w:p>
                  <w:pPr>
                    <w:adjustRightInd w:val="0"/>
                    <w:snapToGrid w:val="0"/>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98" w:type="dxa"/>
                  <w:vMerge w:val="continue"/>
                  <w:noWrap/>
                  <w:vAlign w:val="center"/>
                </w:tcPr>
                <w:p>
                  <w:pPr>
                    <w:adjustRightInd w:val="0"/>
                    <w:snapToGrid w:val="0"/>
                    <w:jc w:val="center"/>
                    <w:rPr>
                      <w:color w:val="auto"/>
                      <w:szCs w:val="21"/>
                    </w:rPr>
                  </w:pPr>
                </w:p>
              </w:tc>
              <w:tc>
                <w:tcPr>
                  <w:tcW w:w="3340" w:type="dxa"/>
                  <w:noWrap/>
                  <w:vAlign w:val="center"/>
                </w:tcPr>
                <w:p>
                  <w:pPr>
                    <w:jc w:val="center"/>
                    <w:rPr>
                      <w:color w:val="auto"/>
                      <w:szCs w:val="21"/>
                    </w:rPr>
                  </w:pPr>
                  <w:r>
                    <w:rPr>
                      <w:color w:val="auto"/>
                      <w:szCs w:val="21"/>
                    </w:rPr>
                    <w:t>（二）使用高毒、高残留农药；</w:t>
                  </w:r>
                </w:p>
              </w:tc>
              <w:tc>
                <w:tcPr>
                  <w:tcW w:w="2126" w:type="dxa"/>
                  <w:noWrap/>
                  <w:vAlign w:val="center"/>
                </w:tcPr>
                <w:p>
                  <w:pPr>
                    <w:jc w:val="center"/>
                    <w:rPr>
                      <w:color w:val="auto"/>
                      <w:szCs w:val="21"/>
                    </w:rPr>
                  </w:pPr>
                  <w:r>
                    <w:rPr>
                      <w:color w:val="auto"/>
                      <w:szCs w:val="21"/>
                    </w:rPr>
                    <w:t>不涉及</w:t>
                  </w:r>
                </w:p>
              </w:tc>
              <w:tc>
                <w:tcPr>
                  <w:tcW w:w="773" w:type="dxa"/>
                  <w:noWrap/>
                  <w:vAlign w:val="center"/>
                </w:tcPr>
                <w:p>
                  <w:pPr>
                    <w:adjustRightInd w:val="0"/>
                    <w:snapToGrid w:val="0"/>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4" w:hRule="atLeast"/>
                <w:jc w:val="center"/>
              </w:trPr>
              <w:tc>
                <w:tcPr>
                  <w:tcW w:w="398" w:type="dxa"/>
                  <w:vMerge w:val="continue"/>
                  <w:noWrap/>
                  <w:vAlign w:val="center"/>
                </w:tcPr>
                <w:p>
                  <w:pPr>
                    <w:adjustRightInd w:val="0"/>
                    <w:snapToGrid w:val="0"/>
                    <w:jc w:val="center"/>
                    <w:rPr>
                      <w:color w:val="auto"/>
                      <w:szCs w:val="21"/>
                    </w:rPr>
                  </w:pPr>
                </w:p>
              </w:tc>
              <w:tc>
                <w:tcPr>
                  <w:tcW w:w="3340" w:type="dxa"/>
                  <w:noWrap/>
                  <w:vAlign w:val="center"/>
                </w:tcPr>
                <w:p>
                  <w:pPr>
                    <w:jc w:val="center"/>
                    <w:rPr>
                      <w:color w:val="auto"/>
                      <w:szCs w:val="21"/>
                    </w:rPr>
                  </w:pPr>
                  <w:r>
                    <w:rPr>
                      <w:color w:val="auto"/>
                      <w:szCs w:val="21"/>
                    </w:rPr>
                    <w:t>（三）利用溶洞、渗井、渗坑、裂隙排放、倾倒含有毒有害物质的废水、废渣；</w:t>
                  </w:r>
                </w:p>
              </w:tc>
              <w:tc>
                <w:tcPr>
                  <w:tcW w:w="2126" w:type="dxa"/>
                  <w:vMerge w:val="restart"/>
                  <w:noWrap/>
                  <w:vAlign w:val="center"/>
                </w:tcPr>
                <w:p>
                  <w:pPr>
                    <w:jc w:val="center"/>
                    <w:rPr>
                      <w:color w:val="auto"/>
                      <w:szCs w:val="21"/>
                    </w:rPr>
                  </w:pPr>
                  <w:r>
                    <w:rPr>
                      <w:color w:val="auto"/>
                      <w:szCs w:val="21"/>
                    </w:rPr>
                    <w:t>1.项目无废水外排。</w:t>
                  </w:r>
                </w:p>
                <w:p>
                  <w:pPr>
                    <w:adjustRightInd w:val="0"/>
                    <w:snapToGrid w:val="0"/>
                    <w:jc w:val="center"/>
                    <w:rPr>
                      <w:color w:val="auto"/>
                      <w:szCs w:val="21"/>
                    </w:rPr>
                  </w:pPr>
                  <w:r>
                    <w:rPr>
                      <w:color w:val="auto"/>
                      <w:szCs w:val="21"/>
                    </w:rPr>
                    <w:t>2.项目所有固体废弃物均得到合理有效的利用和处置，处置率为100%</w:t>
                  </w:r>
                </w:p>
              </w:tc>
              <w:tc>
                <w:tcPr>
                  <w:tcW w:w="773" w:type="dxa"/>
                  <w:vMerge w:val="restart"/>
                  <w:noWrap/>
                  <w:vAlign w:val="center"/>
                </w:tcPr>
                <w:p>
                  <w:pPr>
                    <w:adjustRightInd w:val="0"/>
                    <w:snapToGrid w:val="0"/>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398" w:type="dxa"/>
                  <w:vMerge w:val="continue"/>
                  <w:noWrap/>
                  <w:vAlign w:val="center"/>
                </w:tcPr>
                <w:p>
                  <w:pPr>
                    <w:adjustRightInd w:val="0"/>
                    <w:snapToGrid w:val="0"/>
                    <w:jc w:val="center"/>
                    <w:rPr>
                      <w:color w:val="auto"/>
                      <w:szCs w:val="21"/>
                    </w:rPr>
                  </w:pPr>
                </w:p>
              </w:tc>
              <w:tc>
                <w:tcPr>
                  <w:tcW w:w="3340" w:type="dxa"/>
                  <w:noWrap/>
                  <w:vAlign w:val="center"/>
                </w:tcPr>
                <w:p>
                  <w:pPr>
                    <w:jc w:val="center"/>
                    <w:rPr>
                      <w:color w:val="auto"/>
                      <w:szCs w:val="21"/>
                    </w:rPr>
                  </w:pPr>
                  <w:r>
                    <w:rPr>
                      <w:color w:val="auto"/>
                      <w:szCs w:val="21"/>
                    </w:rPr>
                    <w:t>（四）向水体排放废水、倾倒工业废渣、城镇垃圾或者其他废弃物；</w:t>
                  </w:r>
                </w:p>
              </w:tc>
              <w:tc>
                <w:tcPr>
                  <w:tcW w:w="2126" w:type="dxa"/>
                  <w:vMerge w:val="continue"/>
                  <w:noWrap/>
                  <w:vAlign w:val="center"/>
                </w:tcPr>
                <w:p>
                  <w:pPr>
                    <w:adjustRightInd w:val="0"/>
                    <w:snapToGrid w:val="0"/>
                    <w:jc w:val="center"/>
                    <w:rPr>
                      <w:color w:val="auto"/>
                      <w:szCs w:val="21"/>
                    </w:rPr>
                  </w:pPr>
                </w:p>
              </w:tc>
              <w:tc>
                <w:tcPr>
                  <w:tcW w:w="773" w:type="dxa"/>
                  <w:vMerge w:val="continue"/>
                  <w:noWrap/>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398" w:type="dxa"/>
                  <w:vMerge w:val="continue"/>
                  <w:noWrap/>
                  <w:vAlign w:val="center"/>
                </w:tcPr>
                <w:p>
                  <w:pPr>
                    <w:adjustRightInd w:val="0"/>
                    <w:snapToGrid w:val="0"/>
                    <w:jc w:val="center"/>
                    <w:rPr>
                      <w:color w:val="auto"/>
                      <w:szCs w:val="21"/>
                    </w:rPr>
                  </w:pPr>
                </w:p>
              </w:tc>
              <w:tc>
                <w:tcPr>
                  <w:tcW w:w="3340" w:type="dxa"/>
                  <w:noWrap/>
                  <w:vAlign w:val="center"/>
                </w:tcPr>
                <w:p>
                  <w:pPr>
                    <w:jc w:val="center"/>
                    <w:rPr>
                      <w:color w:val="auto"/>
                      <w:szCs w:val="21"/>
                    </w:rPr>
                  </w:pPr>
                  <w:r>
                    <w:rPr>
                      <w:color w:val="auto"/>
                      <w:szCs w:val="21"/>
                    </w:rPr>
                    <w:t>（五）在江河、渠道、水库最高水位线以下的滩地、岸坡堆放、存贮固体废弃物或者其他污染物；</w:t>
                  </w:r>
                </w:p>
              </w:tc>
              <w:tc>
                <w:tcPr>
                  <w:tcW w:w="2126" w:type="dxa"/>
                  <w:noWrap/>
                  <w:vAlign w:val="center"/>
                </w:tcPr>
                <w:p>
                  <w:pPr>
                    <w:jc w:val="center"/>
                    <w:rPr>
                      <w:color w:val="auto"/>
                      <w:szCs w:val="21"/>
                    </w:rPr>
                  </w:pPr>
                  <w:r>
                    <w:rPr>
                      <w:color w:val="auto"/>
                      <w:szCs w:val="21"/>
                    </w:rPr>
                    <w:t>项目设置</w:t>
                  </w:r>
                  <w:r>
                    <w:rPr>
                      <w:rFonts w:hint="eastAsia"/>
                      <w:color w:val="auto"/>
                      <w:szCs w:val="21"/>
                    </w:rPr>
                    <w:t>危废暂存间</w:t>
                  </w:r>
                  <w:r>
                    <w:rPr>
                      <w:color w:val="auto"/>
                      <w:szCs w:val="21"/>
                    </w:rPr>
                    <w:t>暂存危险废物并委托有资质单位进行处置危险废物，危险废物的贮存设施的选址与设计、运行与管理、安全防护、环境监测及应急措施以及关闭等遵循《危险废物贮存污染控制标准》（GB18597-20</w:t>
                  </w:r>
                  <w:r>
                    <w:rPr>
                      <w:rFonts w:hint="eastAsia"/>
                      <w:color w:val="auto"/>
                      <w:szCs w:val="21"/>
                    </w:rPr>
                    <w:t>23</w:t>
                  </w:r>
                  <w:r>
                    <w:rPr>
                      <w:color w:val="auto"/>
                      <w:szCs w:val="21"/>
                    </w:rPr>
                    <w:t>）</w:t>
                  </w:r>
                  <w:r>
                    <w:rPr>
                      <w:rFonts w:hint="eastAsia"/>
                      <w:color w:val="auto"/>
                      <w:szCs w:val="21"/>
                    </w:rPr>
                    <w:t>中</w:t>
                  </w:r>
                  <w:r>
                    <w:rPr>
                      <w:color w:val="auto"/>
                      <w:szCs w:val="21"/>
                    </w:rPr>
                    <w:t>的规定。</w:t>
                  </w:r>
                </w:p>
              </w:tc>
              <w:tc>
                <w:tcPr>
                  <w:tcW w:w="773" w:type="dxa"/>
                  <w:noWrap/>
                  <w:vAlign w:val="center"/>
                </w:tcPr>
                <w:p>
                  <w:pPr>
                    <w:adjustRightInd w:val="0"/>
                    <w:snapToGrid w:val="0"/>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398" w:type="dxa"/>
                  <w:vMerge w:val="continue"/>
                  <w:noWrap/>
                  <w:vAlign w:val="center"/>
                </w:tcPr>
                <w:p>
                  <w:pPr>
                    <w:adjustRightInd w:val="0"/>
                    <w:snapToGrid w:val="0"/>
                    <w:jc w:val="center"/>
                    <w:rPr>
                      <w:color w:val="auto"/>
                      <w:szCs w:val="21"/>
                    </w:rPr>
                  </w:pPr>
                </w:p>
              </w:tc>
              <w:tc>
                <w:tcPr>
                  <w:tcW w:w="3340" w:type="dxa"/>
                  <w:noWrap/>
                  <w:vAlign w:val="center"/>
                </w:tcPr>
                <w:p>
                  <w:pPr>
                    <w:jc w:val="center"/>
                    <w:rPr>
                      <w:color w:val="auto"/>
                      <w:szCs w:val="21"/>
                    </w:rPr>
                  </w:pPr>
                  <w:r>
                    <w:rPr>
                      <w:color w:val="auto"/>
                      <w:szCs w:val="21"/>
                    </w:rPr>
                    <w:t>（六）利用无防渗漏措施的沟渠、坑塘等输送或者存贮含有毒污染物的废水、含病原体的污水或者其他废弃物。</w:t>
                  </w:r>
                </w:p>
              </w:tc>
              <w:tc>
                <w:tcPr>
                  <w:tcW w:w="2126" w:type="dxa"/>
                  <w:noWrap/>
                  <w:vAlign w:val="center"/>
                </w:tcPr>
                <w:p>
                  <w:pPr>
                    <w:jc w:val="center"/>
                    <w:rPr>
                      <w:color w:val="auto"/>
                      <w:szCs w:val="21"/>
                    </w:rPr>
                  </w:pPr>
                  <w:r>
                    <w:rPr>
                      <w:color w:val="auto"/>
                      <w:szCs w:val="21"/>
                    </w:rPr>
                    <w:t>项目不产生含有毒、病原体的污水，项目各污染物均得到妥善处置，无此行为</w:t>
                  </w:r>
                </w:p>
              </w:tc>
              <w:tc>
                <w:tcPr>
                  <w:tcW w:w="773" w:type="dxa"/>
                  <w:noWrap/>
                  <w:vAlign w:val="center"/>
                </w:tcPr>
                <w:p>
                  <w:pPr>
                    <w:adjustRightInd w:val="0"/>
                    <w:snapToGrid w:val="0"/>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398" w:type="dxa"/>
                  <w:vMerge w:val="restart"/>
                  <w:noWrap/>
                  <w:vAlign w:val="center"/>
                </w:tcPr>
                <w:p>
                  <w:pPr>
                    <w:adjustRightInd w:val="0"/>
                    <w:snapToGrid w:val="0"/>
                    <w:jc w:val="center"/>
                    <w:rPr>
                      <w:color w:val="auto"/>
                      <w:szCs w:val="21"/>
                    </w:rPr>
                  </w:pPr>
                  <w:r>
                    <w:rPr>
                      <w:color w:val="auto"/>
                      <w:szCs w:val="21"/>
                    </w:rPr>
                    <w:t>2</w:t>
                  </w:r>
                </w:p>
              </w:tc>
              <w:tc>
                <w:tcPr>
                  <w:tcW w:w="6239" w:type="dxa"/>
                  <w:gridSpan w:val="3"/>
                  <w:noWrap/>
                  <w:vAlign w:val="center"/>
                </w:tcPr>
                <w:p>
                  <w:pPr>
                    <w:adjustRightInd w:val="0"/>
                    <w:snapToGrid w:val="0"/>
                    <w:jc w:val="center"/>
                    <w:rPr>
                      <w:color w:val="auto"/>
                      <w:szCs w:val="21"/>
                    </w:rPr>
                  </w:pPr>
                  <w:r>
                    <w:rPr>
                      <w:color w:val="auto"/>
                      <w:szCs w:val="21"/>
                    </w:rPr>
                    <w:t>第三十三条重点污染控制区内除重点水源涵养区禁止的行为外，还禁止下列行为：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398" w:type="dxa"/>
                  <w:vMerge w:val="continue"/>
                  <w:noWrap/>
                  <w:vAlign w:val="center"/>
                </w:tcPr>
                <w:p>
                  <w:pPr>
                    <w:adjustRightInd w:val="0"/>
                    <w:snapToGrid w:val="0"/>
                    <w:jc w:val="center"/>
                    <w:rPr>
                      <w:color w:val="auto"/>
                      <w:szCs w:val="21"/>
                    </w:rPr>
                  </w:pPr>
                </w:p>
              </w:tc>
              <w:tc>
                <w:tcPr>
                  <w:tcW w:w="3340" w:type="dxa"/>
                  <w:noWrap/>
                  <w:vAlign w:val="center"/>
                </w:tcPr>
                <w:p>
                  <w:pPr>
                    <w:adjustRightInd w:val="0"/>
                    <w:snapToGrid w:val="0"/>
                    <w:jc w:val="center"/>
                    <w:rPr>
                      <w:color w:val="auto"/>
                      <w:szCs w:val="21"/>
                    </w:rPr>
                  </w:pPr>
                  <w:r>
                    <w:rPr>
                      <w:color w:val="auto"/>
                      <w:szCs w:val="21"/>
                    </w:rPr>
                    <w:t>（一）新建、扩建工业园区；</w:t>
                  </w:r>
                </w:p>
              </w:tc>
              <w:tc>
                <w:tcPr>
                  <w:tcW w:w="2126" w:type="dxa"/>
                  <w:noWrap/>
                  <w:vAlign w:val="center"/>
                </w:tcPr>
                <w:p>
                  <w:pPr>
                    <w:adjustRightInd w:val="0"/>
                    <w:snapToGrid w:val="0"/>
                    <w:jc w:val="center"/>
                    <w:rPr>
                      <w:color w:val="auto"/>
                      <w:szCs w:val="21"/>
                    </w:rPr>
                  </w:pPr>
                  <w:r>
                    <w:rPr>
                      <w:color w:val="auto"/>
                      <w:szCs w:val="21"/>
                    </w:rPr>
                    <w:t>项目不属于新、扩建工业园区</w:t>
                  </w:r>
                </w:p>
              </w:tc>
              <w:tc>
                <w:tcPr>
                  <w:tcW w:w="773" w:type="dxa"/>
                  <w:noWrap/>
                  <w:vAlign w:val="center"/>
                </w:tcPr>
                <w:p>
                  <w:pPr>
                    <w:adjustRightInd w:val="0"/>
                    <w:snapToGrid w:val="0"/>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398" w:type="dxa"/>
                  <w:vMerge w:val="continue"/>
                  <w:noWrap/>
                  <w:vAlign w:val="center"/>
                </w:tcPr>
                <w:p>
                  <w:pPr>
                    <w:adjustRightInd w:val="0"/>
                    <w:snapToGrid w:val="0"/>
                    <w:jc w:val="center"/>
                    <w:rPr>
                      <w:color w:val="auto"/>
                      <w:szCs w:val="21"/>
                    </w:rPr>
                  </w:pPr>
                </w:p>
              </w:tc>
              <w:tc>
                <w:tcPr>
                  <w:tcW w:w="3340" w:type="dxa"/>
                  <w:noWrap/>
                  <w:vAlign w:val="center"/>
                </w:tcPr>
                <w:p>
                  <w:pPr>
                    <w:adjustRightInd w:val="0"/>
                    <w:snapToGrid w:val="0"/>
                    <w:jc w:val="center"/>
                    <w:rPr>
                      <w:color w:val="auto"/>
                      <w:szCs w:val="21"/>
                    </w:rPr>
                  </w:pPr>
                  <w:r>
                    <w:rPr>
                      <w:color w:val="auto"/>
                      <w:szCs w:val="21"/>
                    </w:rPr>
                    <w:t>（二）新建、扩建重点水污染物排放的工业项目；</w:t>
                  </w:r>
                </w:p>
              </w:tc>
              <w:tc>
                <w:tcPr>
                  <w:tcW w:w="2126" w:type="dxa"/>
                  <w:noWrap/>
                  <w:vAlign w:val="center"/>
                </w:tcPr>
                <w:p>
                  <w:pPr>
                    <w:adjustRightInd w:val="0"/>
                    <w:snapToGrid w:val="0"/>
                    <w:jc w:val="center"/>
                    <w:rPr>
                      <w:color w:val="auto"/>
                      <w:szCs w:val="21"/>
                    </w:rPr>
                  </w:pPr>
                  <w:r>
                    <w:rPr>
                      <w:color w:val="auto"/>
                      <w:szCs w:val="21"/>
                    </w:rPr>
                    <w:t>项目不属于重点水污染物排放工业项目</w:t>
                  </w:r>
                  <w:r>
                    <w:rPr>
                      <w:rFonts w:hint="eastAsia"/>
                      <w:color w:val="auto"/>
                      <w:szCs w:val="21"/>
                    </w:rPr>
                    <w:t>，且项目废水零排放；</w:t>
                  </w:r>
                </w:p>
              </w:tc>
              <w:tc>
                <w:tcPr>
                  <w:tcW w:w="773" w:type="dxa"/>
                  <w:noWrap/>
                  <w:vAlign w:val="center"/>
                </w:tcPr>
                <w:p>
                  <w:pPr>
                    <w:adjustRightInd w:val="0"/>
                    <w:snapToGrid w:val="0"/>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398" w:type="dxa"/>
                  <w:vMerge w:val="continue"/>
                  <w:noWrap/>
                  <w:vAlign w:val="center"/>
                </w:tcPr>
                <w:p>
                  <w:pPr>
                    <w:adjustRightInd w:val="0"/>
                    <w:snapToGrid w:val="0"/>
                    <w:jc w:val="center"/>
                    <w:rPr>
                      <w:color w:val="auto"/>
                      <w:szCs w:val="21"/>
                    </w:rPr>
                  </w:pPr>
                </w:p>
              </w:tc>
              <w:tc>
                <w:tcPr>
                  <w:tcW w:w="3340" w:type="dxa"/>
                  <w:noWrap/>
                  <w:vAlign w:val="center"/>
                </w:tcPr>
                <w:p>
                  <w:pPr>
                    <w:adjustRightInd w:val="0"/>
                    <w:snapToGrid w:val="0"/>
                    <w:jc w:val="center"/>
                    <w:rPr>
                      <w:color w:val="auto"/>
                      <w:szCs w:val="21"/>
                    </w:rPr>
                  </w:pPr>
                  <w:r>
                    <w:rPr>
                      <w:color w:val="auto"/>
                      <w:szCs w:val="21"/>
                    </w:rPr>
                    <w:t>（三）新建、改建、扩建经营性陵园、公墓。</w:t>
                  </w:r>
                </w:p>
              </w:tc>
              <w:tc>
                <w:tcPr>
                  <w:tcW w:w="2126" w:type="dxa"/>
                  <w:noWrap/>
                  <w:vAlign w:val="center"/>
                </w:tcPr>
                <w:p>
                  <w:pPr>
                    <w:adjustRightInd w:val="0"/>
                    <w:snapToGrid w:val="0"/>
                    <w:jc w:val="center"/>
                    <w:rPr>
                      <w:color w:val="auto"/>
                      <w:szCs w:val="21"/>
                    </w:rPr>
                  </w:pPr>
                  <w:r>
                    <w:rPr>
                      <w:color w:val="auto"/>
                      <w:szCs w:val="21"/>
                    </w:rPr>
                    <w:t>项目不属于陵园、公墓</w:t>
                  </w:r>
                </w:p>
              </w:tc>
              <w:tc>
                <w:tcPr>
                  <w:tcW w:w="773" w:type="dxa"/>
                  <w:noWrap/>
                  <w:vAlign w:val="center"/>
                </w:tcPr>
                <w:p>
                  <w:pPr>
                    <w:adjustRightInd w:val="0"/>
                    <w:snapToGrid w:val="0"/>
                    <w:jc w:val="center"/>
                    <w:rPr>
                      <w:color w:val="auto"/>
                      <w:szCs w:val="21"/>
                    </w:rPr>
                  </w:pPr>
                  <w:r>
                    <w:rPr>
                      <w:color w:val="auto"/>
                      <w:szCs w:val="21"/>
                    </w:rPr>
                    <w:t>符合</w:t>
                  </w:r>
                </w:p>
              </w:tc>
            </w:tr>
          </w:tbl>
          <w:p>
            <w:pPr>
              <w:spacing w:line="360" w:lineRule="auto"/>
              <w:ind w:firstLine="480" w:firstLineChars="200"/>
              <w:rPr>
                <w:color w:val="auto"/>
                <w:sz w:val="24"/>
              </w:rPr>
            </w:pPr>
            <w:r>
              <w:rPr>
                <w:color w:val="auto"/>
                <w:sz w:val="24"/>
              </w:rPr>
              <w:t>综上所述，项目选址符合《云南省牛栏江保护条例》中的选址要求。</w:t>
            </w:r>
          </w:p>
          <w:p>
            <w:pPr>
              <w:spacing w:line="360" w:lineRule="auto"/>
              <w:ind w:firstLine="482" w:firstLineChars="200"/>
              <w:rPr>
                <w:b/>
                <w:bCs/>
                <w:color w:val="auto"/>
                <w:sz w:val="24"/>
              </w:rPr>
            </w:pPr>
            <w:r>
              <w:rPr>
                <w:rFonts w:hint="eastAsia"/>
                <w:b/>
                <w:bCs/>
                <w:color w:val="auto"/>
                <w:sz w:val="24"/>
              </w:rPr>
              <w:t>4</w:t>
            </w:r>
            <w:r>
              <w:rPr>
                <w:b/>
                <w:bCs/>
                <w:color w:val="auto"/>
                <w:sz w:val="24"/>
              </w:rPr>
              <w:t>、与《牛栏江流域（云南部分）水环境保护规划（2009~2030）》的相符性分析</w:t>
            </w:r>
          </w:p>
          <w:p>
            <w:pPr>
              <w:spacing w:line="360" w:lineRule="auto"/>
              <w:ind w:firstLine="480" w:firstLineChars="200"/>
              <w:rPr>
                <w:color w:val="auto"/>
                <w:sz w:val="24"/>
              </w:rPr>
            </w:pPr>
            <w:r>
              <w:rPr>
                <w:color w:val="auto"/>
                <w:sz w:val="24"/>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水源保护核心区包括牛栏江干流水面，河岸外围陆域1000米范围；德泽水库水面，库岸外围陆域2000m范围。涉及乡镇主要有牛栏江镇、塘子镇、河口乡、七星乡、德泽乡，面积为625.3km</w:t>
            </w:r>
            <w:r>
              <w:rPr>
                <w:color w:val="auto"/>
                <w:sz w:val="24"/>
                <w:vertAlign w:val="superscript"/>
              </w:rPr>
              <w:t>2</w:t>
            </w:r>
            <w:r>
              <w:rPr>
                <w:color w:val="auto"/>
                <w:sz w:val="24"/>
              </w:rPr>
              <w:t>，属于重点保护区。重点污染控制区主要是水源保护核心区边界外的坝区。涉及小哨乡、嵩阳镇、小街镇、杨桥乡、羊街镇、金所乡、月望乡、大坡乡、菱角乡、田坝乡十个乡镇，面积1892.56km</w:t>
            </w:r>
            <w:r>
              <w:rPr>
                <w:color w:val="auto"/>
                <w:sz w:val="24"/>
                <w:vertAlign w:val="superscript"/>
              </w:rPr>
              <w:t>2</w:t>
            </w:r>
            <w:r>
              <w:rPr>
                <w:color w:val="auto"/>
                <w:sz w:val="24"/>
              </w:rPr>
              <w:t>，属于污染重点治理区。水源涵养区包括除水源保护核心区、重点污染控制区以外的山地。涉及杨林镇、仁德镇、通泉镇、王家庄镇、马过河镇、旧县镇六个乡镇，面积1764.16km</w:t>
            </w:r>
            <w:r>
              <w:rPr>
                <w:color w:val="auto"/>
                <w:sz w:val="24"/>
                <w:vertAlign w:val="superscript"/>
              </w:rPr>
              <w:t>2</w:t>
            </w:r>
            <w:r>
              <w:rPr>
                <w:color w:val="auto"/>
                <w:sz w:val="24"/>
              </w:rPr>
              <w:t>。</w:t>
            </w:r>
          </w:p>
          <w:p>
            <w:pPr>
              <w:spacing w:line="360" w:lineRule="auto"/>
              <w:ind w:firstLine="480" w:firstLineChars="200"/>
              <w:rPr>
                <w:color w:val="auto"/>
                <w:sz w:val="24"/>
              </w:rPr>
            </w:pPr>
            <w:r>
              <w:rPr>
                <w:color w:val="auto"/>
                <w:sz w:val="24"/>
              </w:rPr>
              <w:t>项目位于云南省昆明市寻甸特色产业园区羊街片区，根据牛栏江水系功能规划图可知，项目区属于重点污染控制区。项目产生的废水主要为</w:t>
            </w:r>
            <w:r>
              <w:rPr>
                <w:rFonts w:hint="eastAsia"/>
                <w:color w:val="auto"/>
                <w:sz w:val="24"/>
              </w:rPr>
              <w:t>清洗废水、废气处理系统废水、冷却水等，</w:t>
            </w:r>
            <w:r>
              <w:rPr>
                <w:color w:val="auto"/>
                <w:sz w:val="24"/>
              </w:rPr>
              <w:t>固废为</w:t>
            </w:r>
            <w:r>
              <w:rPr>
                <w:rFonts w:hint="eastAsia"/>
                <w:color w:val="auto"/>
                <w:sz w:val="24"/>
              </w:rPr>
              <w:t>杂物、</w:t>
            </w:r>
            <w:r>
              <w:rPr>
                <w:color w:val="auto"/>
                <w:sz w:val="24"/>
              </w:rPr>
              <w:t>清洗泥渣、废滤网、</w:t>
            </w:r>
            <w:r>
              <w:rPr>
                <w:rFonts w:hint="eastAsia"/>
                <w:color w:val="auto"/>
                <w:sz w:val="24"/>
              </w:rPr>
              <w:t>不合格粒料、</w:t>
            </w:r>
            <w:r>
              <w:rPr>
                <w:rFonts w:hint="eastAsia"/>
                <w:color w:val="auto"/>
                <w:sz w:val="24"/>
                <w:lang w:val="en-US" w:eastAsia="zh-CN"/>
              </w:rPr>
              <w:t>生产废水处理设施</w:t>
            </w:r>
            <w:r>
              <w:rPr>
                <w:rFonts w:hint="eastAsia"/>
                <w:color w:val="auto"/>
                <w:sz w:val="24"/>
              </w:rPr>
              <w:t>污泥、</w:t>
            </w:r>
            <w:r>
              <w:rPr>
                <w:color w:val="auto"/>
                <w:sz w:val="24"/>
              </w:rPr>
              <w:t>废活性炭、</w:t>
            </w:r>
            <w:r>
              <w:rPr>
                <w:rFonts w:hint="eastAsia"/>
                <w:color w:val="auto"/>
                <w:sz w:val="24"/>
              </w:rPr>
              <w:t>废光氧管、</w:t>
            </w:r>
            <w:r>
              <w:rPr>
                <w:color w:val="auto"/>
                <w:sz w:val="24"/>
              </w:rPr>
              <w:t>维修废物及生活垃圾，均进行了完善的防治措施，不外排，满足零排放要求，综上所述项目建设符合《牛栏江流域（云南部分）水环境保护规划（2009~2030）》的相关要求</w:t>
            </w:r>
          </w:p>
          <w:p>
            <w:pPr>
              <w:snapToGrid w:val="0"/>
              <w:spacing w:line="360" w:lineRule="auto"/>
              <w:ind w:firstLine="482" w:firstLineChars="200"/>
              <w:rPr>
                <w:b/>
                <w:bCs/>
                <w:color w:val="auto"/>
                <w:kern w:val="0"/>
                <w:sz w:val="24"/>
              </w:rPr>
            </w:pPr>
            <w:r>
              <w:rPr>
                <w:rFonts w:hint="eastAsia"/>
                <w:b/>
                <w:bCs/>
                <w:color w:val="auto"/>
                <w:kern w:val="0"/>
                <w:sz w:val="24"/>
              </w:rPr>
              <w:t>5、</w:t>
            </w:r>
            <w:r>
              <w:rPr>
                <w:b/>
                <w:bCs/>
                <w:color w:val="auto"/>
                <w:kern w:val="0"/>
                <w:sz w:val="24"/>
              </w:rPr>
              <w:t>项目与《牛栏江流域（</w:t>
            </w:r>
            <w:r>
              <w:rPr>
                <w:rFonts w:hint="eastAsia"/>
                <w:b/>
                <w:bCs/>
                <w:color w:val="auto"/>
                <w:kern w:val="0"/>
                <w:sz w:val="24"/>
              </w:rPr>
              <w:t>昆明</w:t>
            </w:r>
            <w:r>
              <w:rPr>
                <w:b/>
                <w:bCs/>
                <w:color w:val="auto"/>
                <w:kern w:val="0"/>
                <w:sz w:val="24"/>
              </w:rPr>
              <w:t>段）水环境保护规划（20</w:t>
            </w:r>
            <w:r>
              <w:rPr>
                <w:rFonts w:hint="eastAsia"/>
                <w:b/>
                <w:bCs/>
                <w:color w:val="auto"/>
                <w:kern w:val="0"/>
                <w:sz w:val="24"/>
                <w:lang w:val="en-US" w:eastAsia="zh-CN"/>
              </w:rPr>
              <w:t>11</w:t>
            </w:r>
            <w:r>
              <w:rPr>
                <w:b/>
                <w:bCs/>
                <w:color w:val="auto"/>
                <w:kern w:val="0"/>
                <w:sz w:val="24"/>
              </w:rPr>
              <w:t>~2030）》的相符性分析</w:t>
            </w:r>
          </w:p>
          <w:p>
            <w:pPr>
              <w:autoSpaceDE w:val="0"/>
              <w:autoSpaceDN w:val="0"/>
              <w:snapToGrid w:val="0"/>
              <w:spacing w:line="360" w:lineRule="auto"/>
              <w:ind w:firstLine="480" w:firstLineChars="200"/>
              <w:rPr>
                <w:b/>
                <w:bCs/>
                <w:color w:val="auto"/>
                <w:kern w:val="0"/>
                <w:szCs w:val="21"/>
              </w:rPr>
            </w:pPr>
            <w:r>
              <w:rPr>
                <w:color w:val="auto"/>
                <w:kern w:val="0"/>
                <w:sz w:val="24"/>
              </w:rPr>
              <w:t>本项目位于</w:t>
            </w:r>
            <w:r>
              <w:rPr>
                <w:rFonts w:hint="eastAsia"/>
                <w:color w:val="auto"/>
                <w:sz w:val="24"/>
              </w:rPr>
              <w:t>寻甸特色产业园区羊街片区</w:t>
            </w:r>
            <w:r>
              <w:rPr>
                <w:color w:val="auto"/>
                <w:kern w:val="0"/>
                <w:sz w:val="24"/>
              </w:rPr>
              <w:t>，根据《牛栏江（</w:t>
            </w:r>
            <w:r>
              <w:rPr>
                <w:rFonts w:hint="eastAsia"/>
                <w:color w:val="auto"/>
                <w:kern w:val="0"/>
                <w:sz w:val="24"/>
              </w:rPr>
              <w:t>昆明</w:t>
            </w:r>
            <w:r>
              <w:rPr>
                <w:color w:val="auto"/>
                <w:kern w:val="0"/>
                <w:sz w:val="24"/>
              </w:rPr>
              <w:t>段）水环境保护规划（2011~2030）》规划图分析可知，本项目属于</w:t>
            </w:r>
            <w:r>
              <w:rPr>
                <w:rStyle w:val="94"/>
                <w:color w:val="auto"/>
                <w:sz w:val="24"/>
              </w:rPr>
              <w:t>重点污染控制区。项目选址与</w:t>
            </w:r>
            <w:r>
              <w:rPr>
                <w:color w:val="auto"/>
                <w:kern w:val="0"/>
                <w:sz w:val="24"/>
              </w:rPr>
              <w:t>《牛栏江（</w:t>
            </w:r>
            <w:r>
              <w:rPr>
                <w:rFonts w:hint="eastAsia"/>
                <w:color w:val="auto"/>
                <w:kern w:val="0"/>
                <w:sz w:val="24"/>
              </w:rPr>
              <w:t>昆明</w:t>
            </w:r>
            <w:r>
              <w:rPr>
                <w:color w:val="auto"/>
                <w:kern w:val="0"/>
                <w:sz w:val="24"/>
              </w:rPr>
              <w:t>段）水环境保护规划（</w:t>
            </w:r>
            <w:r>
              <w:rPr>
                <w:rFonts w:hint="eastAsia"/>
                <w:color w:val="auto"/>
                <w:kern w:val="0"/>
                <w:sz w:val="24"/>
                <w:lang w:val="en-US" w:eastAsia="zh-CN"/>
              </w:rPr>
              <w:t>2011</w:t>
            </w:r>
            <w:r>
              <w:rPr>
                <w:color w:val="auto"/>
                <w:kern w:val="0"/>
                <w:sz w:val="24"/>
              </w:rPr>
              <w:t>~2030）》中对重点污染控制区的水环境保护策略符合性分析详见表</w:t>
            </w:r>
            <w:r>
              <w:rPr>
                <w:rFonts w:hint="eastAsia"/>
                <w:color w:val="auto"/>
                <w:kern w:val="0"/>
                <w:sz w:val="24"/>
              </w:rPr>
              <w:t>1</w:t>
            </w:r>
            <w:r>
              <w:rPr>
                <w:color w:val="auto"/>
                <w:kern w:val="0"/>
                <w:sz w:val="24"/>
              </w:rPr>
              <w:t>-</w:t>
            </w:r>
            <w:r>
              <w:rPr>
                <w:rFonts w:hint="eastAsia"/>
                <w:color w:val="auto"/>
                <w:kern w:val="0"/>
                <w:sz w:val="24"/>
              </w:rPr>
              <w:t>4</w:t>
            </w:r>
            <w:r>
              <w:rPr>
                <w:color w:val="auto"/>
                <w:kern w:val="0"/>
                <w:sz w:val="24"/>
              </w:rPr>
              <w:t>。</w:t>
            </w:r>
          </w:p>
          <w:p>
            <w:pPr>
              <w:widowControl/>
              <w:snapToGrid w:val="0"/>
              <w:ind w:firstLine="422" w:firstLineChars="200"/>
              <w:jc w:val="center"/>
              <w:rPr>
                <w:color w:val="auto"/>
                <w:kern w:val="0"/>
                <w:sz w:val="24"/>
              </w:rPr>
            </w:pPr>
            <w:r>
              <w:rPr>
                <w:b/>
                <w:bCs/>
                <w:color w:val="auto"/>
                <w:kern w:val="0"/>
                <w:szCs w:val="21"/>
              </w:rPr>
              <w:t>表</w:t>
            </w:r>
            <w:r>
              <w:rPr>
                <w:rFonts w:hint="eastAsia"/>
                <w:b/>
                <w:bCs/>
                <w:color w:val="auto"/>
                <w:kern w:val="0"/>
                <w:szCs w:val="21"/>
              </w:rPr>
              <w:t>1</w:t>
            </w:r>
            <w:r>
              <w:rPr>
                <w:b/>
                <w:bCs/>
                <w:color w:val="auto"/>
                <w:kern w:val="0"/>
                <w:szCs w:val="21"/>
              </w:rPr>
              <w:t>-</w:t>
            </w:r>
            <w:r>
              <w:rPr>
                <w:rFonts w:hint="eastAsia"/>
                <w:b/>
                <w:bCs/>
                <w:color w:val="auto"/>
                <w:kern w:val="0"/>
                <w:szCs w:val="21"/>
              </w:rPr>
              <w:t>4</w:t>
            </w:r>
            <w:r>
              <w:rPr>
                <w:b/>
                <w:bCs/>
                <w:color w:val="auto"/>
                <w:kern w:val="0"/>
                <w:szCs w:val="21"/>
              </w:rPr>
              <w:t xml:space="preserve">  项目选址与《牛栏江流域（</w:t>
            </w:r>
            <w:r>
              <w:rPr>
                <w:rFonts w:hint="eastAsia"/>
                <w:b/>
                <w:bCs/>
                <w:color w:val="auto"/>
                <w:kern w:val="0"/>
                <w:szCs w:val="21"/>
              </w:rPr>
              <w:t>昆明</w:t>
            </w:r>
            <w:r>
              <w:rPr>
                <w:b/>
                <w:bCs/>
                <w:color w:val="auto"/>
                <w:kern w:val="0"/>
                <w:szCs w:val="21"/>
              </w:rPr>
              <w:t>段）水环境保护规划》对照分析</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2401"/>
              <w:gridCol w:w="3216"/>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339" w:type="pct"/>
                  <w:vAlign w:val="center"/>
                </w:tcPr>
                <w:p>
                  <w:pPr>
                    <w:adjustRightInd w:val="0"/>
                    <w:snapToGrid w:val="0"/>
                    <w:jc w:val="center"/>
                    <w:rPr>
                      <w:color w:val="auto"/>
                      <w:szCs w:val="21"/>
                    </w:rPr>
                  </w:pPr>
                  <w:r>
                    <w:rPr>
                      <w:color w:val="auto"/>
                      <w:szCs w:val="21"/>
                    </w:rPr>
                    <w:t>序号</w:t>
                  </w:r>
                </w:p>
              </w:tc>
              <w:tc>
                <w:tcPr>
                  <w:tcW w:w="1779" w:type="pct"/>
                  <w:vAlign w:val="center"/>
                </w:tcPr>
                <w:p>
                  <w:pPr>
                    <w:adjustRightInd w:val="0"/>
                    <w:snapToGrid w:val="0"/>
                    <w:jc w:val="center"/>
                    <w:rPr>
                      <w:color w:val="auto"/>
                      <w:szCs w:val="21"/>
                    </w:rPr>
                  </w:pPr>
                  <w:r>
                    <w:rPr>
                      <w:color w:val="auto"/>
                      <w:szCs w:val="21"/>
                    </w:rPr>
                    <w:t>《牛栏江流域（昆明段）水环境保护规划》选址条件</w:t>
                  </w:r>
                </w:p>
              </w:tc>
              <w:tc>
                <w:tcPr>
                  <w:tcW w:w="2384" w:type="pct"/>
                  <w:vAlign w:val="center"/>
                </w:tcPr>
                <w:p>
                  <w:pPr>
                    <w:adjustRightInd w:val="0"/>
                    <w:snapToGrid w:val="0"/>
                    <w:jc w:val="center"/>
                    <w:rPr>
                      <w:color w:val="auto"/>
                      <w:szCs w:val="21"/>
                    </w:rPr>
                  </w:pPr>
                  <w:r>
                    <w:rPr>
                      <w:color w:val="auto"/>
                      <w:szCs w:val="21"/>
                    </w:rPr>
                    <w:t>本项目实际情况</w:t>
                  </w:r>
                </w:p>
              </w:tc>
              <w:tc>
                <w:tcPr>
                  <w:tcW w:w="497" w:type="pct"/>
                  <w:vAlign w:val="center"/>
                </w:tcPr>
                <w:p>
                  <w:pPr>
                    <w:adjustRightInd w:val="0"/>
                    <w:snapToGrid w:val="0"/>
                    <w:jc w:val="center"/>
                    <w:rPr>
                      <w:color w:val="auto"/>
                      <w:szCs w:val="21"/>
                    </w:rPr>
                  </w:pPr>
                  <w:r>
                    <w:rPr>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339" w:type="pct"/>
                  <w:vMerge w:val="restart"/>
                  <w:vAlign w:val="center"/>
                </w:tcPr>
                <w:p>
                  <w:pPr>
                    <w:adjustRightInd w:val="0"/>
                    <w:snapToGrid w:val="0"/>
                    <w:jc w:val="center"/>
                    <w:rPr>
                      <w:color w:val="auto"/>
                      <w:szCs w:val="21"/>
                    </w:rPr>
                  </w:pPr>
                  <w:r>
                    <w:rPr>
                      <w:color w:val="auto"/>
                      <w:szCs w:val="21"/>
                    </w:rPr>
                    <w:t>1</w:t>
                  </w:r>
                </w:p>
              </w:tc>
              <w:tc>
                <w:tcPr>
                  <w:tcW w:w="1779" w:type="pct"/>
                  <w:vAlign w:val="center"/>
                </w:tcPr>
                <w:p>
                  <w:pPr>
                    <w:adjustRightInd w:val="0"/>
                    <w:snapToGrid w:val="0"/>
                    <w:jc w:val="center"/>
                    <w:rPr>
                      <w:color w:val="auto"/>
                      <w:szCs w:val="21"/>
                    </w:rPr>
                  </w:pPr>
                  <w:r>
                    <w:rPr>
                      <w:color w:val="auto"/>
                      <w:szCs w:val="21"/>
                    </w:rPr>
                    <w:t>加强对重点工业污染源的监督，确保牛栏江流域（昆明段）内重点企业污水稳定达标排放并实现“零排放”。</w:t>
                  </w:r>
                </w:p>
              </w:tc>
              <w:tc>
                <w:tcPr>
                  <w:tcW w:w="2384" w:type="pct"/>
                  <w:vAlign w:val="center"/>
                </w:tcPr>
                <w:p>
                  <w:pPr>
                    <w:adjustRightInd w:val="0"/>
                    <w:snapToGrid w:val="0"/>
                    <w:jc w:val="center"/>
                    <w:rPr>
                      <w:color w:val="auto"/>
                      <w:szCs w:val="21"/>
                    </w:rPr>
                  </w:pPr>
                  <w:r>
                    <w:rPr>
                      <w:rFonts w:hint="eastAsia"/>
                      <w:color w:val="auto"/>
                      <w:szCs w:val="21"/>
                      <w:lang w:val="zh-CN" w:bidi="ar"/>
                    </w:rPr>
                    <w:t>项目生产</w:t>
                  </w:r>
                  <w:r>
                    <w:rPr>
                      <w:rFonts w:hint="eastAsia"/>
                      <w:color w:val="auto"/>
                      <w:szCs w:val="21"/>
                      <w:lang w:bidi="ar"/>
                    </w:rPr>
                    <w:t>废水循环使用，生活污水经处理达标后，用于绿化及道路场地洒水，不外排</w:t>
                  </w:r>
                  <w:r>
                    <w:rPr>
                      <w:rFonts w:hint="eastAsia"/>
                      <w:color w:val="auto"/>
                      <w:szCs w:val="21"/>
                    </w:rPr>
                    <w:t>。</w:t>
                  </w:r>
                </w:p>
              </w:tc>
              <w:tc>
                <w:tcPr>
                  <w:tcW w:w="497" w:type="pct"/>
                  <w:vAlign w:val="center"/>
                </w:tcPr>
                <w:p>
                  <w:pPr>
                    <w:adjustRightInd w:val="0"/>
                    <w:snapToGrid w:val="0"/>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2" w:hRule="atLeast"/>
                <w:jc w:val="center"/>
              </w:trPr>
              <w:tc>
                <w:tcPr>
                  <w:tcW w:w="339" w:type="pct"/>
                  <w:vMerge w:val="continue"/>
                  <w:vAlign w:val="center"/>
                </w:tcPr>
                <w:p>
                  <w:pPr>
                    <w:adjustRightInd w:val="0"/>
                    <w:snapToGrid w:val="0"/>
                    <w:jc w:val="center"/>
                    <w:rPr>
                      <w:color w:val="auto"/>
                      <w:szCs w:val="21"/>
                    </w:rPr>
                  </w:pPr>
                </w:p>
              </w:tc>
              <w:tc>
                <w:tcPr>
                  <w:tcW w:w="1779" w:type="pct"/>
                  <w:vAlign w:val="center"/>
                </w:tcPr>
                <w:p>
                  <w:pPr>
                    <w:adjustRightInd w:val="0"/>
                    <w:snapToGrid w:val="0"/>
                    <w:jc w:val="center"/>
                    <w:rPr>
                      <w:color w:val="auto"/>
                      <w:szCs w:val="21"/>
                    </w:rPr>
                  </w:pPr>
                  <w:r>
                    <w:rPr>
                      <w:color w:val="auto"/>
                      <w:szCs w:val="21"/>
                    </w:rPr>
                    <w:t>固体废弃物最大程度重复利用和安全处置，消除工业企业的环境安全隐患，确保环保设施的正常运行，杜绝工业企业偷排、漏排污染物的现象。</w:t>
                  </w:r>
                </w:p>
              </w:tc>
              <w:tc>
                <w:tcPr>
                  <w:tcW w:w="2384" w:type="pct"/>
                  <w:vAlign w:val="center"/>
                </w:tcPr>
                <w:p>
                  <w:pPr>
                    <w:adjustRightInd w:val="0"/>
                    <w:snapToGrid w:val="0"/>
                    <w:jc w:val="center"/>
                    <w:rPr>
                      <w:color w:val="auto"/>
                      <w:szCs w:val="21"/>
                    </w:rPr>
                  </w:pPr>
                  <w:r>
                    <w:rPr>
                      <w:color w:val="auto"/>
                      <w:szCs w:val="21"/>
                    </w:rPr>
                    <w:t>项目</w:t>
                  </w:r>
                  <w:r>
                    <w:rPr>
                      <w:rFonts w:hint="eastAsia"/>
                      <w:color w:val="auto"/>
                      <w:szCs w:val="21"/>
                    </w:rPr>
                    <w:t>除铁、除渣机杂物收集后能回收利用的外卖废品回收站，不能回收利用的及时清运至园区指定地点由环卫部门集中清运处置；清洗泥渣收集后外售给当地砖厂制砖；废滤网外售合法且具备废滤网回收再生能力的单位回收处置；不合格粒料返回熔融机重新进场熔融处理；</w:t>
                  </w:r>
                  <w:r>
                    <w:rPr>
                      <w:rFonts w:hint="eastAsia"/>
                      <w:color w:val="auto"/>
                      <w:lang w:val="en-US" w:eastAsia="zh-CN"/>
                    </w:rPr>
                    <w:t>生产废水处理设施</w:t>
                  </w:r>
                  <w:r>
                    <w:rPr>
                      <w:rFonts w:hint="eastAsia"/>
                      <w:color w:val="auto"/>
                      <w:szCs w:val="21"/>
                    </w:rPr>
                    <w:t>污泥</w:t>
                  </w:r>
                  <w:r>
                    <w:rPr>
                      <w:rFonts w:hint="eastAsia"/>
                      <w:color w:val="auto"/>
                      <w:lang w:val="en-US" w:eastAsia="zh-CN"/>
                    </w:rPr>
                    <w:t>经鉴定后再处置，若为Ⅰ类一般固废外售当地砖厂制砖，否则按相关要求委托资质单位处置</w:t>
                  </w:r>
                  <w:r>
                    <w:rPr>
                      <w:rFonts w:hint="eastAsia"/>
                      <w:color w:val="auto"/>
                      <w:szCs w:val="21"/>
                    </w:rPr>
                    <w:t>；生活垃圾分类收集及时清运至园区指定地点由环卫部门集中处置；</w:t>
                  </w:r>
                  <w:r>
                    <w:rPr>
                      <w:color w:val="auto"/>
                      <w:szCs w:val="21"/>
                    </w:rPr>
                    <w:t>食堂泔水、隔油池废油脂</w:t>
                  </w:r>
                  <w:r>
                    <w:rPr>
                      <w:color w:val="auto"/>
                      <w:szCs w:val="21"/>
                      <w:lang w:val="zh-CN"/>
                    </w:rPr>
                    <w:t>统一收集</w:t>
                  </w:r>
                  <w:r>
                    <w:rPr>
                      <w:color w:val="auto"/>
                      <w:szCs w:val="21"/>
                    </w:rPr>
                    <w:t>后</w:t>
                  </w:r>
                  <w:r>
                    <w:rPr>
                      <w:color w:val="auto"/>
                      <w:szCs w:val="21"/>
                      <w:lang w:val="zh-CN"/>
                    </w:rPr>
                    <w:t>委托有资质单位进行处置；</w:t>
                  </w:r>
                  <w:r>
                    <w:rPr>
                      <w:rFonts w:hint="eastAsia"/>
                      <w:color w:val="auto"/>
                      <w:szCs w:val="21"/>
                    </w:rPr>
                    <w:t>废机油、</w:t>
                  </w:r>
                  <w:r>
                    <w:rPr>
                      <w:color w:val="auto"/>
                      <w:szCs w:val="21"/>
                    </w:rPr>
                    <w:t>废活性炭、</w:t>
                  </w:r>
                  <w:r>
                    <w:rPr>
                      <w:rFonts w:hint="eastAsia"/>
                      <w:color w:val="auto"/>
                      <w:szCs w:val="21"/>
                    </w:rPr>
                    <w:t>废光氧管等危险废物</w:t>
                  </w:r>
                  <w:r>
                    <w:rPr>
                      <w:color w:val="auto"/>
                      <w:szCs w:val="21"/>
                    </w:rPr>
                    <w:t>分类收集后暂存于危险废物暂存间内，定期委托有资质的单位清运处置。固废处置率为100%</w:t>
                  </w:r>
                  <w:r>
                    <w:rPr>
                      <w:rFonts w:hint="eastAsia"/>
                      <w:color w:val="auto"/>
                      <w:szCs w:val="21"/>
                    </w:rPr>
                    <w:t>。</w:t>
                  </w:r>
                </w:p>
              </w:tc>
              <w:tc>
                <w:tcPr>
                  <w:tcW w:w="497" w:type="pct"/>
                  <w:vAlign w:val="center"/>
                </w:tcPr>
                <w:p>
                  <w:pPr>
                    <w:adjustRightInd w:val="0"/>
                    <w:snapToGrid w:val="0"/>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8" w:hRule="atLeast"/>
                <w:jc w:val="center"/>
              </w:trPr>
              <w:tc>
                <w:tcPr>
                  <w:tcW w:w="339" w:type="pct"/>
                  <w:vAlign w:val="center"/>
                </w:tcPr>
                <w:p>
                  <w:pPr>
                    <w:adjustRightInd w:val="0"/>
                    <w:snapToGrid w:val="0"/>
                    <w:jc w:val="center"/>
                    <w:rPr>
                      <w:color w:val="auto"/>
                      <w:szCs w:val="21"/>
                    </w:rPr>
                  </w:pPr>
                  <w:r>
                    <w:rPr>
                      <w:color w:val="auto"/>
                      <w:szCs w:val="21"/>
                    </w:rPr>
                    <w:t>2</w:t>
                  </w:r>
                </w:p>
              </w:tc>
              <w:tc>
                <w:tcPr>
                  <w:tcW w:w="1779" w:type="pct"/>
                  <w:vAlign w:val="center"/>
                </w:tcPr>
                <w:p>
                  <w:pPr>
                    <w:adjustRightInd w:val="0"/>
                    <w:snapToGrid w:val="0"/>
                    <w:jc w:val="center"/>
                    <w:rPr>
                      <w:color w:val="auto"/>
                      <w:szCs w:val="21"/>
                    </w:rPr>
                  </w:pPr>
                  <w:r>
                    <w:rPr>
                      <w:color w:val="auto"/>
                      <w:szCs w:val="21"/>
                    </w:rPr>
                    <w:t>建设再生水回用系统，污染控制区内不得建设不符合国家产业政策的工业项目及高污染工业项目</w:t>
                  </w:r>
                  <w:r>
                    <w:rPr>
                      <w:rFonts w:hint="eastAsia"/>
                      <w:color w:val="auto"/>
                      <w:szCs w:val="21"/>
                    </w:rPr>
                    <w:t>。</w:t>
                  </w:r>
                </w:p>
              </w:tc>
              <w:tc>
                <w:tcPr>
                  <w:tcW w:w="2384" w:type="pct"/>
                  <w:vAlign w:val="center"/>
                </w:tcPr>
                <w:p>
                  <w:pPr>
                    <w:adjustRightInd w:val="0"/>
                    <w:snapToGrid w:val="0"/>
                    <w:jc w:val="center"/>
                    <w:rPr>
                      <w:color w:val="auto"/>
                      <w:szCs w:val="21"/>
                    </w:rPr>
                  </w:pPr>
                  <w:r>
                    <w:rPr>
                      <w:color w:val="auto"/>
                      <w:szCs w:val="21"/>
                    </w:rPr>
                    <w:t>项目不属于高污染工业项目，</w:t>
                  </w:r>
                  <w:r>
                    <w:rPr>
                      <w:rStyle w:val="41"/>
                      <w:color w:val="auto"/>
                      <w:sz w:val="21"/>
                      <w:szCs w:val="21"/>
                    </w:rPr>
                    <w:t>不属于限制类和淘汰类项目</w:t>
                  </w:r>
                  <w:r>
                    <w:rPr>
                      <w:color w:val="auto"/>
                      <w:szCs w:val="21"/>
                    </w:rPr>
                    <w:t>，符合国家产业政策</w:t>
                  </w:r>
                  <w:r>
                    <w:rPr>
                      <w:rFonts w:hint="eastAsia"/>
                      <w:color w:val="auto"/>
                      <w:szCs w:val="21"/>
                    </w:rPr>
                    <w:t>。</w:t>
                  </w:r>
                </w:p>
              </w:tc>
              <w:tc>
                <w:tcPr>
                  <w:tcW w:w="497" w:type="pct"/>
                  <w:vAlign w:val="center"/>
                </w:tcPr>
                <w:p>
                  <w:pPr>
                    <w:adjustRightInd w:val="0"/>
                    <w:snapToGrid w:val="0"/>
                    <w:jc w:val="center"/>
                    <w:rPr>
                      <w:color w:val="auto"/>
                      <w:szCs w:val="21"/>
                    </w:rPr>
                  </w:pPr>
                  <w:r>
                    <w:rPr>
                      <w:color w:val="auto"/>
                      <w:szCs w:val="21"/>
                    </w:rPr>
                    <w:t>符合</w:t>
                  </w:r>
                </w:p>
              </w:tc>
            </w:tr>
          </w:tbl>
          <w:p>
            <w:pPr>
              <w:pStyle w:val="12"/>
              <w:rPr>
                <w:b/>
                <w:bCs/>
                <w:color w:val="auto"/>
                <w:sz w:val="24"/>
              </w:rPr>
            </w:pPr>
            <w:r>
              <w:rPr>
                <w:color w:val="auto"/>
                <w:sz w:val="24"/>
              </w:rPr>
              <w:t>综上所述，项目</w:t>
            </w:r>
            <w:r>
              <w:rPr>
                <w:rFonts w:hint="eastAsia"/>
                <w:color w:val="auto"/>
                <w:sz w:val="24"/>
              </w:rPr>
              <w:t>与</w:t>
            </w:r>
            <w:r>
              <w:rPr>
                <w:color w:val="auto"/>
                <w:sz w:val="24"/>
              </w:rPr>
              <w:t>《牛栏江（昆明段）水环境保护规划（2011~2030）》</w:t>
            </w:r>
            <w:r>
              <w:rPr>
                <w:rFonts w:hint="eastAsia"/>
                <w:color w:val="auto"/>
                <w:sz w:val="24"/>
              </w:rPr>
              <w:t>相符</w:t>
            </w:r>
            <w:r>
              <w:rPr>
                <w:color w:val="auto"/>
                <w:sz w:val="24"/>
              </w:rPr>
              <w:t>。</w:t>
            </w:r>
          </w:p>
          <w:p>
            <w:pPr>
              <w:spacing w:line="360" w:lineRule="auto"/>
              <w:ind w:firstLine="482" w:firstLineChars="200"/>
              <w:rPr>
                <w:b/>
                <w:bCs/>
                <w:color w:val="auto"/>
                <w:sz w:val="24"/>
              </w:rPr>
            </w:pPr>
            <w:r>
              <w:rPr>
                <w:rFonts w:hint="eastAsia"/>
                <w:b/>
                <w:bCs/>
                <w:color w:val="auto"/>
                <w:sz w:val="24"/>
              </w:rPr>
              <w:t>6</w:t>
            </w:r>
            <w:r>
              <w:rPr>
                <w:b/>
                <w:bCs/>
                <w:color w:val="auto"/>
                <w:sz w:val="24"/>
              </w:rPr>
              <w:t>、与《牛栏江流域（寻甸段）水环境保护规划（2011~2030）》符合性分析</w:t>
            </w:r>
          </w:p>
          <w:p>
            <w:pPr>
              <w:spacing w:line="360" w:lineRule="auto"/>
              <w:ind w:firstLine="480" w:firstLineChars="200"/>
              <w:rPr>
                <w:color w:val="auto"/>
                <w:sz w:val="24"/>
              </w:rPr>
            </w:pPr>
            <w:r>
              <w:rPr>
                <w:color w:val="auto"/>
                <w:sz w:val="24"/>
              </w:rPr>
              <w:t>根据《牛栏江流域（寻甸段）水环境保护规划（2011~2030）》可知，牛栏江流域（寻甸段）水环境分区范围涉及规划区干流及主要支流（前进河、羊街河、马龙河、尹武河等）河流径流区。规划区分为3个保护区：水源保护核心区、重点污染控制区、重点水源涵养区，各分区范围节点如下：</w:t>
            </w:r>
          </w:p>
          <w:p>
            <w:pPr>
              <w:spacing w:line="360" w:lineRule="auto"/>
              <w:ind w:firstLine="480" w:firstLineChars="200"/>
              <w:rPr>
                <w:color w:val="auto"/>
                <w:sz w:val="24"/>
              </w:rPr>
            </w:pPr>
            <w:r>
              <w:rPr>
                <w:color w:val="auto"/>
                <w:sz w:val="24"/>
              </w:rPr>
              <w:t>（1）水源保护核心区范围为牛栏江流域（寻甸段）干流1000m范围。</w:t>
            </w:r>
          </w:p>
          <w:p>
            <w:pPr>
              <w:spacing w:line="360" w:lineRule="auto"/>
              <w:ind w:firstLine="480" w:firstLineChars="200"/>
              <w:rPr>
                <w:color w:val="auto"/>
                <w:sz w:val="24"/>
              </w:rPr>
            </w:pPr>
            <w:r>
              <w:rPr>
                <w:color w:val="auto"/>
                <w:sz w:val="24"/>
              </w:rPr>
              <w:t>水源保护核心区分为禁止建设区、限制建设区两个区，禁止建设区范围指干流河面水域及沿岸外延200m的区域，限制建设区范围指干流沿岸外200m—1000m之间的区域。</w:t>
            </w:r>
          </w:p>
          <w:p>
            <w:pPr>
              <w:spacing w:line="360" w:lineRule="auto"/>
              <w:ind w:firstLine="480" w:firstLineChars="200"/>
              <w:rPr>
                <w:color w:val="auto"/>
                <w:sz w:val="24"/>
              </w:rPr>
            </w:pPr>
            <w:r>
              <w:rPr>
                <w:color w:val="auto"/>
                <w:sz w:val="24"/>
              </w:rPr>
              <w:t>（2）重点污染控制区</w:t>
            </w:r>
          </w:p>
          <w:p>
            <w:pPr>
              <w:spacing w:line="360" w:lineRule="auto"/>
              <w:ind w:firstLine="480" w:firstLineChars="200"/>
              <w:rPr>
                <w:color w:val="auto"/>
                <w:sz w:val="24"/>
              </w:rPr>
            </w:pPr>
            <w:r>
              <w:rPr>
                <w:color w:val="auto"/>
                <w:sz w:val="24"/>
              </w:rPr>
              <w:t>重点污染控制区范围指水体保护核心区外，主要入江支流水域外延3000m的区域和流域范围内的坝区，若区域范围超过一级山脊，按一级山脊线划定。</w:t>
            </w:r>
          </w:p>
          <w:p>
            <w:pPr>
              <w:spacing w:line="360" w:lineRule="auto"/>
              <w:ind w:firstLine="480" w:firstLineChars="200"/>
              <w:rPr>
                <w:color w:val="auto"/>
                <w:sz w:val="24"/>
              </w:rPr>
            </w:pPr>
            <w:r>
              <w:rPr>
                <w:color w:val="auto"/>
                <w:sz w:val="24"/>
              </w:rPr>
              <w:t>（3）重点水源涵养区</w:t>
            </w:r>
          </w:p>
          <w:p>
            <w:pPr>
              <w:spacing w:line="360" w:lineRule="auto"/>
              <w:ind w:firstLine="480" w:firstLineChars="200"/>
              <w:rPr>
                <w:color w:val="auto"/>
                <w:sz w:val="24"/>
              </w:rPr>
            </w:pPr>
            <w:r>
              <w:rPr>
                <w:color w:val="auto"/>
                <w:sz w:val="24"/>
              </w:rPr>
              <w:t>重点水源涵养区范围指流域范围内除水源保护核心区、重点污染控制区以外的区域。</w:t>
            </w:r>
          </w:p>
          <w:p>
            <w:pPr>
              <w:adjustRightInd w:val="0"/>
              <w:snapToGrid w:val="0"/>
              <w:spacing w:line="360" w:lineRule="auto"/>
              <w:ind w:firstLine="480"/>
              <w:jc w:val="left"/>
              <w:rPr>
                <w:color w:val="auto"/>
                <w:sz w:val="24"/>
              </w:rPr>
            </w:pPr>
            <w:r>
              <w:rPr>
                <w:color w:val="auto"/>
                <w:sz w:val="24"/>
              </w:rPr>
              <w:t>项目位于寻甸县白龙潭云南旭东集团内，属于《云南省牛栏江保护条例》中的属于重点污染控制区。根据《牛栏江（寻甸段）水环境保护规划（2011~2030）》对重点污染控制区的水环境保护策略分析项目选址符合性</w:t>
            </w:r>
          </w:p>
          <w:p>
            <w:pPr>
              <w:widowControl/>
              <w:adjustRightInd w:val="0"/>
              <w:snapToGrid w:val="0"/>
              <w:spacing w:line="360" w:lineRule="auto"/>
              <w:ind w:firstLine="482"/>
              <w:jc w:val="center"/>
              <w:rPr>
                <w:b/>
                <w:color w:val="auto"/>
                <w:sz w:val="24"/>
              </w:rPr>
            </w:pPr>
            <w:r>
              <w:rPr>
                <w:b/>
                <w:color w:val="auto"/>
                <w:sz w:val="24"/>
              </w:rPr>
              <w:t>表1-</w:t>
            </w:r>
            <w:r>
              <w:rPr>
                <w:rFonts w:hint="eastAsia"/>
                <w:b/>
                <w:color w:val="auto"/>
                <w:sz w:val="24"/>
              </w:rPr>
              <w:t>5</w:t>
            </w:r>
            <w:r>
              <w:rPr>
                <w:b/>
                <w:color w:val="auto"/>
                <w:sz w:val="24"/>
              </w:rPr>
              <w:t xml:space="preserve"> 项目选址与《牛栏江流域（寻甸段）水环境保护规划》对照分析</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2560"/>
              <w:gridCol w:w="3369"/>
              <w:gridCol w:w="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5" w:hRule="atLeast"/>
                <w:jc w:val="center"/>
              </w:trPr>
              <w:tc>
                <w:tcPr>
                  <w:tcW w:w="287" w:type="pct"/>
                  <w:noWrap/>
                  <w:vAlign w:val="center"/>
                </w:tcPr>
                <w:p>
                  <w:pPr>
                    <w:adjustRightInd w:val="0"/>
                    <w:snapToGrid w:val="0"/>
                    <w:jc w:val="center"/>
                    <w:rPr>
                      <w:b/>
                      <w:bCs/>
                      <w:color w:val="auto"/>
                      <w:szCs w:val="21"/>
                    </w:rPr>
                  </w:pPr>
                  <w:r>
                    <w:rPr>
                      <w:b/>
                      <w:bCs/>
                      <w:color w:val="auto"/>
                      <w:szCs w:val="21"/>
                    </w:rPr>
                    <w:t>序号</w:t>
                  </w:r>
                </w:p>
              </w:tc>
              <w:tc>
                <w:tcPr>
                  <w:tcW w:w="1897" w:type="pct"/>
                  <w:noWrap/>
                  <w:vAlign w:val="center"/>
                </w:tcPr>
                <w:p>
                  <w:pPr>
                    <w:adjustRightInd w:val="0"/>
                    <w:snapToGrid w:val="0"/>
                    <w:jc w:val="center"/>
                    <w:rPr>
                      <w:b/>
                      <w:bCs/>
                      <w:color w:val="auto"/>
                      <w:szCs w:val="21"/>
                    </w:rPr>
                  </w:pPr>
                  <w:r>
                    <w:rPr>
                      <w:b/>
                      <w:bCs/>
                      <w:color w:val="auto"/>
                      <w:szCs w:val="21"/>
                    </w:rPr>
                    <w:t>《牛栏江流域（寻甸段）水环境保护规划》选址条件</w:t>
                  </w:r>
                </w:p>
              </w:tc>
              <w:tc>
                <w:tcPr>
                  <w:tcW w:w="2497" w:type="pct"/>
                  <w:noWrap/>
                  <w:vAlign w:val="center"/>
                </w:tcPr>
                <w:p>
                  <w:pPr>
                    <w:adjustRightInd w:val="0"/>
                    <w:snapToGrid w:val="0"/>
                    <w:jc w:val="center"/>
                    <w:rPr>
                      <w:b/>
                      <w:bCs/>
                      <w:color w:val="auto"/>
                      <w:szCs w:val="21"/>
                    </w:rPr>
                  </w:pPr>
                  <w:r>
                    <w:rPr>
                      <w:b/>
                      <w:bCs/>
                      <w:color w:val="auto"/>
                      <w:szCs w:val="21"/>
                    </w:rPr>
                    <w:t>本项目实际情况</w:t>
                  </w:r>
                </w:p>
              </w:tc>
              <w:tc>
                <w:tcPr>
                  <w:tcW w:w="317" w:type="pct"/>
                  <w:noWrap/>
                  <w:vAlign w:val="center"/>
                </w:tcPr>
                <w:p>
                  <w:pPr>
                    <w:adjustRightInd w:val="0"/>
                    <w:snapToGrid w:val="0"/>
                    <w:jc w:val="center"/>
                    <w:rPr>
                      <w:b/>
                      <w:bCs/>
                      <w:color w:val="auto"/>
                      <w:szCs w:val="21"/>
                    </w:rPr>
                  </w:pPr>
                  <w:r>
                    <w:rPr>
                      <w:b/>
                      <w:bCs/>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7" w:type="pct"/>
                  <w:vMerge w:val="restart"/>
                  <w:noWrap/>
                  <w:vAlign w:val="center"/>
                </w:tcPr>
                <w:p>
                  <w:pPr>
                    <w:adjustRightInd w:val="0"/>
                    <w:snapToGrid w:val="0"/>
                    <w:jc w:val="center"/>
                    <w:rPr>
                      <w:color w:val="auto"/>
                      <w:szCs w:val="21"/>
                    </w:rPr>
                  </w:pPr>
                  <w:r>
                    <w:rPr>
                      <w:color w:val="auto"/>
                      <w:szCs w:val="21"/>
                    </w:rPr>
                    <w:t>1</w:t>
                  </w:r>
                </w:p>
              </w:tc>
              <w:tc>
                <w:tcPr>
                  <w:tcW w:w="2560" w:type="dxa"/>
                  <w:noWrap/>
                  <w:vAlign w:val="center"/>
                </w:tcPr>
                <w:p>
                  <w:pPr>
                    <w:rPr>
                      <w:color w:val="auto"/>
                      <w:szCs w:val="21"/>
                    </w:rPr>
                  </w:pPr>
                  <w:r>
                    <w:rPr>
                      <w:color w:val="auto"/>
                      <w:szCs w:val="21"/>
                    </w:rPr>
                    <w:t>加强对重点工业污染源的监督，确保牛栏江流域（寻甸段）内重点企业污水稳定达标排放并实现“零排放”。</w:t>
                  </w:r>
                </w:p>
              </w:tc>
              <w:tc>
                <w:tcPr>
                  <w:tcW w:w="3369" w:type="dxa"/>
                  <w:noWrap/>
                  <w:vAlign w:val="center"/>
                </w:tcPr>
                <w:p>
                  <w:pPr>
                    <w:rPr>
                      <w:color w:val="auto"/>
                      <w:szCs w:val="21"/>
                    </w:rPr>
                  </w:pPr>
                  <w:r>
                    <w:rPr>
                      <w:color w:val="auto"/>
                      <w:kern w:val="0"/>
                      <w:szCs w:val="21"/>
                    </w:rPr>
                    <w:t>项目生产废水循环使用不外排。</w:t>
                  </w:r>
                  <w:r>
                    <w:rPr>
                      <w:color w:val="auto"/>
                      <w:szCs w:val="21"/>
                    </w:rPr>
                    <w:t>生活污水</w:t>
                  </w:r>
                  <w:r>
                    <w:rPr>
                      <w:rFonts w:hint="eastAsia"/>
                      <w:color w:val="auto"/>
                      <w:szCs w:val="21"/>
                    </w:rPr>
                    <w:t>依托</w:t>
                  </w:r>
                  <w:r>
                    <w:rPr>
                      <w:color w:val="auto"/>
                      <w:szCs w:val="21"/>
                    </w:rPr>
                    <w:t>云南鹏腾机械设备制造有限公司污水处理设施处理后，回用于绿化，不外排。</w:t>
                  </w:r>
                </w:p>
              </w:tc>
              <w:tc>
                <w:tcPr>
                  <w:tcW w:w="317" w:type="pct"/>
                  <w:noWrap/>
                  <w:vAlign w:val="center"/>
                </w:tcPr>
                <w:p>
                  <w:pPr>
                    <w:adjustRightInd w:val="0"/>
                    <w:snapToGrid w:val="0"/>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0" w:hRule="atLeast"/>
                <w:jc w:val="center"/>
              </w:trPr>
              <w:tc>
                <w:tcPr>
                  <w:tcW w:w="287" w:type="pct"/>
                  <w:vMerge w:val="continue"/>
                  <w:noWrap/>
                  <w:vAlign w:val="center"/>
                </w:tcPr>
                <w:p>
                  <w:pPr>
                    <w:adjustRightInd w:val="0"/>
                    <w:snapToGrid w:val="0"/>
                    <w:jc w:val="center"/>
                    <w:rPr>
                      <w:color w:val="auto"/>
                      <w:szCs w:val="21"/>
                    </w:rPr>
                  </w:pPr>
                </w:p>
              </w:tc>
              <w:tc>
                <w:tcPr>
                  <w:tcW w:w="2560" w:type="dxa"/>
                  <w:noWrap/>
                  <w:vAlign w:val="center"/>
                </w:tcPr>
                <w:p>
                  <w:pPr>
                    <w:rPr>
                      <w:color w:val="auto"/>
                      <w:szCs w:val="21"/>
                    </w:rPr>
                  </w:pPr>
                  <w:r>
                    <w:rPr>
                      <w:color w:val="auto"/>
                      <w:szCs w:val="21"/>
                    </w:rPr>
                    <w:t>固体废弃物最大程度重复利用和安全处置，消除工业企业的环境安全隐患，确保环保设施的正常运行，杜绝工业企业偷排、漏排污染物的现象。</w:t>
                  </w:r>
                </w:p>
              </w:tc>
              <w:tc>
                <w:tcPr>
                  <w:tcW w:w="3369" w:type="dxa"/>
                  <w:noWrap/>
                  <w:vAlign w:val="center"/>
                </w:tcPr>
                <w:p>
                  <w:pPr>
                    <w:rPr>
                      <w:color w:val="auto"/>
                      <w:kern w:val="0"/>
                      <w:szCs w:val="21"/>
                    </w:rPr>
                  </w:pPr>
                  <w:r>
                    <w:rPr>
                      <w:color w:val="auto"/>
                      <w:kern w:val="0"/>
                      <w:szCs w:val="21"/>
                    </w:rPr>
                    <w:t>项目所有固体废弃物均得到合理有效的利用和处置，处置率为100%。</w:t>
                  </w:r>
                </w:p>
              </w:tc>
              <w:tc>
                <w:tcPr>
                  <w:tcW w:w="317" w:type="pct"/>
                  <w:noWrap/>
                  <w:vAlign w:val="center"/>
                </w:tcPr>
                <w:p>
                  <w:pPr>
                    <w:adjustRightInd w:val="0"/>
                    <w:snapToGrid w:val="0"/>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5" w:hRule="atLeast"/>
                <w:jc w:val="center"/>
              </w:trPr>
              <w:tc>
                <w:tcPr>
                  <w:tcW w:w="287" w:type="pct"/>
                  <w:noWrap/>
                  <w:vAlign w:val="center"/>
                </w:tcPr>
                <w:p>
                  <w:pPr>
                    <w:adjustRightInd w:val="0"/>
                    <w:snapToGrid w:val="0"/>
                    <w:jc w:val="center"/>
                    <w:rPr>
                      <w:color w:val="auto"/>
                      <w:szCs w:val="21"/>
                    </w:rPr>
                  </w:pPr>
                  <w:r>
                    <w:rPr>
                      <w:color w:val="auto"/>
                      <w:szCs w:val="21"/>
                    </w:rPr>
                    <w:t>2</w:t>
                  </w:r>
                </w:p>
              </w:tc>
              <w:tc>
                <w:tcPr>
                  <w:tcW w:w="2560" w:type="dxa"/>
                  <w:noWrap/>
                  <w:vAlign w:val="center"/>
                </w:tcPr>
                <w:p>
                  <w:pPr>
                    <w:rPr>
                      <w:color w:val="auto"/>
                      <w:szCs w:val="21"/>
                    </w:rPr>
                  </w:pPr>
                  <w:r>
                    <w:rPr>
                      <w:color w:val="auto"/>
                      <w:szCs w:val="21"/>
                    </w:rPr>
                    <w:t>建设再生水回用系统，污染控制区内不得建设不符合国家产业政策的工业项目及高污染工业项目；</w:t>
                  </w:r>
                </w:p>
              </w:tc>
              <w:tc>
                <w:tcPr>
                  <w:tcW w:w="3369" w:type="dxa"/>
                  <w:noWrap/>
                  <w:vAlign w:val="center"/>
                </w:tcPr>
                <w:p>
                  <w:pPr>
                    <w:rPr>
                      <w:color w:val="auto"/>
                      <w:szCs w:val="21"/>
                    </w:rPr>
                  </w:pPr>
                  <w:r>
                    <w:rPr>
                      <w:color w:val="auto"/>
                      <w:szCs w:val="21"/>
                    </w:rPr>
                    <w:t>项目不属于高污染工业项目，不属于限制类和淘汰类项目，符合国家产业政策。</w:t>
                  </w:r>
                </w:p>
              </w:tc>
              <w:tc>
                <w:tcPr>
                  <w:tcW w:w="317" w:type="pct"/>
                  <w:noWrap/>
                  <w:vAlign w:val="center"/>
                </w:tcPr>
                <w:p>
                  <w:pPr>
                    <w:adjustRightInd w:val="0"/>
                    <w:snapToGrid w:val="0"/>
                    <w:jc w:val="center"/>
                    <w:rPr>
                      <w:color w:val="auto"/>
                      <w:szCs w:val="21"/>
                    </w:rPr>
                  </w:pPr>
                  <w:r>
                    <w:rPr>
                      <w:color w:val="auto"/>
                      <w:szCs w:val="21"/>
                    </w:rPr>
                    <w:t>符合</w:t>
                  </w:r>
                </w:p>
              </w:tc>
            </w:tr>
          </w:tbl>
          <w:p>
            <w:pPr>
              <w:spacing w:line="360" w:lineRule="auto"/>
              <w:ind w:firstLine="480" w:firstLineChars="200"/>
              <w:rPr>
                <w:bCs/>
                <w:color w:val="auto"/>
                <w:sz w:val="24"/>
              </w:rPr>
            </w:pPr>
            <w:r>
              <w:rPr>
                <w:color w:val="auto"/>
                <w:sz w:val="24"/>
              </w:rPr>
              <w:t>综上所述，项目选址符合《牛栏江（寻甸段）水环境保护规划（2011~2030）》重点污染控制区的水环境保护策略。</w:t>
            </w:r>
          </w:p>
          <w:p>
            <w:pPr>
              <w:spacing w:line="360" w:lineRule="auto"/>
              <w:ind w:firstLine="482" w:firstLineChars="200"/>
              <w:rPr>
                <w:b/>
                <w:color w:val="auto"/>
                <w:sz w:val="24"/>
              </w:rPr>
            </w:pPr>
            <w:r>
              <w:rPr>
                <w:rFonts w:hint="eastAsia"/>
                <w:b/>
                <w:color w:val="auto"/>
                <w:kern w:val="0"/>
                <w:sz w:val="24"/>
              </w:rPr>
              <w:t>7、</w:t>
            </w:r>
            <w:r>
              <w:rPr>
                <w:b/>
                <w:color w:val="auto"/>
                <w:kern w:val="0"/>
                <w:sz w:val="24"/>
              </w:rPr>
              <w:t>与《昆明市清水海（一期）水源地水源保护区划分报告》协调性分析</w:t>
            </w:r>
          </w:p>
          <w:p>
            <w:pPr>
              <w:spacing w:line="360" w:lineRule="auto"/>
              <w:ind w:firstLine="480" w:firstLineChars="200"/>
              <w:rPr>
                <w:color w:val="auto"/>
                <w:sz w:val="24"/>
              </w:rPr>
            </w:pPr>
            <w:r>
              <w:rPr>
                <w:color w:val="auto"/>
                <w:sz w:val="24"/>
              </w:rPr>
              <w:t>①《昆明市清水海（一期）水源地水源保护区划分报告》概况</w:t>
            </w:r>
          </w:p>
          <w:p>
            <w:pPr>
              <w:spacing w:line="360" w:lineRule="auto"/>
              <w:ind w:firstLine="480" w:firstLineChars="200"/>
              <w:rPr>
                <w:color w:val="auto"/>
                <w:sz w:val="24"/>
              </w:rPr>
            </w:pPr>
            <w:r>
              <w:rPr>
                <w:color w:val="auto"/>
                <w:sz w:val="24"/>
              </w:rPr>
              <w:t>昆明市清水海引水工程（一期）水源工程位于寻甸县境内的小江流域上游。引水水源包括清水海、板桥河水库、石桥河取水枢纽、新田河水库、塌鼻子龙潭以及嵩明县境内的金钟山水库。各水源点控制径流面积314.81km</w:t>
            </w:r>
            <w:r>
              <w:rPr>
                <w:color w:val="auto"/>
                <w:sz w:val="24"/>
                <w:vertAlign w:val="superscript"/>
              </w:rPr>
              <w:t>2</w:t>
            </w:r>
            <w:r>
              <w:rPr>
                <w:color w:val="auto"/>
                <w:sz w:val="24"/>
              </w:rPr>
              <w:t>。各水源点控制径流面积涉及2县5个乡镇（即寻甸县仁德街道办事处、甸沙乡、六哨乡、先锋镇以及滇源街道办事处）的辖区范围。</w:t>
            </w:r>
          </w:p>
          <w:p>
            <w:pPr>
              <w:spacing w:line="360" w:lineRule="auto"/>
              <w:ind w:firstLine="480" w:firstLineChars="200"/>
              <w:rPr>
                <w:color w:val="auto"/>
                <w:sz w:val="24"/>
              </w:rPr>
            </w:pPr>
            <w:r>
              <w:rPr>
                <w:color w:val="auto"/>
                <w:sz w:val="24"/>
              </w:rPr>
              <w:t>②协调性分析</w:t>
            </w:r>
          </w:p>
          <w:p>
            <w:pPr>
              <w:spacing w:line="360" w:lineRule="auto"/>
              <w:ind w:firstLine="480" w:firstLineChars="200"/>
              <w:rPr>
                <w:color w:val="auto"/>
                <w:sz w:val="24"/>
              </w:rPr>
            </w:pPr>
            <w:r>
              <w:rPr>
                <w:color w:val="auto"/>
                <w:sz w:val="24"/>
              </w:rPr>
              <w:t>项目拟建位置不在清水海引水工程（一期）水源保护区范围内，羊街片区边界及项目区</w:t>
            </w:r>
            <w:r>
              <w:rPr>
                <w:rFonts w:hint="eastAsia"/>
                <w:color w:val="auto"/>
                <w:sz w:val="24"/>
              </w:rPr>
              <w:t>均</w:t>
            </w:r>
            <w:r>
              <w:rPr>
                <w:color w:val="auto"/>
                <w:sz w:val="24"/>
              </w:rPr>
              <w:t>不在清水海汇水范围内，同时，清水海水源地水源保护区位于项目区西</w:t>
            </w:r>
            <w:r>
              <w:rPr>
                <w:rFonts w:hint="eastAsia"/>
                <w:color w:val="auto"/>
                <w:sz w:val="24"/>
              </w:rPr>
              <w:t>北</w:t>
            </w:r>
            <w:r>
              <w:rPr>
                <w:color w:val="auto"/>
                <w:sz w:val="24"/>
              </w:rPr>
              <w:t>侧，处于侧风向，故项目产生的非甲烷总烃对其产生影响的可能性小，故项目建设与《昆明市清水海（一期）水源地水源保护区划分报告》不冲突。</w:t>
            </w:r>
          </w:p>
          <w:p>
            <w:pPr>
              <w:spacing w:line="360" w:lineRule="auto"/>
              <w:ind w:firstLine="482" w:firstLineChars="200"/>
              <w:rPr>
                <w:b/>
                <w:color w:val="auto"/>
                <w:sz w:val="24"/>
              </w:rPr>
            </w:pPr>
            <w:r>
              <w:rPr>
                <w:rFonts w:hint="eastAsia"/>
                <w:b/>
                <w:color w:val="auto"/>
                <w:sz w:val="24"/>
              </w:rPr>
              <w:t>8、</w:t>
            </w:r>
            <w:r>
              <w:rPr>
                <w:b/>
                <w:color w:val="auto"/>
                <w:sz w:val="24"/>
              </w:rPr>
              <w:t>与《云南寻甸黑颈鹤省级自然保护区总体规划》（2016~2025年）协调性分析</w:t>
            </w:r>
          </w:p>
          <w:p>
            <w:pPr>
              <w:spacing w:line="360" w:lineRule="auto"/>
              <w:ind w:firstLine="480" w:firstLineChars="200"/>
              <w:rPr>
                <w:b/>
                <w:bCs/>
                <w:color w:val="auto"/>
                <w:kern w:val="0"/>
                <w:sz w:val="24"/>
              </w:rPr>
            </w:pPr>
            <w:r>
              <w:rPr>
                <w:color w:val="auto"/>
                <w:sz w:val="24"/>
              </w:rPr>
              <w:t>项目拟建位置不在云南寻甸黑颈鹤省级自然保护区范围内，羊街片区边界及项目区至保护区距离较远，</w:t>
            </w:r>
            <w:r>
              <w:rPr>
                <w:rFonts w:hint="eastAsia"/>
                <w:color w:val="auto"/>
                <w:sz w:val="24"/>
                <w:lang w:val="en-US" w:eastAsia="zh-CN"/>
              </w:rPr>
              <w:t>相距约14.07km，</w:t>
            </w:r>
            <w:r>
              <w:rPr>
                <w:color w:val="auto"/>
                <w:sz w:val="24"/>
              </w:rPr>
              <w:t>且云南寻甸黑颈鹤省级自然保护区位于项目区西</w:t>
            </w:r>
            <w:r>
              <w:rPr>
                <w:rFonts w:hint="eastAsia"/>
                <w:color w:val="auto"/>
                <w:sz w:val="24"/>
              </w:rPr>
              <w:t>北</w:t>
            </w:r>
            <w:r>
              <w:rPr>
                <w:color w:val="auto"/>
                <w:sz w:val="24"/>
              </w:rPr>
              <w:t>侧，处于侧风向，故项目产生的非甲烷总烃对其产生影响的可能性小，故项目建设与《云南寻甸黑颈鹤省级自然保护区总体规划》（2016~2025年）不冲突</w:t>
            </w:r>
            <w:r>
              <w:rPr>
                <w:rFonts w:hint="eastAsia"/>
                <w:color w:val="auto"/>
                <w:sz w:val="24"/>
              </w:rPr>
              <w:t>。</w:t>
            </w:r>
          </w:p>
          <w:p>
            <w:pPr>
              <w:tabs>
                <w:tab w:val="left" w:pos="3750"/>
              </w:tabs>
              <w:spacing w:line="360" w:lineRule="auto"/>
              <w:ind w:firstLine="482" w:firstLineChars="200"/>
              <w:rPr>
                <w:b/>
                <w:bCs/>
                <w:color w:val="auto"/>
                <w:kern w:val="0"/>
                <w:sz w:val="24"/>
              </w:rPr>
            </w:pPr>
            <w:r>
              <w:rPr>
                <w:rFonts w:hint="eastAsia"/>
                <w:b/>
                <w:bCs/>
                <w:color w:val="auto"/>
                <w:kern w:val="0"/>
                <w:sz w:val="24"/>
              </w:rPr>
              <w:t>9、</w:t>
            </w:r>
            <w:r>
              <w:rPr>
                <w:b/>
                <w:bCs/>
                <w:color w:val="auto"/>
                <w:sz w:val="24"/>
              </w:rPr>
              <w:t>项目与《云南省长江经济带发展负面清单指南实施细则（</w:t>
            </w:r>
            <w:r>
              <w:rPr>
                <w:rFonts w:hint="eastAsia"/>
                <w:b/>
                <w:bCs/>
                <w:color w:val="auto"/>
                <w:sz w:val="24"/>
              </w:rPr>
              <w:t>试行，2022年版</w:t>
            </w:r>
            <w:r>
              <w:rPr>
                <w:b/>
                <w:bCs/>
                <w:color w:val="auto"/>
                <w:sz w:val="24"/>
              </w:rPr>
              <w:t>）》分析</w:t>
            </w:r>
          </w:p>
          <w:p>
            <w:pPr>
              <w:spacing w:line="360" w:lineRule="auto"/>
              <w:ind w:firstLine="482" w:firstLineChars="200"/>
              <w:jc w:val="center"/>
              <w:rPr>
                <w:color w:val="auto"/>
                <w:sz w:val="24"/>
              </w:rPr>
            </w:pPr>
            <w:r>
              <w:rPr>
                <w:rFonts w:hint="eastAsia"/>
                <w:b/>
                <w:bCs/>
                <w:color w:val="auto"/>
                <w:sz w:val="24"/>
              </w:rPr>
              <w:t>表1-6  项目与</w:t>
            </w:r>
            <w:r>
              <w:rPr>
                <w:b/>
                <w:color w:val="auto"/>
                <w:sz w:val="24"/>
              </w:rPr>
              <w:t>《云南省长江经济带发展负面清单指南实施细则（</w:t>
            </w:r>
            <w:r>
              <w:rPr>
                <w:rFonts w:hint="eastAsia"/>
                <w:b/>
                <w:color w:val="auto"/>
                <w:sz w:val="24"/>
              </w:rPr>
              <w:t>试行，2022年版</w:t>
            </w:r>
            <w:r>
              <w:rPr>
                <w:b/>
                <w:color w:val="auto"/>
                <w:sz w:val="24"/>
              </w:rPr>
              <w:t>）》相符性分析</w:t>
            </w:r>
          </w:p>
          <w:tbl>
            <w:tblPr>
              <w:tblStyle w:val="31"/>
              <w:tblW w:w="6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2004"/>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vAlign w:val="center"/>
                </w:tcPr>
                <w:p>
                  <w:pPr>
                    <w:adjustRightInd w:val="0"/>
                    <w:snapToGrid w:val="0"/>
                    <w:jc w:val="center"/>
                    <w:rPr>
                      <w:color w:val="auto"/>
                      <w:sz w:val="24"/>
                    </w:rPr>
                  </w:pPr>
                  <w:r>
                    <w:rPr>
                      <w:b/>
                      <w:bCs/>
                      <w:color w:val="auto"/>
                    </w:rPr>
                    <w:t>《</w:t>
                  </w:r>
                  <w:r>
                    <w:rPr>
                      <w:rFonts w:hint="eastAsia"/>
                      <w:b/>
                      <w:bCs/>
                      <w:color w:val="auto"/>
                    </w:rPr>
                    <w:t>实施细则</w:t>
                  </w:r>
                  <w:r>
                    <w:rPr>
                      <w:b/>
                      <w:bCs/>
                      <w:color w:val="auto"/>
                    </w:rPr>
                    <w:t>》要求</w:t>
                  </w:r>
                </w:p>
              </w:tc>
              <w:tc>
                <w:tcPr>
                  <w:tcW w:w="2004" w:type="dxa"/>
                  <w:vAlign w:val="center"/>
                </w:tcPr>
                <w:p>
                  <w:pPr>
                    <w:adjustRightInd w:val="0"/>
                    <w:snapToGrid w:val="0"/>
                    <w:jc w:val="center"/>
                    <w:rPr>
                      <w:color w:val="auto"/>
                      <w:sz w:val="24"/>
                    </w:rPr>
                  </w:pPr>
                  <w:r>
                    <w:rPr>
                      <w:b/>
                      <w:bCs/>
                      <w:color w:val="auto"/>
                    </w:rPr>
                    <w:t>本项目</w:t>
                  </w:r>
                </w:p>
              </w:tc>
              <w:tc>
                <w:tcPr>
                  <w:tcW w:w="485" w:type="dxa"/>
                  <w:vAlign w:val="center"/>
                </w:tcPr>
                <w:p>
                  <w:pPr>
                    <w:adjustRightInd w:val="0"/>
                    <w:snapToGrid w:val="0"/>
                    <w:jc w:val="center"/>
                    <w:rPr>
                      <w:color w:val="auto"/>
                      <w:sz w:val="24"/>
                    </w:rPr>
                  </w:pPr>
                  <w:r>
                    <w:rPr>
                      <w:b/>
                      <w:bCs/>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vAlign w:val="center"/>
                </w:tcPr>
                <w:p>
                  <w:pPr>
                    <w:widowControl/>
                    <w:adjustRightInd w:val="0"/>
                    <w:snapToGrid w:val="0"/>
                    <w:jc w:val="center"/>
                    <w:rPr>
                      <w:color w:val="auto"/>
                      <w:sz w:val="24"/>
                    </w:rPr>
                  </w:pPr>
                  <w:r>
                    <w:rPr>
                      <w:rFonts w:cs="FZFangSong-Z02"/>
                      <w:b/>
                      <w:bCs/>
                      <w:color w:val="auto"/>
                      <w:kern w:val="0"/>
                      <w:szCs w:val="31"/>
                      <w:lang w:bidi="ar"/>
                    </w:rPr>
                    <w:t>第一条</w:t>
                  </w:r>
                  <w:r>
                    <w:rPr>
                      <w:rFonts w:cs="FZFangSong-Z02"/>
                      <w:color w:val="auto"/>
                      <w:kern w:val="0"/>
                      <w:szCs w:val="31"/>
                      <w:lang w:bidi="ar"/>
                    </w:rPr>
                    <w:t xml:space="preserve"> 禁止新建、改建和扩建不符合《全国内河航道与港口布局规划》等全国港口规划和《昭通市港口码头岸线规划（金沙江段 </w:t>
                  </w:r>
                  <w:r>
                    <w:rPr>
                      <w:rFonts w:hint="eastAsia" w:cs="宋体"/>
                      <w:color w:val="auto"/>
                      <w:kern w:val="0"/>
                      <w:szCs w:val="31"/>
                      <w:lang w:bidi="ar"/>
                    </w:rPr>
                    <w:t>2019</w:t>
                  </w:r>
                  <w:r>
                    <w:rPr>
                      <w:rFonts w:cs="FZFangSong-Z02"/>
                      <w:color w:val="auto"/>
                      <w:kern w:val="0"/>
                      <w:szCs w:val="31"/>
                      <w:lang w:bidi="ar"/>
                    </w:rPr>
                    <w:t>年—</w:t>
                  </w:r>
                  <w:r>
                    <w:rPr>
                      <w:rFonts w:hint="eastAsia" w:cs="宋体"/>
                      <w:color w:val="auto"/>
                      <w:kern w:val="0"/>
                      <w:szCs w:val="31"/>
                      <w:lang w:bidi="ar"/>
                    </w:rPr>
                    <w:t>2035</w:t>
                  </w:r>
                  <w:r>
                    <w:rPr>
                      <w:rFonts w:cs="FZFangSong-Z02"/>
                      <w:color w:val="auto"/>
                      <w:kern w:val="0"/>
                      <w:szCs w:val="31"/>
                      <w:lang w:bidi="ar"/>
                    </w:rPr>
                    <w:t>年）》、《景洪港总体规划（</w:t>
                  </w:r>
                  <w:r>
                    <w:rPr>
                      <w:rFonts w:hint="eastAsia" w:cs="宋体"/>
                      <w:color w:val="auto"/>
                      <w:kern w:val="0"/>
                      <w:szCs w:val="31"/>
                      <w:lang w:bidi="ar"/>
                    </w:rPr>
                    <w:t>2019</w:t>
                  </w:r>
                  <w:r>
                    <w:rPr>
                      <w:rFonts w:cs="FZFangSong-Z02"/>
                      <w:color w:val="auto"/>
                      <w:kern w:val="0"/>
                      <w:szCs w:val="31"/>
                      <w:lang w:bidi="ar"/>
                    </w:rPr>
                    <w:t>—</w:t>
                  </w:r>
                  <w:r>
                    <w:rPr>
                      <w:rFonts w:hint="eastAsia" w:cs="宋体"/>
                      <w:color w:val="auto"/>
                      <w:kern w:val="0"/>
                      <w:szCs w:val="31"/>
                      <w:lang w:bidi="ar"/>
                    </w:rPr>
                    <w:t>2035</w:t>
                  </w:r>
                  <w:r>
                    <w:rPr>
                      <w:rFonts w:cs="FZFangSong-Z02"/>
                      <w:color w:val="auto"/>
                      <w:kern w:val="0"/>
                      <w:szCs w:val="31"/>
                      <w:lang w:bidi="ar"/>
                    </w:rPr>
                    <w:t>年）》等州（市）级以上港口布局规划以及港口总体规划的码头项目。</w:t>
                  </w:r>
                </w:p>
              </w:tc>
              <w:tc>
                <w:tcPr>
                  <w:tcW w:w="2004" w:type="dxa"/>
                  <w:vAlign w:val="center"/>
                </w:tcPr>
                <w:p>
                  <w:pPr>
                    <w:adjustRightInd w:val="0"/>
                    <w:snapToGrid w:val="0"/>
                    <w:jc w:val="center"/>
                    <w:rPr>
                      <w:color w:val="auto"/>
                      <w:sz w:val="24"/>
                    </w:rPr>
                  </w:pPr>
                  <w:r>
                    <w:rPr>
                      <w:rFonts w:hint="eastAsia"/>
                      <w:color w:val="auto"/>
                    </w:rPr>
                    <w:t>本项目为废旧塑料加工生产再生塑料颗粒项目，不属于港口规划的码头项目。</w:t>
                  </w:r>
                </w:p>
              </w:tc>
              <w:tc>
                <w:tcPr>
                  <w:tcW w:w="485" w:type="dxa"/>
                  <w:vAlign w:val="center"/>
                </w:tcPr>
                <w:p>
                  <w:pPr>
                    <w:adjustRightInd w:val="0"/>
                    <w:snapToGrid w:val="0"/>
                    <w:jc w:val="center"/>
                    <w:rPr>
                      <w:color w:val="auto"/>
                      <w:sz w:val="24"/>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vAlign w:val="center"/>
                </w:tcPr>
                <w:p>
                  <w:pPr>
                    <w:widowControl/>
                    <w:adjustRightInd w:val="0"/>
                    <w:snapToGrid w:val="0"/>
                    <w:jc w:val="center"/>
                    <w:rPr>
                      <w:color w:val="auto"/>
                      <w:sz w:val="24"/>
                    </w:rPr>
                  </w:pPr>
                  <w:r>
                    <w:rPr>
                      <w:rFonts w:cs="FZFangSong-Z02"/>
                      <w:b/>
                      <w:bCs/>
                      <w:color w:val="auto"/>
                      <w:kern w:val="0"/>
                      <w:szCs w:val="31"/>
                      <w:lang w:bidi="ar"/>
                    </w:rPr>
                    <w:t>第二条</w:t>
                  </w:r>
                  <w:r>
                    <w:rPr>
                      <w:rFonts w:cs="FZFangSong-Z02"/>
                      <w:color w:val="auto"/>
                      <w:kern w:val="0"/>
                      <w:szCs w:val="31"/>
                      <w:lang w:bidi="ar"/>
                    </w:rPr>
                    <w:t xml:space="preserve"> 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2004" w:type="dxa"/>
                  <w:vAlign w:val="center"/>
                </w:tcPr>
                <w:p>
                  <w:pPr>
                    <w:adjustRightInd w:val="0"/>
                    <w:snapToGrid w:val="0"/>
                    <w:jc w:val="center"/>
                    <w:rPr>
                      <w:color w:val="auto"/>
                      <w:sz w:val="24"/>
                    </w:rPr>
                  </w:pPr>
                  <w:r>
                    <w:rPr>
                      <w:color w:val="auto"/>
                    </w:rPr>
                    <w:t>项目</w:t>
                  </w:r>
                  <w:r>
                    <w:rPr>
                      <w:rFonts w:hint="eastAsia"/>
                      <w:color w:val="auto"/>
                    </w:rPr>
                    <w:t>位于</w:t>
                  </w:r>
                  <w:r>
                    <w:rPr>
                      <w:rFonts w:hint="eastAsia"/>
                      <w:color w:val="auto"/>
                      <w:szCs w:val="21"/>
                    </w:rPr>
                    <w:t>寻甸特色产业园区羊街片区</w:t>
                  </w:r>
                  <w:r>
                    <w:rPr>
                      <w:color w:val="auto"/>
                    </w:rPr>
                    <w:t>，</w:t>
                  </w:r>
                  <w:r>
                    <w:rPr>
                      <w:color w:val="auto"/>
                      <w:szCs w:val="21"/>
                    </w:rPr>
                    <w:t>不在自然保护区核心区、缓冲区的岸线和河段范围内，不在自然保护区的核心区、缓冲区核实验区内。</w:t>
                  </w:r>
                </w:p>
              </w:tc>
              <w:tc>
                <w:tcPr>
                  <w:tcW w:w="485" w:type="dxa"/>
                  <w:vAlign w:val="center"/>
                </w:tcPr>
                <w:p>
                  <w:pPr>
                    <w:adjustRightInd w:val="0"/>
                    <w:snapToGrid w:val="0"/>
                    <w:jc w:val="center"/>
                    <w:rPr>
                      <w:color w:val="auto"/>
                      <w:sz w:val="24"/>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vAlign w:val="center"/>
                </w:tcPr>
                <w:p>
                  <w:pPr>
                    <w:widowControl/>
                    <w:adjustRightInd w:val="0"/>
                    <w:snapToGrid w:val="0"/>
                    <w:jc w:val="center"/>
                    <w:rPr>
                      <w:color w:val="auto"/>
                      <w:sz w:val="24"/>
                    </w:rPr>
                  </w:pPr>
                  <w:r>
                    <w:rPr>
                      <w:rFonts w:cs="FZFangSong-Z02"/>
                      <w:b/>
                      <w:bCs/>
                      <w:color w:val="auto"/>
                      <w:kern w:val="0"/>
                      <w:szCs w:val="31"/>
                      <w:lang w:bidi="ar"/>
                    </w:rPr>
                    <w:t>第三条</w:t>
                  </w:r>
                  <w:r>
                    <w:rPr>
                      <w:rFonts w:cs="FZFangSong-Z02"/>
                      <w:color w:val="auto"/>
                      <w:kern w:val="0"/>
                      <w:szCs w:val="31"/>
                      <w:lang w:bidi="ar"/>
                    </w:rPr>
                    <w:t xml:space="preserve"> 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2004" w:type="dxa"/>
                  <w:vAlign w:val="center"/>
                </w:tcPr>
                <w:p>
                  <w:pPr>
                    <w:adjustRightInd w:val="0"/>
                    <w:snapToGrid w:val="0"/>
                    <w:jc w:val="center"/>
                    <w:rPr>
                      <w:color w:val="auto"/>
                      <w:sz w:val="24"/>
                    </w:rPr>
                  </w:pPr>
                  <w:r>
                    <w:rPr>
                      <w:color w:val="auto"/>
                    </w:rPr>
                    <w:t>项目</w:t>
                  </w:r>
                  <w:r>
                    <w:rPr>
                      <w:rFonts w:hint="eastAsia"/>
                      <w:color w:val="auto"/>
                    </w:rPr>
                    <w:t>位于</w:t>
                  </w:r>
                  <w:r>
                    <w:rPr>
                      <w:rFonts w:hint="eastAsia"/>
                      <w:color w:val="auto"/>
                      <w:szCs w:val="21"/>
                    </w:rPr>
                    <w:t>寻甸特色产业园区羊街片区</w:t>
                  </w:r>
                  <w:r>
                    <w:rPr>
                      <w:color w:val="auto"/>
                    </w:rPr>
                    <w:t>，</w:t>
                  </w:r>
                  <w:r>
                    <w:rPr>
                      <w:color w:val="auto"/>
                      <w:szCs w:val="21"/>
                    </w:rPr>
                    <w:t>不在风景名胜区核心景区的岸线和河段范围内。</w:t>
                  </w:r>
                </w:p>
              </w:tc>
              <w:tc>
                <w:tcPr>
                  <w:tcW w:w="485" w:type="dxa"/>
                  <w:vAlign w:val="center"/>
                </w:tcPr>
                <w:p>
                  <w:pPr>
                    <w:adjustRightInd w:val="0"/>
                    <w:snapToGrid w:val="0"/>
                    <w:jc w:val="center"/>
                    <w:rPr>
                      <w:color w:val="auto"/>
                      <w:sz w:val="24"/>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vAlign w:val="center"/>
                </w:tcPr>
                <w:p>
                  <w:pPr>
                    <w:widowControl/>
                    <w:adjustRightInd w:val="0"/>
                    <w:snapToGrid w:val="0"/>
                    <w:jc w:val="center"/>
                    <w:rPr>
                      <w:color w:val="auto"/>
                      <w:sz w:val="24"/>
                    </w:rPr>
                  </w:pPr>
                  <w:r>
                    <w:rPr>
                      <w:rFonts w:cs="FZFangSong-Z02"/>
                      <w:b/>
                      <w:bCs/>
                      <w:color w:val="auto"/>
                      <w:kern w:val="0"/>
                      <w:szCs w:val="31"/>
                      <w:lang w:bidi="ar"/>
                    </w:rPr>
                    <w:t>第四条</w:t>
                  </w:r>
                  <w:r>
                    <w:rPr>
                      <w:rFonts w:cs="FZFangSong-Z02"/>
                      <w:color w:val="auto"/>
                      <w:kern w:val="0"/>
                      <w:szCs w:val="31"/>
                      <w:lang w:bidi="ar"/>
                    </w:rPr>
                    <w:t xml:space="preserve"> 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2004" w:type="dxa"/>
                  <w:vAlign w:val="center"/>
                </w:tcPr>
                <w:p>
                  <w:pPr>
                    <w:adjustRightInd w:val="0"/>
                    <w:snapToGrid w:val="0"/>
                    <w:jc w:val="center"/>
                    <w:rPr>
                      <w:color w:val="auto"/>
                      <w:sz w:val="24"/>
                    </w:rPr>
                  </w:pPr>
                  <w:r>
                    <w:rPr>
                      <w:color w:val="auto"/>
                    </w:rPr>
                    <w:t>项目</w:t>
                  </w:r>
                  <w:r>
                    <w:rPr>
                      <w:rFonts w:hint="eastAsia"/>
                      <w:color w:val="auto"/>
                    </w:rPr>
                    <w:t>位于</w:t>
                  </w:r>
                  <w:r>
                    <w:rPr>
                      <w:rFonts w:hint="eastAsia"/>
                      <w:color w:val="auto"/>
                      <w:szCs w:val="21"/>
                    </w:rPr>
                    <w:t>寻甸特色产业园区羊街片区</w:t>
                  </w:r>
                  <w:r>
                    <w:rPr>
                      <w:color w:val="auto"/>
                    </w:rPr>
                    <w:t>，</w:t>
                  </w:r>
                  <w:r>
                    <w:rPr>
                      <w:color w:val="auto"/>
                      <w:szCs w:val="21"/>
                    </w:rPr>
                    <w:t>不在饮用水水源一级保护区、饮用水水源二级保护区和河段范围内，项目废水经处理后全部回用，不外排。</w:t>
                  </w:r>
                </w:p>
              </w:tc>
              <w:tc>
                <w:tcPr>
                  <w:tcW w:w="485" w:type="dxa"/>
                  <w:vAlign w:val="center"/>
                </w:tcPr>
                <w:p>
                  <w:pPr>
                    <w:adjustRightInd w:val="0"/>
                    <w:snapToGrid w:val="0"/>
                    <w:jc w:val="center"/>
                    <w:rPr>
                      <w:color w:val="auto"/>
                      <w:sz w:val="24"/>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vAlign w:val="center"/>
                </w:tcPr>
                <w:p>
                  <w:pPr>
                    <w:widowControl/>
                    <w:adjustRightInd w:val="0"/>
                    <w:snapToGrid w:val="0"/>
                    <w:jc w:val="center"/>
                    <w:rPr>
                      <w:color w:val="auto"/>
                      <w:sz w:val="24"/>
                    </w:rPr>
                  </w:pPr>
                  <w:r>
                    <w:rPr>
                      <w:rFonts w:cs="FZFangSong-Z02"/>
                      <w:b/>
                      <w:bCs/>
                      <w:color w:val="auto"/>
                      <w:kern w:val="0"/>
                      <w:szCs w:val="31"/>
                      <w:lang w:bidi="ar"/>
                    </w:rPr>
                    <w:t>第五条</w:t>
                  </w:r>
                  <w:r>
                    <w:rPr>
                      <w:rFonts w:cs="FZFangSong-Z02"/>
                      <w:color w:val="auto"/>
                      <w:kern w:val="0"/>
                      <w:szCs w:val="31"/>
                      <w:lang w:bidi="ar"/>
                    </w:rPr>
                    <w:t xml:space="preserve"> 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2004" w:type="dxa"/>
                  <w:vAlign w:val="center"/>
                </w:tcPr>
                <w:p>
                  <w:pPr>
                    <w:adjustRightInd w:val="0"/>
                    <w:snapToGrid w:val="0"/>
                    <w:jc w:val="center"/>
                    <w:rPr>
                      <w:color w:val="auto"/>
                      <w:sz w:val="24"/>
                    </w:rPr>
                  </w:pPr>
                  <w:r>
                    <w:rPr>
                      <w:rFonts w:hint="eastAsia"/>
                      <w:color w:val="auto"/>
                    </w:rPr>
                    <w:t>本项目为废旧塑料加工生产再生塑料颗粒项目，位于规划的集中工业园区，</w:t>
                  </w:r>
                  <w:r>
                    <w:rPr>
                      <w:color w:val="auto"/>
                      <w:szCs w:val="21"/>
                    </w:rPr>
                    <w:t>不在水产种质资源保护区岸线和河段范围内。</w:t>
                  </w:r>
                </w:p>
              </w:tc>
              <w:tc>
                <w:tcPr>
                  <w:tcW w:w="485" w:type="dxa"/>
                  <w:vAlign w:val="center"/>
                </w:tcPr>
                <w:p>
                  <w:pPr>
                    <w:adjustRightInd w:val="0"/>
                    <w:snapToGrid w:val="0"/>
                    <w:jc w:val="center"/>
                    <w:rPr>
                      <w:color w:val="auto"/>
                      <w:sz w:val="24"/>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vAlign w:val="center"/>
                </w:tcPr>
                <w:p>
                  <w:pPr>
                    <w:widowControl/>
                    <w:adjustRightInd w:val="0"/>
                    <w:snapToGrid w:val="0"/>
                    <w:jc w:val="center"/>
                    <w:rPr>
                      <w:color w:val="auto"/>
                      <w:sz w:val="24"/>
                    </w:rPr>
                  </w:pPr>
                  <w:r>
                    <w:rPr>
                      <w:rFonts w:cs="FZFangSong-Z02"/>
                      <w:b/>
                      <w:bCs/>
                      <w:color w:val="auto"/>
                      <w:kern w:val="0"/>
                      <w:szCs w:val="31"/>
                      <w:lang w:bidi="ar"/>
                    </w:rPr>
                    <w:t>第六条</w:t>
                  </w:r>
                  <w:r>
                    <w:rPr>
                      <w:rFonts w:cs="FZFangSong-Z02"/>
                      <w:color w:val="auto"/>
                      <w:kern w:val="0"/>
                      <w:szCs w:val="31"/>
                      <w:lang w:bidi="ar"/>
                    </w:rPr>
                    <w:t xml:space="preserve"> 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2004" w:type="dxa"/>
                  <w:vAlign w:val="center"/>
                </w:tcPr>
                <w:p>
                  <w:pPr>
                    <w:pStyle w:val="14"/>
                    <w:pBdr>
                      <w:bottom w:val="none" w:color="auto" w:sz="0" w:space="0"/>
                    </w:pBdr>
                    <w:rPr>
                      <w:color w:val="auto"/>
                      <w:sz w:val="24"/>
                    </w:rPr>
                  </w:pPr>
                  <w:r>
                    <w:rPr>
                      <w:color w:val="auto"/>
                      <w:sz w:val="21"/>
                      <w:szCs w:val="21"/>
                    </w:rPr>
                    <w:t>项目位于</w:t>
                  </w:r>
                  <w:r>
                    <w:rPr>
                      <w:rFonts w:hint="eastAsia"/>
                      <w:color w:val="auto"/>
                      <w:sz w:val="21"/>
                      <w:szCs w:val="21"/>
                    </w:rPr>
                    <w:t>寻甸特色产业园区羊街片区</w:t>
                  </w:r>
                  <w:r>
                    <w:rPr>
                      <w:color w:val="auto"/>
                      <w:sz w:val="21"/>
                      <w:szCs w:val="21"/>
                    </w:rPr>
                    <w:t>，不涉及长江流域河湖岸线及金沙江岸线保护区和保留区，项目废水处理后全部回用，不外排，不会不利于水资源及自然生态保护。</w:t>
                  </w:r>
                </w:p>
              </w:tc>
              <w:tc>
                <w:tcPr>
                  <w:tcW w:w="485" w:type="dxa"/>
                  <w:vAlign w:val="center"/>
                </w:tcPr>
                <w:p>
                  <w:pPr>
                    <w:adjustRightInd w:val="0"/>
                    <w:snapToGrid w:val="0"/>
                    <w:jc w:val="center"/>
                    <w:rPr>
                      <w:color w:val="auto"/>
                      <w:sz w:val="24"/>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vAlign w:val="center"/>
                </w:tcPr>
                <w:p>
                  <w:pPr>
                    <w:widowControl/>
                    <w:adjustRightInd w:val="0"/>
                    <w:snapToGrid w:val="0"/>
                    <w:jc w:val="center"/>
                    <w:rPr>
                      <w:color w:val="auto"/>
                      <w:sz w:val="24"/>
                    </w:rPr>
                  </w:pPr>
                  <w:r>
                    <w:rPr>
                      <w:rFonts w:cs="FZFangSong-Z02"/>
                      <w:b/>
                      <w:bCs/>
                      <w:color w:val="auto"/>
                      <w:kern w:val="0"/>
                      <w:szCs w:val="31"/>
                      <w:lang w:bidi="ar"/>
                    </w:rPr>
                    <w:t>第七条</w:t>
                  </w:r>
                  <w:r>
                    <w:rPr>
                      <w:rFonts w:cs="FZFangSong-Z02"/>
                      <w:color w:val="auto"/>
                      <w:kern w:val="0"/>
                      <w:szCs w:val="31"/>
                      <w:lang w:bidi="ar"/>
                    </w:rPr>
                    <w:t xml:space="preserve"> 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2004" w:type="dxa"/>
                  <w:vAlign w:val="center"/>
                </w:tcPr>
                <w:p>
                  <w:pPr>
                    <w:pStyle w:val="14"/>
                    <w:pBdr>
                      <w:bottom w:val="none" w:color="auto" w:sz="0" w:space="0"/>
                    </w:pBdr>
                    <w:rPr>
                      <w:color w:val="auto"/>
                      <w:sz w:val="24"/>
                    </w:rPr>
                  </w:pPr>
                  <w:r>
                    <w:rPr>
                      <w:color w:val="auto"/>
                      <w:sz w:val="21"/>
                      <w:szCs w:val="21"/>
                    </w:rPr>
                    <w:t>项目</w:t>
                  </w:r>
                  <w:r>
                    <w:rPr>
                      <w:rFonts w:hint="eastAsia"/>
                      <w:color w:val="auto"/>
                      <w:sz w:val="21"/>
                    </w:rPr>
                    <w:t>为废旧塑料加工生产再生塑料颗粒项目，</w:t>
                  </w:r>
                  <w:r>
                    <w:rPr>
                      <w:color w:val="auto"/>
                      <w:sz w:val="21"/>
                      <w:szCs w:val="21"/>
                    </w:rPr>
                    <w:t>不涉及过江基础设施项目，项目废水经处理后全部回用，不外排。</w:t>
                  </w:r>
                </w:p>
              </w:tc>
              <w:tc>
                <w:tcPr>
                  <w:tcW w:w="485" w:type="dxa"/>
                  <w:vAlign w:val="center"/>
                </w:tcPr>
                <w:p>
                  <w:pPr>
                    <w:adjustRightInd w:val="0"/>
                    <w:snapToGrid w:val="0"/>
                    <w:jc w:val="center"/>
                    <w:rPr>
                      <w:color w:val="auto"/>
                      <w:sz w:val="24"/>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vAlign w:val="center"/>
                </w:tcPr>
                <w:p>
                  <w:pPr>
                    <w:widowControl/>
                    <w:adjustRightInd w:val="0"/>
                    <w:snapToGrid w:val="0"/>
                    <w:jc w:val="center"/>
                    <w:rPr>
                      <w:color w:val="auto"/>
                      <w:sz w:val="24"/>
                    </w:rPr>
                  </w:pPr>
                  <w:r>
                    <w:rPr>
                      <w:rFonts w:cs="FZFangSong-Z02"/>
                      <w:b/>
                      <w:bCs/>
                      <w:color w:val="auto"/>
                      <w:kern w:val="0"/>
                      <w:szCs w:val="31"/>
                      <w:lang w:bidi="ar"/>
                    </w:rPr>
                    <w:t>第八条</w:t>
                  </w:r>
                  <w:r>
                    <w:rPr>
                      <w:rFonts w:cs="FZFangSong-Z02"/>
                      <w:color w:val="auto"/>
                      <w:kern w:val="0"/>
                      <w:szCs w:val="31"/>
                      <w:lang w:bidi="ar"/>
                    </w:rPr>
                    <w:t xml:space="preserve"> 禁止在金沙江干流、长江一级支流、水生生物保护区和长江流域禁捕水域开展天然渔业资源生产性捕捞。</w:t>
                  </w:r>
                </w:p>
              </w:tc>
              <w:tc>
                <w:tcPr>
                  <w:tcW w:w="2004" w:type="dxa"/>
                  <w:vAlign w:val="center"/>
                </w:tcPr>
                <w:p>
                  <w:pPr>
                    <w:pStyle w:val="14"/>
                    <w:pBdr>
                      <w:bottom w:val="none" w:color="auto" w:sz="0" w:space="0"/>
                    </w:pBdr>
                    <w:rPr>
                      <w:color w:val="auto"/>
                      <w:sz w:val="24"/>
                    </w:rPr>
                  </w:pPr>
                  <w:r>
                    <w:rPr>
                      <w:color w:val="auto"/>
                      <w:sz w:val="21"/>
                      <w:szCs w:val="21"/>
                    </w:rPr>
                    <w:t>项目</w:t>
                  </w:r>
                  <w:r>
                    <w:rPr>
                      <w:rFonts w:hint="eastAsia"/>
                      <w:color w:val="auto"/>
                      <w:sz w:val="21"/>
                    </w:rPr>
                    <w:t>为废旧塑料加工生产再生塑料颗粒项目，</w:t>
                  </w:r>
                  <w:r>
                    <w:rPr>
                      <w:color w:val="auto"/>
                      <w:sz w:val="21"/>
                      <w:szCs w:val="21"/>
                    </w:rPr>
                    <w:t>不涉及天然渔业资源生产性捕捞。</w:t>
                  </w:r>
                </w:p>
              </w:tc>
              <w:tc>
                <w:tcPr>
                  <w:tcW w:w="485" w:type="dxa"/>
                  <w:vAlign w:val="center"/>
                </w:tcPr>
                <w:p>
                  <w:pPr>
                    <w:adjustRightInd w:val="0"/>
                    <w:snapToGrid w:val="0"/>
                    <w:jc w:val="center"/>
                    <w:rPr>
                      <w:color w:val="auto"/>
                      <w:sz w:val="24"/>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vAlign w:val="center"/>
                </w:tcPr>
                <w:p>
                  <w:pPr>
                    <w:widowControl/>
                    <w:adjustRightInd w:val="0"/>
                    <w:snapToGrid w:val="0"/>
                    <w:jc w:val="center"/>
                    <w:rPr>
                      <w:color w:val="auto"/>
                      <w:sz w:val="24"/>
                    </w:rPr>
                  </w:pPr>
                  <w:r>
                    <w:rPr>
                      <w:rFonts w:cs="FZFangSong-Z02"/>
                      <w:b/>
                      <w:bCs/>
                      <w:color w:val="auto"/>
                      <w:kern w:val="0"/>
                      <w:szCs w:val="31"/>
                      <w:lang w:bidi="ar"/>
                    </w:rPr>
                    <w:t>第九条</w:t>
                  </w:r>
                  <w:r>
                    <w:rPr>
                      <w:rFonts w:cs="FZFangSong-Z02"/>
                      <w:color w:val="auto"/>
                      <w:kern w:val="0"/>
                      <w:szCs w:val="31"/>
                      <w:lang w:bidi="ar"/>
                    </w:rPr>
                    <w:t xml:space="preserve"> 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2004" w:type="dxa"/>
                  <w:vAlign w:val="center"/>
                </w:tcPr>
                <w:p>
                  <w:pPr>
                    <w:pStyle w:val="14"/>
                    <w:pBdr>
                      <w:bottom w:val="none" w:color="auto" w:sz="0" w:space="0"/>
                    </w:pBdr>
                    <w:rPr>
                      <w:color w:val="auto"/>
                      <w:sz w:val="24"/>
                    </w:rPr>
                  </w:pPr>
                  <w:r>
                    <w:rPr>
                      <w:color w:val="auto"/>
                      <w:sz w:val="21"/>
                      <w:szCs w:val="21"/>
                    </w:rPr>
                    <w:t>项目位于</w:t>
                  </w:r>
                  <w:r>
                    <w:rPr>
                      <w:rFonts w:hint="eastAsia"/>
                      <w:color w:val="auto"/>
                      <w:sz w:val="21"/>
                      <w:szCs w:val="21"/>
                    </w:rPr>
                    <w:t>寻甸特色产业园区羊街片区</w:t>
                  </w:r>
                  <w:r>
                    <w:rPr>
                      <w:color w:val="auto"/>
                      <w:sz w:val="21"/>
                      <w:szCs w:val="21"/>
                    </w:rPr>
                    <w:t>，距离</w:t>
                  </w:r>
                  <w:r>
                    <w:rPr>
                      <w:rFonts w:hint="eastAsia"/>
                      <w:color w:val="auto"/>
                      <w:sz w:val="21"/>
                      <w:szCs w:val="21"/>
                    </w:rPr>
                    <w:t>羊街河（果马河）1186</w:t>
                  </w:r>
                  <w:r>
                    <w:rPr>
                      <w:color w:val="auto"/>
                      <w:sz w:val="21"/>
                      <w:szCs w:val="21"/>
                    </w:rPr>
                    <w:t>m，不在金沙江干流、长江一级支流和九大高原湖泊岸线一公里范围内， 项目为</w:t>
                  </w:r>
                  <w:r>
                    <w:rPr>
                      <w:rFonts w:hint="eastAsia"/>
                      <w:color w:val="auto"/>
                      <w:sz w:val="21"/>
                    </w:rPr>
                    <w:t>废旧塑料加工生产再生塑料颗粒项目，</w:t>
                  </w:r>
                  <w:r>
                    <w:rPr>
                      <w:color w:val="auto"/>
                      <w:sz w:val="21"/>
                      <w:szCs w:val="21"/>
                    </w:rPr>
                    <w:t>不涉及尾矿库、冶炼渣库和磷石膏库。</w:t>
                  </w:r>
                </w:p>
              </w:tc>
              <w:tc>
                <w:tcPr>
                  <w:tcW w:w="485" w:type="dxa"/>
                  <w:vAlign w:val="center"/>
                </w:tcPr>
                <w:p>
                  <w:pPr>
                    <w:adjustRightInd w:val="0"/>
                    <w:snapToGrid w:val="0"/>
                    <w:jc w:val="center"/>
                    <w:rPr>
                      <w:color w:val="auto"/>
                      <w:sz w:val="24"/>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vAlign w:val="center"/>
                </w:tcPr>
                <w:p>
                  <w:pPr>
                    <w:widowControl/>
                    <w:adjustRightInd w:val="0"/>
                    <w:snapToGrid w:val="0"/>
                    <w:jc w:val="center"/>
                    <w:rPr>
                      <w:color w:val="auto"/>
                      <w:sz w:val="24"/>
                    </w:rPr>
                  </w:pPr>
                  <w:r>
                    <w:rPr>
                      <w:rFonts w:cs="FZFangSong-Z02"/>
                      <w:b/>
                      <w:bCs/>
                      <w:color w:val="auto"/>
                      <w:kern w:val="0"/>
                      <w:szCs w:val="31"/>
                      <w:lang w:bidi="ar"/>
                    </w:rPr>
                    <w:t>第十条</w:t>
                  </w:r>
                  <w:r>
                    <w:rPr>
                      <w:rFonts w:cs="FZFangSong-Z02"/>
                      <w:color w:val="auto"/>
                      <w:kern w:val="0"/>
                      <w:szCs w:val="31"/>
                      <w:lang w:bidi="ar"/>
                    </w:rPr>
                    <w:t xml:space="preserve"> 禁止在合规园区外新建、扩建钢铁、石化、化工、焦化、建材、有色、制浆造纸行业中的高污染项目。</w:t>
                  </w:r>
                </w:p>
              </w:tc>
              <w:tc>
                <w:tcPr>
                  <w:tcW w:w="2004" w:type="dxa"/>
                  <w:vAlign w:val="center"/>
                </w:tcPr>
                <w:p>
                  <w:pPr>
                    <w:adjustRightInd w:val="0"/>
                    <w:snapToGrid w:val="0"/>
                    <w:jc w:val="center"/>
                    <w:rPr>
                      <w:color w:val="auto"/>
                      <w:sz w:val="24"/>
                    </w:rPr>
                  </w:pPr>
                  <w:r>
                    <w:rPr>
                      <w:color w:val="auto"/>
                    </w:rPr>
                    <w:t>项目位于寻甸特色产业园区羊街片区，</w:t>
                  </w:r>
                  <w:r>
                    <w:rPr>
                      <w:rFonts w:hint="eastAsia"/>
                      <w:color w:val="auto"/>
                    </w:rPr>
                    <w:t>项目不属于钢铁、石化、化工、焦化、建材。有色、制浆造纸行业等高污染项目。</w:t>
                  </w:r>
                </w:p>
              </w:tc>
              <w:tc>
                <w:tcPr>
                  <w:tcW w:w="485" w:type="dxa"/>
                  <w:vAlign w:val="center"/>
                </w:tcPr>
                <w:p>
                  <w:pPr>
                    <w:adjustRightInd w:val="0"/>
                    <w:snapToGrid w:val="0"/>
                    <w:jc w:val="center"/>
                    <w:rPr>
                      <w:color w:val="auto"/>
                      <w:sz w:val="24"/>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vAlign w:val="center"/>
                </w:tcPr>
                <w:p>
                  <w:pPr>
                    <w:widowControl/>
                    <w:adjustRightInd w:val="0"/>
                    <w:snapToGrid w:val="0"/>
                    <w:jc w:val="center"/>
                    <w:rPr>
                      <w:rFonts w:cs="FZFangSong-Z02"/>
                      <w:b/>
                      <w:bCs/>
                      <w:color w:val="auto"/>
                      <w:kern w:val="0"/>
                      <w:szCs w:val="31"/>
                      <w:lang w:bidi="ar"/>
                    </w:rPr>
                  </w:pPr>
                  <w:r>
                    <w:rPr>
                      <w:rFonts w:cs="FZFangSong-Z02"/>
                      <w:b/>
                      <w:bCs/>
                      <w:color w:val="auto"/>
                      <w:kern w:val="0"/>
                      <w:szCs w:val="31"/>
                      <w:lang w:bidi="ar"/>
                    </w:rPr>
                    <w:t>第十一条</w:t>
                  </w:r>
                  <w:r>
                    <w:rPr>
                      <w:rFonts w:cs="FZFangSong-Z02"/>
                      <w:color w:val="auto"/>
                      <w:kern w:val="0"/>
                      <w:szCs w:val="31"/>
                      <w:lang w:bidi="ar"/>
                    </w:rPr>
                    <w:t xml:space="preserve"> 禁止新建、扩建不符合国家石化、现代煤化工等产业布局规划的项目。禁止列入《云南省城镇人口密集区危险化学品生产企业搬迁改造名单》的搬迁改造企业在原址新建、扩建危险化学品生产项目。</w:t>
                  </w:r>
                </w:p>
              </w:tc>
              <w:tc>
                <w:tcPr>
                  <w:tcW w:w="2004" w:type="dxa"/>
                  <w:vAlign w:val="center"/>
                </w:tcPr>
                <w:p>
                  <w:pPr>
                    <w:adjustRightInd w:val="0"/>
                    <w:snapToGrid w:val="0"/>
                    <w:jc w:val="center"/>
                    <w:rPr>
                      <w:color w:val="auto"/>
                    </w:rPr>
                  </w:pPr>
                  <w:r>
                    <w:rPr>
                      <w:rFonts w:hint="eastAsia"/>
                      <w:color w:val="auto"/>
                    </w:rPr>
                    <w:t>本项目为废旧塑料加工生产再生塑料颗粒项目，不属于</w:t>
                  </w:r>
                  <w:r>
                    <w:rPr>
                      <w:rFonts w:cs="FZFangSong-Z02"/>
                      <w:color w:val="auto"/>
                      <w:kern w:val="0"/>
                      <w:szCs w:val="31"/>
                      <w:lang w:bidi="ar"/>
                    </w:rPr>
                    <w:t>石化、现代煤化工等规划的项目</w:t>
                  </w:r>
                  <w:r>
                    <w:rPr>
                      <w:rFonts w:hint="eastAsia" w:cs="FZFangSong-Z02"/>
                      <w:color w:val="auto"/>
                      <w:kern w:val="0"/>
                      <w:szCs w:val="31"/>
                      <w:lang w:bidi="ar"/>
                    </w:rPr>
                    <w:t>，不属于</w:t>
                  </w:r>
                  <w:r>
                    <w:rPr>
                      <w:rFonts w:cs="FZFangSong-Z02"/>
                      <w:color w:val="auto"/>
                      <w:kern w:val="0"/>
                      <w:szCs w:val="31"/>
                      <w:lang w:bidi="ar"/>
                    </w:rPr>
                    <w:t>新建、扩建危险化学品生产项目</w:t>
                  </w:r>
                  <w:r>
                    <w:rPr>
                      <w:color w:val="auto"/>
                    </w:rPr>
                    <w:t>。</w:t>
                  </w:r>
                </w:p>
              </w:tc>
              <w:tc>
                <w:tcPr>
                  <w:tcW w:w="485" w:type="dxa"/>
                  <w:vAlign w:val="center"/>
                </w:tcPr>
                <w:p>
                  <w:pPr>
                    <w:adjustRightInd w:val="0"/>
                    <w:snapToGrid w:val="0"/>
                    <w:jc w:val="cente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vAlign w:val="center"/>
                </w:tcPr>
                <w:p>
                  <w:pPr>
                    <w:widowControl/>
                    <w:adjustRightInd w:val="0"/>
                    <w:snapToGrid w:val="0"/>
                    <w:jc w:val="center"/>
                    <w:rPr>
                      <w:rFonts w:cs="FZFangSong-Z02"/>
                      <w:b/>
                      <w:bCs/>
                      <w:color w:val="auto"/>
                      <w:kern w:val="0"/>
                      <w:szCs w:val="31"/>
                      <w:lang w:bidi="ar"/>
                    </w:rPr>
                  </w:pPr>
                  <w:r>
                    <w:rPr>
                      <w:rFonts w:cs="FZFangSong-Z02"/>
                      <w:b/>
                      <w:bCs/>
                      <w:color w:val="auto"/>
                      <w:kern w:val="0"/>
                      <w:szCs w:val="31"/>
                      <w:lang w:bidi="ar"/>
                    </w:rPr>
                    <w:t>第十二条</w:t>
                  </w:r>
                  <w:r>
                    <w:rPr>
                      <w:rFonts w:cs="FZFangSong-Z02"/>
                      <w:color w:val="auto"/>
                      <w:kern w:val="0"/>
                      <w:szCs w:val="31"/>
                      <w:lang w:bidi="ar"/>
                    </w:rPr>
                    <w:t xml:space="preserve"> 禁止新建、扩建法律法规和相关政策明令禁止的</w:t>
                  </w:r>
                  <w:r>
                    <w:rPr>
                      <w:rFonts w:hint="eastAsia" w:cs="FZFangSong-Z02"/>
                      <w:color w:val="auto"/>
                      <w:kern w:val="0"/>
                      <w:szCs w:val="31"/>
                      <w:lang w:bidi="ar"/>
                    </w:rPr>
                    <w:t>落</w:t>
                  </w:r>
                  <w:r>
                    <w:rPr>
                      <w:rFonts w:cs="FZFangSong-Z02"/>
                      <w:color w:val="auto"/>
                      <w:kern w:val="0"/>
                      <w:szCs w:val="31"/>
                      <w:lang w:bidi="ar"/>
                    </w:rPr>
                    <w:t>后产能项目，依法依规关停退出能耗、环保、质量、安全不达标产能和技术落后产能。禁止新建、扩建不符合国家产能置换要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2004" w:type="dxa"/>
                  <w:vAlign w:val="center"/>
                </w:tcPr>
                <w:p>
                  <w:pPr>
                    <w:adjustRightInd w:val="0"/>
                    <w:snapToGrid w:val="0"/>
                    <w:jc w:val="center"/>
                    <w:rPr>
                      <w:color w:val="auto"/>
                    </w:rPr>
                  </w:pPr>
                  <w:r>
                    <w:rPr>
                      <w:color w:val="auto"/>
                      <w:szCs w:val="21"/>
                    </w:rPr>
                    <w:t>本项目属于</w:t>
                  </w:r>
                  <w:r>
                    <w:rPr>
                      <w:rFonts w:hint="eastAsia"/>
                      <w:color w:val="auto"/>
                    </w:rPr>
                    <w:t>废旧塑料加工生产再生塑料颗粒项目，</w:t>
                  </w:r>
                  <w:r>
                    <w:rPr>
                      <w:color w:val="auto"/>
                      <w:szCs w:val="21"/>
                    </w:rPr>
                    <w:t>项目符合国家、地方产业政策要求，不属于落后产能项目，不属于高毒高残留以及对环境影响大的农药原药生产装置。</w:t>
                  </w:r>
                </w:p>
              </w:tc>
              <w:tc>
                <w:tcPr>
                  <w:tcW w:w="485" w:type="dxa"/>
                  <w:vAlign w:val="center"/>
                </w:tcPr>
                <w:p>
                  <w:pPr>
                    <w:adjustRightInd w:val="0"/>
                    <w:snapToGrid w:val="0"/>
                    <w:jc w:val="center"/>
                    <w:rPr>
                      <w:color w:val="auto"/>
                    </w:rPr>
                  </w:pPr>
                  <w:r>
                    <w:rPr>
                      <w:rFonts w:hint="eastAsia"/>
                      <w:color w:val="auto"/>
                    </w:rPr>
                    <w:t>符合</w:t>
                  </w:r>
                </w:p>
              </w:tc>
            </w:tr>
          </w:tbl>
          <w:p>
            <w:pPr>
              <w:spacing w:line="360" w:lineRule="auto"/>
              <w:ind w:firstLine="482" w:firstLineChars="200"/>
              <w:rPr>
                <w:b/>
                <w:color w:val="auto"/>
                <w:sz w:val="24"/>
              </w:rPr>
            </w:pPr>
            <w:r>
              <w:rPr>
                <w:rFonts w:hint="eastAsia"/>
                <w:b/>
                <w:bCs/>
                <w:color w:val="auto"/>
                <w:sz w:val="24"/>
              </w:rPr>
              <w:t>10、</w:t>
            </w:r>
            <w:r>
              <w:rPr>
                <w:b/>
                <w:bCs/>
                <w:color w:val="auto"/>
                <w:sz w:val="24"/>
              </w:rPr>
              <w:t>与</w:t>
            </w:r>
            <w:r>
              <w:rPr>
                <w:b/>
                <w:color w:val="auto"/>
                <w:sz w:val="24"/>
              </w:rPr>
              <w:t>《废塑料综合利用行业规范条件》的符合性分析</w:t>
            </w:r>
          </w:p>
          <w:p>
            <w:pPr>
              <w:spacing w:line="360" w:lineRule="auto"/>
              <w:ind w:firstLine="480" w:firstLineChars="200"/>
              <w:rPr>
                <w:color w:val="auto"/>
                <w:sz w:val="24"/>
              </w:rPr>
            </w:pPr>
            <w:r>
              <w:rPr>
                <w:color w:val="auto"/>
                <w:sz w:val="24"/>
              </w:rPr>
              <w:t>2015年12月4日中华人民共和国工业和信息化部2015年第81号公告发布了《废塑料综合利用行业规范条件》及《废塑料综合利用行业规范条件公告管理暂行办法》。本项目与文件的相符性分析如下表</w:t>
            </w:r>
            <w:r>
              <w:rPr>
                <w:rFonts w:hint="eastAsia"/>
                <w:color w:val="auto"/>
                <w:sz w:val="24"/>
              </w:rPr>
              <w:t>1-7</w:t>
            </w:r>
            <w:r>
              <w:rPr>
                <w:color w:val="auto"/>
                <w:sz w:val="24"/>
              </w:rPr>
              <w:t>。</w:t>
            </w:r>
          </w:p>
          <w:p>
            <w:pPr>
              <w:spacing w:line="360" w:lineRule="auto"/>
              <w:ind w:firstLine="482" w:firstLineChars="200"/>
              <w:jc w:val="center"/>
              <w:rPr>
                <w:b/>
                <w:bCs/>
                <w:color w:val="auto"/>
                <w:sz w:val="24"/>
              </w:rPr>
            </w:pPr>
            <w:r>
              <w:rPr>
                <w:rFonts w:hint="eastAsia"/>
                <w:b/>
                <w:bCs/>
                <w:color w:val="auto"/>
                <w:sz w:val="24"/>
              </w:rPr>
              <w:t>表1-7  项目与《废塑料综合利用行业规范条件》相符性分析一览表</w:t>
            </w:r>
          </w:p>
          <w:tbl>
            <w:tblPr>
              <w:tblStyle w:val="31"/>
              <w:tblW w:w="6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3164"/>
              <w:gridCol w:w="2700"/>
              <w:gridCol w:w="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Align w:val="center"/>
                </w:tcPr>
                <w:p>
                  <w:pPr>
                    <w:autoSpaceDE w:val="0"/>
                    <w:autoSpaceDN w:val="0"/>
                    <w:jc w:val="center"/>
                    <w:rPr>
                      <w:color w:val="auto"/>
                    </w:rPr>
                  </w:pPr>
                  <w:r>
                    <w:rPr>
                      <w:b/>
                      <w:bCs/>
                      <w:color w:val="auto"/>
                      <w:kern w:val="0"/>
                      <w:szCs w:val="21"/>
                    </w:rPr>
                    <w:t>项目</w:t>
                  </w:r>
                </w:p>
              </w:tc>
              <w:tc>
                <w:tcPr>
                  <w:tcW w:w="3164" w:type="dxa"/>
                  <w:vAlign w:val="center"/>
                </w:tcPr>
                <w:p>
                  <w:pPr>
                    <w:autoSpaceDE w:val="0"/>
                    <w:autoSpaceDN w:val="0"/>
                    <w:jc w:val="center"/>
                    <w:rPr>
                      <w:color w:val="auto"/>
                    </w:rPr>
                  </w:pPr>
                  <w:r>
                    <w:rPr>
                      <w:b/>
                      <w:bCs/>
                      <w:color w:val="auto"/>
                      <w:kern w:val="0"/>
                      <w:szCs w:val="21"/>
                    </w:rPr>
                    <w:t>具体要求</w:t>
                  </w:r>
                </w:p>
              </w:tc>
              <w:tc>
                <w:tcPr>
                  <w:tcW w:w="2700" w:type="dxa"/>
                  <w:vAlign w:val="center"/>
                </w:tcPr>
                <w:p>
                  <w:pPr>
                    <w:autoSpaceDE w:val="0"/>
                    <w:autoSpaceDN w:val="0"/>
                    <w:jc w:val="center"/>
                    <w:rPr>
                      <w:color w:val="auto"/>
                    </w:rPr>
                  </w:pPr>
                  <w:r>
                    <w:rPr>
                      <w:b/>
                      <w:bCs/>
                      <w:color w:val="auto"/>
                      <w:kern w:val="0"/>
                      <w:szCs w:val="21"/>
                    </w:rPr>
                    <w:t>本项目情况</w:t>
                  </w:r>
                </w:p>
              </w:tc>
              <w:tc>
                <w:tcPr>
                  <w:tcW w:w="362" w:type="dxa"/>
                  <w:vAlign w:val="center"/>
                </w:tcPr>
                <w:p>
                  <w:pPr>
                    <w:autoSpaceDE w:val="0"/>
                    <w:autoSpaceDN w:val="0"/>
                    <w:jc w:val="center"/>
                    <w:rPr>
                      <w:b/>
                      <w:bCs/>
                      <w:color w:val="auto"/>
                      <w:kern w:val="0"/>
                      <w:szCs w:val="21"/>
                    </w:rPr>
                  </w:pPr>
                  <w:r>
                    <w:rPr>
                      <w:b/>
                      <w:bCs/>
                      <w:color w:val="auto"/>
                      <w:kern w:val="0"/>
                      <w:szCs w:val="21"/>
                    </w:rPr>
                    <w:t>符合</w:t>
                  </w:r>
                </w:p>
                <w:p>
                  <w:pPr>
                    <w:autoSpaceDE w:val="0"/>
                    <w:autoSpaceDN w:val="0"/>
                    <w:jc w:val="center"/>
                    <w:rPr>
                      <w:color w:val="auto"/>
                    </w:rPr>
                  </w:pPr>
                  <w:r>
                    <w:rPr>
                      <w:rFonts w:hint="eastAsia"/>
                      <w:b/>
                      <w:bCs/>
                      <w:color w:val="auto"/>
                      <w:kern w:val="0"/>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restart"/>
                  <w:vAlign w:val="center"/>
                </w:tcPr>
                <w:p>
                  <w:pPr>
                    <w:autoSpaceDE w:val="0"/>
                    <w:autoSpaceDN w:val="0"/>
                    <w:jc w:val="center"/>
                    <w:rPr>
                      <w:color w:val="auto"/>
                    </w:rPr>
                  </w:pPr>
                  <w:r>
                    <w:rPr>
                      <w:b/>
                      <w:bCs/>
                      <w:color w:val="auto"/>
                      <w:kern w:val="0"/>
                      <w:szCs w:val="21"/>
                    </w:rPr>
                    <w:t>企业的设立和布局</w:t>
                  </w:r>
                </w:p>
              </w:tc>
              <w:tc>
                <w:tcPr>
                  <w:tcW w:w="3164" w:type="dxa"/>
                  <w:vAlign w:val="center"/>
                </w:tcPr>
                <w:p>
                  <w:pPr>
                    <w:autoSpaceDE w:val="0"/>
                    <w:autoSpaceDN w:val="0"/>
                    <w:jc w:val="center"/>
                    <w:rPr>
                      <w:color w:val="auto"/>
                    </w:rPr>
                  </w:pPr>
                  <w:r>
                    <w:rPr>
                      <w:color w:val="auto"/>
                      <w:kern w:val="0"/>
                      <w:szCs w:val="21"/>
                    </w:rPr>
                    <w:t>废塑料综合利用企业是指采用物理机械法对热塑性废塑料进行再生加工的企业，企业类型主要包括PET再生瓶片类企业、废塑料破碎清洗分选类企业以及塑料再生造粒类企业。</w:t>
                  </w:r>
                </w:p>
              </w:tc>
              <w:tc>
                <w:tcPr>
                  <w:tcW w:w="2700" w:type="dxa"/>
                  <w:vAlign w:val="center"/>
                </w:tcPr>
                <w:p>
                  <w:pPr>
                    <w:autoSpaceDE w:val="0"/>
                    <w:autoSpaceDN w:val="0"/>
                    <w:jc w:val="center"/>
                    <w:rPr>
                      <w:color w:val="auto"/>
                    </w:rPr>
                  </w:pPr>
                  <w:r>
                    <w:rPr>
                      <w:color w:val="auto"/>
                      <w:kern w:val="0"/>
                      <w:szCs w:val="21"/>
                    </w:rPr>
                    <w:t>本项目企业属于废塑料破碎清洗及塑料再生造粒类企业。</w:t>
                  </w:r>
                </w:p>
              </w:tc>
              <w:tc>
                <w:tcPr>
                  <w:tcW w:w="362" w:type="dxa"/>
                  <w:vAlign w:val="center"/>
                </w:tcPr>
                <w:p>
                  <w:pPr>
                    <w:autoSpaceDE w:val="0"/>
                    <w:autoSpaceDN w:val="0"/>
                    <w:jc w:val="center"/>
                    <w:rPr>
                      <w:color w:val="auto"/>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continue"/>
                  <w:vAlign w:val="center"/>
                </w:tcPr>
                <w:p>
                  <w:pPr>
                    <w:autoSpaceDE w:val="0"/>
                    <w:autoSpaceDN w:val="0"/>
                    <w:jc w:val="center"/>
                    <w:rPr>
                      <w:color w:val="auto"/>
                    </w:rPr>
                  </w:pPr>
                </w:p>
              </w:tc>
              <w:tc>
                <w:tcPr>
                  <w:tcW w:w="3164" w:type="dxa"/>
                  <w:vAlign w:val="center"/>
                </w:tcPr>
                <w:p>
                  <w:pPr>
                    <w:autoSpaceDE w:val="0"/>
                    <w:autoSpaceDN w:val="0"/>
                    <w:jc w:val="center"/>
                    <w:rPr>
                      <w:color w:val="auto"/>
                    </w:rPr>
                  </w:pPr>
                  <w:r>
                    <w:rPr>
                      <w:color w:val="auto"/>
                      <w:kern w:val="0"/>
                      <w:szCs w:val="21"/>
                    </w:rPr>
                    <w:t>废塑料综合利用企业所涉及的热塑性废塑料原料，不包括受到危险化学品、农药等污染的废弃塑料包装物、废弃一次性医疗用塑料制品等塑料类危险废物，以及氟塑料等特种工程塑料。</w:t>
                  </w:r>
                </w:p>
              </w:tc>
              <w:tc>
                <w:tcPr>
                  <w:tcW w:w="2700" w:type="dxa"/>
                  <w:vAlign w:val="center"/>
                </w:tcPr>
                <w:p>
                  <w:pPr>
                    <w:tabs>
                      <w:tab w:val="left" w:pos="1459"/>
                    </w:tabs>
                    <w:autoSpaceDE w:val="0"/>
                    <w:autoSpaceDN w:val="0"/>
                    <w:jc w:val="center"/>
                    <w:rPr>
                      <w:color w:val="auto"/>
                    </w:rPr>
                  </w:pPr>
                  <w:r>
                    <w:rPr>
                      <w:color w:val="auto"/>
                      <w:kern w:val="0"/>
                      <w:szCs w:val="21"/>
                    </w:rPr>
                    <w:t>本项目原料不涉及危险化学品、农药等污染的废弃塑料包装物，废弃的一次性医疗用塑料制品，以及氟塑料等特种工程塑料。</w:t>
                  </w:r>
                </w:p>
              </w:tc>
              <w:tc>
                <w:tcPr>
                  <w:tcW w:w="362" w:type="dxa"/>
                  <w:vAlign w:val="center"/>
                </w:tcPr>
                <w:p>
                  <w:pPr>
                    <w:autoSpaceDE w:val="0"/>
                    <w:autoSpaceDN w:val="0"/>
                    <w:jc w:val="center"/>
                    <w:rPr>
                      <w:color w:val="auto"/>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continue"/>
                  <w:vAlign w:val="center"/>
                </w:tcPr>
                <w:p>
                  <w:pPr>
                    <w:autoSpaceDE w:val="0"/>
                    <w:autoSpaceDN w:val="0"/>
                    <w:jc w:val="center"/>
                    <w:rPr>
                      <w:color w:val="auto"/>
                    </w:rPr>
                  </w:pPr>
                </w:p>
              </w:tc>
              <w:tc>
                <w:tcPr>
                  <w:tcW w:w="3164" w:type="dxa"/>
                  <w:vAlign w:val="center"/>
                </w:tcPr>
                <w:p>
                  <w:pPr>
                    <w:autoSpaceDE w:val="0"/>
                    <w:autoSpaceDN w:val="0"/>
                    <w:jc w:val="center"/>
                    <w:rPr>
                      <w:color w:val="auto"/>
                    </w:rPr>
                  </w:pPr>
                  <w:r>
                    <w:rPr>
                      <w:color w:val="auto"/>
                      <w:kern w:val="0"/>
                      <w:szCs w:val="21"/>
                    </w:rPr>
                    <w:t>新建及改造、扩建废塑料加工企业应符合国家产业政策及所在地区土地利用总体规划、城乡建设规划、环境保护、污染防治规划。企业建设应有规范化设计要求，采用节能环保技术及生产装备。</w:t>
                  </w:r>
                </w:p>
              </w:tc>
              <w:tc>
                <w:tcPr>
                  <w:tcW w:w="2700" w:type="dxa"/>
                  <w:vAlign w:val="center"/>
                </w:tcPr>
                <w:p>
                  <w:pPr>
                    <w:autoSpaceDE w:val="0"/>
                    <w:autoSpaceDN w:val="0"/>
                    <w:jc w:val="center"/>
                    <w:rPr>
                      <w:color w:val="auto"/>
                    </w:rPr>
                  </w:pPr>
                  <w:r>
                    <w:rPr>
                      <w:color w:val="auto"/>
                      <w:kern w:val="0"/>
                      <w:szCs w:val="21"/>
                    </w:rPr>
                    <w:t>项目符合国家和地方产业政策、当地土地利用总体规划，环境保护和污染防治规划。废水不外排，配套建设废气处理设施。</w:t>
                  </w:r>
                </w:p>
              </w:tc>
              <w:tc>
                <w:tcPr>
                  <w:tcW w:w="362" w:type="dxa"/>
                  <w:vAlign w:val="center"/>
                </w:tcPr>
                <w:p>
                  <w:pPr>
                    <w:autoSpaceDE w:val="0"/>
                    <w:autoSpaceDN w:val="0"/>
                    <w:jc w:val="center"/>
                    <w:rPr>
                      <w:color w:val="auto"/>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restart"/>
                  <w:vAlign w:val="center"/>
                </w:tcPr>
                <w:p>
                  <w:pPr>
                    <w:autoSpaceDE w:val="0"/>
                    <w:autoSpaceDN w:val="0"/>
                    <w:jc w:val="center"/>
                    <w:rPr>
                      <w:color w:val="auto"/>
                    </w:rPr>
                  </w:pPr>
                  <w:r>
                    <w:rPr>
                      <w:rFonts w:hint="eastAsia"/>
                      <w:b/>
                      <w:bCs/>
                      <w:color w:val="auto"/>
                      <w:kern w:val="0"/>
                      <w:szCs w:val="21"/>
                    </w:rPr>
                    <w:t>生产经营规模</w:t>
                  </w:r>
                </w:p>
              </w:tc>
              <w:tc>
                <w:tcPr>
                  <w:tcW w:w="3164" w:type="dxa"/>
                  <w:vAlign w:val="center"/>
                </w:tcPr>
                <w:p>
                  <w:pPr>
                    <w:widowControl/>
                    <w:jc w:val="center"/>
                    <w:rPr>
                      <w:color w:val="auto"/>
                    </w:rPr>
                  </w:pPr>
                  <w:r>
                    <w:rPr>
                      <w:rFonts w:cs="楷体"/>
                      <w:color w:val="auto"/>
                      <w:kern w:val="0"/>
                      <w:szCs w:val="20"/>
                      <w:lang w:bidi="ar"/>
                    </w:rPr>
                    <w:t>塑料再生造粒类企</w:t>
                  </w:r>
                  <w:r>
                    <w:rPr>
                      <w:rFonts w:hint="eastAsia" w:cs="楷体"/>
                      <w:color w:val="auto"/>
                      <w:kern w:val="0"/>
                      <w:szCs w:val="20"/>
                      <w:lang w:bidi="ar"/>
                    </w:rPr>
                    <w:t>业：新建企业年废塑料处理能力不低于</w:t>
                  </w:r>
                  <w:r>
                    <w:rPr>
                      <w:color w:val="auto"/>
                      <w:kern w:val="0"/>
                      <w:szCs w:val="20"/>
                      <w:lang w:bidi="ar"/>
                    </w:rPr>
                    <w:t>5000</w:t>
                  </w:r>
                  <w:r>
                    <w:rPr>
                      <w:rFonts w:hint="eastAsia" w:cs="楷体"/>
                      <w:color w:val="auto"/>
                      <w:kern w:val="0"/>
                      <w:szCs w:val="20"/>
                      <w:lang w:bidi="ar"/>
                    </w:rPr>
                    <w:t>吨；已建企业年废塑料处理能力不低于</w:t>
                  </w:r>
                  <w:r>
                    <w:rPr>
                      <w:color w:val="auto"/>
                      <w:kern w:val="0"/>
                      <w:szCs w:val="20"/>
                      <w:lang w:bidi="ar"/>
                    </w:rPr>
                    <w:t>3000</w:t>
                  </w:r>
                  <w:r>
                    <w:rPr>
                      <w:rFonts w:hint="eastAsia" w:cs="楷体"/>
                      <w:color w:val="auto"/>
                      <w:kern w:val="0"/>
                      <w:szCs w:val="20"/>
                      <w:lang w:bidi="ar"/>
                    </w:rPr>
                    <w:t>吨。</w:t>
                  </w:r>
                </w:p>
              </w:tc>
              <w:tc>
                <w:tcPr>
                  <w:tcW w:w="2700" w:type="dxa"/>
                  <w:vAlign w:val="center"/>
                </w:tcPr>
                <w:p>
                  <w:pPr>
                    <w:autoSpaceDE w:val="0"/>
                    <w:autoSpaceDN w:val="0"/>
                    <w:jc w:val="center"/>
                    <w:rPr>
                      <w:color w:val="auto"/>
                    </w:rPr>
                  </w:pPr>
                  <w:r>
                    <w:rPr>
                      <w:rFonts w:hint="eastAsia"/>
                      <w:color w:val="auto"/>
                    </w:rPr>
                    <w:t>本项目属于新建塑料再生造粒类企业，年废塑料处理能力为5000吨。</w:t>
                  </w:r>
                </w:p>
              </w:tc>
              <w:tc>
                <w:tcPr>
                  <w:tcW w:w="362" w:type="dxa"/>
                  <w:vAlign w:val="center"/>
                </w:tcPr>
                <w:p>
                  <w:pPr>
                    <w:autoSpaceDE w:val="0"/>
                    <w:autoSpaceDN w:val="0"/>
                    <w:jc w:val="center"/>
                    <w:rPr>
                      <w:color w:val="auto"/>
                    </w:rPr>
                  </w:pPr>
                  <w:r>
                    <w:rPr>
                      <w:rFonts w:hint="eastAsia"/>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continue"/>
                  <w:vAlign w:val="center"/>
                </w:tcPr>
                <w:p>
                  <w:pPr>
                    <w:autoSpaceDE w:val="0"/>
                    <w:autoSpaceDN w:val="0"/>
                    <w:jc w:val="center"/>
                    <w:rPr>
                      <w:color w:val="auto"/>
                    </w:rPr>
                  </w:pPr>
                </w:p>
              </w:tc>
              <w:tc>
                <w:tcPr>
                  <w:tcW w:w="3164" w:type="dxa"/>
                  <w:vAlign w:val="center"/>
                </w:tcPr>
                <w:p>
                  <w:pPr>
                    <w:widowControl/>
                    <w:jc w:val="center"/>
                    <w:rPr>
                      <w:color w:val="auto"/>
                    </w:rPr>
                  </w:pPr>
                  <w:r>
                    <w:rPr>
                      <w:rFonts w:cs="楷体"/>
                      <w:color w:val="auto"/>
                      <w:kern w:val="0"/>
                      <w:szCs w:val="20"/>
                      <w:lang w:bidi="ar"/>
                    </w:rPr>
                    <w:t>企业应具有与生产能力相匹配的厂区作</w:t>
                  </w:r>
                  <w:r>
                    <w:rPr>
                      <w:rFonts w:hint="eastAsia" w:cs="楷体"/>
                      <w:color w:val="auto"/>
                      <w:kern w:val="0"/>
                      <w:szCs w:val="20"/>
                      <w:lang w:bidi="ar"/>
                    </w:rPr>
                    <w:t>业场地面积。</w:t>
                  </w:r>
                </w:p>
              </w:tc>
              <w:tc>
                <w:tcPr>
                  <w:tcW w:w="2700" w:type="dxa"/>
                  <w:vAlign w:val="center"/>
                </w:tcPr>
                <w:p>
                  <w:pPr>
                    <w:autoSpaceDE w:val="0"/>
                    <w:autoSpaceDN w:val="0"/>
                    <w:jc w:val="center"/>
                    <w:rPr>
                      <w:color w:val="auto"/>
                    </w:rPr>
                  </w:pPr>
                  <w:r>
                    <w:rPr>
                      <w:rFonts w:hint="eastAsia"/>
                      <w:color w:val="auto"/>
                      <w:kern w:val="0"/>
                      <w:szCs w:val="21"/>
                    </w:rPr>
                    <w:t>项目租用场地面积能满足生产需要。</w:t>
                  </w:r>
                </w:p>
              </w:tc>
              <w:tc>
                <w:tcPr>
                  <w:tcW w:w="362" w:type="dxa"/>
                  <w:vAlign w:val="center"/>
                </w:tcPr>
                <w:p>
                  <w:pPr>
                    <w:autoSpaceDE w:val="0"/>
                    <w:autoSpaceDN w:val="0"/>
                    <w:jc w:val="center"/>
                    <w:rPr>
                      <w:color w:val="auto"/>
                    </w:rPr>
                  </w:pPr>
                  <w:r>
                    <w:rPr>
                      <w:rFonts w:hint="eastAsia"/>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restart"/>
                  <w:vAlign w:val="center"/>
                </w:tcPr>
                <w:p>
                  <w:pPr>
                    <w:autoSpaceDE w:val="0"/>
                    <w:autoSpaceDN w:val="0"/>
                    <w:jc w:val="center"/>
                    <w:rPr>
                      <w:color w:val="auto"/>
                    </w:rPr>
                  </w:pPr>
                  <w:r>
                    <w:rPr>
                      <w:b/>
                      <w:bCs/>
                      <w:color w:val="auto"/>
                      <w:kern w:val="0"/>
                      <w:szCs w:val="21"/>
                    </w:rPr>
                    <w:t>资源综合利用及能耗</w:t>
                  </w:r>
                </w:p>
              </w:tc>
              <w:tc>
                <w:tcPr>
                  <w:tcW w:w="3164" w:type="dxa"/>
                  <w:vAlign w:val="center"/>
                </w:tcPr>
                <w:p>
                  <w:pPr>
                    <w:autoSpaceDE w:val="0"/>
                    <w:autoSpaceDN w:val="0"/>
                    <w:jc w:val="center"/>
                    <w:rPr>
                      <w:color w:val="auto"/>
                    </w:rPr>
                  </w:pPr>
                  <w:r>
                    <w:rPr>
                      <w:color w:val="auto"/>
                      <w:kern w:val="0"/>
                      <w:szCs w:val="21"/>
                    </w:rPr>
                    <w:t>企业应对收集的废塑料进行充分利用，提高资源回收利用效率，不得倾倒、焚烧与填埋。</w:t>
                  </w:r>
                </w:p>
              </w:tc>
              <w:tc>
                <w:tcPr>
                  <w:tcW w:w="2700" w:type="dxa"/>
                  <w:vAlign w:val="center"/>
                </w:tcPr>
                <w:p>
                  <w:pPr>
                    <w:autoSpaceDE w:val="0"/>
                    <w:autoSpaceDN w:val="0"/>
                    <w:jc w:val="center"/>
                    <w:rPr>
                      <w:color w:val="auto"/>
                    </w:rPr>
                  </w:pPr>
                  <w:r>
                    <w:rPr>
                      <w:color w:val="auto"/>
                      <w:kern w:val="0"/>
                      <w:szCs w:val="21"/>
                    </w:rPr>
                    <w:t>项目对收购的废塑料进行熔融挤出，全部利用，不涉及倾倒、焚烧与填埋。</w:t>
                  </w:r>
                </w:p>
              </w:tc>
              <w:tc>
                <w:tcPr>
                  <w:tcW w:w="362" w:type="dxa"/>
                  <w:vAlign w:val="center"/>
                </w:tcPr>
                <w:p>
                  <w:pPr>
                    <w:autoSpaceDE w:val="0"/>
                    <w:autoSpaceDN w:val="0"/>
                    <w:jc w:val="center"/>
                    <w:rPr>
                      <w:color w:val="auto"/>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continue"/>
                  <w:vAlign w:val="center"/>
                </w:tcPr>
                <w:p>
                  <w:pPr>
                    <w:autoSpaceDE w:val="0"/>
                    <w:autoSpaceDN w:val="0"/>
                    <w:jc w:val="center"/>
                    <w:rPr>
                      <w:color w:val="auto"/>
                    </w:rPr>
                  </w:pPr>
                </w:p>
              </w:tc>
              <w:tc>
                <w:tcPr>
                  <w:tcW w:w="3164" w:type="dxa"/>
                  <w:vAlign w:val="center"/>
                </w:tcPr>
                <w:p>
                  <w:pPr>
                    <w:autoSpaceDE w:val="0"/>
                    <w:autoSpaceDN w:val="0"/>
                    <w:jc w:val="center"/>
                    <w:rPr>
                      <w:color w:val="auto"/>
                    </w:rPr>
                  </w:pPr>
                  <w:r>
                    <w:rPr>
                      <w:color w:val="auto"/>
                      <w:kern w:val="0"/>
                      <w:szCs w:val="21"/>
                    </w:rPr>
                    <w:t>塑料再生加工相关生产环节的综合电耗低于500千瓦时/吨废塑料。</w:t>
                  </w:r>
                </w:p>
              </w:tc>
              <w:tc>
                <w:tcPr>
                  <w:tcW w:w="2700" w:type="dxa"/>
                  <w:vAlign w:val="center"/>
                </w:tcPr>
                <w:p>
                  <w:pPr>
                    <w:autoSpaceDE w:val="0"/>
                    <w:autoSpaceDN w:val="0"/>
                    <w:jc w:val="center"/>
                    <w:rPr>
                      <w:color w:val="auto"/>
                    </w:rPr>
                  </w:pPr>
                  <w:r>
                    <w:rPr>
                      <w:color w:val="auto"/>
                      <w:kern w:val="0"/>
                      <w:szCs w:val="21"/>
                    </w:rPr>
                    <w:t>项目年耗电量约为60万kWh/a，即120千瓦时/吨废塑料。</w:t>
                  </w:r>
                </w:p>
              </w:tc>
              <w:tc>
                <w:tcPr>
                  <w:tcW w:w="362" w:type="dxa"/>
                  <w:vAlign w:val="center"/>
                </w:tcPr>
                <w:p>
                  <w:pPr>
                    <w:autoSpaceDE w:val="0"/>
                    <w:autoSpaceDN w:val="0"/>
                    <w:jc w:val="center"/>
                    <w:rPr>
                      <w:color w:val="auto"/>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continue"/>
                  <w:vAlign w:val="center"/>
                </w:tcPr>
                <w:p>
                  <w:pPr>
                    <w:autoSpaceDE w:val="0"/>
                    <w:autoSpaceDN w:val="0"/>
                    <w:jc w:val="center"/>
                    <w:rPr>
                      <w:color w:val="auto"/>
                    </w:rPr>
                  </w:pPr>
                </w:p>
              </w:tc>
              <w:tc>
                <w:tcPr>
                  <w:tcW w:w="3164" w:type="dxa"/>
                  <w:vAlign w:val="center"/>
                </w:tcPr>
                <w:p>
                  <w:pPr>
                    <w:autoSpaceDE w:val="0"/>
                    <w:autoSpaceDN w:val="0"/>
                    <w:jc w:val="center"/>
                    <w:rPr>
                      <w:color w:val="auto"/>
                    </w:rPr>
                  </w:pPr>
                  <w:r>
                    <w:rPr>
                      <w:color w:val="auto"/>
                      <w:kern w:val="0"/>
                      <w:szCs w:val="21"/>
                    </w:rPr>
                    <w:t>塑料再生造粒类企业的综合新水消耗低于0.2吨/吨废塑料。</w:t>
                  </w:r>
                </w:p>
              </w:tc>
              <w:tc>
                <w:tcPr>
                  <w:tcW w:w="2700" w:type="dxa"/>
                  <w:vAlign w:val="center"/>
                </w:tcPr>
                <w:p>
                  <w:pPr>
                    <w:autoSpaceDE w:val="0"/>
                    <w:autoSpaceDN w:val="0"/>
                    <w:jc w:val="center"/>
                    <w:rPr>
                      <w:color w:val="auto"/>
                    </w:rPr>
                  </w:pPr>
                  <w:r>
                    <w:rPr>
                      <w:color w:val="auto"/>
                      <w:kern w:val="0"/>
                      <w:szCs w:val="21"/>
                    </w:rPr>
                    <w:t>项目属于废塑料再生造粒类企业，生产废水经厂内污水处理设施（</w:t>
                  </w:r>
                  <w:r>
                    <w:rPr>
                      <w:rFonts w:hint="eastAsia"/>
                      <w:color w:val="auto"/>
                      <w:kern w:val="0"/>
                      <w:szCs w:val="21"/>
                    </w:rPr>
                    <w:t>格栅+隔油+水解</w:t>
                  </w:r>
                  <w:r>
                    <w:rPr>
                      <w:color w:val="auto"/>
                      <w:kern w:val="0"/>
                      <w:szCs w:val="21"/>
                    </w:rPr>
                    <w:t>+</w:t>
                  </w:r>
                  <w:r>
                    <w:rPr>
                      <w:rFonts w:hint="eastAsia"/>
                      <w:color w:val="auto"/>
                      <w:kern w:val="0"/>
                      <w:szCs w:val="21"/>
                    </w:rPr>
                    <w:t>生物接触氧化法</w:t>
                  </w:r>
                  <w:r>
                    <w:rPr>
                      <w:color w:val="auto"/>
                      <w:kern w:val="0"/>
                      <w:szCs w:val="21"/>
                    </w:rPr>
                    <w:t>）处理后汇入清水</w:t>
                  </w:r>
                  <w:r>
                    <w:rPr>
                      <w:rFonts w:hint="eastAsia"/>
                      <w:color w:val="auto"/>
                      <w:kern w:val="0"/>
                      <w:szCs w:val="21"/>
                    </w:rPr>
                    <w:t>回用</w:t>
                  </w:r>
                  <w:r>
                    <w:rPr>
                      <w:color w:val="auto"/>
                      <w:kern w:val="0"/>
                      <w:szCs w:val="21"/>
                    </w:rPr>
                    <w:t>池回用于生产线，不外排。本项目综合新水消耗为0.18吨/吨-废塑料。</w:t>
                  </w:r>
                </w:p>
              </w:tc>
              <w:tc>
                <w:tcPr>
                  <w:tcW w:w="362" w:type="dxa"/>
                  <w:vAlign w:val="center"/>
                </w:tcPr>
                <w:p>
                  <w:pPr>
                    <w:autoSpaceDE w:val="0"/>
                    <w:autoSpaceDN w:val="0"/>
                    <w:jc w:val="center"/>
                    <w:rPr>
                      <w:color w:val="auto"/>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restart"/>
                  <w:vAlign w:val="center"/>
                </w:tcPr>
                <w:p>
                  <w:pPr>
                    <w:autoSpaceDE w:val="0"/>
                    <w:autoSpaceDN w:val="0"/>
                    <w:jc w:val="center"/>
                    <w:rPr>
                      <w:b/>
                      <w:bCs/>
                      <w:color w:val="auto"/>
                      <w:kern w:val="0"/>
                      <w:szCs w:val="21"/>
                    </w:rPr>
                  </w:pPr>
                  <w:r>
                    <w:rPr>
                      <w:b/>
                      <w:bCs/>
                      <w:color w:val="auto"/>
                      <w:kern w:val="0"/>
                      <w:szCs w:val="21"/>
                    </w:rPr>
                    <w:t>工艺与</w:t>
                  </w:r>
                </w:p>
                <w:p>
                  <w:pPr>
                    <w:autoSpaceDE w:val="0"/>
                    <w:autoSpaceDN w:val="0"/>
                    <w:jc w:val="center"/>
                    <w:rPr>
                      <w:color w:val="auto"/>
                    </w:rPr>
                  </w:pPr>
                  <w:r>
                    <w:rPr>
                      <w:b/>
                      <w:bCs/>
                      <w:color w:val="auto"/>
                      <w:kern w:val="0"/>
                      <w:szCs w:val="21"/>
                    </w:rPr>
                    <w:t>装备</w:t>
                  </w:r>
                </w:p>
              </w:tc>
              <w:tc>
                <w:tcPr>
                  <w:tcW w:w="3164" w:type="dxa"/>
                  <w:vAlign w:val="center"/>
                </w:tcPr>
                <w:p>
                  <w:pPr>
                    <w:autoSpaceDE w:val="0"/>
                    <w:autoSpaceDN w:val="0"/>
                    <w:jc w:val="center"/>
                    <w:rPr>
                      <w:color w:val="auto"/>
                      <w:kern w:val="0"/>
                      <w:szCs w:val="21"/>
                    </w:rPr>
                  </w:pPr>
                  <w:r>
                    <w:rPr>
                      <w:color w:val="auto"/>
                      <w:kern w:val="0"/>
                      <w:szCs w:val="21"/>
                    </w:rPr>
                    <w:t>新建及改造、扩建废塑料综合利用企业应采用先进技术、工艺和装备，提高废塑料再生加工过程的自动化水平。</w:t>
                  </w:r>
                </w:p>
              </w:tc>
              <w:tc>
                <w:tcPr>
                  <w:tcW w:w="2700" w:type="dxa"/>
                  <w:vAlign w:val="center"/>
                </w:tcPr>
                <w:p>
                  <w:pPr>
                    <w:autoSpaceDE w:val="0"/>
                    <w:autoSpaceDN w:val="0"/>
                    <w:jc w:val="center"/>
                    <w:rPr>
                      <w:color w:val="auto"/>
                      <w:kern w:val="0"/>
                      <w:szCs w:val="21"/>
                    </w:rPr>
                  </w:pPr>
                  <w:r>
                    <w:rPr>
                      <w:color w:val="auto"/>
                      <w:kern w:val="0"/>
                      <w:szCs w:val="21"/>
                    </w:rPr>
                    <w:t>项目废旧塑料造粒生产线</w:t>
                  </w:r>
                  <w:r>
                    <w:rPr>
                      <w:color w:val="auto"/>
                      <w:szCs w:val="21"/>
                    </w:rPr>
                    <w:t>为机械化和自动化作业，采用的工艺在国内得到广泛应用，具有比较成熟的生产经验。</w:t>
                  </w:r>
                </w:p>
              </w:tc>
              <w:tc>
                <w:tcPr>
                  <w:tcW w:w="362" w:type="dxa"/>
                  <w:vAlign w:val="center"/>
                </w:tcPr>
                <w:p>
                  <w:pPr>
                    <w:autoSpaceDE w:val="0"/>
                    <w:autoSpaceDN w:val="0"/>
                    <w:jc w:val="center"/>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continue"/>
                  <w:vAlign w:val="center"/>
                </w:tcPr>
                <w:p>
                  <w:pPr>
                    <w:autoSpaceDE w:val="0"/>
                    <w:autoSpaceDN w:val="0"/>
                    <w:jc w:val="center"/>
                    <w:rPr>
                      <w:color w:val="auto"/>
                    </w:rPr>
                  </w:pPr>
                </w:p>
              </w:tc>
              <w:tc>
                <w:tcPr>
                  <w:tcW w:w="3164" w:type="dxa"/>
                  <w:vAlign w:val="center"/>
                </w:tcPr>
                <w:p>
                  <w:pPr>
                    <w:autoSpaceDE w:val="0"/>
                    <w:autoSpaceDN w:val="0"/>
                    <w:jc w:val="center"/>
                    <w:rPr>
                      <w:color w:val="auto"/>
                      <w:kern w:val="0"/>
                      <w:szCs w:val="21"/>
                    </w:rPr>
                  </w:pPr>
                  <w:r>
                    <w:rPr>
                      <w:color w:val="auto"/>
                      <w:kern w:val="0"/>
                      <w:szCs w:val="21"/>
                    </w:rPr>
                    <w:t>废塑料破碎、清洗、分选类企业。应采用自动化处理设备和设施。其中，破碎工序应采用具有减振与降噪功能的密闭破碎设备；清洗工序应实现自动控制和清洗液循环利用，降低耗水量与耗药量；应使用低发泡、低残留、易处理的清洗药剂；分选工序鼓励采用自动化分选设备。</w:t>
                  </w:r>
                </w:p>
              </w:tc>
              <w:tc>
                <w:tcPr>
                  <w:tcW w:w="2700" w:type="dxa"/>
                  <w:vAlign w:val="center"/>
                </w:tcPr>
                <w:p>
                  <w:pPr>
                    <w:autoSpaceDE w:val="0"/>
                    <w:autoSpaceDN w:val="0"/>
                    <w:jc w:val="center"/>
                    <w:rPr>
                      <w:color w:val="auto"/>
                      <w:kern w:val="0"/>
                      <w:szCs w:val="21"/>
                    </w:rPr>
                  </w:pPr>
                  <w:r>
                    <w:rPr>
                      <w:color w:val="auto"/>
                      <w:kern w:val="0"/>
                      <w:szCs w:val="21"/>
                    </w:rPr>
                    <w:t>本项目原料保证其杂质含量较小，厂内不涉及废旧塑料的分拣工作。项目破碎、清洗线为全自动化设备，采用搅笼式破碎机进行湿式机械破碎，破碎密闭进行，破碎机及搅笼上部均接有水管，噪声小；清洗工序不添加清洗药剂；清洗废水经污水处理设施（</w:t>
                  </w:r>
                  <w:r>
                    <w:rPr>
                      <w:rFonts w:hint="eastAsia"/>
                      <w:color w:val="auto"/>
                      <w:kern w:val="0"/>
                      <w:szCs w:val="21"/>
                    </w:rPr>
                    <w:t>格栅+隔油+水解</w:t>
                  </w:r>
                  <w:r>
                    <w:rPr>
                      <w:color w:val="auto"/>
                      <w:kern w:val="0"/>
                      <w:szCs w:val="21"/>
                    </w:rPr>
                    <w:t>+</w:t>
                  </w:r>
                  <w:r>
                    <w:rPr>
                      <w:rFonts w:hint="eastAsia"/>
                      <w:color w:val="auto"/>
                      <w:kern w:val="0"/>
                      <w:szCs w:val="21"/>
                    </w:rPr>
                    <w:t>生物接触氧化法</w:t>
                  </w:r>
                  <w:r>
                    <w:rPr>
                      <w:color w:val="auto"/>
                      <w:kern w:val="0"/>
                      <w:szCs w:val="21"/>
                    </w:rPr>
                    <w:t>）处理后汇入清水</w:t>
                  </w:r>
                  <w:r>
                    <w:rPr>
                      <w:rFonts w:hint="eastAsia"/>
                      <w:color w:val="auto"/>
                      <w:kern w:val="0"/>
                      <w:szCs w:val="21"/>
                    </w:rPr>
                    <w:t>回用</w:t>
                  </w:r>
                  <w:r>
                    <w:rPr>
                      <w:color w:val="auto"/>
                      <w:kern w:val="0"/>
                      <w:szCs w:val="21"/>
                    </w:rPr>
                    <w:t>池回用于生产线，不外排。</w:t>
                  </w:r>
                </w:p>
              </w:tc>
              <w:tc>
                <w:tcPr>
                  <w:tcW w:w="362" w:type="dxa"/>
                  <w:vAlign w:val="center"/>
                </w:tcPr>
                <w:p>
                  <w:pPr>
                    <w:autoSpaceDE w:val="0"/>
                    <w:autoSpaceDN w:val="0"/>
                    <w:jc w:val="center"/>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continue"/>
                  <w:vAlign w:val="center"/>
                </w:tcPr>
                <w:p>
                  <w:pPr>
                    <w:autoSpaceDE w:val="0"/>
                    <w:autoSpaceDN w:val="0"/>
                    <w:jc w:val="center"/>
                    <w:rPr>
                      <w:color w:val="auto"/>
                    </w:rPr>
                  </w:pPr>
                </w:p>
              </w:tc>
              <w:tc>
                <w:tcPr>
                  <w:tcW w:w="3164" w:type="dxa"/>
                  <w:vAlign w:val="center"/>
                </w:tcPr>
                <w:p>
                  <w:pPr>
                    <w:autoSpaceDE w:val="0"/>
                    <w:autoSpaceDN w:val="0"/>
                    <w:jc w:val="center"/>
                    <w:rPr>
                      <w:color w:val="auto"/>
                      <w:kern w:val="0"/>
                      <w:szCs w:val="21"/>
                    </w:rPr>
                  </w:pPr>
                  <w:r>
                    <w:rPr>
                      <w:color w:val="auto"/>
                      <w:kern w:val="0"/>
                      <w:szCs w:val="21"/>
                    </w:rPr>
                    <w:t>塑料再生造粒类企业。应具有与加工利用能力相适应的预处理设备和造粒设备。其中，造粒设备应具有强制排气系统，通过集气装置实现废气的集中处理；过滤装置的废弃过滤网应按照环境保护有关规定处理，禁止露天焚烧。</w:t>
                  </w:r>
                </w:p>
              </w:tc>
              <w:tc>
                <w:tcPr>
                  <w:tcW w:w="2700" w:type="dxa"/>
                  <w:vAlign w:val="center"/>
                </w:tcPr>
                <w:p>
                  <w:pPr>
                    <w:autoSpaceDE w:val="0"/>
                    <w:autoSpaceDN w:val="0"/>
                    <w:jc w:val="center"/>
                    <w:rPr>
                      <w:color w:val="auto"/>
                      <w:kern w:val="0"/>
                      <w:szCs w:val="21"/>
                    </w:rPr>
                  </w:pPr>
                  <w:r>
                    <w:rPr>
                      <w:color w:val="auto"/>
                      <w:kern w:val="0"/>
                      <w:szCs w:val="21"/>
                    </w:rPr>
                    <w:t>熔融挤出设备的废气排放点为主机排气孔、主机至副机进料口、副机挤出口，本项目拟在各产污点上方安装集气罩，收集废气经“水洗装置+除湿除雾装置+</w:t>
                  </w:r>
                  <w:r>
                    <w:rPr>
                      <w:rFonts w:hint="eastAsia"/>
                      <w:color w:val="auto"/>
                      <w:kern w:val="0"/>
                      <w:szCs w:val="21"/>
                      <w:lang w:val="en-US" w:eastAsia="zh-CN"/>
                    </w:rPr>
                    <w:t>一级</w:t>
                  </w:r>
                  <w:r>
                    <w:rPr>
                      <w:color w:val="auto"/>
                      <w:kern w:val="0"/>
                      <w:szCs w:val="21"/>
                    </w:rPr>
                    <w:t>活性炭吸附装置+光氧催化装置”处理后，经</w:t>
                  </w:r>
                  <w:r>
                    <w:rPr>
                      <w:rFonts w:hint="eastAsia"/>
                      <w:color w:val="auto"/>
                      <w:kern w:val="0"/>
                      <w:szCs w:val="21"/>
                    </w:rPr>
                    <w:t>20</w:t>
                  </w:r>
                  <w:r>
                    <w:rPr>
                      <w:color w:val="auto"/>
                      <w:kern w:val="0"/>
                      <w:szCs w:val="21"/>
                    </w:rPr>
                    <w:t>m排气筒有组织排放。定期更换的废滤网集中收集后，外售合法且具备废滤网回收再生能力的单位回收处置。</w:t>
                  </w:r>
                </w:p>
              </w:tc>
              <w:tc>
                <w:tcPr>
                  <w:tcW w:w="362" w:type="dxa"/>
                  <w:vAlign w:val="center"/>
                </w:tcPr>
                <w:p>
                  <w:pPr>
                    <w:autoSpaceDE w:val="0"/>
                    <w:autoSpaceDN w:val="0"/>
                    <w:jc w:val="center"/>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restart"/>
                  <w:vAlign w:val="center"/>
                </w:tcPr>
                <w:p>
                  <w:pPr>
                    <w:autoSpaceDE w:val="0"/>
                    <w:autoSpaceDN w:val="0"/>
                    <w:jc w:val="center"/>
                    <w:rPr>
                      <w:b/>
                      <w:bCs/>
                      <w:color w:val="auto"/>
                      <w:kern w:val="0"/>
                      <w:szCs w:val="21"/>
                    </w:rPr>
                  </w:pPr>
                  <w:r>
                    <w:rPr>
                      <w:b/>
                      <w:bCs/>
                      <w:color w:val="auto"/>
                      <w:kern w:val="0"/>
                      <w:szCs w:val="21"/>
                    </w:rPr>
                    <w:t>环境</w:t>
                  </w:r>
                </w:p>
                <w:p>
                  <w:pPr>
                    <w:autoSpaceDE w:val="0"/>
                    <w:autoSpaceDN w:val="0"/>
                    <w:jc w:val="center"/>
                    <w:rPr>
                      <w:color w:val="auto"/>
                    </w:rPr>
                  </w:pPr>
                  <w:r>
                    <w:rPr>
                      <w:b/>
                      <w:bCs/>
                      <w:color w:val="auto"/>
                      <w:kern w:val="0"/>
                      <w:szCs w:val="21"/>
                    </w:rPr>
                    <w:t>保护</w:t>
                  </w:r>
                </w:p>
              </w:tc>
              <w:tc>
                <w:tcPr>
                  <w:tcW w:w="3164" w:type="dxa"/>
                  <w:vAlign w:val="center"/>
                </w:tcPr>
                <w:p>
                  <w:pPr>
                    <w:autoSpaceDE w:val="0"/>
                    <w:autoSpaceDN w:val="0"/>
                    <w:jc w:val="center"/>
                    <w:rPr>
                      <w:color w:val="auto"/>
                      <w:kern w:val="0"/>
                      <w:szCs w:val="21"/>
                    </w:rPr>
                  </w:pPr>
                  <w:r>
                    <w:rPr>
                      <w:color w:val="auto"/>
                      <w:kern w:val="0"/>
                      <w:szCs w:val="21"/>
                    </w:rPr>
                    <w:t>废塑料综合利用企业应严格执行《中华人民共和国环境影响评价法》，按照环境保护主管部门的相关规定报批环境影响评价文件。按照环境保护“三同时”的要求建设配套的环境保护设施，编制环境风险应急预案，并依法申请项目竣工环境保护验收。</w:t>
                  </w:r>
                </w:p>
              </w:tc>
              <w:tc>
                <w:tcPr>
                  <w:tcW w:w="2700" w:type="dxa"/>
                  <w:vAlign w:val="center"/>
                </w:tcPr>
                <w:p>
                  <w:pPr>
                    <w:autoSpaceDE w:val="0"/>
                    <w:autoSpaceDN w:val="0"/>
                    <w:jc w:val="center"/>
                    <w:rPr>
                      <w:color w:val="auto"/>
                      <w:kern w:val="0"/>
                      <w:szCs w:val="21"/>
                    </w:rPr>
                  </w:pPr>
                  <w:r>
                    <w:rPr>
                      <w:color w:val="auto"/>
                      <w:szCs w:val="21"/>
                    </w:rPr>
                    <w:t>本项目正在办理相关环保手续，同时要求项目必须建设配套的环境保护设施，编制环境风险应急预案，并依法申请项目竣工环境保护验收。</w:t>
                  </w:r>
                </w:p>
              </w:tc>
              <w:tc>
                <w:tcPr>
                  <w:tcW w:w="362" w:type="dxa"/>
                  <w:vAlign w:val="center"/>
                </w:tcPr>
                <w:p>
                  <w:pPr>
                    <w:autoSpaceDE w:val="0"/>
                    <w:autoSpaceDN w:val="0"/>
                    <w:jc w:val="center"/>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continue"/>
                  <w:vAlign w:val="center"/>
                </w:tcPr>
                <w:p>
                  <w:pPr>
                    <w:autoSpaceDE w:val="0"/>
                    <w:autoSpaceDN w:val="0"/>
                    <w:jc w:val="center"/>
                    <w:rPr>
                      <w:color w:val="auto"/>
                    </w:rPr>
                  </w:pPr>
                </w:p>
              </w:tc>
              <w:tc>
                <w:tcPr>
                  <w:tcW w:w="3164" w:type="dxa"/>
                  <w:vAlign w:val="center"/>
                </w:tcPr>
                <w:p>
                  <w:pPr>
                    <w:autoSpaceDE w:val="0"/>
                    <w:autoSpaceDN w:val="0"/>
                    <w:jc w:val="center"/>
                    <w:rPr>
                      <w:color w:val="auto"/>
                      <w:kern w:val="0"/>
                      <w:szCs w:val="21"/>
                    </w:rPr>
                  </w:pPr>
                  <w:r>
                    <w:rPr>
                      <w:color w:val="auto"/>
                      <w:kern w:val="0"/>
                      <w:szCs w:val="21"/>
                    </w:rPr>
                    <w:t>企业加工存储场地应建有围墙，在园区内的企业可为单独厂房，地面全部硬化且无破损现象。</w:t>
                  </w:r>
                </w:p>
              </w:tc>
              <w:tc>
                <w:tcPr>
                  <w:tcW w:w="2700" w:type="dxa"/>
                  <w:vAlign w:val="center"/>
                </w:tcPr>
                <w:p>
                  <w:pPr>
                    <w:autoSpaceDE w:val="0"/>
                    <w:autoSpaceDN w:val="0"/>
                    <w:jc w:val="center"/>
                    <w:rPr>
                      <w:color w:val="auto"/>
                      <w:kern w:val="0"/>
                      <w:szCs w:val="21"/>
                    </w:rPr>
                  </w:pPr>
                  <w:r>
                    <w:rPr>
                      <w:color w:val="auto"/>
                      <w:szCs w:val="21"/>
                    </w:rPr>
                    <w:t>项目位于工业园区，厂区内加工生产及原料暂存作业均设置有独立厂房，厂区内地面全部硬化处理，没有破损。</w:t>
                  </w:r>
                </w:p>
              </w:tc>
              <w:tc>
                <w:tcPr>
                  <w:tcW w:w="362" w:type="dxa"/>
                  <w:vAlign w:val="center"/>
                </w:tcPr>
                <w:p>
                  <w:pPr>
                    <w:autoSpaceDE w:val="0"/>
                    <w:autoSpaceDN w:val="0"/>
                    <w:jc w:val="center"/>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continue"/>
                  <w:vAlign w:val="center"/>
                </w:tcPr>
                <w:p>
                  <w:pPr>
                    <w:autoSpaceDE w:val="0"/>
                    <w:autoSpaceDN w:val="0"/>
                    <w:jc w:val="center"/>
                    <w:rPr>
                      <w:color w:val="auto"/>
                    </w:rPr>
                  </w:pPr>
                </w:p>
              </w:tc>
              <w:tc>
                <w:tcPr>
                  <w:tcW w:w="3164" w:type="dxa"/>
                  <w:vAlign w:val="center"/>
                </w:tcPr>
                <w:p>
                  <w:pPr>
                    <w:autoSpaceDE w:val="0"/>
                    <w:autoSpaceDN w:val="0"/>
                    <w:jc w:val="center"/>
                    <w:rPr>
                      <w:color w:val="auto"/>
                      <w:kern w:val="0"/>
                      <w:szCs w:val="21"/>
                    </w:rPr>
                  </w:pPr>
                  <w:r>
                    <w:rPr>
                      <w:color w:val="auto"/>
                      <w:kern w:val="0"/>
                      <w:szCs w:val="21"/>
                    </w:rPr>
                    <w:t>企业必须配备废塑料分类存放场所。原料、产品、本企业不能利用废塑料及不可利用废物贮存在具有防雨、防风、防渗等功能的厂房或加盖雨棚的专门贮存场地内，无露天堆放现象。企业厂区管网建设应达到“雨污分流”要求。</w:t>
                  </w:r>
                </w:p>
              </w:tc>
              <w:tc>
                <w:tcPr>
                  <w:tcW w:w="2700" w:type="dxa"/>
                  <w:vAlign w:val="center"/>
                </w:tcPr>
                <w:p>
                  <w:pPr>
                    <w:autoSpaceDE w:val="0"/>
                    <w:autoSpaceDN w:val="0"/>
                    <w:jc w:val="center"/>
                    <w:rPr>
                      <w:color w:val="auto"/>
                      <w:kern w:val="0"/>
                      <w:szCs w:val="21"/>
                    </w:rPr>
                  </w:pPr>
                  <w:r>
                    <w:rPr>
                      <w:color w:val="auto"/>
                      <w:szCs w:val="21"/>
                    </w:rPr>
                    <w:t>本项目在厂内新建全封闭彩钢瓦大棚原料堆场1间，地面水泥硬化处理，用于废旧编织袋原料的暂存，</w:t>
                  </w:r>
                  <w:r>
                    <w:rPr>
                      <w:rFonts w:hint="eastAsia"/>
                      <w:color w:val="auto"/>
                      <w:szCs w:val="21"/>
                    </w:rPr>
                    <w:t>6</w:t>
                  </w:r>
                  <w:r>
                    <w:rPr>
                      <w:color w:val="auto"/>
                      <w:szCs w:val="21"/>
                    </w:rPr>
                    <w:t>条生产线共用。在生产车间设一般固废暂存</w:t>
                  </w:r>
                  <w:r>
                    <w:rPr>
                      <w:rFonts w:hint="eastAsia"/>
                      <w:color w:val="auto"/>
                      <w:szCs w:val="21"/>
                    </w:rPr>
                    <w:t>间、</w:t>
                  </w:r>
                  <w:r>
                    <w:rPr>
                      <w:color w:val="auto"/>
                      <w:szCs w:val="21"/>
                    </w:rPr>
                    <w:t>危废暂存</w:t>
                  </w:r>
                  <w:r>
                    <w:rPr>
                      <w:rFonts w:hint="eastAsia"/>
                      <w:color w:val="auto"/>
                      <w:szCs w:val="21"/>
                    </w:rPr>
                    <w:t>间</w:t>
                  </w:r>
                  <w:r>
                    <w:rPr>
                      <w:color w:val="auto"/>
                      <w:szCs w:val="21"/>
                    </w:rPr>
                    <w:t>，原料、产品、一般固废、危险废物均位于专用贮存场地内，具有防雨、防风、防渗等功能，</w:t>
                  </w:r>
                  <w:r>
                    <w:rPr>
                      <w:color w:val="auto"/>
                      <w:kern w:val="0"/>
                      <w:szCs w:val="21"/>
                    </w:rPr>
                    <w:t>无露天堆放现象。企业</w:t>
                  </w:r>
                  <w:r>
                    <w:rPr>
                      <w:color w:val="auto"/>
                      <w:szCs w:val="21"/>
                    </w:rPr>
                    <w:t>严格执行雨污分流制，厂区内雨水经雨水沟排入园区雨水管网；项目生产废</w:t>
                  </w:r>
                  <w:r>
                    <w:rPr>
                      <w:color w:val="auto"/>
                      <w:kern w:val="0"/>
                      <w:szCs w:val="21"/>
                    </w:rPr>
                    <w:t>水经厂内污水处理设施（</w:t>
                  </w:r>
                  <w:r>
                    <w:rPr>
                      <w:rFonts w:hint="eastAsia"/>
                      <w:color w:val="auto"/>
                      <w:kern w:val="0"/>
                      <w:szCs w:val="21"/>
                    </w:rPr>
                    <w:t>格栅+隔油+水解</w:t>
                  </w:r>
                  <w:r>
                    <w:rPr>
                      <w:color w:val="auto"/>
                      <w:kern w:val="0"/>
                      <w:szCs w:val="21"/>
                    </w:rPr>
                    <w:t>+</w:t>
                  </w:r>
                  <w:r>
                    <w:rPr>
                      <w:rFonts w:hint="eastAsia"/>
                      <w:color w:val="auto"/>
                      <w:kern w:val="0"/>
                      <w:szCs w:val="21"/>
                    </w:rPr>
                    <w:t>生物接触氧化法</w:t>
                  </w:r>
                  <w:r>
                    <w:rPr>
                      <w:color w:val="auto"/>
                      <w:kern w:val="0"/>
                      <w:szCs w:val="21"/>
                    </w:rPr>
                    <w:t>）处</w:t>
                  </w:r>
                  <w:r>
                    <w:rPr>
                      <w:color w:val="auto"/>
                      <w:szCs w:val="21"/>
                    </w:rPr>
                    <w:t>理后汇入清水</w:t>
                  </w:r>
                  <w:r>
                    <w:rPr>
                      <w:rFonts w:hint="eastAsia"/>
                      <w:color w:val="auto"/>
                      <w:szCs w:val="21"/>
                    </w:rPr>
                    <w:t>回用</w:t>
                  </w:r>
                  <w:r>
                    <w:rPr>
                      <w:color w:val="auto"/>
                      <w:szCs w:val="21"/>
                    </w:rPr>
                    <w:t>池回用于生产线，不外排；生活污水</w:t>
                  </w:r>
                  <w:r>
                    <w:rPr>
                      <w:rFonts w:hint="eastAsia"/>
                      <w:color w:val="auto"/>
                      <w:szCs w:val="21"/>
                    </w:rPr>
                    <w:t>依托</w:t>
                  </w:r>
                  <w:r>
                    <w:rPr>
                      <w:color w:val="auto"/>
                      <w:szCs w:val="21"/>
                    </w:rPr>
                    <w:t>云南鹏腾机械设备制造有限公司污水处理设施处理后，回用于绿化，不外排。</w:t>
                  </w:r>
                </w:p>
              </w:tc>
              <w:tc>
                <w:tcPr>
                  <w:tcW w:w="362" w:type="dxa"/>
                  <w:vAlign w:val="center"/>
                </w:tcPr>
                <w:p>
                  <w:pPr>
                    <w:autoSpaceDE w:val="0"/>
                    <w:autoSpaceDN w:val="0"/>
                    <w:jc w:val="center"/>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continue"/>
                  <w:vAlign w:val="center"/>
                </w:tcPr>
                <w:p>
                  <w:pPr>
                    <w:autoSpaceDE w:val="0"/>
                    <w:autoSpaceDN w:val="0"/>
                    <w:jc w:val="center"/>
                    <w:rPr>
                      <w:color w:val="auto"/>
                    </w:rPr>
                  </w:pPr>
                </w:p>
              </w:tc>
              <w:tc>
                <w:tcPr>
                  <w:tcW w:w="3164" w:type="dxa"/>
                  <w:vAlign w:val="center"/>
                </w:tcPr>
                <w:p>
                  <w:pPr>
                    <w:autoSpaceDE w:val="0"/>
                    <w:autoSpaceDN w:val="0"/>
                    <w:jc w:val="center"/>
                    <w:rPr>
                      <w:color w:val="auto"/>
                      <w:kern w:val="0"/>
                      <w:szCs w:val="21"/>
                    </w:rPr>
                  </w:pPr>
                  <w:r>
                    <w:rPr>
                      <w:color w:val="auto"/>
                      <w:kern w:val="0"/>
                      <w:szCs w:val="21"/>
                    </w:rPr>
                    <w:t>企业对收集的废塑料中的金属、橡胶、纤维、渣土、油脂、添加物等夹杂物，应采取相应的处理措施。如企业不具备处理条件，应委托其他具有处理能力的企业处理，不得擅自丢弃、倾倒、焚烧与填埋。</w:t>
                  </w:r>
                </w:p>
              </w:tc>
              <w:tc>
                <w:tcPr>
                  <w:tcW w:w="2700" w:type="dxa"/>
                  <w:vAlign w:val="center"/>
                </w:tcPr>
                <w:p>
                  <w:pPr>
                    <w:autoSpaceDE w:val="0"/>
                    <w:autoSpaceDN w:val="0"/>
                    <w:jc w:val="center"/>
                    <w:rPr>
                      <w:color w:val="auto"/>
                      <w:kern w:val="0"/>
                      <w:szCs w:val="21"/>
                    </w:rPr>
                  </w:pPr>
                  <w:r>
                    <w:rPr>
                      <w:color w:val="auto"/>
                      <w:kern w:val="0"/>
                      <w:szCs w:val="21"/>
                    </w:rPr>
                    <w:t>本项目原料保证其杂质含量较小，厂内不涉及废旧塑料的分拣工作，没有夹杂物产生。</w:t>
                  </w:r>
                </w:p>
              </w:tc>
              <w:tc>
                <w:tcPr>
                  <w:tcW w:w="362" w:type="dxa"/>
                  <w:vAlign w:val="center"/>
                </w:tcPr>
                <w:p>
                  <w:pPr>
                    <w:autoSpaceDE w:val="0"/>
                    <w:autoSpaceDN w:val="0"/>
                    <w:jc w:val="center"/>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continue"/>
                  <w:vAlign w:val="center"/>
                </w:tcPr>
                <w:p>
                  <w:pPr>
                    <w:autoSpaceDE w:val="0"/>
                    <w:autoSpaceDN w:val="0"/>
                    <w:jc w:val="center"/>
                    <w:rPr>
                      <w:color w:val="auto"/>
                    </w:rPr>
                  </w:pPr>
                </w:p>
              </w:tc>
              <w:tc>
                <w:tcPr>
                  <w:tcW w:w="3164" w:type="dxa"/>
                  <w:vAlign w:val="center"/>
                </w:tcPr>
                <w:p>
                  <w:pPr>
                    <w:autoSpaceDE w:val="0"/>
                    <w:autoSpaceDN w:val="0"/>
                    <w:jc w:val="center"/>
                    <w:rPr>
                      <w:color w:val="auto"/>
                      <w:kern w:val="0"/>
                      <w:szCs w:val="21"/>
                    </w:rPr>
                  </w:pPr>
                  <w:r>
                    <w:rPr>
                      <w:color w:val="auto"/>
                      <w:kern w:val="0"/>
                      <w:szCs w:val="21"/>
                    </w:rPr>
                    <w:t>企业应具有与加工利用能力相适应的废水处理设施，中水回用率必须符合环评文件的有关要求。废水处理后需要外排的废水，必须经处理后达标排放。企业应采用高效节能环保的污泥处理工艺，或交由具有处理资格的废物处理机构，实现污泥无害化处理。</w:t>
                  </w:r>
                </w:p>
              </w:tc>
              <w:tc>
                <w:tcPr>
                  <w:tcW w:w="2700" w:type="dxa"/>
                  <w:vAlign w:val="center"/>
                </w:tcPr>
                <w:p>
                  <w:pPr>
                    <w:autoSpaceDE w:val="0"/>
                    <w:autoSpaceDN w:val="0"/>
                    <w:jc w:val="center"/>
                    <w:rPr>
                      <w:color w:val="auto"/>
                      <w:kern w:val="0"/>
                      <w:szCs w:val="21"/>
                    </w:rPr>
                  </w:pPr>
                  <w:r>
                    <w:rPr>
                      <w:color w:val="auto"/>
                      <w:kern w:val="0"/>
                      <w:szCs w:val="21"/>
                    </w:rPr>
                    <w:t>项目清洗废水经污水处理设施（</w:t>
                  </w:r>
                  <w:r>
                    <w:rPr>
                      <w:rFonts w:hint="eastAsia"/>
                      <w:color w:val="auto"/>
                      <w:kern w:val="0"/>
                      <w:szCs w:val="21"/>
                    </w:rPr>
                    <w:t>格栅+隔油+水解</w:t>
                  </w:r>
                  <w:r>
                    <w:rPr>
                      <w:color w:val="auto"/>
                      <w:kern w:val="0"/>
                      <w:szCs w:val="21"/>
                    </w:rPr>
                    <w:t>+</w:t>
                  </w:r>
                  <w:r>
                    <w:rPr>
                      <w:rFonts w:hint="eastAsia"/>
                      <w:color w:val="auto"/>
                      <w:kern w:val="0"/>
                      <w:szCs w:val="21"/>
                    </w:rPr>
                    <w:t>生物接触氧化法</w:t>
                  </w:r>
                  <w:r>
                    <w:rPr>
                      <w:color w:val="auto"/>
                      <w:kern w:val="0"/>
                      <w:szCs w:val="21"/>
                    </w:rPr>
                    <w:t>）处理后汇入清水</w:t>
                  </w:r>
                  <w:r>
                    <w:rPr>
                      <w:rFonts w:hint="eastAsia"/>
                      <w:color w:val="auto"/>
                      <w:kern w:val="0"/>
                      <w:szCs w:val="21"/>
                    </w:rPr>
                    <w:t>回用</w:t>
                  </w:r>
                  <w:r>
                    <w:rPr>
                      <w:color w:val="auto"/>
                      <w:kern w:val="0"/>
                      <w:szCs w:val="21"/>
                    </w:rPr>
                    <w:t>池回用于生产线，不外排。</w:t>
                  </w:r>
                  <w:r>
                    <w:rPr>
                      <w:rFonts w:hint="eastAsia"/>
                      <w:color w:val="auto"/>
                      <w:lang w:val="en-US" w:eastAsia="zh-CN"/>
                    </w:rPr>
                    <w:t>生产废水处理设施</w:t>
                  </w:r>
                  <w:r>
                    <w:rPr>
                      <w:color w:val="auto"/>
                      <w:kern w:val="0"/>
                      <w:szCs w:val="21"/>
                    </w:rPr>
                    <w:t>污泥</w:t>
                  </w:r>
                  <w:r>
                    <w:rPr>
                      <w:rFonts w:hint="eastAsia"/>
                      <w:color w:val="auto"/>
                      <w:lang w:val="en-US" w:eastAsia="zh-CN"/>
                    </w:rPr>
                    <w:t>经鉴定后再处置，若为Ⅰ类一般固废外售当地砖厂制砖，否则按相关要求委托资质单位处置；</w:t>
                  </w:r>
                  <w:r>
                    <w:rPr>
                      <w:rFonts w:hint="eastAsia"/>
                      <w:color w:val="auto"/>
                      <w:kern w:val="0"/>
                      <w:szCs w:val="21"/>
                    </w:rPr>
                    <w:t>清洗泥渣</w:t>
                  </w:r>
                  <w:r>
                    <w:rPr>
                      <w:rFonts w:hint="eastAsia"/>
                      <w:color w:val="auto"/>
                      <w:szCs w:val="21"/>
                    </w:rPr>
                    <w:t>收集后</w:t>
                  </w:r>
                  <w:r>
                    <w:rPr>
                      <w:color w:val="auto"/>
                    </w:rPr>
                    <w:t>外售给当地砖厂制砖</w:t>
                  </w:r>
                  <w:r>
                    <w:rPr>
                      <w:color w:val="auto"/>
                      <w:kern w:val="0"/>
                      <w:szCs w:val="21"/>
                    </w:rPr>
                    <w:t>。</w:t>
                  </w:r>
                  <w:r>
                    <w:rPr>
                      <w:color w:val="auto"/>
                      <w:szCs w:val="21"/>
                    </w:rPr>
                    <w:t>生活污水</w:t>
                  </w:r>
                  <w:r>
                    <w:rPr>
                      <w:rFonts w:hint="eastAsia"/>
                      <w:color w:val="auto"/>
                      <w:szCs w:val="21"/>
                    </w:rPr>
                    <w:t>依托</w:t>
                  </w:r>
                  <w:r>
                    <w:rPr>
                      <w:color w:val="auto"/>
                      <w:szCs w:val="21"/>
                    </w:rPr>
                    <w:t>云南鹏腾机械设备制造有限公司污水处理设施处理后，回用于绿化，不外排。</w:t>
                  </w:r>
                </w:p>
              </w:tc>
              <w:tc>
                <w:tcPr>
                  <w:tcW w:w="362" w:type="dxa"/>
                  <w:vAlign w:val="center"/>
                </w:tcPr>
                <w:p>
                  <w:pPr>
                    <w:autoSpaceDE w:val="0"/>
                    <w:autoSpaceDN w:val="0"/>
                    <w:jc w:val="center"/>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continue"/>
                  <w:vAlign w:val="center"/>
                </w:tcPr>
                <w:p>
                  <w:pPr>
                    <w:autoSpaceDE w:val="0"/>
                    <w:autoSpaceDN w:val="0"/>
                    <w:jc w:val="center"/>
                    <w:rPr>
                      <w:color w:val="auto"/>
                    </w:rPr>
                  </w:pPr>
                </w:p>
              </w:tc>
              <w:tc>
                <w:tcPr>
                  <w:tcW w:w="3164" w:type="dxa"/>
                  <w:vAlign w:val="center"/>
                </w:tcPr>
                <w:p>
                  <w:pPr>
                    <w:autoSpaceDE w:val="0"/>
                    <w:autoSpaceDN w:val="0"/>
                    <w:jc w:val="center"/>
                    <w:rPr>
                      <w:color w:val="auto"/>
                      <w:kern w:val="0"/>
                      <w:szCs w:val="21"/>
                    </w:rPr>
                  </w:pPr>
                  <w:r>
                    <w:rPr>
                      <w:color w:val="auto"/>
                      <w:kern w:val="0"/>
                      <w:szCs w:val="21"/>
                    </w:rPr>
                    <w:t>再生加工过程中产生废气的加工车间应设置废气收集处理设施，通过净化处理，达标后排放。</w:t>
                  </w:r>
                </w:p>
              </w:tc>
              <w:tc>
                <w:tcPr>
                  <w:tcW w:w="2700" w:type="dxa"/>
                  <w:vAlign w:val="center"/>
                </w:tcPr>
                <w:p>
                  <w:pPr>
                    <w:autoSpaceDE w:val="0"/>
                    <w:autoSpaceDN w:val="0"/>
                    <w:jc w:val="center"/>
                    <w:rPr>
                      <w:color w:val="auto"/>
                      <w:kern w:val="0"/>
                      <w:szCs w:val="21"/>
                    </w:rPr>
                  </w:pPr>
                  <w:r>
                    <w:rPr>
                      <w:color w:val="auto"/>
                      <w:kern w:val="0"/>
                      <w:szCs w:val="21"/>
                    </w:rPr>
                    <w:t>熔融挤出设备的废气排放点为主机排气孔、主机至副机进料口、副机挤出口，本项目拟在各产污点上方安装集气罩，收集废气经“水洗装置+除湿除雾装置+</w:t>
                  </w:r>
                  <w:r>
                    <w:rPr>
                      <w:rFonts w:hint="eastAsia"/>
                      <w:color w:val="auto"/>
                      <w:kern w:val="0"/>
                      <w:szCs w:val="21"/>
                      <w:lang w:val="en-US" w:eastAsia="zh-CN"/>
                    </w:rPr>
                    <w:t>一级</w:t>
                  </w:r>
                  <w:r>
                    <w:rPr>
                      <w:color w:val="auto"/>
                      <w:kern w:val="0"/>
                      <w:szCs w:val="21"/>
                    </w:rPr>
                    <w:t>活性炭吸附装置+光氧催化装置”处理后，经</w:t>
                  </w:r>
                  <w:r>
                    <w:rPr>
                      <w:rFonts w:hint="eastAsia"/>
                      <w:color w:val="auto"/>
                      <w:kern w:val="0"/>
                      <w:szCs w:val="21"/>
                    </w:rPr>
                    <w:t>20</w:t>
                  </w:r>
                  <w:r>
                    <w:rPr>
                      <w:color w:val="auto"/>
                      <w:kern w:val="0"/>
                      <w:szCs w:val="21"/>
                    </w:rPr>
                    <w:t>m排气筒达标排放。</w:t>
                  </w:r>
                </w:p>
              </w:tc>
              <w:tc>
                <w:tcPr>
                  <w:tcW w:w="362" w:type="dxa"/>
                  <w:vAlign w:val="center"/>
                </w:tcPr>
                <w:p>
                  <w:pPr>
                    <w:autoSpaceDE w:val="0"/>
                    <w:autoSpaceDN w:val="0"/>
                    <w:jc w:val="center"/>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Merge w:val="continue"/>
                  <w:vAlign w:val="center"/>
                </w:tcPr>
                <w:p>
                  <w:pPr>
                    <w:autoSpaceDE w:val="0"/>
                    <w:autoSpaceDN w:val="0"/>
                    <w:jc w:val="center"/>
                    <w:rPr>
                      <w:color w:val="auto"/>
                    </w:rPr>
                  </w:pPr>
                </w:p>
              </w:tc>
              <w:tc>
                <w:tcPr>
                  <w:tcW w:w="3164" w:type="dxa"/>
                  <w:vAlign w:val="center"/>
                </w:tcPr>
                <w:p>
                  <w:pPr>
                    <w:autoSpaceDE w:val="0"/>
                    <w:autoSpaceDN w:val="0"/>
                    <w:jc w:val="center"/>
                    <w:rPr>
                      <w:color w:val="auto"/>
                      <w:kern w:val="0"/>
                      <w:szCs w:val="21"/>
                    </w:rPr>
                  </w:pPr>
                  <w:r>
                    <w:rPr>
                      <w:color w:val="auto"/>
                      <w:kern w:val="0"/>
                      <w:szCs w:val="21"/>
                    </w:rPr>
                    <w:t>对于加工过程中噪音污染大的设备，必须采取降噪和隔音措施，企业噪声应达到《工业企业厂界环境噪声排放标准》。</w:t>
                  </w:r>
                </w:p>
              </w:tc>
              <w:tc>
                <w:tcPr>
                  <w:tcW w:w="2700" w:type="dxa"/>
                  <w:vAlign w:val="center"/>
                </w:tcPr>
                <w:p>
                  <w:pPr>
                    <w:autoSpaceDE w:val="0"/>
                    <w:autoSpaceDN w:val="0"/>
                    <w:jc w:val="center"/>
                    <w:rPr>
                      <w:color w:val="auto"/>
                      <w:kern w:val="0"/>
                      <w:szCs w:val="21"/>
                    </w:rPr>
                  </w:pPr>
                  <w:r>
                    <w:rPr>
                      <w:color w:val="auto"/>
                      <w:kern w:val="0"/>
                      <w:szCs w:val="21"/>
                    </w:rPr>
                    <w:t>风机采用减震、消声、软性接头、厂房隔声等降噪效果；破碎机、造粒机等采取基础减振、厂房隔声措施。项目拟采取相应降噪措施后可使企业噪声应达到《工业企业厂界环境噪声排放标准》（GB12348-2008）3类标准。</w:t>
                  </w:r>
                </w:p>
              </w:tc>
              <w:tc>
                <w:tcPr>
                  <w:tcW w:w="362" w:type="dxa"/>
                  <w:vAlign w:val="center"/>
                </w:tcPr>
                <w:p>
                  <w:pPr>
                    <w:autoSpaceDE w:val="0"/>
                    <w:autoSpaceDN w:val="0"/>
                    <w:jc w:val="center"/>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Align w:val="center"/>
                </w:tcPr>
                <w:p>
                  <w:pPr>
                    <w:autoSpaceDE w:val="0"/>
                    <w:autoSpaceDN w:val="0"/>
                    <w:jc w:val="center"/>
                    <w:rPr>
                      <w:color w:val="auto"/>
                    </w:rPr>
                  </w:pPr>
                  <w:r>
                    <w:rPr>
                      <w:b/>
                      <w:bCs/>
                      <w:color w:val="auto"/>
                      <w:kern w:val="0"/>
                      <w:szCs w:val="21"/>
                    </w:rPr>
                    <w:t>防火安全</w:t>
                  </w:r>
                </w:p>
              </w:tc>
              <w:tc>
                <w:tcPr>
                  <w:tcW w:w="3164" w:type="dxa"/>
                  <w:vAlign w:val="center"/>
                </w:tcPr>
                <w:p>
                  <w:pPr>
                    <w:autoSpaceDE w:val="0"/>
                    <w:autoSpaceDN w:val="0"/>
                    <w:jc w:val="center"/>
                    <w:rPr>
                      <w:color w:val="auto"/>
                      <w:kern w:val="0"/>
                      <w:szCs w:val="21"/>
                    </w:rPr>
                  </w:pPr>
                  <w:r>
                    <w:rPr>
                      <w:color w:val="auto"/>
                      <w:kern w:val="0"/>
                      <w:szCs w:val="21"/>
                    </w:rPr>
                    <w:t>生产厂房、仓库、堆场等场所内应严禁烟火，不可存放任何易燃性物质，并应设置严禁烟火标志。</w:t>
                  </w:r>
                </w:p>
              </w:tc>
              <w:tc>
                <w:tcPr>
                  <w:tcW w:w="2700" w:type="dxa"/>
                  <w:vAlign w:val="center"/>
                </w:tcPr>
                <w:p>
                  <w:pPr>
                    <w:autoSpaceDE w:val="0"/>
                    <w:autoSpaceDN w:val="0"/>
                    <w:jc w:val="center"/>
                    <w:rPr>
                      <w:color w:val="auto"/>
                      <w:kern w:val="0"/>
                      <w:szCs w:val="21"/>
                    </w:rPr>
                  </w:pPr>
                  <w:r>
                    <w:rPr>
                      <w:color w:val="auto"/>
                      <w:kern w:val="0"/>
                      <w:szCs w:val="21"/>
                    </w:rPr>
                    <w:t>废塑料原料、产品贮存区、生产车间设置明确禁止烟火标识，严格控制原料、产品在场内的贮存量。</w:t>
                  </w:r>
                </w:p>
              </w:tc>
              <w:tc>
                <w:tcPr>
                  <w:tcW w:w="362" w:type="dxa"/>
                  <w:vAlign w:val="center"/>
                </w:tcPr>
                <w:p>
                  <w:pPr>
                    <w:autoSpaceDE w:val="0"/>
                    <w:autoSpaceDN w:val="0"/>
                    <w:jc w:val="center"/>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Align w:val="center"/>
                </w:tcPr>
                <w:p>
                  <w:pPr>
                    <w:autoSpaceDE w:val="0"/>
                    <w:autoSpaceDN w:val="0"/>
                    <w:jc w:val="center"/>
                    <w:rPr>
                      <w:b/>
                      <w:bCs/>
                      <w:color w:val="auto"/>
                      <w:kern w:val="0"/>
                      <w:szCs w:val="21"/>
                    </w:rPr>
                  </w:pPr>
                  <w:r>
                    <w:rPr>
                      <w:b/>
                      <w:bCs/>
                      <w:color w:val="auto"/>
                      <w:kern w:val="0"/>
                      <w:szCs w:val="21"/>
                    </w:rPr>
                    <w:t>产品</w:t>
                  </w:r>
                </w:p>
                <w:p>
                  <w:pPr>
                    <w:autoSpaceDE w:val="0"/>
                    <w:autoSpaceDN w:val="0"/>
                    <w:jc w:val="center"/>
                    <w:rPr>
                      <w:color w:val="auto"/>
                    </w:rPr>
                  </w:pPr>
                  <w:r>
                    <w:rPr>
                      <w:b/>
                      <w:bCs/>
                      <w:color w:val="auto"/>
                      <w:kern w:val="0"/>
                      <w:szCs w:val="21"/>
                    </w:rPr>
                    <w:t>质量</w:t>
                  </w:r>
                </w:p>
              </w:tc>
              <w:tc>
                <w:tcPr>
                  <w:tcW w:w="3164" w:type="dxa"/>
                  <w:vAlign w:val="center"/>
                </w:tcPr>
                <w:p>
                  <w:pPr>
                    <w:autoSpaceDE w:val="0"/>
                    <w:autoSpaceDN w:val="0"/>
                    <w:jc w:val="center"/>
                    <w:rPr>
                      <w:color w:val="auto"/>
                      <w:kern w:val="0"/>
                      <w:szCs w:val="21"/>
                    </w:rPr>
                  </w:pPr>
                  <w:r>
                    <w:rPr>
                      <w:color w:val="auto"/>
                      <w:kern w:val="0"/>
                      <w:szCs w:val="21"/>
                    </w:rPr>
                    <w:t>鼓励企业建立相应的材料、产品可追溯制度。</w:t>
                  </w:r>
                </w:p>
              </w:tc>
              <w:tc>
                <w:tcPr>
                  <w:tcW w:w="2700" w:type="dxa"/>
                  <w:vAlign w:val="center"/>
                </w:tcPr>
                <w:p>
                  <w:pPr>
                    <w:autoSpaceDE w:val="0"/>
                    <w:autoSpaceDN w:val="0"/>
                    <w:jc w:val="center"/>
                    <w:rPr>
                      <w:color w:val="auto"/>
                      <w:kern w:val="0"/>
                      <w:szCs w:val="21"/>
                    </w:rPr>
                  </w:pPr>
                  <w:r>
                    <w:rPr>
                      <w:color w:val="auto"/>
                      <w:kern w:val="0"/>
                      <w:szCs w:val="21"/>
                    </w:rPr>
                    <w:t>项目原料及产品建立可追溯的台账。</w:t>
                  </w:r>
                </w:p>
              </w:tc>
              <w:tc>
                <w:tcPr>
                  <w:tcW w:w="362" w:type="dxa"/>
                  <w:vAlign w:val="center"/>
                </w:tcPr>
                <w:p>
                  <w:pPr>
                    <w:autoSpaceDE w:val="0"/>
                    <w:autoSpaceDN w:val="0"/>
                    <w:jc w:val="center"/>
                    <w:rPr>
                      <w:color w:val="auto"/>
                      <w:kern w:val="0"/>
                      <w:szCs w:val="21"/>
                    </w:rPr>
                  </w:pPr>
                  <w:r>
                    <w:rPr>
                      <w:color w:val="auto"/>
                      <w:kern w:val="0"/>
                      <w:szCs w:val="21"/>
                    </w:rPr>
                    <w:t>符合</w:t>
                  </w:r>
                </w:p>
              </w:tc>
            </w:tr>
          </w:tbl>
          <w:p>
            <w:pPr>
              <w:pStyle w:val="2"/>
              <w:rPr>
                <w:color w:val="auto"/>
              </w:rPr>
            </w:pPr>
          </w:p>
          <w:p>
            <w:pPr>
              <w:spacing w:line="360" w:lineRule="auto"/>
              <w:ind w:firstLine="482" w:firstLineChars="200"/>
              <w:rPr>
                <w:b/>
                <w:color w:val="auto"/>
                <w:sz w:val="24"/>
              </w:rPr>
            </w:pPr>
            <w:r>
              <w:rPr>
                <w:rFonts w:hint="eastAsia"/>
                <w:b/>
                <w:bCs/>
                <w:color w:val="auto"/>
                <w:kern w:val="0"/>
                <w:sz w:val="24"/>
              </w:rPr>
              <w:t>11、</w:t>
            </w:r>
            <w:r>
              <w:rPr>
                <w:b/>
                <w:color w:val="auto"/>
                <w:sz w:val="24"/>
              </w:rPr>
              <w:t>与</w:t>
            </w:r>
            <w:r>
              <w:rPr>
                <w:color w:val="auto"/>
              </w:rPr>
              <w:fldChar w:fldCharType="begin"/>
            </w:r>
            <w:r>
              <w:rPr>
                <w:color w:val="auto"/>
              </w:rPr>
              <w:instrText xml:space="preserve"> HYPERLINK "http://www.mee.gov.cn/ywgz/fgbz/bz/bzwb/gthw/qtxgbz/202206/t20220607_984652.shtml" </w:instrText>
            </w:r>
            <w:r>
              <w:rPr>
                <w:color w:val="auto"/>
              </w:rPr>
              <w:fldChar w:fldCharType="separate"/>
            </w:r>
            <w:r>
              <w:rPr>
                <w:rStyle w:val="36"/>
                <w:rFonts w:hint="eastAsia" w:cs="微软雅黑"/>
                <w:b/>
                <w:color w:val="auto"/>
                <w:sz w:val="24"/>
                <w:szCs w:val="27"/>
                <w:u w:val="none"/>
                <w:shd w:val="clear" w:color="auto" w:fill="FFFFFF"/>
              </w:rPr>
              <w:t>《废塑料污染控制技术规范》</w:t>
            </w:r>
            <w:r>
              <w:rPr>
                <w:rStyle w:val="36"/>
                <w:rFonts w:hint="eastAsia" w:cs="微软雅黑"/>
                <w:b/>
                <w:color w:val="auto"/>
                <w:sz w:val="24"/>
                <w:szCs w:val="27"/>
                <w:u w:val="none"/>
                <w:shd w:val="clear" w:color="auto" w:fill="FFFFFF"/>
              </w:rPr>
              <w:fldChar w:fldCharType="end"/>
            </w:r>
            <w:r>
              <w:rPr>
                <w:b/>
                <w:color w:val="auto"/>
                <w:sz w:val="24"/>
              </w:rPr>
              <w:t>相符性分析</w:t>
            </w:r>
          </w:p>
          <w:p>
            <w:pPr>
              <w:pStyle w:val="8"/>
              <w:spacing w:line="360" w:lineRule="auto"/>
              <w:ind w:firstLine="480"/>
              <w:rPr>
                <w:color w:val="auto"/>
                <w:kern w:val="2"/>
                <w:sz w:val="24"/>
              </w:rPr>
            </w:pPr>
            <w:r>
              <w:rPr>
                <w:color w:val="auto"/>
                <w:kern w:val="2"/>
                <w:sz w:val="24"/>
              </w:rPr>
              <w:t>项目与</w:t>
            </w:r>
            <w:r>
              <w:rPr>
                <w:color w:val="auto"/>
              </w:rPr>
              <w:fldChar w:fldCharType="begin"/>
            </w:r>
            <w:r>
              <w:rPr>
                <w:color w:val="auto"/>
              </w:rPr>
              <w:instrText xml:space="preserve"> HYPERLINK "http://www.mee.gov.cn/ywgz/fgbz/bz/bzwb/gthw/qtxgbz/202206/t20220607_984652.shtml" </w:instrText>
            </w:r>
            <w:r>
              <w:rPr>
                <w:color w:val="auto"/>
              </w:rPr>
              <w:fldChar w:fldCharType="separate"/>
            </w:r>
            <w:r>
              <w:rPr>
                <w:rStyle w:val="36"/>
                <w:rFonts w:hint="eastAsia" w:cs="微软雅黑"/>
                <w:color w:val="auto"/>
                <w:sz w:val="24"/>
                <w:szCs w:val="27"/>
                <w:u w:val="none"/>
                <w:shd w:val="clear" w:color="auto" w:fill="FFFFFF"/>
              </w:rPr>
              <w:t>《废塑料污染控制技术规范》（HJ 364-2022）</w:t>
            </w:r>
            <w:r>
              <w:rPr>
                <w:rStyle w:val="36"/>
                <w:rFonts w:hint="eastAsia" w:cs="微软雅黑"/>
                <w:color w:val="auto"/>
                <w:sz w:val="24"/>
                <w:szCs w:val="27"/>
                <w:u w:val="none"/>
                <w:shd w:val="clear" w:color="auto" w:fill="FFFFFF"/>
              </w:rPr>
              <w:fldChar w:fldCharType="end"/>
            </w:r>
            <w:r>
              <w:rPr>
                <w:color w:val="auto"/>
                <w:kern w:val="2"/>
                <w:sz w:val="24"/>
              </w:rPr>
              <w:t>中相关要求的符合性分析具体见表</w:t>
            </w:r>
            <w:r>
              <w:rPr>
                <w:rFonts w:hint="eastAsia"/>
                <w:color w:val="auto"/>
                <w:kern w:val="2"/>
                <w:sz w:val="24"/>
              </w:rPr>
              <w:t>1-8</w:t>
            </w:r>
            <w:r>
              <w:rPr>
                <w:color w:val="auto"/>
                <w:kern w:val="2"/>
                <w:sz w:val="24"/>
              </w:rPr>
              <w:t>。</w:t>
            </w:r>
          </w:p>
          <w:p>
            <w:pPr>
              <w:tabs>
                <w:tab w:val="left" w:pos="3750"/>
              </w:tabs>
              <w:spacing w:line="360" w:lineRule="auto"/>
              <w:jc w:val="center"/>
              <w:rPr>
                <w:b/>
                <w:bCs/>
                <w:color w:val="auto"/>
                <w:sz w:val="24"/>
              </w:rPr>
            </w:pPr>
            <w:bookmarkStart w:id="5" w:name="_Toc3668"/>
            <w:bookmarkStart w:id="6" w:name="_Toc22739"/>
            <w:bookmarkStart w:id="7" w:name="_Toc6647"/>
            <w:bookmarkStart w:id="8" w:name="_Toc28567"/>
            <w:bookmarkStart w:id="9" w:name="_Toc3272"/>
            <w:r>
              <w:rPr>
                <w:b/>
                <w:bCs/>
                <w:color w:val="auto"/>
                <w:sz w:val="24"/>
              </w:rPr>
              <w:t>表</w:t>
            </w:r>
            <w:r>
              <w:rPr>
                <w:rFonts w:hint="eastAsia"/>
                <w:b/>
                <w:bCs/>
                <w:color w:val="auto"/>
                <w:sz w:val="24"/>
              </w:rPr>
              <w:t>1-8</w:t>
            </w:r>
            <w:r>
              <w:rPr>
                <w:b/>
                <w:bCs/>
                <w:color w:val="auto"/>
                <w:sz w:val="24"/>
              </w:rPr>
              <w:t xml:space="preserve">  项目与</w:t>
            </w:r>
            <w:r>
              <w:rPr>
                <w:color w:val="auto"/>
              </w:rPr>
              <w:fldChar w:fldCharType="begin"/>
            </w:r>
            <w:r>
              <w:rPr>
                <w:color w:val="auto"/>
              </w:rPr>
              <w:instrText xml:space="preserve"> HYPERLINK "http://www.mee.gov.cn/ywgz/fgbz/bz/bzwb/gthw/qtxgbz/202206/t20220607_984652.shtml" </w:instrText>
            </w:r>
            <w:r>
              <w:rPr>
                <w:color w:val="auto"/>
              </w:rPr>
              <w:fldChar w:fldCharType="separate"/>
            </w:r>
            <w:r>
              <w:rPr>
                <w:rStyle w:val="36"/>
                <w:rFonts w:hint="eastAsia" w:cs="微软雅黑"/>
                <w:b/>
                <w:bCs/>
                <w:color w:val="auto"/>
                <w:sz w:val="24"/>
                <w:szCs w:val="27"/>
                <w:u w:val="none"/>
                <w:shd w:val="clear" w:color="auto" w:fill="FFFFFF"/>
              </w:rPr>
              <w:t>《废塑料污染控制技术规范》</w:t>
            </w:r>
            <w:r>
              <w:rPr>
                <w:rStyle w:val="36"/>
                <w:rFonts w:hint="eastAsia" w:cs="微软雅黑"/>
                <w:b/>
                <w:bCs/>
                <w:color w:val="auto"/>
                <w:sz w:val="24"/>
                <w:szCs w:val="27"/>
                <w:u w:val="none"/>
                <w:shd w:val="clear" w:color="auto" w:fill="FFFFFF"/>
              </w:rPr>
              <w:fldChar w:fldCharType="end"/>
            </w:r>
            <w:r>
              <w:rPr>
                <w:b/>
                <w:bCs/>
                <w:color w:val="auto"/>
                <w:sz w:val="24"/>
              </w:rPr>
              <w:t>相符性分析</w:t>
            </w:r>
          </w:p>
          <w:bookmarkEnd w:id="5"/>
          <w:bookmarkEnd w:id="6"/>
          <w:bookmarkEnd w:id="7"/>
          <w:bookmarkEnd w:id="8"/>
          <w:bookmarkEnd w:id="9"/>
          <w:tbl>
            <w:tblPr>
              <w:tblStyle w:val="31"/>
              <w:tblW w:w="6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832"/>
              <w:gridCol w:w="2963"/>
              <w:gridCol w:w="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Align w:val="center"/>
                </w:tcPr>
                <w:p>
                  <w:pPr>
                    <w:pStyle w:val="23"/>
                    <w:adjustRightInd w:val="0"/>
                    <w:snapToGrid w:val="0"/>
                    <w:ind w:left="0" w:leftChars="0" w:firstLine="0" w:firstLineChars="0"/>
                    <w:jc w:val="center"/>
                    <w:rPr>
                      <w:b/>
                      <w:bCs/>
                      <w:color w:val="auto"/>
                      <w:sz w:val="21"/>
                      <w:szCs w:val="21"/>
                    </w:rPr>
                  </w:pPr>
                  <w:r>
                    <w:rPr>
                      <w:rFonts w:ascii="Times New Roman"/>
                      <w:b/>
                      <w:bCs/>
                      <w:color w:val="auto"/>
                      <w:sz w:val="21"/>
                      <w:szCs w:val="21"/>
                    </w:rPr>
                    <w:t>项目</w:t>
                  </w:r>
                </w:p>
              </w:tc>
              <w:tc>
                <w:tcPr>
                  <w:tcW w:w="2832" w:type="dxa"/>
                  <w:vAlign w:val="center"/>
                </w:tcPr>
                <w:p>
                  <w:pPr>
                    <w:pStyle w:val="23"/>
                    <w:adjustRightInd w:val="0"/>
                    <w:snapToGrid w:val="0"/>
                    <w:ind w:left="0" w:leftChars="0" w:firstLine="0" w:firstLineChars="0"/>
                    <w:jc w:val="center"/>
                    <w:rPr>
                      <w:b/>
                      <w:bCs/>
                      <w:color w:val="auto"/>
                      <w:sz w:val="21"/>
                      <w:szCs w:val="21"/>
                    </w:rPr>
                  </w:pPr>
                  <w:r>
                    <w:rPr>
                      <w:rFonts w:ascii="Times New Roman"/>
                      <w:b/>
                      <w:bCs/>
                      <w:color w:val="auto"/>
                      <w:sz w:val="21"/>
                      <w:szCs w:val="21"/>
                    </w:rPr>
                    <w:t>规范要求</w:t>
                  </w:r>
                </w:p>
              </w:tc>
              <w:tc>
                <w:tcPr>
                  <w:tcW w:w="2963" w:type="dxa"/>
                  <w:vAlign w:val="center"/>
                </w:tcPr>
                <w:p>
                  <w:pPr>
                    <w:pStyle w:val="23"/>
                    <w:adjustRightInd w:val="0"/>
                    <w:snapToGrid w:val="0"/>
                    <w:ind w:left="0" w:leftChars="0" w:firstLine="0" w:firstLineChars="0"/>
                    <w:jc w:val="center"/>
                    <w:rPr>
                      <w:b/>
                      <w:bCs/>
                      <w:color w:val="auto"/>
                      <w:sz w:val="21"/>
                      <w:szCs w:val="21"/>
                    </w:rPr>
                  </w:pPr>
                  <w:r>
                    <w:rPr>
                      <w:rFonts w:ascii="Times New Roman"/>
                      <w:b/>
                      <w:bCs/>
                      <w:color w:val="auto"/>
                      <w:sz w:val="21"/>
                      <w:szCs w:val="21"/>
                    </w:rPr>
                    <w:t>本项目</w:t>
                  </w:r>
                </w:p>
              </w:tc>
              <w:tc>
                <w:tcPr>
                  <w:tcW w:w="417" w:type="dxa"/>
                </w:tcPr>
                <w:p>
                  <w:pPr>
                    <w:rPr>
                      <w:b/>
                      <w:bCs/>
                      <w:color w:val="auto"/>
                      <w:kern w:val="0"/>
                      <w:szCs w:val="21"/>
                    </w:rPr>
                  </w:pPr>
                  <w:r>
                    <w:rPr>
                      <w:rFonts w:hint="eastAsia"/>
                      <w:b/>
                      <w:bCs/>
                      <w:color w:val="auto"/>
                      <w:kern w:val="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Merge w:val="restart"/>
                  <w:vAlign w:val="center"/>
                </w:tcPr>
                <w:p>
                  <w:pPr>
                    <w:pStyle w:val="23"/>
                    <w:adjustRightInd w:val="0"/>
                    <w:snapToGrid w:val="0"/>
                    <w:ind w:left="0" w:leftChars="0" w:firstLine="0" w:firstLineChars="0"/>
                    <w:jc w:val="center"/>
                    <w:rPr>
                      <w:color w:val="auto"/>
                      <w:sz w:val="21"/>
                      <w:szCs w:val="21"/>
                    </w:rPr>
                  </w:pPr>
                  <w:r>
                    <w:rPr>
                      <w:rFonts w:hint="eastAsia" w:ascii="Times New Roman"/>
                      <w:color w:val="auto"/>
                      <w:sz w:val="21"/>
                      <w:szCs w:val="21"/>
                    </w:rPr>
                    <w:t>总体要求</w:t>
                  </w:r>
                </w:p>
              </w:tc>
              <w:tc>
                <w:tcPr>
                  <w:tcW w:w="2832" w:type="dxa"/>
                  <w:vAlign w:val="center"/>
                </w:tcPr>
                <w:p>
                  <w:pPr>
                    <w:widowControl/>
                    <w:adjustRightInd w:val="0"/>
                    <w:snapToGrid w:val="0"/>
                    <w:jc w:val="center"/>
                    <w:rPr>
                      <w:color w:val="auto"/>
                      <w:kern w:val="0"/>
                      <w:szCs w:val="21"/>
                    </w:rPr>
                  </w:pPr>
                  <w:r>
                    <w:rPr>
                      <w:rFonts w:hint="eastAsia" w:cs="宋体"/>
                      <w:color w:val="auto"/>
                      <w:kern w:val="0"/>
                      <w:szCs w:val="20"/>
                      <w:lang w:bidi="ar"/>
                    </w:rPr>
                    <w:t>应加强塑料制品的绿色设计，以便于重复使用和利用处置。</w:t>
                  </w:r>
                </w:p>
              </w:tc>
              <w:tc>
                <w:tcPr>
                  <w:tcW w:w="2963" w:type="dxa"/>
                  <w:vAlign w:val="center"/>
                </w:tcPr>
                <w:p>
                  <w:pPr>
                    <w:widowControl/>
                    <w:adjustRightInd w:val="0"/>
                    <w:snapToGrid w:val="0"/>
                    <w:jc w:val="center"/>
                    <w:rPr>
                      <w:color w:val="auto"/>
                      <w:kern w:val="0"/>
                      <w:szCs w:val="21"/>
                    </w:rPr>
                  </w:pPr>
                  <w:r>
                    <w:rPr>
                      <w:rFonts w:hint="eastAsia" w:cs="宋体"/>
                      <w:color w:val="auto"/>
                      <w:kern w:val="0"/>
                      <w:szCs w:val="21"/>
                      <w:lang w:bidi="ar"/>
                    </w:rPr>
                    <w:t>本项目塑料制品原料为废旧塑料，加工工序不添加化学制剂，绿色环保，可以重复使用和利用处置。</w:t>
                  </w:r>
                </w:p>
              </w:tc>
              <w:tc>
                <w:tcPr>
                  <w:tcW w:w="417" w:type="dxa"/>
                  <w:vAlign w:val="center"/>
                </w:tcPr>
                <w:p>
                  <w:pPr>
                    <w:pStyle w:val="23"/>
                    <w:adjustRightInd w:val="0"/>
                    <w:snapToGrid w:val="0"/>
                    <w:ind w:left="0" w:leftChars="0" w:firstLine="0" w:firstLineChars="0"/>
                    <w:jc w:val="center"/>
                    <w:rPr>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Merge w:val="continue"/>
                  <w:vAlign w:val="center"/>
                </w:tcPr>
                <w:p>
                  <w:pPr>
                    <w:pStyle w:val="23"/>
                    <w:adjustRightInd w:val="0"/>
                    <w:snapToGrid w:val="0"/>
                    <w:ind w:left="0" w:leftChars="0" w:firstLine="0" w:firstLineChars="0"/>
                    <w:jc w:val="center"/>
                    <w:rPr>
                      <w:color w:val="auto"/>
                      <w:sz w:val="21"/>
                      <w:szCs w:val="21"/>
                    </w:rPr>
                  </w:pPr>
                </w:p>
              </w:tc>
              <w:tc>
                <w:tcPr>
                  <w:tcW w:w="2832" w:type="dxa"/>
                  <w:vAlign w:val="center"/>
                </w:tcPr>
                <w:p>
                  <w:pPr>
                    <w:widowControl/>
                    <w:adjustRightInd w:val="0"/>
                    <w:snapToGrid w:val="0"/>
                    <w:jc w:val="center"/>
                    <w:rPr>
                      <w:color w:val="auto"/>
                      <w:kern w:val="0"/>
                      <w:szCs w:val="21"/>
                    </w:rPr>
                  </w:pPr>
                  <w:r>
                    <w:rPr>
                      <w:rFonts w:hint="eastAsia" w:cs="宋体"/>
                      <w:color w:val="auto"/>
                      <w:kern w:val="0"/>
                      <w:szCs w:val="20"/>
                      <w:lang w:bidi="ar"/>
                    </w:rPr>
                    <w:t>宜以提高资源利用率和减少环境影响为原则，按照重复使用、再生利用和处置的顺序，选择合理可行的废塑料利用处置技术路线</w:t>
                  </w:r>
                </w:p>
              </w:tc>
              <w:tc>
                <w:tcPr>
                  <w:tcW w:w="2963" w:type="dxa"/>
                  <w:vAlign w:val="center"/>
                </w:tcPr>
                <w:p>
                  <w:pPr>
                    <w:widowControl/>
                    <w:adjustRightInd w:val="0"/>
                    <w:snapToGrid w:val="0"/>
                    <w:jc w:val="center"/>
                    <w:rPr>
                      <w:color w:val="auto"/>
                      <w:kern w:val="0"/>
                      <w:szCs w:val="21"/>
                    </w:rPr>
                  </w:pPr>
                  <w:r>
                    <w:rPr>
                      <w:rFonts w:hint="eastAsia" w:cs="宋体"/>
                      <w:color w:val="auto"/>
                      <w:kern w:val="0"/>
                      <w:szCs w:val="21"/>
                      <w:lang w:bidi="ar"/>
                    </w:rPr>
                    <w:t>本项目废塑料按照重复使用、再生利用和处置的顺序，选择合理可行的废塑料利用处置技术路线。</w:t>
                  </w:r>
                </w:p>
              </w:tc>
              <w:tc>
                <w:tcPr>
                  <w:tcW w:w="417" w:type="dxa"/>
                  <w:vAlign w:val="center"/>
                </w:tcPr>
                <w:p>
                  <w:pPr>
                    <w:pStyle w:val="23"/>
                    <w:adjustRightInd w:val="0"/>
                    <w:snapToGrid w:val="0"/>
                    <w:ind w:left="0" w:leftChars="0" w:firstLine="0" w:firstLineChars="0"/>
                    <w:jc w:val="center"/>
                    <w:rPr>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Merge w:val="continue"/>
                  <w:vAlign w:val="center"/>
                </w:tcPr>
                <w:p>
                  <w:pPr>
                    <w:pStyle w:val="23"/>
                    <w:adjustRightInd w:val="0"/>
                    <w:snapToGrid w:val="0"/>
                    <w:ind w:left="0" w:leftChars="0" w:firstLine="0" w:firstLineChars="0"/>
                    <w:jc w:val="center"/>
                    <w:rPr>
                      <w:color w:val="auto"/>
                      <w:sz w:val="21"/>
                      <w:szCs w:val="21"/>
                    </w:rPr>
                  </w:pPr>
                </w:p>
              </w:tc>
              <w:tc>
                <w:tcPr>
                  <w:tcW w:w="2832" w:type="dxa"/>
                  <w:vAlign w:val="center"/>
                </w:tcPr>
                <w:p>
                  <w:pPr>
                    <w:widowControl/>
                    <w:adjustRightInd w:val="0"/>
                    <w:snapToGrid w:val="0"/>
                    <w:jc w:val="center"/>
                    <w:rPr>
                      <w:color w:val="auto"/>
                      <w:kern w:val="0"/>
                      <w:szCs w:val="21"/>
                    </w:rPr>
                  </w:pPr>
                  <w:r>
                    <w:rPr>
                      <w:rFonts w:hint="eastAsia" w:cs="宋体"/>
                      <w:color w:val="auto"/>
                      <w:kern w:val="0"/>
                      <w:szCs w:val="20"/>
                      <w:lang w:bidi="ar"/>
                    </w:rPr>
                    <w:t>涉及废塑料的产生、收集、运输、贮存、利用、处置的单位和其他生产经营者，应根据产生的污染物采取防扬散、防流失、防渗漏或者其他防止污染环境的措施，并执行国家和地方相关排放标准。</w:t>
                  </w:r>
                </w:p>
              </w:tc>
              <w:tc>
                <w:tcPr>
                  <w:tcW w:w="2963" w:type="dxa"/>
                  <w:vAlign w:val="center"/>
                </w:tcPr>
                <w:p>
                  <w:pPr>
                    <w:widowControl/>
                    <w:adjustRightInd w:val="0"/>
                    <w:snapToGrid w:val="0"/>
                    <w:jc w:val="center"/>
                    <w:rPr>
                      <w:color w:val="auto"/>
                      <w:kern w:val="0"/>
                      <w:szCs w:val="21"/>
                    </w:rPr>
                  </w:pPr>
                  <w:r>
                    <w:rPr>
                      <w:color w:val="auto"/>
                      <w:szCs w:val="21"/>
                    </w:rPr>
                    <w:t>本项目在</w:t>
                  </w:r>
                  <w:r>
                    <w:rPr>
                      <w:rFonts w:hint="eastAsia"/>
                      <w:color w:val="auto"/>
                      <w:szCs w:val="21"/>
                    </w:rPr>
                    <w:t>租用厂房</w:t>
                  </w:r>
                  <w:r>
                    <w:rPr>
                      <w:color w:val="auto"/>
                      <w:szCs w:val="21"/>
                    </w:rPr>
                    <w:t>内</w:t>
                  </w:r>
                  <w:r>
                    <w:rPr>
                      <w:rFonts w:hint="eastAsia"/>
                      <w:color w:val="auto"/>
                      <w:szCs w:val="21"/>
                    </w:rPr>
                    <w:t>划定原料堆场、成品暂存等区域</w:t>
                  </w:r>
                  <w:r>
                    <w:rPr>
                      <w:color w:val="auto"/>
                      <w:szCs w:val="21"/>
                    </w:rPr>
                    <w:t>，地面水泥硬化处理。本项目成品集中暂存在成品暂存区后，当天发货，不在厂内存储，成品暂存区布置在各生产车间内南侧。在生产车间设一般固废暂存</w:t>
                  </w:r>
                  <w:r>
                    <w:rPr>
                      <w:rFonts w:hint="eastAsia"/>
                      <w:color w:val="auto"/>
                      <w:szCs w:val="21"/>
                    </w:rPr>
                    <w:t>间、</w:t>
                  </w:r>
                  <w:r>
                    <w:rPr>
                      <w:color w:val="auto"/>
                      <w:szCs w:val="21"/>
                    </w:rPr>
                    <w:t>危废暂存</w:t>
                  </w:r>
                  <w:r>
                    <w:rPr>
                      <w:rFonts w:hint="eastAsia"/>
                      <w:color w:val="auto"/>
                      <w:szCs w:val="21"/>
                    </w:rPr>
                    <w:t>间</w:t>
                  </w:r>
                  <w:r>
                    <w:rPr>
                      <w:color w:val="auto"/>
                      <w:szCs w:val="21"/>
                    </w:rPr>
                    <w:t>，原料、产品、一般固废、危险废物均位于专用贮存场地内，贮存场地严禁烟火，配备灭火器等措施。贮存场具有防雨、防晒、防渗、防尘、防扬散和防火措施。</w:t>
                  </w:r>
                </w:p>
              </w:tc>
              <w:tc>
                <w:tcPr>
                  <w:tcW w:w="417" w:type="dxa"/>
                  <w:vAlign w:val="center"/>
                </w:tcPr>
                <w:p>
                  <w:pPr>
                    <w:pStyle w:val="23"/>
                    <w:adjustRightInd w:val="0"/>
                    <w:snapToGrid w:val="0"/>
                    <w:ind w:left="0" w:leftChars="0" w:firstLine="0" w:firstLineChars="0"/>
                    <w:jc w:val="center"/>
                    <w:rPr>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Merge w:val="continue"/>
                  <w:vAlign w:val="center"/>
                </w:tcPr>
                <w:p>
                  <w:pPr>
                    <w:pStyle w:val="23"/>
                    <w:adjustRightInd w:val="0"/>
                    <w:snapToGrid w:val="0"/>
                    <w:ind w:left="0" w:leftChars="0" w:firstLine="0" w:firstLineChars="0"/>
                    <w:jc w:val="center"/>
                    <w:rPr>
                      <w:color w:val="auto"/>
                      <w:sz w:val="21"/>
                      <w:szCs w:val="21"/>
                    </w:rPr>
                  </w:pPr>
                </w:p>
              </w:tc>
              <w:tc>
                <w:tcPr>
                  <w:tcW w:w="2832" w:type="dxa"/>
                  <w:vAlign w:val="center"/>
                </w:tcPr>
                <w:p>
                  <w:pPr>
                    <w:widowControl/>
                    <w:adjustRightInd w:val="0"/>
                    <w:snapToGrid w:val="0"/>
                    <w:jc w:val="center"/>
                    <w:rPr>
                      <w:color w:val="auto"/>
                      <w:kern w:val="0"/>
                      <w:szCs w:val="21"/>
                    </w:rPr>
                  </w:pPr>
                  <w:r>
                    <w:rPr>
                      <w:rFonts w:hint="eastAsia" w:cs="宋体"/>
                      <w:color w:val="auto"/>
                      <w:kern w:val="0"/>
                      <w:szCs w:val="20"/>
                      <w:lang w:bidi="ar"/>
                    </w:rPr>
                    <w:t>废塑料的产生、收集、贮存、预处理和再生利用企业内应单独划分贮存场地，不同种类的废塑料宜分开贮存，贮存场地应具有防雨、防扬散、防渗漏等措施，并按</w:t>
                  </w:r>
                  <w:r>
                    <w:rPr>
                      <w:color w:val="auto"/>
                      <w:kern w:val="0"/>
                      <w:szCs w:val="20"/>
                      <w:lang w:bidi="ar"/>
                    </w:rPr>
                    <w:t>GB15562.2</w:t>
                  </w:r>
                  <w:r>
                    <w:rPr>
                      <w:rFonts w:hint="eastAsia" w:cs="宋体"/>
                      <w:color w:val="auto"/>
                      <w:kern w:val="0"/>
                      <w:szCs w:val="20"/>
                      <w:lang w:bidi="ar"/>
                    </w:rPr>
                    <w:t>的要求设置标识。</w:t>
                  </w:r>
                </w:p>
              </w:tc>
              <w:tc>
                <w:tcPr>
                  <w:tcW w:w="2963" w:type="dxa"/>
                  <w:vAlign w:val="center"/>
                </w:tcPr>
                <w:p>
                  <w:pPr>
                    <w:widowControl/>
                    <w:adjustRightInd w:val="0"/>
                    <w:snapToGrid w:val="0"/>
                    <w:jc w:val="center"/>
                    <w:rPr>
                      <w:color w:val="auto"/>
                      <w:kern w:val="0"/>
                      <w:szCs w:val="21"/>
                    </w:rPr>
                  </w:pPr>
                  <w:r>
                    <w:rPr>
                      <w:rFonts w:hint="eastAsia" w:cs="宋体"/>
                      <w:color w:val="auto"/>
                      <w:kern w:val="0"/>
                      <w:szCs w:val="21"/>
                      <w:lang w:bidi="ar"/>
                    </w:rPr>
                    <w:t>本项目废塑料按种类分开贮存，贮存场地并具有防雨、防扬散、防渗漏等措施，</w:t>
                  </w:r>
                  <w:r>
                    <w:rPr>
                      <w:rFonts w:hint="eastAsia" w:cs="宋体"/>
                      <w:color w:val="auto"/>
                      <w:kern w:val="0"/>
                      <w:szCs w:val="20"/>
                      <w:lang w:bidi="ar"/>
                    </w:rPr>
                    <w:t>并按</w:t>
                  </w:r>
                  <w:r>
                    <w:rPr>
                      <w:color w:val="auto"/>
                      <w:kern w:val="0"/>
                      <w:szCs w:val="20"/>
                      <w:lang w:bidi="ar"/>
                    </w:rPr>
                    <w:t>GB15562.2</w:t>
                  </w:r>
                  <w:r>
                    <w:rPr>
                      <w:rFonts w:hint="eastAsia"/>
                      <w:color w:val="auto"/>
                      <w:kern w:val="0"/>
                      <w:szCs w:val="20"/>
                      <w:lang w:bidi="ar"/>
                    </w:rPr>
                    <w:t>要求</w:t>
                  </w:r>
                  <w:r>
                    <w:rPr>
                      <w:rFonts w:hint="eastAsia" w:cs="宋体"/>
                      <w:color w:val="auto"/>
                      <w:kern w:val="0"/>
                      <w:szCs w:val="21"/>
                      <w:lang w:bidi="ar"/>
                    </w:rPr>
                    <w:t>设置标识。</w:t>
                  </w:r>
                </w:p>
              </w:tc>
              <w:tc>
                <w:tcPr>
                  <w:tcW w:w="417" w:type="dxa"/>
                  <w:vAlign w:val="center"/>
                </w:tcPr>
                <w:p>
                  <w:pPr>
                    <w:pStyle w:val="23"/>
                    <w:adjustRightInd w:val="0"/>
                    <w:snapToGrid w:val="0"/>
                    <w:ind w:left="0" w:leftChars="0" w:firstLine="0" w:firstLineChars="0"/>
                    <w:jc w:val="center"/>
                    <w:rPr>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Merge w:val="continue"/>
                  <w:vAlign w:val="center"/>
                </w:tcPr>
                <w:p>
                  <w:pPr>
                    <w:pStyle w:val="23"/>
                    <w:adjustRightInd w:val="0"/>
                    <w:snapToGrid w:val="0"/>
                    <w:ind w:left="0" w:leftChars="0" w:firstLine="0" w:firstLineChars="0"/>
                    <w:jc w:val="center"/>
                    <w:rPr>
                      <w:color w:val="auto"/>
                      <w:sz w:val="21"/>
                      <w:szCs w:val="21"/>
                    </w:rPr>
                  </w:pPr>
                </w:p>
              </w:tc>
              <w:tc>
                <w:tcPr>
                  <w:tcW w:w="2832" w:type="dxa"/>
                  <w:vAlign w:val="center"/>
                </w:tcPr>
                <w:p>
                  <w:pPr>
                    <w:widowControl/>
                    <w:adjustRightInd w:val="0"/>
                    <w:snapToGrid w:val="0"/>
                    <w:jc w:val="center"/>
                    <w:rPr>
                      <w:color w:val="auto"/>
                      <w:kern w:val="0"/>
                      <w:szCs w:val="21"/>
                    </w:rPr>
                  </w:pPr>
                  <w:r>
                    <w:rPr>
                      <w:rFonts w:hint="eastAsia" w:cs="宋体"/>
                      <w:color w:val="auto"/>
                      <w:kern w:val="0"/>
                      <w:szCs w:val="20"/>
                      <w:lang w:bidi="ar"/>
                    </w:rPr>
                    <w:t>含卤素废塑料的预处理与再生利用，宜与其他废塑料分开进行。</w:t>
                  </w:r>
                </w:p>
              </w:tc>
              <w:tc>
                <w:tcPr>
                  <w:tcW w:w="2963" w:type="dxa"/>
                  <w:vAlign w:val="center"/>
                </w:tcPr>
                <w:p>
                  <w:pPr>
                    <w:widowControl/>
                    <w:adjustRightInd w:val="0"/>
                    <w:snapToGrid w:val="0"/>
                    <w:jc w:val="center"/>
                    <w:rPr>
                      <w:color w:val="auto"/>
                      <w:kern w:val="0"/>
                      <w:szCs w:val="21"/>
                    </w:rPr>
                  </w:pPr>
                  <w:r>
                    <w:rPr>
                      <w:rFonts w:hint="eastAsia" w:cs="宋体"/>
                      <w:color w:val="auto"/>
                      <w:kern w:val="0"/>
                      <w:szCs w:val="21"/>
                      <w:lang w:bidi="ar"/>
                    </w:rPr>
                    <w:t>本项目收集的废塑料不含卤素废塑料。</w:t>
                  </w:r>
                </w:p>
              </w:tc>
              <w:tc>
                <w:tcPr>
                  <w:tcW w:w="417" w:type="dxa"/>
                  <w:vAlign w:val="center"/>
                </w:tcPr>
                <w:p>
                  <w:pPr>
                    <w:pStyle w:val="23"/>
                    <w:adjustRightInd w:val="0"/>
                    <w:snapToGrid w:val="0"/>
                    <w:ind w:left="0" w:leftChars="0" w:firstLine="0" w:firstLineChars="0"/>
                    <w:jc w:val="center"/>
                    <w:rPr>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Merge w:val="continue"/>
                  <w:vAlign w:val="center"/>
                </w:tcPr>
                <w:p>
                  <w:pPr>
                    <w:adjustRightInd w:val="0"/>
                    <w:snapToGrid w:val="0"/>
                    <w:jc w:val="center"/>
                    <w:rPr>
                      <w:color w:val="auto"/>
                      <w:kern w:val="0"/>
                      <w:szCs w:val="21"/>
                    </w:rPr>
                  </w:pPr>
                </w:p>
              </w:tc>
              <w:tc>
                <w:tcPr>
                  <w:tcW w:w="2832" w:type="dxa"/>
                  <w:vAlign w:val="center"/>
                </w:tcPr>
                <w:p>
                  <w:pPr>
                    <w:widowControl/>
                    <w:adjustRightInd w:val="0"/>
                    <w:snapToGrid w:val="0"/>
                    <w:jc w:val="center"/>
                    <w:rPr>
                      <w:color w:val="auto"/>
                      <w:kern w:val="0"/>
                      <w:szCs w:val="21"/>
                    </w:rPr>
                  </w:pPr>
                  <w:r>
                    <w:rPr>
                      <w:rFonts w:hint="eastAsia" w:cs="宋体"/>
                      <w:color w:val="auto"/>
                      <w:kern w:val="0"/>
                      <w:szCs w:val="20"/>
                      <w:lang w:bidi="ar"/>
                    </w:rPr>
                    <w:t>废塑料的收集、再生利用和处置企业，应建立废塑料管理台账，内容包括废塑料的来源、种类、数量、去向等，相关台账应保存至少</w:t>
                  </w:r>
                  <w:r>
                    <w:rPr>
                      <w:color w:val="auto"/>
                      <w:kern w:val="0"/>
                      <w:szCs w:val="20"/>
                      <w:lang w:bidi="ar"/>
                    </w:rPr>
                    <w:t>3</w:t>
                  </w:r>
                  <w:r>
                    <w:rPr>
                      <w:rFonts w:hint="eastAsia" w:cs="宋体"/>
                      <w:color w:val="auto"/>
                      <w:kern w:val="0"/>
                      <w:szCs w:val="20"/>
                      <w:lang w:bidi="ar"/>
                    </w:rPr>
                    <w:t>年。</w:t>
                  </w:r>
                </w:p>
              </w:tc>
              <w:tc>
                <w:tcPr>
                  <w:tcW w:w="2963" w:type="dxa"/>
                  <w:vAlign w:val="center"/>
                </w:tcPr>
                <w:p>
                  <w:pPr>
                    <w:widowControl/>
                    <w:adjustRightInd w:val="0"/>
                    <w:snapToGrid w:val="0"/>
                    <w:jc w:val="center"/>
                    <w:rPr>
                      <w:color w:val="auto"/>
                      <w:kern w:val="0"/>
                      <w:szCs w:val="21"/>
                    </w:rPr>
                  </w:pPr>
                  <w:r>
                    <w:rPr>
                      <w:rFonts w:hint="eastAsia" w:cs="宋体"/>
                      <w:color w:val="auto"/>
                      <w:kern w:val="0"/>
                      <w:szCs w:val="21"/>
                      <w:lang w:bidi="ar"/>
                    </w:rPr>
                    <w:t>本项目企业为废塑料的再生利用企业 ，本次环评要求运行期建设单位建立废塑料管理台账，内容包括废塑料的来源、种类、数量、去向等，相关台账保存至少</w:t>
                  </w:r>
                  <w:r>
                    <w:rPr>
                      <w:color w:val="auto"/>
                      <w:kern w:val="0"/>
                      <w:szCs w:val="21"/>
                      <w:lang w:bidi="ar"/>
                    </w:rPr>
                    <w:t>3</w:t>
                  </w:r>
                  <w:r>
                    <w:rPr>
                      <w:rFonts w:hint="eastAsia" w:cs="宋体"/>
                      <w:color w:val="auto"/>
                      <w:kern w:val="0"/>
                      <w:szCs w:val="21"/>
                      <w:lang w:bidi="ar"/>
                    </w:rPr>
                    <w:t>年。</w:t>
                  </w:r>
                </w:p>
              </w:tc>
              <w:tc>
                <w:tcPr>
                  <w:tcW w:w="417" w:type="dxa"/>
                  <w:vAlign w:val="center"/>
                </w:tcPr>
                <w:p>
                  <w:pPr>
                    <w:pStyle w:val="23"/>
                    <w:adjustRightInd w:val="0"/>
                    <w:snapToGrid w:val="0"/>
                    <w:ind w:left="0" w:leftChars="0" w:firstLine="0" w:firstLineChars="0"/>
                    <w:jc w:val="center"/>
                    <w:rPr>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Merge w:val="continue"/>
                  <w:vAlign w:val="center"/>
                </w:tcPr>
                <w:p>
                  <w:pPr>
                    <w:adjustRightInd w:val="0"/>
                    <w:snapToGrid w:val="0"/>
                    <w:jc w:val="center"/>
                    <w:rPr>
                      <w:color w:val="auto"/>
                      <w:kern w:val="0"/>
                      <w:szCs w:val="21"/>
                    </w:rPr>
                  </w:pPr>
                </w:p>
              </w:tc>
              <w:tc>
                <w:tcPr>
                  <w:tcW w:w="2832" w:type="dxa"/>
                  <w:vAlign w:val="center"/>
                </w:tcPr>
                <w:p>
                  <w:pPr>
                    <w:widowControl/>
                    <w:adjustRightInd w:val="0"/>
                    <w:snapToGrid w:val="0"/>
                    <w:jc w:val="center"/>
                    <w:rPr>
                      <w:color w:val="auto"/>
                      <w:kern w:val="0"/>
                      <w:szCs w:val="21"/>
                    </w:rPr>
                  </w:pPr>
                  <w:r>
                    <w:rPr>
                      <w:rFonts w:hint="eastAsia" w:cs="宋体"/>
                      <w:color w:val="auto"/>
                      <w:kern w:val="0"/>
                      <w:szCs w:val="20"/>
                      <w:lang w:bidi="ar"/>
                    </w:rPr>
                    <w:t>属于危险废物的废塑料，按照危险废物进行管理和利用处置。</w:t>
                  </w:r>
                </w:p>
              </w:tc>
              <w:tc>
                <w:tcPr>
                  <w:tcW w:w="2963" w:type="dxa"/>
                  <w:vAlign w:val="center"/>
                </w:tcPr>
                <w:p>
                  <w:pPr>
                    <w:widowControl/>
                    <w:adjustRightInd w:val="0"/>
                    <w:snapToGrid w:val="0"/>
                    <w:jc w:val="center"/>
                    <w:rPr>
                      <w:color w:val="auto"/>
                      <w:kern w:val="0"/>
                      <w:szCs w:val="21"/>
                    </w:rPr>
                  </w:pPr>
                  <w:r>
                    <w:rPr>
                      <w:rFonts w:hint="eastAsia" w:cs="宋体"/>
                      <w:color w:val="auto"/>
                      <w:kern w:val="0"/>
                      <w:szCs w:val="21"/>
                      <w:lang w:bidi="ar"/>
                    </w:rPr>
                    <w:t>本项目收集的废塑料不含有危险废物的废塑料。</w:t>
                  </w:r>
                </w:p>
              </w:tc>
              <w:tc>
                <w:tcPr>
                  <w:tcW w:w="417" w:type="dxa"/>
                  <w:vAlign w:val="center"/>
                </w:tcPr>
                <w:p>
                  <w:pPr>
                    <w:pStyle w:val="23"/>
                    <w:adjustRightInd w:val="0"/>
                    <w:snapToGrid w:val="0"/>
                    <w:ind w:left="0" w:leftChars="0" w:firstLine="0" w:firstLineChars="0"/>
                    <w:jc w:val="center"/>
                    <w:rPr>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Merge w:val="continue"/>
                  <w:vAlign w:val="center"/>
                </w:tcPr>
                <w:p>
                  <w:pPr>
                    <w:adjustRightInd w:val="0"/>
                    <w:snapToGrid w:val="0"/>
                    <w:jc w:val="center"/>
                    <w:rPr>
                      <w:color w:val="auto"/>
                      <w:kern w:val="0"/>
                      <w:szCs w:val="21"/>
                    </w:rPr>
                  </w:pPr>
                </w:p>
              </w:tc>
              <w:tc>
                <w:tcPr>
                  <w:tcW w:w="2832" w:type="dxa"/>
                  <w:vAlign w:val="center"/>
                </w:tcPr>
                <w:p>
                  <w:pPr>
                    <w:widowControl/>
                    <w:adjustRightInd w:val="0"/>
                    <w:snapToGrid w:val="0"/>
                    <w:jc w:val="center"/>
                    <w:rPr>
                      <w:color w:val="auto"/>
                      <w:kern w:val="0"/>
                      <w:szCs w:val="21"/>
                    </w:rPr>
                  </w:pPr>
                  <w:r>
                    <w:rPr>
                      <w:rFonts w:hint="eastAsia" w:cs="宋体"/>
                      <w:color w:val="auto"/>
                      <w:kern w:val="0"/>
                      <w:szCs w:val="20"/>
                      <w:lang w:bidi="ar"/>
                    </w:rPr>
                    <w:t>废塑料的产生、收集、再生利用和处置过程除应满足生态环境保护相关要求外，还应符合国家安全生产、职业健康、交通运输、消防等法规、标准的相关要求。</w:t>
                  </w:r>
                </w:p>
              </w:tc>
              <w:tc>
                <w:tcPr>
                  <w:tcW w:w="2963" w:type="dxa"/>
                  <w:vAlign w:val="center"/>
                </w:tcPr>
                <w:p>
                  <w:pPr>
                    <w:widowControl/>
                    <w:adjustRightInd w:val="0"/>
                    <w:snapToGrid w:val="0"/>
                    <w:jc w:val="center"/>
                    <w:rPr>
                      <w:color w:val="auto"/>
                      <w:kern w:val="0"/>
                      <w:szCs w:val="21"/>
                    </w:rPr>
                  </w:pPr>
                  <w:r>
                    <w:rPr>
                      <w:rFonts w:hint="eastAsia" w:cs="宋体"/>
                      <w:color w:val="auto"/>
                      <w:kern w:val="0"/>
                      <w:szCs w:val="21"/>
                      <w:lang w:bidi="ar"/>
                    </w:rPr>
                    <w:t>本项目企业为废塑料的再生利用企业，再生利用的过程中</w:t>
                  </w:r>
                  <w:r>
                    <w:rPr>
                      <w:color w:val="auto"/>
                      <w:szCs w:val="21"/>
                    </w:rPr>
                    <w:t>拟在各产污点上方安装集气罩，收集废气经“水洗装置+除湿除雾装置+</w:t>
                  </w:r>
                  <w:r>
                    <w:rPr>
                      <w:rFonts w:hint="eastAsia"/>
                      <w:color w:val="auto"/>
                      <w:szCs w:val="21"/>
                      <w:lang w:val="en-US" w:eastAsia="zh-CN"/>
                    </w:rPr>
                    <w:t>一级</w:t>
                  </w:r>
                  <w:r>
                    <w:rPr>
                      <w:color w:val="auto"/>
                      <w:szCs w:val="21"/>
                    </w:rPr>
                    <w:t>活性炭吸附装置+光氧催化装置”处理后，经</w:t>
                  </w:r>
                  <w:r>
                    <w:rPr>
                      <w:rFonts w:hint="eastAsia"/>
                      <w:color w:val="auto"/>
                      <w:szCs w:val="21"/>
                    </w:rPr>
                    <w:t>20</w:t>
                  </w:r>
                  <w:r>
                    <w:rPr>
                      <w:color w:val="auto"/>
                      <w:szCs w:val="21"/>
                    </w:rPr>
                    <w:t>m排气筒有组织排放</w:t>
                  </w:r>
                  <w:r>
                    <w:rPr>
                      <w:rFonts w:hint="eastAsia"/>
                      <w:color w:val="auto"/>
                      <w:szCs w:val="21"/>
                    </w:rPr>
                    <w:t>，</w:t>
                  </w:r>
                  <w:r>
                    <w:rPr>
                      <w:color w:val="auto"/>
                      <w:szCs w:val="21"/>
                    </w:rPr>
                    <w:t>处理后废气符合（GB31572-2015）和（GB14554-93）相关要求限值。生产废水经污水处理设施（</w:t>
                  </w:r>
                  <w:r>
                    <w:rPr>
                      <w:rFonts w:hint="eastAsia" w:cs="宋体"/>
                      <w:color w:val="auto"/>
                      <w:kern w:val="0"/>
                      <w:szCs w:val="21"/>
                      <w:lang w:bidi="ar"/>
                    </w:rPr>
                    <w:t>格栅+隔油+水解+生物接触氧化法）处</w:t>
                  </w:r>
                  <w:r>
                    <w:rPr>
                      <w:color w:val="auto"/>
                      <w:szCs w:val="21"/>
                    </w:rPr>
                    <w:t>理后汇入清水</w:t>
                  </w:r>
                  <w:r>
                    <w:rPr>
                      <w:rFonts w:hint="eastAsia"/>
                      <w:color w:val="auto"/>
                      <w:szCs w:val="21"/>
                    </w:rPr>
                    <w:t>回用</w:t>
                  </w:r>
                  <w:r>
                    <w:rPr>
                      <w:color w:val="auto"/>
                      <w:szCs w:val="21"/>
                    </w:rPr>
                    <w:t>池回用于生产线，不外排</w:t>
                  </w:r>
                  <w:r>
                    <w:rPr>
                      <w:rFonts w:hint="eastAsia"/>
                      <w:color w:val="auto"/>
                      <w:szCs w:val="21"/>
                    </w:rPr>
                    <w:t>；</w:t>
                  </w:r>
                  <w:r>
                    <w:rPr>
                      <w:color w:val="auto"/>
                      <w:szCs w:val="21"/>
                    </w:rPr>
                    <w:t>生活污水</w:t>
                  </w:r>
                  <w:r>
                    <w:rPr>
                      <w:rFonts w:hint="eastAsia"/>
                      <w:color w:val="auto"/>
                      <w:szCs w:val="21"/>
                    </w:rPr>
                    <w:t>依托</w:t>
                  </w:r>
                  <w:r>
                    <w:rPr>
                      <w:color w:val="auto"/>
                      <w:szCs w:val="21"/>
                    </w:rPr>
                    <w:t>云南鹏腾机械设备制造有限公司污水处理设施处理后，回用于绿化，不外排。生产过程采取相应的隔声、减振、消声等措施，噪声符合《工业企业厂界环境噪声排放标准》（GB12348-2008）3类标准要求</w:t>
                  </w:r>
                  <w:r>
                    <w:rPr>
                      <w:rFonts w:hint="eastAsia"/>
                      <w:color w:val="auto"/>
                      <w:szCs w:val="21"/>
                    </w:rPr>
                    <w:t>。产生的固体废物处置率100%。</w:t>
                  </w:r>
                  <w:r>
                    <w:rPr>
                      <w:rFonts w:hint="eastAsia" w:cs="宋体"/>
                      <w:color w:val="auto"/>
                      <w:kern w:val="0"/>
                      <w:szCs w:val="21"/>
                      <w:lang w:bidi="ar"/>
                    </w:rPr>
                    <w:t>满足生态环境保护相关要求，符合国家安全生产、职业健康、交通运输、消防等法规、标准的相关要求。</w:t>
                  </w:r>
                </w:p>
              </w:tc>
              <w:tc>
                <w:tcPr>
                  <w:tcW w:w="417" w:type="dxa"/>
                  <w:vAlign w:val="center"/>
                </w:tcPr>
                <w:p>
                  <w:pPr>
                    <w:pStyle w:val="23"/>
                    <w:adjustRightInd w:val="0"/>
                    <w:snapToGrid w:val="0"/>
                    <w:ind w:left="0" w:leftChars="0" w:firstLine="0" w:firstLineChars="0"/>
                    <w:jc w:val="center"/>
                    <w:rPr>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Align w:val="center"/>
                </w:tcPr>
                <w:p>
                  <w:pPr>
                    <w:adjustRightInd w:val="0"/>
                    <w:snapToGrid w:val="0"/>
                    <w:jc w:val="center"/>
                    <w:rPr>
                      <w:color w:val="auto"/>
                      <w:kern w:val="0"/>
                      <w:szCs w:val="21"/>
                    </w:rPr>
                  </w:pPr>
                  <w:r>
                    <w:rPr>
                      <w:rFonts w:hint="eastAsia"/>
                      <w:b/>
                      <w:bCs/>
                      <w:color w:val="auto"/>
                    </w:rPr>
                    <w:t>收集要求</w:t>
                  </w:r>
                </w:p>
              </w:tc>
              <w:tc>
                <w:tcPr>
                  <w:tcW w:w="2832" w:type="dxa"/>
                  <w:vAlign w:val="center"/>
                </w:tcPr>
                <w:p>
                  <w:pPr>
                    <w:widowControl/>
                    <w:adjustRightInd w:val="0"/>
                    <w:snapToGrid w:val="0"/>
                    <w:jc w:val="center"/>
                    <w:rPr>
                      <w:rFonts w:cs="宋体"/>
                      <w:color w:val="auto"/>
                      <w:kern w:val="0"/>
                      <w:szCs w:val="20"/>
                      <w:lang w:bidi="ar"/>
                    </w:rPr>
                  </w:pPr>
                  <w:r>
                    <w:rPr>
                      <w:rFonts w:hint="eastAsia" w:cs="宋体"/>
                      <w:color w:val="auto"/>
                      <w:kern w:val="0"/>
                      <w:szCs w:val="20"/>
                      <w:lang w:bidi="ar"/>
                    </w:rPr>
                    <w:t>废塑料收集过程中应避免扬散，不得随意倾倒残液及清洗。</w:t>
                  </w:r>
                </w:p>
              </w:tc>
              <w:tc>
                <w:tcPr>
                  <w:tcW w:w="2963" w:type="dxa"/>
                  <w:vAlign w:val="center"/>
                </w:tcPr>
                <w:p>
                  <w:pPr>
                    <w:widowControl/>
                    <w:adjustRightInd w:val="0"/>
                    <w:snapToGrid w:val="0"/>
                    <w:jc w:val="center"/>
                    <w:rPr>
                      <w:rFonts w:cs="宋体"/>
                      <w:color w:val="auto"/>
                      <w:kern w:val="0"/>
                      <w:szCs w:val="21"/>
                      <w:lang w:bidi="ar"/>
                    </w:rPr>
                  </w:pPr>
                  <w:r>
                    <w:rPr>
                      <w:rFonts w:hint="eastAsia" w:cs="宋体"/>
                      <w:color w:val="auto"/>
                      <w:kern w:val="0"/>
                      <w:szCs w:val="21"/>
                      <w:lang w:bidi="ar"/>
                    </w:rPr>
                    <w:t>废塑料收集过程中采取防扬散措施，不进行清洗。</w:t>
                  </w:r>
                </w:p>
              </w:tc>
              <w:tc>
                <w:tcPr>
                  <w:tcW w:w="417" w:type="dxa"/>
                  <w:vAlign w:val="center"/>
                </w:tcPr>
                <w:p>
                  <w:pPr>
                    <w:pStyle w:val="23"/>
                    <w:adjustRightInd w:val="0"/>
                    <w:snapToGrid w:val="0"/>
                    <w:ind w:left="0" w:leftChars="0" w:firstLine="0" w:firstLineChars="0"/>
                    <w:jc w:val="center"/>
                    <w:rPr>
                      <w:rFonts w:ascii="Times New Roman"/>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Align w:val="center"/>
                </w:tcPr>
                <w:p>
                  <w:pPr>
                    <w:adjustRightInd w:val="0"/>
                    <w:snapToGrid w:val="0"/>
                    <w:jc w:val="center"/>
                    <w:rPr>
                      <w:color w:val="auto"/>
                      <w:kern w:val="0"/>
                      <w:szCs w:val="21"/>
                    </w:rPr>
                  </w:pPr>
                  <w:r>
                    <w:rPr>
                      <w:rFonts w:hint="eastAsia"/>
                      <w:b/>
                      <w:bCs/>
                      <w:color w:val="auto"/>
                    </w:rPr>
                    <w:t>运输要求</w:t>
                  </w:r>
                </w:p>
              </w:tc>
              <w:tc>
                <w:tcPr>
                  <w:tcW w:w="2832" w:type="dxa"/>
                  <w:vAlign w:val="center"/>
                </w:tcPr>
                <w:p>
                  <w:pPr>
                    <w:widowControl/>
                    <w:adjustRightInd w:val="0"/>
                    <w:snapToGrid w:val="0"/>
                    <w:jc w:val="center"/>
                    <w:rPr>
                      <w:rFonts w:cs="宋体"/>
                      <w:color w:val="auto"/>
                      <w:kern w:val="0"/>
                      <w:szCs w:val="20"/>
                      <w:lang w:bidi="ar"/>
                    </w:rPr>
                  </w:pPr>
                  <w:r>
                    <w:rPr>
                      <w:rFonts w:hint="eastAsia" w:cs="宋体"/>
                      <w:color w:val="auto"/>
                      <w:kern w:val="0"/>
                      <w:szCs w:val="20"/>
                      <w:lang w:bidi="ar"/>
                    </w:rPr>
                    <w:t>废塑料及其预处理产物的装卸及运输过程中，应采取必要的防扬散、防渗漏措施，应保持运输车辆的洁净，避免二次污染。</w:t>
                  </w:r>
                </w:p>
              </w:tc>
              <w:tc>
                <w:tcPr>
                  <w:tcW w:w="2963" w:type="dxa"/>
                  <w:vAlign w:val="center"/>
                </w:tcPr>
                <w:p>
                  <w:pPr>
                    <w:widowControl/>
                    <w:adjustRightInd w:val="0"/>
                    <w:snapToGrid w:val="0"/>
                    <w:jc w:val="center"/>
                    <w:rPr>
                      <w:rFonts w:cs="宋体"/>
                      <w:color w:val="auto"/>
                      <w:kern w:val="0"/>
                      <w:szCs w:val="21"/>
                      <w:lang w:bidi="ar"/>
                    </w:rPr>
                  </w:pPr>
                  <w:r>
                    <w:rPr>
                      <w:rFonts w:hint="eastAsia" w:cs="宋体"/>
                      <w:color w:val="auto"/>
                      <w:kern w:val="0"/>
                      <w:szCs w:val="21"/>
                      <w:lang w:bidi="ar"/>
                    </w:rPr>
                    <w:t>本项目在废塑料的装卸及运输过程中采用袋装，运输车辆加盖篷布，定期清洁车轮，可以避免二次污染。</w:t>
                  </w:r>
                </w:p>
              </w:tc>
              <w:tc>
                <w:tcPr>
                  <w:tcW w:w="417" w:type="dxa"/>
                  <w:vAlign w:val="center"/>
                </w:tcPr>
                <w:p>
                  <w:pPr>
                    <w:pStyle w:val="23"/>
                    <w:adjustRightInd w:val="0"/>
                    <w:snapToGrid w:val="0"/>
                    <w:ind w:left="0" w:leftChars="0" w:firstLine="0" w:firstLineChars="0"/>
                    <w:jc w:val="center"/>
                    <w:rPr>
                      <w:rFonts w:ascii="Times New Roman"/>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Align w:val="center"/>
                </w:tcPr>
                <w:p>
                  <w:pPr>
                    <w:adjustRightInd w:val="0"/>
                    <w:snapToGrid w:val="0"/>
                    <w:jc w:val="center"/>
                    <w:rPr>
                      <w:color w:val="auto"/>
                      <w:kern w:val="0"/>
                      <w:szCs w:val="21"/>
                    </w:rPr>
                  </w:pPr>
                  <w:r>
                    <w:rPr>
                      <w:rFonts w:hint="eastAsia"/>
                      <w:b/>
                      <w:bCs/>
                      <w:color w:val="auto"/>
                    </w:rPr>
                    <w:t>破碎要求</w:t>
                  </w:r>
                </w:p>
              </w:tc>
              <w:tc>
                <w:tcPr>
                  <w:tcW w:w="2832" w:type="dxa"/>
                  <w:vAlign w:val="center"/>
                </w:tcPr>
                <w:p>
                  <w:pPr>
                    <w:widowControl/>
                    <w:adjustRightInd w:val="0"/>
                    <w:snapToGrid w:val="0"/>
                    <w:jc w:val="center"/>
                    <w:rPr>
                      <w:rFonts w:cs="宋体"/>
                      <w:color w:val="auto"/>
                      <w:kern w:val="0"/>
                      <w:szCs w:val="20"/>
                      <w:lang w:bidi="ar"/>
                    </w:rPr>
                  </w:pPr>
                  <w:r>
                    <w:rPr>
                      <w:rFonts w:hint="eastAsia" w:cs="宋体"/>
                      <w:color w:val="auto"/>
                      <w:kern w:val="0"/>
                      <w:szCs w:val="20"/>
                      <w:lang w:bidi="ar"/>
                    </w:rPr>
                    <w:t>废塑料的破碎方法可分为干法破碎和湿法破碎。使用干法破碎时，应配备相应的防尘、防噪声设备。用湿法破碎时，应有配套的污水收集和处理设施。</w:t>
                  </w:r>
                </w:p>
              </w:tc>
              <w:tc>
                <w:tcPr>
                  <w:tcW w:w="2963" w:type="dxa"/>
                  <w:vAlign w:val="center"/>
                </w:tcPr>
                <w:p>
                  <w:pPr>
                    <w:widowControl/>
                    <w:adjustRightInd w:val="0"/>
                    <w:snapToGrid w:val="0"/>
                    <w:jc w:val="center"/>
                    <w:rPr>
                      <w:rFonts w:cs="宋体"/>
                      <w:color w:val="auto"/>
                      <w:kern w:val="0"/>
                      <w:szCs w:val="21"/>
                      <w:lang w:bidi="ar"/>
                    </w:rPr>
                  </w:pPr>
                  <w:r>
                    <w:rPr>
                      <w:rFonts w:hint="eastAsia" w:cs="宋体"/>
                      <w:color w:val="auto"/>
                      <w:kern w:val="0"/>
                      <w:szCs w:val="21"/>
                      <w:lang w:bidi="ar"/>
                    </w:rPr>
                    <w:t>本项目废塑料的破碎采用湿法破碎，并配套设置</w:t>
                  </w:r>
                  <w:r>
                    <w:rPr>
                      <w:color w:val="auto"/>
                      <w:szCs w:val="21"/>
                    </w:rPr>
                    <w:t>污水</w:t>
                  </w:r>
                  <w:r>
                    <w:rPr>
                      <w:rFonts w:hint="eastAsia" w:cs="宋体"/>
                      <w:color w:val="auto"/>
                      <w:kern w:val="0"/>
                      <w:szCs w:val="21"/>
                      <w:lang w:bidi="ar"/>
                    </w:rPr>
                    <w:t>处理设施（格栅+隔油+水解+生物接触氧化法）处理后汇</w:t>
                  </w:r>
                  <w:r>
                    <w:rPr>
                      <w:color w:val="auto"/>
                      <w:szCs w:val="21"/>
                    </w:rPr>
                    <w:t>入清水</w:t>
                  </w:r>
                  <w:r>
                    <w:rPr>
                      <w:rFonts w:hint="eastAsia"/>
                      <w:color w:val="auto"/>
                      <w:szCs w:val="21"/>
                    </w:rPr>
                    <w:t>回用</w:t>
                  </w:r>
                  <w:r>
                    <w:rPr>
                      <w:color w:val="auto"/>
                      <w:szCs w:val="21"/>
                    </w:rPr>
                    <w:t>池回用于生产线，不外排；</w:t>
                  </w:r>
                </w:p>
              </w:tc>
              <w:tc>
                <w:tcPr>
                  <w:tcW w:w="417" w:type="dxa"/>
                  <w:vAlign w:val="center"/>
                </w:tcPr>
                <w:p>
                  <w:pPr>
                    <w:pStyle w:val="23"/>
                    <w:adjustRightInd w:val="0"/>
                    <w:snapToGrid w:val="0"/>
                    <w:ind w:left="0" w:leftChars="0" w:firstLine="0" w:firstLineChars="0"/>
                    <w:jc w:val="center"/>
                    <w:rPr>
                      <w:rFonts w:ascii="Times New Roman"/>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Align w:val="center"/>
                </w:tcPr>
                <w:p>
                  <w:pPr>
                    <w:adjustRightInd w:val="0"/>
                    <w:snapToGrid w:val="0"/>
                    <w:jc w:val="center"/>
                    <w:rPr>
                      <w:color w:val="auto"/>
                      <w:kern w:val="0"/>
                      <w:szCs w:val="21"/>
                    </w:rPr>
                  </w:pPr>
                  <w:r>
                    <w:rPr>
                      <w:rFonts w:hint="eastAsia"/>
                      <w:b/>
                      <w:bCs/>
                      <w:color w:val="auto"/>
                    </w:rPr>
                    <w:t>清洗要求</w:t>
                  </w:r>
                </w:p>
              </w:tc>
              <w:tc>
                <w:tcPr>
                  <w:tcW w:w="2832" w:type="dxa"/>
                  <w:vAlign w:val="center"/>
                </w:tcPr>
                <w:p>
                  <w:pPr>
                    <w:widowControl/>
                    <w:adjustRightInd w:val="0"/>
                    <w:snapToGrid w:val="0"/>
                    <w:jc w:val="center"/>
                    <w:rPr>
                      <w:rFonts w:cs="宋体"/>
                      <w:color w:val="auto"/>
                      <w:kern w:val="0"/>
                      <w:szCs w:val="20"/>
                      <w:lang w:bidi="ar"/>
                    </w:rPr>
                  </w:pPr>
                  <w:r>
                    <w:rPr>
                      <w:rFonts w:hint="eastAsia" w:cs="宋体"/>
                      <w:color w:val="auto"/>
                      <w:kern w:val="0"/>
                      <w:szCs w:val="20"/>
                      <w:lang w:bidi="ar"/>
                    </w:rPr>
                    <w:t>宜采用节水的自动化清洗技术，宜采用无磷清洗剂或其他绿色清洗剂，不得使用有毒有害的清洗剂。应根据清洗废水中污染物的种类和浓度，配备相应的废水收集和处理设施，清洗废水处理后宜循环使用</w:t>
                  </w:r>
                </w:p>
              </w:tc>
              <w:tc>
                <w:tcPr>
                  <w:tcW w:w="2963" w:type="dxa"/>
                  <w:vAlign w:val="center"/>
                </w:tcPr>
                <w:p>
                  <w:pPr>
                    <w:widowControl/>
                    <w:adjustRightInd w:val="0"/>
                    <w:snapToGrid w:val="0"/>
                    <w:jc w:val="center"/>
                    <w:rPr>
                      <w:rFonts w:cs="宋体"/>
                      <w:color w:val="auto"/>
                      <w:kern w:val="0"/>
                      <w:szCs w:val="21"/>
                      <w:lang w:bidi="ar"/>
                    </w:rPr>
                  </w:pPr>
                  <w:r>
                    <w:rPr>
                      <w:rFonts w:hint="eastAsia" w:cs="宋体"/>
                      <w:color w:val="auto"/>
                      <w:kern w:val="0"/>
                      <w:szCs w:val="21"/>
                      <w:lang w:bidi="ar"/>
                    </w:rPr>
                    <w:t>本项目塑料颗粒生产工序为自动化清洗技术，不使用任何有毒有害的清洗剂。清洗废水中污染物的种类和浓度，设置</w:t>
                  </w:r>
                  <w:r>
                    <w:rPr>
                      <w:color w:val="auto"/>
                      <w:szCs w:val="21"/>
                    </w:rPr>
                    <w:t>污水处理设施</w:t>
                  </w:r>
                  <w:r>
                    <w:rPr>
                      <w:rFonts w:hint="eastAsia" w:cs="宋体"/>
                      <w:color w:val="auto"/>
                      <w:kern w:val="0"/>
                      <w:szCs w:val="21"/>
                      <w:lang w:bidi="ar"/>
                    </w:rPr>
                    <w:t>（格栅+隔油+水解+生物接触氧化法）处理，清洗废水处理后</w:t>
                  </w:r>
                  <w:r>
                    <w:rPr>
                      <w:color w:val="auto"/>
                      <w:szCs w:val="21"/>
                    </w:rPr>
                    <w:t>汇入清水</w:t>
                  </w:r>
                  <w:r>
                    <w:rPr>
                      <w:rFonts w:hint="eastAsia"/>
                      <w:color w:val="auto"/>
                      <w:szCs w:val="21"/>
                    </w:rPr>
                    <w:t>回用</w:t>
                  </w:r>
                  <w:r>
                    <w:rPr>
                      <w:color w:val="auto"/>
                      <w:szCs w:val="21"/>
                    </w:rPr>
                    <w:t>池回用于生产线</w:t>
                  </w:r>
                  <w:r>
                    <w:rPr>
                      <w:rFonts w:hint="eastAsia" w:cs="宋体"/>
                      <w:color w:val="auto"/>
                      <w:kern w:val="0"/>
                      <w:szCs w:val="21"/>
                      <w:lang w:bidi="ar"/>
                    </w:rPr>
                    <w:t>，不外排。</w:t>
                  </w:r>
                </w:p>
              </w:tc>
              <w:tc>
                <w:tcPr>
                  <w:tcW w:w="417" w:type="dxa"/>
                  <w:vAlign w:val="center"/>
                </w:tcPr>
                <w:p>
                  <w:pPr>
                    <w:pStyle w:val="23"/>
                    <w:adjustRightInd w:val="0"/>
                    <w:snapToGrid w:val="0"/>
                    <w:ind w:left="0" w:leftChars="0" w:firstLine="0" w:firstLineChars="0"/>
                    <w:jc w:val="center"/>
                    <w:rPr>
                      <w:rFonts w:ascii="Times New Roman"/>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546" w:type="dxa"/>
                  <w:vMerge w:val="restart"/>
                  <w:vAlign w:val="center"/>
                </w:tcPr>
                <w:p>
                  <w:pPr>
                    <w:adjustRightInd w:val="0"/>
                    <w:snapToGrid w:val="0"/>
                    <w:jc w:val="center"/>
                    <w:rPr>
                      <w:color w:val="auto"/>
                      <w:kern w:val="0"/>
                      <w:szCs w:val="21"/>
                    </w:rPr>
                  </w:pPr>
                  <w:r>
                    <w:rPr>
                      <w:rFonts w:hint="eastAsia"/>
                      <w:b/>
                      <w:bCs/>
                      <w:color w:val="auto"/>
                    </w:rPr>
                    <w:t>物理再生要求</w:t>
                  </w:r>
                </w:p>
              </w:tc>
              <w:tc>
                <w:tcPr>
                  <w:tcW w:w="2832" w:type="dxa"/>
                  <w:vAlign w:val="center"/>
                </w:tcPr>
                <w:p>
                  <w:pPr>
                    <w:widowControl/>
                    <w:adjustRightInd w:val="0"/>
                    <w:snapToGrid w:val="0"/>
                    <w:jc w:val="center"/>
                    <w:rPr>
                      <w:rFonts w:cs="宋体"/>
                      <w:color w:val="auto"/>
                      <w:kern w:val="0"/>
                      <w:szCs w:val="20"/>
                      <w:lang w:bidi="ar"/>
                    </w:rPr>
                  </w:pPr>
                  <w:r>
                    <w:rPr>
                      <w:rFonts w:hint="eastAsia" w:cs="宋体"/>
                      <w:color w:val="auto"/>
                      <w:kern w:val="0"/>
                      <w:szCs w:val="20"/>
                      <w:lang w:bidi="ar"/>
                    </w:rPr>
                    <w:t>废塑料的物理再生工艺中，熔融造粒车间应安装废气收集及处理装置，挤出工艺的冷却废水宜循环使用。</w:t>
                  </w:r>
                </w:p>
              </w:tc>
              <w:tc>
                <w:tcPr>
                  <w:tcW w:w="2963" w:type="dxa"/>
                  <w:vAlign w:val="center"/>
                </w:tcPr>
                <w:p>
                  <w:pPr>
                    <w:widowControl/>
                    <w:adjustRightInd w:val="0"/>
                    <w:snapToGrid w:val="0"/>
                    <w:jc w:val="center"/>
                    <w:rPr>
                      <w:rFonts w:cs="宋体"/>
                      <w:color w:val="auto"/>
                      <w:kern w:val="0"/>
                      <w:szCs w:val="21"/>
                      <w:lang w:bidi="ar"/>
                    </w:rPr>
                  </w:pPr>
                  <w:r>
                    <w:rPr>
                      <w:color w:val="auto"/>
                      <w:szCs w:val="21"/>
                    </w:rPr>
                    <w:t>项目熔融挤出设备的废气排放点为主机排气孔、主机至副机进料口、副机挤出口，本项目拟在各产污点上方安装集气罩，收集废气经“水洗装置+除湿除雾装置+</w:t>
                  </w:r>
                  <w:r>
                    <w:rPr>
                      <w:rFonts w:hint="eastAsia"/>
                      <w:color w:val="auto"/>
                      <w:szCs w:val="21"/>
                      <w:lang w:val="en-US" w:eastAsia="zh-CN"/>
                    </w:rPr>
                    <w:t>一级</w:t>
                  </w:r>
                  <w:r>
                    <w:rPr>
                      <w:color w:val="auto"/>
                      <w:szCs w:val="21"/>
                    </w:rPr>
                    <w:t>活性炭吸附装置+光氧催化装置”处理后，经</w:t>
                  </w:r>
                  <w:r>
                    <w:rPr>
                      <w:rFonts w:hint="eastAsia"/>
                      <w:color w:val="auto"/>
                      <w:szCs w:val="21"/>
                    </w:rPr>
                    <w:t>20</w:t>
                  </w:r>
                  <w:r>
                    <w:rPr>
                      <w:color w:val="auto"/>
                      <w:szCs w:val="21"/>
                    </w:rPr>
                    <w:t>m排气筒有组</w:t>
                  </w:r>
                  <w:r>
                    <w:rPr>
                      <w:rFonts w:hint="eastAsia" w:cs="宋体"/>
                      <w:color w:val="auto"/>
                      <w:kern w:val="0"/>
                      <w:szCs w:val="21"/>
                      <w:lang w:bidi="ar"/>
                    </w:rPr>
                    <w:t>织排放。生产废水经污水处理设施（格栅+隔油+水解+生物接触氧化法）处理后汇入清水回用</w:t>
                  </w:r>
                  <w:r>
                    <w:rPr>
                      <w:color w:val="auto"/>
                      <w:szCs w:val="21"/>
                    </w:rPr>
                    <w:t>池回用于生产线，不外排。</w:t>
                  </w:r>
                  <w:r>
                    <w:rPr>
                      <w:rStyle w:val="37"/>
                      <w:rFonts w:hint="eastAsia"/>
                      <w:color w:val="auto"/>
                      <w:kern w:val="0"/>
                    </w:rPr>
                    <w:t>项目挤出工序的冷却废水经冷却水池收集后，全部循环使用，不外排。</w:t>
                  </w:r>
                </w:p>
              </w:tc>
              <w:tc>
                <w:tcPr>
                  <w:tcW w:w="417" w:type="dxa"/>
                  <w:vAlign w:val="center"/>
                </w:tcPr>
                <w:p>
                  <w:pPr>
                    <w:pStyle w:val="23"/>
                    <w:adjustRightInd w:val="0"/>
                    <w:snapToGrid w:val="0"/>
                    <w:ind w:left="0" w:leftChars="0" w:firstLine="0" w:firstLineChars="0"/>
                    <w:jc w:val="center"/>
                    <w:rPr>
                      <w:rFonts w:ascii="Times New Roman"/>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Merge w:val="continue"/>
                  <w:vAlign w:val="center"/>
                </w:tcPr>
                <w:p>
                  <w:pPr>
                    <w:adjustRightInd w:val="0"/>
                    <w:snapToGrid w:val="0"/>
                    <w:jc w:val="center"/>
                    <w:rPr>
                      <w:color w:val="auto"/>
                      <w:kern w:val="0"/>
                      <w:szCs w:val="21"/>
                    </w:rPr>
                  </w:pPr>
                </w:p>
              </w:tc>
              <w:tc>
                <w:tcPr>
                  <w:tcW w:w="2832" w:type="dxa"/>
                  <w:vAlign w:val="center"/>
                </w:tcPr>
                <w:p>
                  <w:pPr>
                    <w:widowControl/>
                    <w:adjustRightInd w:val="0"/>
                    <w:snapToGrid w:val="0"/>
                    <w:jc w:val="center"/>
                    <w:rPr>
                      <w:rFonts w:cs="宋体"/>
                      <w:color w:val="auto"/>
                      <w:kern w:val="0"/>
                      <w:szCs w:val="20"/>
                      <w:lang w:bidi="ar"/>
                    </w:rPr>
                  </w:pPr>
                  <w:r>
                    <w:rPr>
                      <w:rFonts w:hint="eastAsia" w:cs="宋体"/>
                      <w:color w:val="auto"/>
                      <w:kern w:val="0"/>
                      <w:szCs w:val="20"/>
                      <w:lang w:bidi="ar"/>
                    </w:rPr>
                    <w:t>宜采用节能熔融造粒技术，含卤素废塑料宜采用低温熔融造粒工艺。</w:t>
                  </w:r>
                </w:p>
              </w:tc>
              <w:tc>
                <w:tcPr>
                  <w:tcW w:w="2963" w:type="dxa"/>
                  <w:vAlign w:val="center"/>
                </w:tcPr>
                <w:p>
                  <w:pPr>
                    <w:pStyle w:val="23"/>
                    <w:adjustRightInd w:val="0"/>
                    <w:snapToGrid w:val="0"/>
                    <w:ind w:left="0" w:leftChars="0" w:firstLine="0" w:firstLineChars="0"/>
                    <w:jc w:val="center"/>
                    <w:rPr>
                      <w:rFonts w:cs="宋体"/>
                      <w:color w:val="auto"/>
                      <w:szCs w:val="21"/>
                      <w:lang w:bidi="ar"/>
                    </w:rPr>
                  </w:pPr>
                  <w:r>
                    <w:rPr>
                      <w:rFonts w:ascii="Times New Roman"/>
                      <w:color w:val="auto"/>
                      <w:sz w:val="21"/>
                      <w:szCs w:val="21"/>
                    </w:rPr>
                    <w:t>塑料熔融能源为电能，该项目生产线为机械化和自动化作业，采用的工艺在国内得到广泛应用，具有比较成熟的生产经验</w:t>
                  </w:r>
                  <w:r>
                    <w:rPr>
                      <w:rFonts w:hint="eastAsia" w:ascii="Times New Roman"/>
                      <w:color w:val="auto"/>
                      <w:sz w:val="21"/>
                      <w:szCs w:val="21"/>
                    </w:rPr>
                    <w:t>，</w:t>
                  </w:r>
                  <w:r>
                    <w:rPr>
                      <w:rFonts w:hint="eastAsia" w:ascii="Times New Roman" w:cs="宋体"/>
                      <w:color w:val="auto"/>
                      <w:sz w:val="21"/>
                      <w:szCs w:val="21"/>
                      <w:lang w:bidi="ar"/>
                    </w:rPr>
                    <w:t>本项目收集的废塑料不含卤素废塑料。</w:t>
                  </w:r>
                </w:p>
              </w:tc>
              <w:tc>
                <w:tcPr>
                  <w:tcW w:w="417" w:type="dxa"/>
                  <w:vAlign w:val="center"/>
                </w:tcPr>
                <w:p>
                  <w:pPr>
                    <w:pStyle w:val="23"/>
                    <w:adjustRightInd w:val="0"/>
                    <w:snapToGrid w:val="0"/>
                    <w:ind w:left="0" w:leftChars="0" w:firstLine="0" w:firstLineChars="0"/>
                    <w:jc w:val="center"/>
                    <w:rPr>
                      <w:rFonts w:ascii="Times New Roman"/>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Merge w:val="continue"/>
                  <w:vAlign w:val="center"/>
                </w:tcPr>
                <w:p>
                  <w:pPr>
                    <w:adjustRightInd w:val="0"/>
                    <w:snapToGrid w:val="0"/>
                    <w:jc w:val="center"/>
                    <w:rPr>
                      <w:color w:val="auto"/>
                      <w:kern w:val="0"/>
                      <w:szCs w:val="21"/>
                    </w:rPr>
                  </w:pPr>
                </w:p>
              </w:tc>
              <w:tc>
                <w:tcPr>
                  <w:tcW w:w="2832" w:type="dxa"/>
                  <w:vAlign w:val="center"/>
                </w:tcPr>
                <w:p>
                  <w:pPr>
                    <w:widowControl/>
                    <w:adjustRightInd w:val="0"/>
                    <w:snapToGrid w:val="0"/>
                    <w:jc w:val="center"/>
                    <w:rPr>
                      <w:rFonts w:cs="宋体"/>
                      <w:color w:val="auto"/>
                      <w:kern w:val="0"/>
                      <w:szCs w:val="20"/>
                      <w:lang w:bidi="ar"/>
                    </w:rPr>
                  </w:pPr>
                  <w:r>
                    <w:rPr>
                      <w:rFonts w:hint="eastAsia" w:cs="宋体"/>
                      <w:color w:val="auto"/>
                      <w:kern w:val="0"/>
                      <w:szCs w:val="20"/>
                      <w:lang w:bidi="ar"/>
                    </w:rPr>
                    <w:t>宜使用无丝网过滤器造粒机，减少废滤网产生。采用焚烧方式处理塑料挤出机过滤网片时，应配备烟气净化装置。</w:t>
                  </w:r>
                </w:p>
              </w:tc>
              <w:tc>
                <w:tcPr>
                  <w:tcW w:w="2963" w:type="dxa"/>
                  <w:vAlign w:val="center"/>
                </w:tcPr>
                <w:p>
                  <w:pPr>
                    <w:pStyle w:val="23"/>
                    <w:adjustRightInd w:val="0"/>
                    <w:snapToGrid w:val="0"/>
                    <w:ind w:left="0" w:leftChars="0" w:firstLine="0" w:firstLineChars="0"/>
                    <w:jc w:val="center"/>
                    <w:rPr>
                      <w:rFonts w:cs="宋体"/>
                      <w:color w:val="auto"/>
                      <w:szCs w:val="21"/>
                      <w:lang w:bidi="ar"/>
                    </w:rPr>
                  </w:pPr>
                  <w:r>
                    <w:rPr>
                      <w:rFonts w:ascii="Times New Roman"/>
                      <w:color w:val="auto"/>
                      <w:sz w:val="21"/>
                      <w:szCs w:val="21"/>
                    </w:rPr>
                    <w:t>设备定期更换的废滤网集中收集后，外售合法且具备废滤网回收再生能力的单位回收处置。</w:t>
                  </w:r>
                </w:p>
              </w:tc>
              <w:tc>
                <w:tcPr>
                  <w:tcW w:w="417" w:type="dxa"/>
                  <w:vAlign w:val="center"/>
                </w:tcPr>
                <w:p>
                  <w:pPr>
                    <w:pStyle w:val="23"/>
                    <w:adjustRightInd w:val="0"/>
                    <w:snapToGrid w:val="0"/>
                    <w:ind w:left="0" w:leftChars="0" w:firstLine="0" w:firstLineChars="0"/>
                    <w:jc w:val="center"/>
                    <w:rPr>
                      <w:rFonts w:ascii="Times New Roman"/>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Merge w:val="restart"/>
                  <w:vAlign w:val="center"/>
                </w:tcPr>
                <w:p>
                  <w:pPr>
                    <w:adjustRightInd w:val="0"/>
                    <w:snapToGrid w:val="0"/>
                    <w:jc w:val="center"/>
                    <w:rPr>
                      <w:color w:val="auto"/>
                      <w:kern w:val="0"/>
                      <w:szCs w:val="21"/>
                    </w:rPr>
                  </w:pPr>
                  <w:r>
                    <w:rPr>
                      <w:rFonts w:hint="eastAsia"/>
                      <w:b/>
                      <w:bCs/>
                      <w:color w:val="auto"/>
                    </w:rPr>
                    <w:t>项目建设环境管理要求</w:t>
                  </w:r>
                </w:p>
              </w:tc>
              <w:tc>
                <w:tcPr>
                  <w:tcW w:w="2832" w:type="dxa"/>
                  <w:vAlign w:val="center"/>
                </w:tcPr>
                <w:p>
                  <w:pPr>
                    <w:widowControl/>
                    <w:adjustRightInd w:val="0"/>
                    <w:snapToGrid w:val="0"/>
                    <w:jc w:val="center"/>
                    <w:rPr>
                      <w:rFonts w:cs="宋体"/>
                      <w:color w:val="auto"/>
                      <w:kern w:val="0"/>
                      <w:szCs w:val="20"/>
                      <w:lang w:bidi="ar"/>
                    </w:rPr>
                  </w:pPr>
                  <w:r>
                    <w:rPr>
                      <w:rFonts w:hint="eastAsia" w:cs="宋体"/>
                      <w:color w:val="auto"/>
                      <w:kern w:val="0"/>
                      <w:szCs w:val="20"/>
                      <w:lang w:bidi="ar"/>
                    </w:rPr>
                    <w:t>废塑料的再生利用项目应严格执行环境影响评价和“三同时”制度。</w:t>
                  </w:r>
                </w:p>
              </w:tc>
              <w:tc>
                <w:tcPr>
                  <w:tcW w:w="2963" w:type="dxa"/>
                  <w:vAlign w:val="center"/>
                </w:tcPr>
                <w:p>
                  <w:pPr>
                    <w:widowControl/>
                    <w:adjustRightInd w:val="0"/>
                    <w:snapToGrid w:val="0"/>
                    <w:jc w:val="center"/>
                    <w:rPr>
                      <w:color w:val="auto"/>
                      <w:szCs w:val="21"/>
                    </w:rPr>
                  </w:pPr>
                  <w:r>
                    <w:rPr>
                      <w:rFonts w:hint="eastAsia" w:cs="宋体"/>
                      <w:color w:val="auto"/>
                      <w:kern w:val="0"/>
                      <w:szCs w:val="20"/>
                      <w:lang w:bidi="ar"/>
                    </w:rPr>
                    <w:t>本项目正办理环境影响评价手续，</w:t>
                  </w:r>
                  <w:r>
                    <w:rPr>
                      <w:color w:val="auto"/>
                      <w:szCs w:val="21"/>
                    </w:rPr>
                    <w:t>严格执行“三同时”制度，环评经批复、验收通过后方可进行生产。</w:t>
                  </w:r>
                </w:p>
              </w:tc>
              <w:tc>
                <w:tcPr>
                  <w:tcW w:w="417" w:type="dxa"/>
                  <w:vAlign w:val="center"/>
                </w:tcPr>
                <w:p>
                  <w:pPr>
                    <w:pStyle w:val="23"/>
                    <w:adjustRightInd w:val="0"/>
                    <w:snapToGrid w:val="0"/>
                    <w:ind w:left="0" w:leftChars="0" w:firstLine="0" w:firstLineChars="0"/>
                    <w:jc w:val="center"/>
                    <w:rPr>
                      <w:rFonts w:ascii="Times New Roman"/>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Merge w:val="continue"/>
                  <w:vAlign w:val="center"/>
                </w:tcPr>
                <w:p>
                  <w:pPr>
                    <w:adjustRightInd w:val="0"/>
                    <w:snapToGrid w:val="0"/>
                    <w:jc w:val="center"/>
                    <w:rPr>
                      <w:color w:val="auto"/>
                      <w:kern w:val="0"/>
                      <w:szCs w:val="21"/>
                    </w:rPr>
                  </w:pPr>
                </w:p>
              </w:tc>
              <w:tc>
                <w:tcPr>
                  <w:tcW w:w="2832" w:type="dxa"/>
                  <w:vAlign w:val="center"/>
                </w:tcPr>
                <w:p>
                  <w:pPr>
                    <w:widowControl/>
                    <w:adjustRightInd w:val="0"/>
                    <w:snapToGrid w:val="0"/>
                    <w:jc w:val="center"/>
                    <w:rPr>
                      <w:rFonts w:cs="宋体"/>
                      <w:color w:val="auto"/>
                      <w:kern w:val="0"/>
                      <w:szCs w:val="20"/>
                      <w:lang w:bidi="ar"/>
                    </w:rPr>
                  </w:pPr>
                  <w:r>
                    <w:rPr>
                      <w:rFonts w:hint="eastAsia" w:cs="宋体"/>
                      <w:color w:val="auto"/>
                      <w:kern w:val="0"/>
                      <w:szCs w:val="20"/>
                      <w:lang w:bidi="ar"/>
                    </w:rPr>
                    <w:t>新建和改扩建废塑料再生利用项目的选址应符合当地城市总体发展规划、用地规划、生态环境分区管控方案、规划环评及其他环境保护要求。</w:t>
                  </w:r>
                </w:p>
              </w:tc>
              <w:tc>
                <w:tcPr>
                  <w:tcW w:w="2963" w:type="dxa"/>
                  <w:vAlign w:val="center"/>
                </w:tcPr>
                <w:p>
                  <w:pPr>
                    <w:widowControl/>
                    <w:adjustRightInd w:val="0"/>
                    <w:snapToGrid w:val="0"/>
                    <w:jc w:val="center"/>
                    <w:rPr>
                      <w:color w:val="auto"/>
                      <w:szCs w:val="21"/>
                    </w:rPr>
                  </w:pPr>
                  <w:r>
                    <w:rPr>
                      <w:color w:val="auto"/>
                      <w:szCs w:val="21"/>
                    </w:rPr>
                    <w:t>项目选址位于工业园区，占地性质为建设用地，</w:t>
                  </w:r>
                  <w:r>
                    <w:rPr>
                      <w:rFonts w:hint="eastAsia" w:cs="宋体"/>
                      <w:color w:val="auto"/>
                      <w:kern w:val="0"/>
                      <w:szCs w:val="20"/>
                      <w:lang w:bidi="ar"/>
                    </w:rPr>
                    <w:t>选址符合相关要求。</w:t>
                  </w:r>
                </w:p>
              </w:tc>
              <w:tc>
                <w:tcPr>
                  <w:tcW w:w="417" w:type="dxa"/>
                  <w:vAlign w:val="center"/>
                </w:tcPr>
                <w:p>
                  <w:pPr>
                    <w:pStyle w:val="23"/>
                    <w:adjustRightInd w:val="0"/>
                    <w:snapToGrid w:val="0"/>
                    <w:ind w:left="0" w:leftChars="0" w:firstLine="0" w:firstLineChars="0"/>
                    <w:jc w:val="center"/>
                    <w:rPr>
                      <w:rFonts w:ascii="Times New Roman"/>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Merge w:val="continue"/>
                  <w:vAlign w:val="center"/>
                </w:tcPr>
                <w:p>
                  <w:pPr>
                    <w:adjustRightInd w:val="0"/>
                    <w:snapToGrid w:val="0"/>
                    <w:jc w:val="center"/>
                    <w:rPr>
                      <w:color w:val="auto"/>
                      <w:kern w:val="0"/>
                      <w:szCs w:val="21"/>
                    </w:rPr>
                  </w:pPr>
                </w:p>
              </w:tc>
              <w:tc>
                <w:tcPr>
                  <w:tcW w:w="2832" w:type="dxa"/>
                  <w:vAlign w:val="center"/>
                </w:tcPr>
                <w:p>
                  <w:pPr>
                    <w:widowControl/>
                    <w:adjustRightInd w:val="0"/>
                    <w:snapToGrid w:val="0"/>
                    <w:jc w:val="center"/>
                    <w:rPr>
                      <w:rFonts w:cs="宋体"/>
                      <w:color w:val="auto"/>
                      <w:kern w:val="0"/>
                      <w:szCs w:val="20"/>
                      <w:lang w:bidi="ar"/>
                    </w:rPr>
                  </w:pPr>
                  <w:r>
                    <w:rPr>
                      <w:rFonts w:hint="eastAsia" w:cs="宋体"/>
                      <w:color w:val="auto"/>
                      <w:kern w:val="0"/>
                      <w:szCs w:val="20"/>
                      <w:lang w:bidi="ar"/>
                    </w:rPr>
                    <w:t>废塑料再生利用项目应按功能划分厂区，包括管理区、原料贮存区、生产区、产品贮存区、不可利用废物的贮存和处理区等，各功能区应有明显的界线或标识。</w:t>
                  </w:r>
                </w:p>
              </w:tc>
              <w:tc>
                <w:tcPr>
                  <w:tcW w:w="2963" w:type="dxa"/>
                  <w:vAlign w:val="center"/>
                </w:tcPr>
                <w:p>
                  <w:pPr>
                    <w:pStyle w:val="23"/>
                    <w:adjustRightInd w:val="0"/>
                    <w:snapToGrid w:val="0"/>
                    <w:ind w:left="0" w:leftChars="0" w:firstLine="0" w:firstLineChars="0"/>
                    <w:jc w:val="center"/>
                    <w:rPr>
                      <w:rFonts w:ascii="Times New Roman"/>
                      <w:color w:val="auto"/>
                      <w:sz w:val="21"/>
                      <w:szCs w:val="21"/>
                    </w:rPr>
                  </w:pPr>
                  <w:r>
                    <w:rPr>
                      <w:rFonts w:ascii="Times New Roman"/>
                      <w:color w:val="auto"/>
                      <w:sz w:val="21"/>
                      <w:szCs w:val="21"/>
                    </w:rPr>
                    <w:t>本项目占地四周建有围墙，项目区分为管理区、原料</w:t>
                  </w:r>
                  <w:r>
                    <w:rPr>
                      <w:rFonts w:hint="eastAsia" w:ascii="Times New Roman"/>
                      <w:color w:val="auto"/>
                      <w:sz w:val="21"/>
                      <w:szCs w:val="21"/>
                    </w:rPr>
                    <w:t>贮存</w:t>
                  </w:r>
                  <w:r>
                    <w:rPr>
                      <w:rFonts w:ascii="Times New Roman"/>
                      <w:color w:val="auto"/>
                      <w:sz w:val="21"/>
                      <w:szCs w:val="21"/>
                    </w:rPr>
                    <w:t>区、生产区、废水处理区。废气处理系统设在</w:t>
                  </w:r>
                  <w:r>
                    <w:rPr>
                      <w:rFonts w:hint="eastAsia" w:ascii="Times New Roman"/>
                      <w:color w:val="auto"/>
                      <w:sz w:val="21"/>
                      <w:szCs w:val="21"/>
                    </w:rPr>
                    <w:t>生产</w:t>
                  </w:r>
                  <w:r>
                    <w:rPr>
                      <w:rFonts w:ascii="Times New Roman"/>
                      <w:color w:val="auto"/>
                      <w:sz w:val="21"/>
                      <w:szCs w:val="21"/>
                    </w:rPr>
                    <w:t>车间内部。各功能区拟设置明显的界线和标志。</w:t>
                  </w:r>
                </w:p>
              </w:tc>
              <w:tc>
                <w:tcPr>
                  <w:tcW w:w="417" w:type="dxa"/>
                  <w:vAlign w:val="center"/>
                </w:tcPr>
                <w:p>
                  <w:pPr>
                    <w:pStyle w:val="23"/>
                    <w:adjustRightInd w:val="0"/>
                    <w:snapToGrid w:val="0"/>
                    <w:ind w:left="0" w:leftChars="0" w:firstLine="0" w:firstLineChars="0"/>
                    <w:jc w:val="center"/>
                    <w:rPr>
                      <w:rFonts w:ascii="Times New Roman"/>
                      <w:color w:val="auto"/>
                      <w:sz w:val="21"/>
                      <w:szCs w:val="21"/>
                    </w:rPr>
                  </w:pPr>
                  <w:r>
                    <w:rPr>
                      <w:rFonts w:hint="eastAsia" w:ascii="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vAlign w:val="center"/>
                </w:tcPr>
                <w:p>
                  <w:pPr>
                    <w:pStyle w:val="23"/>
                    <w:adjustRightInd w:val="0"/>
                    <w:snapToGrid w:val="0"/>
                    <w:ind w:left="0" w:leftChars="0" w:firstLine="0" w:firstLineChars="0"/>
                    <w:jc w:val="center"/>
                    <w:rPr>
                      <w:color w:val="auto"/>
                      <w:sz w:val="21"/>
                      <w:szCs w:val="21"/>
                    </w:rPr>
                  </w:pPr>
                  <w:r>
                    <w:rPr>
                      <w:rFonts w:hint="eastAsia" w:ascii="Times New Roman"/>
                      <w:b/>
                      <w:bCs/>
                      <w:color w:val="auto"/>
                      <w:sz w:val="21"/>
                      <w:szCs w:val="21"/>
                    </w:rPr>
                    <w:t>监测要求</w:t>
                  </w:r>
                </w:p>
              </w:tc>
              <w:tc>
                <w:tcPr>
                  <w:tcW w:w="2832" w:type="dxa"/>
                  <w:vAlign w:val="center"/>
                </w:tcPr>
                <w:p>
                  <w:pPr>
                    <w:widowControl/>
                    <w:adjustRightInd w:val="0"/>
                    <w:snapToGrid w:val="0"/>
                    <w:jc w:val="center"/>
                    <w:rPr>
                      <w:rFonts w:cs="宋体"/>
                      <w:color w:val="auto"/>
                      <w:kern w:val="0"/>
                      <w:szCs w:val="20"/>
                      <w:lang w:bidi="ar"/>
                    </w:rPr>
                  </w:pPr>
                  <w:r>
                    <w:rPr>
                      <w:rFonts w:hint="eastAsia" w:cs="宋体"/>
                      <w:color w:val="auto"/>
                      <w:kern w:val="0"/>
                      <w:szCs w:val="20"/>
                      <w:lang w:bidi="ar"/>
                    </w:rPr>
                    <w:t>废塑料的再生利用和处置企业，应按照排污许可证、</w:t>
                  </w:r>
                  <w:r>
                    <w:rPr>
                      <w:color w:val="auto"/>
                      <w:kern w:val="0"/>
                      <w:szCs w:val="20"/>
                      <w:lang w:bidi="ar"/>
                    </w:rPr>
                    <w:t>HJ 819</w:t>
                  </w:r>
                  <w:r>
                    <w:rPr>
                      <w:rFonts w:hint="eastAsia" w:cs="宋体"/>
                      <w:color w:val="auto"/>
                      <w:kern w:val="0"/>
                      <w:szCs w:val="20"/>
                      <w:lang w:bidi="ar"/>
                    </w:rPr>
                    <w:t>以及本标准的要求，制定自行监测方案，对废塑料的利用处置过程污染物排放状况及周边环境质量的影响开展自行监测，保存原始监测记录，并依规进行信息公开。</w:t>
                  </w:r>
                </w:p>
                <w:p>
                  <w:pPr>
                    <w:widowControl/>
                    <w:adjustRightInd w:val="0"/>
                    <w:snapToGrid w:val="0"/>
                    <w:jc w:val="center"/>
                    <w:rPr>
                      <w:rFonts w:cs="宋体"/>
                      <w:color w:val="auto"/>
                      <w:kern w:val="0"/>
                      <w:szCs w:val="20"/>
                      <w:lang w:bidi="ar"/>
                    </w:rPr>
                  </w:pPr>
                  <w:r>
                    <w:rPr>
                      <w:rFonts w:hint="eastAsia" w:cs="宋体"/>
                      <w:color w:val="auto"/>
                      <w:kern w:val="0"/>
                      <w:szCs w:val="20"/>
                      <w:lang w:bidi="ar"/>
                    </w:rPr>
                    <w:t>不同污染物的采样监测方法和频次执行相关国家和行业标准，保留监测记录以及特殊情况记录。</w:t>
                  </w:r>
                </w:p>
              </w:tc>
              <w:tc>
                <w:tcPr>
                  <w:tcW w:w="2963" w:type="dxa"/>
                  <w:vAlign w:val="center"/>
                </w:tcPr>
                <w:p>
                  <w:pPr>
                    <w:widowControl/>
                    <w:adjustRightInd w:val="0"/>
                    <w:snapToGrid w:val="0"/>
                    <w:jc w:val="center"/>
                    <w:rPr>
                      <w:color w:val="auto"/>
                      <w:szCs w:val="21"/>
                    </w:rPr>
                  </w:pPr>
                  <w:r>
                    <w:rPr>
                      <w:rFonts w:hint="eastAsia" w:cs="宋体"/>
                      <w:color w:val="auto"/>
                      <w:kern w:val="0"/>
                      <w:szCs w:val="21"/>
                      <w:lang w:bidi="ar"/>
                    </w:rPr>
                    <w:t>本项目按照相关排污许可证申请与核发技术规范及排污单位自行监测技术指南，制定排放污染物的相关监测计划，并执行相应的国家或地方排放标准。</w:t>
                  </w:r>
                </w:p>
              </w:tc>
              <w:tc>
                <w:tcPr>
                  <w:tcW w:w="417" w:type="dxa"/>
                  <w:vAlign w:val="center"/>
                </w:tcPr>
                <w:p>
                  <w:pPr>
                    <w:pStyle w:val="23"/>
                    <w:adjustRightInd w:val="0"/>
                    <w:snapToGrid w:val="0"/>
                    <w:ind w:left="0" w:leftChars="0" w:firstLine="0" w:firstLineChars="0"/>
                    <w:jc w:val="center"/>
                    <w:rPr>
                      <w:rFonts w:ascii="Times New Roman"/>
                      <w:color w:val="auto"/>
                      <w:sz w:val="21"/>
                      <w:szCs w:val="21"/>
                    </w:rPr>
                  </w:pPr>
                  <w:r>
                    <w:rPr>
                      <w:rFonts w:hint="eastAsia" w:ascii="Times New Roman"/>
                      <w:color w:val="auto"/>
                      <w:sz w:val="21"/>
                      <w:szCs w:val="21"/>
                    </w:rPr>
                    <w:t>符合</w:t>
                  </w:r>
                </w:p>
              </w:tc>
            </w:tr>
          </w:tbl>
          <w:p>
            <w:pPr>
              <w:spacing w:line="360" w:lineRule="auto"/>
              <w:ind w:firstLine="482" w:firstLineChars="200"/>
              <w:rPr>
                <w:b/>
                <w:color w:val="auto"/>
                <w:sz w:val="24"/>
              </w:rPr>
            </w:pPr>
            <w:r>
              <w:rPr>
                <w:rFonts w:hint="eastAsia"/>
                <w:b/>
                <w:bCs/>
                <w:color w:val="auto"/>
                <w:kern w:val="0"/>
                <w:sz w:val="24"/>
              </w:rPr>
              <w:t>12、</w:t>
            </w:r>
            <w:r>
              <w:rPr>
                <w:b/>
                <w:color w:val="auto"/>
                <w:sz w:val="24"/>
              </w:rPr>
              <w:t>与《废塑料加工利用污染防治管理规定》的符合性分析</w:t>
            </w:r>
          </w:p>
          <w:p>
            <w:pPr>
              <w:pStyle w:val="23"/>
              <w:spacing w:line="360" w:lineRule="auto"/>
              <w:ind w:left="0" w:leftChars="0" w:firstLine="480" w:firstLineChars="200"/>
              <w:rPr>
                <w:rFonts w:ascii="Times New Roman"/>
                <w:color w:val="auto"/>
                <w:szCs w:val="22"/>
              </w:rPr>
            </w:pPr>
            <w:r>
              <w:rPr>
                <w:rFonts w:ascii="Times New Roman"/>
                <w:color w:val="auto"/>
                <w:szCs w:val="22"/>
              </w:rPr>
              <w:t>项目与《废塑料加工利用污染防治管理规定》（环境保护部、发改委、商务部公告2012年第55号）相关要求的符合性分析具体见表</w:t>
            </w:r>
            <w:r>
              <w:rPr>
                <w:rFonts w:hint="eastAsia" w:ascii="Times New Roman"/>
                <w:color w:val="auto"/>
                <w:szCs w:val="22"/>
              </w:rPr>
              <w:t>1-9</w:t>
            </w:r>
            <w:r>
              <w:rPr>
                <w:rFonts w:ascii="Times New Roman"/>
                <w:color w:val="auto"/>
                <w:szCs w:val="22"/>
              </w:rPr>
              <w:t>。</w:t>
            </w:r>
          </w:p>
          <w:p>
            <w:pPr>
              <w:tabs>
                <w:tab w:val="left" w:pos="3750"/>
              </w:tabs>
              <w:spacing w:line="360" w:lineRule="auto"/>
              <w:jc w:val="center"/>
              <w:rPr>
                <w:b/>
                <w:bCs/>
                <w:color w:val="auto"/>
                <w:sz w:val="24"/>
              </w:rPr>
            </w:pPr>
            <w:r>
              <w:rPr>
                <w:b/>
                <w:bCs/>
                <w:color w:val="auto"/>
                <w:sz w:val="24"/>
              </w:rPr>
              <w:t>表</w:t>
            </w:r>
            <w:r>
              <w:rPr>
                <w:rFonts w:hint="eastAsia"/>
                <w:b/>
                <w:bCs/>
                <w:color w:val="auto"/>
                <w:sz w:val="24"/>
              </w:rPr>
              <w:t>1-9</w:t>
            </w:r>
            <w:r>
              <w:rPr>
                <w:b/>
                <w:bCs/>
                <w:color w:val="auto"/>
                <w:sz w:val="24"/>
              </w:rPr>
              <w:t xml:space="preserve">  项目与《废塑料加工利用污染防治管理规定》的相符性分析</w:t>
            </w:r>
          </w:p>
          <w:tbl>
            <w:tblPr>
              <w:tblStyle w:val="31"/>
              <w:tblW w:w="6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818"/>
              <w:gridCol w:w="2950"/>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 w:type="dxa"/>
                  <w:vAlign w:val="center"/>
                </w:tcPr>
                <w:p>
                  <w:pPr>
                    <w:autoSpaceDE w:val="0"/>
                    <w:autoSpaceDN w:val="0"/>
                    <w:jc w:val="center"/>
                    <w:rPr>
                      <w:b/>
                      <w:bCs/>
                      <w:color w:val="auto"/>
                      <w:kern w:val="0"/>
                      <w:sz w:val="24"/>
                    </w:rPr>
                  </w:pPr>
                  <w:r>
                    <w:rPr>
                      <w:b/>
                      <w:bCs/>
                      <w:color w:val="auto"/>
                      <w:kern w:val="0"/>
                      <w:szCs w:val="21"/>
                    </w:rPr>
                    <w:t>序号</w:t>
                  </w:r>
                </w:p>
              </w:tc>
              <w:tc>
                <w:tcPr>
                  <w:tcW w:w="2818" w:type="dxa"/>
                  <w:vAlign w:val="center"/>
                </w:tcPr>
                <w:p>
                  <w:pPr>
                    <w:autoSpaceDE w:val="0"/>
                    <w:autoSpaceDN w:val="0"/>
                    <w:jc w:val="center"/>
                    <w:rPr>
                      <w:b/>
                      <w:bCs/>
                      <w:color w:val="auto"/>
                      <w:kern w:val="0"/>
                      <w:sz w:val="24"/>
                    </w:rPr>
                  </w:pPr>
                  <w:r>
                    <w:rPr>
                      <w:b/>
                      <w:bCs/>
                      <w:color w:val="auto"/>
                      <w:kern w:val="0"/>
                      <w:szCs w:val="21"/>
                    </w:rPr>
                    <w:t>管理规定内容</w:t>
                  </w:r>
                </w:p>
              </w:tc>
              <w:tc>
                <w:tcPr>
                  <w:tcW w:w="2950" w:type="dxa"/>
                  <w:vAlign w:val="center"/>
                </w:tcPr>
                <w:p>
                  <w:pPr>
                    <w:autoSpaceDE w:val="0"/>
                    <w:autoSpaceDN w:val="0"/>
                    <w:jc w:val="center"/>
                    <w:rPr>
                      <w:b/>
                      <w:bCs/>
                      <w:color w:val="auto"/>
                      <w:kern w:val="0"/>
                      <w:sz w:val="24"/>
                    </w:rPr>
                  </w:pPr>
                  <w:r>
                    <w:rPr>
                      <w:b/>
                      <w:bCs/>
                      <w:color w:val="auto"/>
                      <w:kern w:val="0"/>
                      <w:szCs w:val="21"/>
                    </w:rPr>
                    <w:t>本项目情况</w:t>
                  </w:r>
                </w:p>
              </w:tc>
              <w:tc>
                <w:tcPr>
                  <w:tcW w:w="430" w:type="dxa"/>
                  <w:vAlign w:val="center"/>
                </w:tcPr>
                <w:p>
                  <w:pPr>
                    <w:autoSpaceDE w:val="0"/>
                    <w:autoSpaceDN w:val="0"/>
                    <w:jc w:val="center"/>
                    <w:rPr>
                      <w:b/>
                      <w:bCs/>
                      <w:color w:val="auto"/>
                      <w:kern w:val="0"/>
                      <w:szCs w:val="21"/>
                    </w:rPr>
                  </w:pPr>
                  <w:r>
                    <w:rPr>
                      <w:b/>
                      <w:bCs/>
                      <w:color w:val="auto"/>
                      <w:kern w:val="0"/>
                      <w:szCs w:val="21"/>
                    </w:rPr>
                    <w:t>相符</w:t>
                  </w:r>
                </w:p>
                <w:p>
                  <w:pPr>
                    <w:autoSpaceDE w:val="0"/>
                    <w:autoSpaceDN w:val="0"/>
                    <w:jc w:val="center"/>
                    <w:rPr>
                      <w:b/>
                      <w:bCs/>
                      <w:color w:val="auto"/>
                      <w:kern w:val="0"/>
                      <w:sz w:val="24"/>
                    </w:rPr>
                  </w:pPr>
                  <w:r>
                    <w:rPr>
                      <w:rFonts w:hint="eastAsia"/>
                      <w:b/>
                      <w:bCs/>
                      <w:color w:val="auto"/>
                      <w:kern w:val="0"/>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 w:type="dxa"/>
                  <w:vAlign w:val="center"/>
                </w:tcPr>
                <w:p>
                  <w:pPr>
                    <w:autoSpaceDE w:val="0"/>
                    <w:autoSpaceDN w:val="0"/>
                    <w:jc w:val="center"/>
                    <w:rPr>
                      <w:b/>
                      <w:bCs/>
                      <w:color w:val="auto"/>
                      <w:kern w:val="0"/>
                      <w:sz w:val="24"/>
                    </w:rPr>
                  </w:pPr>
                  <w:r>
                    <w:rPr>
                      <w:color w:val="auto"/>
                      <w:kern w:val="0"/>
                      <w:szCs w:val="21"/>
                    </w:rPr>
                    <w:t>1</w:t>
                  </w:r>
                </w:p>
              </w:tc>
              <w:tc>
                <w:tcPr>
                  <w:tcW w:w="2818" w:type="dxa"/>
                  <w:vAlign w:val="center"/>
                </w:tcPr>
                <w:p>
                  <w:pPr>
                    <w:autoSpaceDE w:val="0"/>
                    <w:autoSpaceDN w:val="0"/>
                    <w:jc w:val="center"/>
                    <w:rPr>
                      <w:b/>
                      <w:bCs/>
                      <w:color w:val="auto"/>
                      <w:kern w:val="0"/>
                      <w:sz w:val="24"/>
                    </w:rPr>
                  </w:pPr>
                  <w:r>
                    <w:rPr>
                      <w:color w:val="auto"/>
                      <w:kern w:val="0"/>
                      <w:szCs w:val="21"/>
                    </w:rPr>
                    <w:t>禁止在居民区加工利用废塑料。</w:t>
                  </w:r>
                </w:p>
              </w:tc>
              <w:tc>
                <w:tcPr>
                  <w:tcW w:w="2950" w:type="dxa"/>
                  <w:vAlign w:val="center"/>
                </w:tcPr>
                <w:p>
                  <w:pPr>
                    <w:autoSpaceDE w:val="0"/>
                    <w:autoSpaceDN w:val="0"/>
                    <w:jc w:val="center"/>
                    <w:rPr>
                      <w:b/>
                      <w:bCs/>
                      <w:color w:val="auto"/>
                      <w:kern w:val="0"/>
                      <w:sz w:val="24"/>
                    </w:rPr>
                  </w:pPr>
                  <w:r>
                    <w:rPr>
                      <w:color w:val="auto"/>
                      <w:kern w:val="0"/>
                      <w:szCs w:val="21"/>
                    </w:rPr>
                    <w:t>项目选址位于工业园区，用地性质为工业用地。</w:t>
                  </w:r>
                </w:p>
              </w:tc>
              <w:tc>
                <w:tcPr>
                  <w:tcW w:w="430" w:type="dxa"/>
                  <w:vAlign w:val="center"/>
                </w:tcPr>
                <w:p>
                  <w:pPr>
                    <w:autoSpaceDE w:val="0"/>
                    <w:autoSpaceDN w:val="0"/>
                    <w:jc w:val="center"/>
                    <w:rPr>
                      <w:b/>
                      <w:bCs/>
                      <w:color w:val="auto"/>
                      <w:kern w:val="0"/>
                      <w:sz w:val="24"/>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 w:type="dxa"/>
                  <w:vAlign w:val="center"/>
                </w:tcPr>
                <w:p>
                  <w:pPr>
                    <w:autoSpaceDE w:val="0"/>
                    <w:autoSpaceDN w:val="0"/>
                    <w:jc w:val="center"/>
                    <w:rPr>
                      <w:b/>
                      <w:bCs/>
                      <w:color w:val="auto"/>
                      <w:kern w:val="0"/>
                      <w:sz w:val="24"/>
                    </w:rPr>
                  </w:pPr>
                  <w:r>
                    <w:rPr>
                      <w:color w:val="auto"/>
                      <w:kern w:val="0"/>
                      <w:szCs w:val="21"/>
                    </w:rPr>
                    <w:t>2</w:t>
                  </w:r>
                </w:p>
              </w:tc>
              <w:tc>
                <w:tcPr>
                  <w:tcW w:w="2818" w:type="dxa"/>
                  <w:vAlign w:val="center"/>
                </w:tcPr>
                <w:p>
                  <w:pPr>
                    <w:autoSpaceDE w:val="0"/>
                    <w:autoSpaceDN w:val="0"/>
                    <w:jc w:val="center"/>
                    <w:rPr>
                      <w:b/>
                      <w:bCs/>
                      <w:color w:val="auto"/>
                      <w:kern w:val="0"/>
                      <w:sz w:val="24"/>
                    </w:rPr>
                  </w:pPr>
                  <w:r>
                    <w:rPr>
                      <w:color w:val="auto"/>
                      <w:kern w:val="0"/>
                      <w:szCs w:val="21"/>
                    </w:rPr>
                    <w:t>禁止利用废塑料生产厚度小于0.025mm的超薄塑料购物袋和厚度小于0.015mm超薄塑料袋。禁止利用废塑料生产食品用塑料袋。</w:t>
                  </w:r>
                </w:p>
              </w:tc>
              <w:tc>
                <w:tcPr>
                  <w:tcW w:w="2950" w:type="dxa"/>
                  <w:vAlign w:val="center"/>
                </w:tcPr>
                <w:p>
                  <w:pPr>
                    <w:autoSpaceDE w:val="0"/>
                    <w:autoSpaceDN w:val="0"/>
                    <w:jc w:val="center"/>
                    <w:rPr>
                      <w:b/>
                      <w:bCs/>
                      <w:color w:val="auto"/>
                      <w:kern w:val="0"/>
                      <w:sz w:val="24"/>
                    </w:rPr>
                  </w:pPr>
                  <w:r>
                    <w:rPr>
                      <w:color w:val="auto"/>
                      <w:kern w:val="0"/>
                      <w:szCs w:val="21"/>
                    </w:rPr>
                    <w:t>本项目主要使用废塑料生产再生塑料颗粒，不生产厚度小于0.025mm的超薄塑料购物袋和厚度小于0.015mm超薄塑料袋及食品用塑料袋。</w:t>
                  </w:r>
                </w:p>
              </w:tc>
              <w:tc>
                <w:tcPr>
                  <w:tcW w:w="430" w:type="dxa"/>
                  <w:vAlign w:val="center"/>
                </w:tcPr>
                <w:p>
                  <w:pPr>
                    <w:autoSpaceDE w:val="0"/>
                    <w:autoSpaceDN w:val="0"/>
                    <w:jc w:val="center"/>
                    <w:rPr>
                      <w:b/>
                      <w:bCs/>
                      <w:color w:val="auto"/>
                      <w:kern w:val="0"/>
                      <w:sz w:val="24"/>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 w:type="dxa"/>
                  <w:vAlign w:val="center"/>
                </w:tcPr>
                <w:p>
                  <w:pPr>
                    <w:autoSpaceDE w:val="0"/>
                    <w:autoSpaceDN w:val="0"/>
                    <w:jc w:val="center"/>
                    <w:rPr>
                      <w:b/>
                      <w:bCs/>
                      <w:color w:val="auto"/>
                      <w:kern w:val="0"/>
                      <w:sz w:val="24"/>
                    </w:rPr>
                  </w:pPr>
                  <w:r>
                    <w:rPr>
                      <w:color w:val="auto"/>
                      <w:kern w:val="0"/>
                      <w:szCs w:val="21"/>
                    </w:rPr>
                    <w:t>3</w:t>
                  </w:r>
                </w:p>
              </w:tc>
              <w:tc>
                <w:tcPr>
                  <w:tcW w:w="2818" w:type="dxa"/>
                  <w:vAlign w:val="center"/>
                </w:tcPr>
                <w:p>
                  <w:pPr>
                    <w:autoSpaceDE w:val="0"/>
                    <w:autoSpaceDN w:val="0"/>
                    <w:jc w:val="center"/>
                    <w:rPr>
                      <w:b/>
                      <w:bCs/>
                      <w:color w:val="auto"/>
                      <w:kern w:val="0"/>
                      <w:sz w:val="24"/>
                    </w:rPr>
                  </w:pPr>
                  <w:r>
                    <w:rPr>
                      <w:color w:val="auto"/>
                      <w:kern w:val="0"/>
                      <w:szCs w:val="21"/>
                    </w:rPr>
                    <w:t>禁止无危险废物经营许可证从事废塑料类危险废物的回收利用活动，包括被危险化学品、农药等污染的废弃塑料包装物，废弃的一次性医疗用塑料制品（如输液器、血袋）等。</w:t>
                  </w:r>
                </w:p>
              </w:tc>
              <w:tc>
                <w:tcPr>
                  <w:tcW w:w="2950" w:type="dxa"/>
                  <w:vAlign w:val="center"/>
                </w:tcPr>
                <w:p>
                  <w:pPr>
                    <w:autoSpaceDE w:val="0"/>
                    <w:autoSpaceDN w:val="0"/>
                    <w:jc w:val="center"/>
                    <w:rPr>
                      <w:b/>
                      <w:bCs/>
                      <w:color w:val="auto"/>
                      <w:kern w:val="0"/>
                      <w:sz w:val="24"/>
                    </w:rPr>
                  </w:pPr>
                  <w:r>
                    <w:rPr>
                      <w:color w:val="auto"/>
                      <w:kern w:val="0"/>
                      <w:szCs w:val="21"/>
                    </w:rPr>
                    <w:t>本项目原料由第三方回收公司严格筛选回收后运至厂内，不涉及加工利用危险化学品、农药等污染的废弃塑料包装物，废弃的一次性医疗用塑料制品（如输液器、血袋）。</w:t>
                  </w:r>
                  <w:r>
                    <w:rPr>
                      <w:color w:val="auto"/>
                      <w:szCs w:val="21"/>
                    </w:rPr>
                    <w:t>同时建设单位建立原料可追溯台账，严控属于医疗废物和危险废物的废塑料原料进厂。</w:t>
                  </w:r>
                </w:p>
              </w:tc>
              <w:tc>
                <w:tcPr>
                  <w:tcW w:w="430" w:type="dxa"/>
                  <w:vAlign w:val="center"/>
                </w:tcPr>
                <w:p>
                  <w:pPr>
                    <w:autoSpaceDE w:val="0"/>
                    <w:autoSpaceDN w:val="0"/>
                    <w:jc w:val="center"/>
                    <w:rPr>
                      <w:b/>
                      <w:bCs/>
                      <w:color w:val="auto"/>
                      <w:kern w:val="0"/>
                      <w:sz w:val="24"/>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 w:type="dxa"/>
                  <w:vAlign w:val="center"/>
                </w:tcPr>
                <w:p>
                  <w:pPr>
                    <w:autoSpaceDE w:val="0"/>
                    <w:autoSpaceDN w:val="0"/>
                    <w:jc w:val="center"/>
                    <w:rPr>
                      <w:b/>
                      <w:bCs/>
                      <w:color w:val="auto"/>
                      <w:kern w:val="0"/>
                      <w:sz w:val="24"/>
                    </w:rPr>
                  </w:pPr>
                  <w:r>
                    <w:rPr>
                      <w:color w:val="auto"/>
                      <w:kern w:val="0"/>
                      <w:szCs w:val="21"/>
                    </w:rPr>
                    <w:t>4</w:t>
                  </w:r>
                </w:p>
              </w:tc>
              <w:tc>
                <w:tcPr>
                  <w:tcW w:w="2818" w:type="dxa"/>
                  <w:vAlign w:val="center"/>
                </w:tcPr>
                <w:p>
                  <w:pPr>
                    <w:autoSpaceDE w:val="0"/>
                    <w:autoSpaceDN w:val="0"/>
                    <w:jc w:val="center"/>
                    <w:rPr>
                      <w:b/>
                      <w:bCs/>
                      <w:color w:val="auto"/>
                      <w:kern w:val="0"/>
                      <w:sz w:val="24"/>
                    </w:rPr>
                  </w:pPr>
                  <w:r>
                    <w:rPr>
                      <w:color w:val="auto"/>
                      <w:kern w:val="0"/>
                      <w:szCs w:val="21"/>
                    </w:rPr>
                    <w:t>无符合环保要求污水治理设施的，禁止从事废编织袋造粒、缸脚料淘洗、废塑料退镀（涂）、盐卤分拣等加工活动。</w:t>
                  </w:r>
                </w:p>
              </w:tc>
              <w:tc>
                <w:tcPr>
                  <w:tcW w:w="2950" w:type="dxa"/>
                  <w:vAlign w:val="center"/>
                </w:tcPr>
                <w:p>
                  <w:pPr>
                    <w:autoSpaceDE w:val="0"/>
                    <w:autoSpaceDN w:val="0"/>
                    <w:jc w:val="center"/>
                    <w:rPr>
                      <w:b/>
                      <w:bCs/>
                      <w:color w:val="auto"/>
                      <w:kern w:val="0"/>
                      <w:sz w:val="24"/>
                    </w:rPr>
                  </w:pPr>
                  <w:r>
                    <w:rPr>
                      <w:color w:val="auto"/>
                      <w:kern w:val="0"/>
                      <w:szCs w:val="21"/>
                    </w:rPr>
                    <w:t>项目清洗塑料废水经</w:t>
                  </w:r>
                  <w:r>
                    <w:rPr>
                      <w:color w:val="auto"/>
                      <w:szCs w:val="21"/>
                    </w:rPr>
                    <w:t>厂内污水处理设施</w:t>
                  </w:r>
                  <w:r>
                    <w:rPr>
                      <w:color w:val="auto"/>
                      <w:kern w:val="0"/>
                      <w:szCs w:val="21"/>
                    </w:rPr>
                    <w:t>（</w:t>
                  </w:r>
                  <w:r>
                    <w:rPr>
                      <w:rFonts w:hint="eastAsia"/>
                      <w:color w:val="auto"/>
                      <w:kern w:val="0"/>
                      <w:szCs w:val="21"/>
                    </w:rPr>
                    <w:t>格栅+隔油+水解</w:t>
                  </w:r>
                  <w:r>
                    <w:rPr>
                      <w:color w:val="auto"/>
                      <w:kern w:val="0"/>
                      <w:szCs w:val="21"/>
                    </w:rPr>
                    <w:t>+</w:t>
                  </w:r>
                  <w:r>
                    <w:rPr>
                      <w:rFonts w:hint="eastAsia"/>
                      <w:color w:val="auto"/>
                      <w:kern w:val="0"/>
                      <w:szCs w:val="21"/>
                    </w:rPr>
                    <w:t>生物接触氧化法</w:t>
                  </w:r>
                  <w:r>
                    <w:rPr>
                      <w:color w:val="auto"/>
                      <w:kern w:val="0"/>
                      <w:szCs w:val="21"/>
                    </w:rPr>
                    <w:t>）处理后汇入清水</w:t>
                  </w:r>
                  <w:r>
                    <w:rPr>
                      <w:rFonts w:hint="eastAsia"/>
                      <w:color w:val="auto"/>
                      <w:kern w:val="0"/>
                      <w:szCs w:val="21"/>
                    </w:rPr>
                    <w:t>回用</w:t>
                  </w:r>
                  <w:r>
                    <w:rPr>
                      <w:color w:val="auto"/>
                      <w:kern w:val="0"/>
                      <w:szCs w:val="21"/>
                    </w:rPr>
                    <w:t>池回用于生产线，不外排。</w:t>
                  </w:r>
                </w:p>
              </w:tc>
              <w:tc>
                <w:tcPr>
                  <w:tcW w:w="430" w:type="dxa"/>
                  <w:vAlign w:val="center"/>
                </w:tcPr>
                <w:p>
                  <w:pPr>
                    <w:autoSpaceDE w:val="0"/>
                    <w:autoSpaceDN w:val="0"/>
                    <w:jc w:val="center"/>
                    <w:rPr>
                      <w:b/>
                      <w:bCs/>
                      <w:color w:val="auto"/>
                      <w:kern w:val="0"/>
                      <w:sz w:val="24"/>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 w:type="dxa"/>
                  <w:vAlign w:val="center"/>
                </w:tcPr>
                <w:p>
                  <w:pPr>
                    <w:autoSpaceDE w:val="0"/>
                    <w:autoSpaceDN w:val="0"/>
                    <w:jc w:val="center"/>
                    <w:rPr>
                      <w:b/>
                      <w:bCs/>
                      <w:color w:val="auto"/>
                      <w:kern w:val="0"/>
                      <w:sz w:val="24"/>
                    </w:rPr>
                  </w:pPr>
                  <w:r>
                    <w:rPr>
                      <w:color w:val="auto"/>
                      <w:kern w:val="0"/>
                      <w:szCs w:val="21"/>
                    </w:rPr>
                    <w:t>5</w:t>
                  </w:r>
                </w:p>
              </w:tc>
              <w:tc>
                <w:tcPr>
                  <w:tcW w:w="2818" w:type="dxa"/>
                  <w:vAlign w:val="center"/>
                </w:tcPr>
                <w:p>
                  <w:pPr>
                    <w:autoSpaceDE w:val="0"/>
                    <w:autoSpaceDN w:val="0"/>
                    <w:jc w:val="center"/>
                    <w:rPr>
                      <w:b/>
                      <w:bCs/>
                      <w:color w:val="auto"/>
                      <w:kern w:val="0"/>
                      <w:sz w:val="24"/>
                    </w:rPr>
                  </w:pPr>
                  <w:r>
                    <w:rPr>
                      <w:color w:val="auto"/>
                      <w:kern w:val="0"/>
                      <w:szCs w:val="21"/>
                    </w:rPr>
                    <w:t>废塑料加工利用单位应当以环境无害化方式处理废塑料加工利用过程中产生的残余垃圾、滤网；禁止交不符合环保要求的单位或个人或处置。</w:t>
                  </w:r>
                </w:p>
              </w:tc>
              <w:tc>
                <w:tcPr>
                  <w:tcW w:w="2950" w:type="dxa"/>
                  <w:vAlign w:val="center"/>
                </w:tcPr>
                <w:p>
                  <w:pPr>
                    <w:autoSpaceDE w:val="0"/>
                    <w:autoSpaceDN w:val="0"/>
                    <w:jc w:val="center"/>
                    <w:rPr>
                      <w:b/>
                      <w:bCs/>
                      <w:color w:val="auto"/>
                      <w:kern w:val="0"/>
                      <w:sz w:val="24"/>
                    </w:rPr>
                  </w:pPr>
                  <w:r>
                    <w:rPr>
                      <w:color w:val="auto"/>
                      <w:szCs w:val="21"/>
                    </w:rPr>
                    <w:t>定期更换的废滤网集中收集后，</w:t>
                  </w:r>
                  <w:r>
                    <w:rPr>
                      <w:color w:val="auto"/>
                      <w:kern w:val="0"/>
                      <w:szCs w:val="21"/>
                    </w:rPr>
                    <w:t>外售合法且具备废滤网回收再生能力的单位回收处置</w:t>
                  </w:r>
                  <w:r>
                    <w:rPr>
                      <w:color w:val="auto"/>
                      <w:szCs w:val="21"/>
                    </w:rPr>
                    <w:t>。半成品可直接返回造粒机重新进行造粒。生活垃圾分类收集及时清运至</w:t>
                  </w:r>
                  <w:r>
                    <w:rPr>
                      <w:rFonts w:hint="eastAsia"/>
                      <w:color w:val="auto"/>
                      <w:szCs w:val="21"/>
                    </w:rPr>
                    <w:t>园区</w:t>
                  </w:r>
                  <w:r>
                    <w:rPr>
                      <w:color w:val="auto"/>
                      <w:szCs w:val="21"/>
                    </w:rPr>
                    <w:t>指定地点由环卫部门集中处置。废机油、废油桶、废活性炭</w:t>
                  </w:r>
                  <w:r>
                    <w:rPr>
                      <w:rFonts w:hint="eastAsia"/>
                      <w:color w:val="auto"/>
                      <w:szCs w:val="21"/>
                    </w:rPr>
                    <w:t>、废光氧管</w:t>
                  </w:r>
                  <w:r>
                    <w:rPr>
                      <w:color w:val="auto"/>
                      <w:szCs w:val="21"/>
                    </w:rPr>
                    <w:t>均属于危险废物，分类暂存于危废暂存间内，定期交由有资质的单位处置。</w:t>
                  </w:r>
                </w:p>
              </w:tc>
              <w:tc>
                <w:tcPr>
                  <w:tcW w:w="430" w:type="dxa"/>
                  <w:vAlign w:val="center"/>
                </w:tcPr>
                <w:p>
                  <w:pPr>
                    <w:autoSpaceDE w:val="0"/>
                    <w:autoSpaceDN w:val="0"/>
                    <w:jc w:val="center"/>
                    <w:rPr>
                      <w:b/>
                      <w:bCs/>
                      <w:color w:val="auto"/>
                      <w:kern w:val="0"/>
                      <w:sz w:val="24"/>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 w:type="dxa"/>
                  <w:vAlign w:val="center"/>
                </w:tcPr>
                <w:p>
                  <w:pPr>
                    <w:autoSpaceDE w:val="0"/>
                    <w:autoSpaceDN w:val="0"/>
                    <w:jc w:val="center"/>
                    <w:rPr>
                      <w:b/>
                      <w:bCs/>
                      <w:color w:val="auto"/>
                      <w:kern w:val="0"/>
                      <w:sz w:val="24"/>
                    </w:rPr>
                  </w:pPr>
                  <w:r>
                    <w:rPr>
                      <w:color w:val="auto"/>
                      <w:kern w:val="0"/>
                      <w:szCs w:val="21"/>
                    </w:rPr>
                    <w:t>6</w:t>
                  </w:r>
                </w:p>
              </w:tc>
              <w:tc>
                <w:tcPr>
                  <w:tcW w:w="2818" w:type="dxa"/>
                  <w:vAlign w:val="center"/>
                </w:tcPr>
                <w:p>
                  <w:pPr>
                    <w:autoSpaceDE w:val="0"/>
                    <w:autoSpaceDN w:val="0"/>
                    <w:jc w:val="center"/>
                    <w:rPr>
                      <w:b/>
                      <w:bCs/>
                      <w:color w:val="auto"/>
                      <w:kern w:val="0"/>
                      <w:sz w:val="24"/>
                    </w:rPr>
                  </w:pPr>
                  <w:r>
                    <w:rPr>
                      <w:color w:val="auto"/>
                      <w:kern w:val="0"/>
                      <w:szCs w:val="21"/>
                    </w:rPr>
                    <w:t>禁止露天焚烧废塑料及加工利用过程产生的残余垃圾。</w:t>
                  </w:r>
                </w:p>
              </w:tc>
              <w:tc>
                <w:tcPr>
                  <w:tcW w:w="2950" w:type="dxa"/>
                  <w:vAlign w:val="center"/>
                </w:tcPr>
                <w:p>
                  <w:pPr>
                    <w:autoSpaceDE w:val="0"/>
                    <w:autoSpaceDN w:val="0"/>
                    <w:jc w:val="center"/>
                    <w:rPr>
                      <w:b/>
                      <w:bCs/>
                      <w:color w:val="auto"/>
                      <w:kern w:val="0"/>
                      <w:sz w:val="24"/>
                    </w:rPr>
                  </w:pPr>
                  <w:r>
                    <w:rPr>
                      <w:color w:val="auto"/>
                      <w:kern w:val="0"/>
                      <w:szCs w:val="21"/>
                    </w:rPr>
                    <w:t>项目产生的所有固废均委托处置，严禁露天焚烧。</w:t>
                  </w:r>
                </w:p>
              </w:tc>
              <w:tc>
                <w:tcPr>
                  <w:tcW w:w="430" w:type="dxa"/>
                  <w:vAlign w:val="center"/>
                </w:tcPr>
                <w:p>
                  <w:pPr>
                    <w:autoSpaceDE w:val="0"/>
                    <w:autoSpaceDN w:val="0"/>
                    <w:jc w:val="center"/>
                    <w:rPr>
                      <w:b/>
                      <w:bCs/>
                      <w:color w:val="auto"/>
                      <w:kern w:val="0"/>
                      <w:sz w:val="24"/>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 w:type="dxa"/>
                  <w:vAlign w:val="center"/>
                </w:tcPr>
                <w:p>
                  <w:pPr>
                    <w:autoSpaceDE w:val="0"/>
                    <w:autoSpaceDN w:val="0"/>
                    <w:jc w:val="center"/>
                    <w:rPr>
                      <w:b/>
                      <w:bCs/>
                      <w:color w:val="auto"/>
                      <w:kern w:val="0"/>
                      <w:sz w:val="24"/>
                    </w:rPr>
                  </w:pPr>
                  <w:r>
                    <w:rPr>
                      <w:color w:val="auto"/>
                      <w:kern w:val="0"/>
                      <w:szCs w:val="21"/>
                    </w:rPr>
                    <w:t>7</w:t>
                  </w:r>
                </w:p>
              </w:tc>
              <w:tc>
                <w:tcPr>
                  <w:tcW w:w="2818" w:type="dxa"/>
                  <w:vAlign w:val="center"/>
                </w:tcPr>
                <w:p>
                  <w:pPr>
                    <w:autoSpaceDE w:val="0"/>
                    <w:autoSpaceDN w:val="0"/>
                    <w:jc w:val="center"/>
                    <w:rPr>
                      <w:b/>
                      <w:bCs/>
                      <w:color w:val="auto"/>
                      <w:kern w:val="0"/>
                      <w:sz w:val="24"/>
                    </w:rPr>
                  </w:pPr>
                  <w:r>
                    <w:rPr>
                      <w:color w:val="auto"/>
                      <w:kern w:val="0"/>
                      <w:szCs w:val="21"/>
                    </w:rPr>
                    <w:t>进口废塑料加工利用企业应当符合《固体废物进口管理办法》以及环境保护部关于进口可用作原料的固体废物和废塑料环境保护管理相关规定。</w:t>
                  </w:r>
                </w:p>
              </w:tc>
              <w:tc>
                <w:tcPr>
                  <w:tcW w:w="2950" w:type="dxa"/>
                  <w:vAlign w:val="center"/>
                </w:tcPr>
                <w:p>
                  <w:pPr>
                    <w:autoSpaceDE w:val="0"/>
                    <w:autoSpaceDN w:val="0"/>
                    <w:jc w:val="center"/>
                    <w:rPr>
                      <w:b/>
                      <w:bCs/>
                      <w:color w:val="auto"/>
                      <w:kern w:val="0"/>
                      <w:sz w:val="24"/>
                    </w:rPr>
                  </w:pPr>
                  <w:r>
                    <w:rPr>
                      <w:color w:val="auto"/>
                      <w:kern w:val="0"/>
                      <w:szCs w:val="21"/>
                    </w:rPr>
                    <w:t>本项目原料为从第三方回收公司外购废旧编织袋，不涉及进口废塑料加工利用。</w:t>
                  </w:r>
                </w:p>
              </w:tc>
              <w:tc>
                <w:tcPr>
                  <w:tcW w:w="430" w:type="dxa"/>
                  <w:vAlign w:val="center"/>
                </w:tcPr>
                <w:p>
                  <w:pPr>
                    <w:autoSpaceDE w:val="0"/>
                    <w:autoSpaceDN w:val="0"/>
                    <w:jc w:val="center"/>
                    <w:rPr>
                      <w:b/>
                      <w:bCs/>
                      <w:color w:val="auto"/>
                      <w:kern w:val="0"/>
                      <w:sz w:val="24"/>
                    </w:rPr>
                  </w:pPr>
                  <w:r>
                    <w:rPr>
                      <w:color w:val="auto"/>
                      <w:kern w:val="0"/>
                      <w:szCs w:val="21"/>
                    </w:rPr>
                    <w:t>符合</w:t>
                  </w:r>
                </w:p>
              </w:tc>
            </w:tr>
          </w:tbl>
          <w:p>
            <w:pPr>
              <w:spacing w:line="360" w:lineRule="auto"/>
              <w:ind w:firstLine="482" w:firstLineChars="200"/>
              <w:rPr>
                <w:b/>
                <w:bCs/>
                <w:color w:val="auto"/>
                <w:kern w:val="0"/>
                <w:sz w:val="24"/>
              </w:rPr>
            </w:pPr>
            <w:r>
              <w:rPr>
                <w:rFonts w:hint="eastAsia"/>
                <w:b/>
                <w:bCs/>
                <w:color w:val="auto"/>
                <w:kern w:val="0"/>
                <w:sz w:val="24"/>
              </w:rPr>
              <w:t>13、</w:t>
            </w:r>
            <w:r>
              <w:rPr>
                <w:rFonts w:hint="eastAsia" w:cs="宋体"/>
                <w:b/>
                <w:bCs/>
                <w:color w:val="auto"/>
                <w:kern w:val="0"/>
                <w:sz w:val="24"/>
                <w:lang w:bidi="ar"/>
              </w:rPr>
              <w:t>与《废塑料回收技术规范》（</w:t>
            </w:r>
            <w:r>
              <w:rPr>
                <w:b/>
                <w:bCs/>
                <w:color w:val="auto"/>
                <w:kern w:val="0"/>
                <w:sz w:val="24"/>
                <w:lang w:bidi="ar"/>
              </w:rPr>
              <w:t>GB/T39171-2020</w:t>
            </w:r>
            <w:r>
              <w:rPr>
                <w:rFonts w:hint="eastAsia" w:cs="宋体"/>
                <w:b/>
                <w:bCs/>
                <w:color w:val="auto"/>
                <w:kern w:val="0"/>
                <w:sz w:val="24"/>
                <w:lang w:bidi="ar"/>
              </w:rPr>
              <w:t>）符合性分析</w:t>
            </w:r>
          </w:p>
          <w:p>
            <w:pPr>
              <w:tabs>
                <w:tab w:val="left" w:pos="3750"/>
              </w:tabs>
              <w:spacing w:line="360" w:lineRule="auto"/>
              <w:jc w:val="center"/>
              <w:rPr>
                <w:b/>
                <w:bCs/>
                <w:color w:val="auto"/>
                <w:sz w:val="24"/>
              </w:rPr>
            </w:pPr>
            <w:r>
              <w:rPr>
                <w:rFonts w:hint="eastAsia"/>
                <w:b/>
                <w:bCs/>
                <w:color w:val="auto"/>
                <w:sz w:val="24"/>
              </w:rPr>
              <w:t>表1-10  与《废塑料回收技术规范》的符合性分析</w:t>
            </w:r>
          </w:p>
          <w:tbl>
            <w:tblPr>
              <w:tblStyle w:val="31"/>
              <w:tblW w:w="6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
              <w:gridCol w:w="2774"/>
              <w:gridCol w:w="3191"/>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37" w:type="dxa"/>
                  <w:gridSpan w:val="2"/>
                  <w:vAlign w:val="center"/>
                </w:tcPr>
                <w:p>
                  <w:pPr>
                    <w:widowControl/>
                    <w:adjustRightInd w:val="0"/>
                    <w:snapToGrid w:val="0"/>
                    <w:jc w:val="center"/>
                    <w:rPr>
                      <w:color w:val="auto"/>
                    </w:rPr>
                  </w:pPr>
                  <w:r>
                    <w:rPr>
                      <w:rFonts w:hint="eastAsia"/>
                      <w:b/>
                      <w:bCs/>
                      <w:color w:val="auto"/>
                      <w:szCs w:val="21"/>
                    </w:rPr>
                    <w:t>文件要求</w:t>
                  </w:r>
                </w:p>
              </w:tc>
              <w:tc>
                <w:tcPr>
                  <w:tcW w:w="3191" w:type="dxa"/>
                  <w:vAlign w:val="center"/>
                </w:tcPr>
                <w:p>
                  <w:pPr>
                    <w:widowControl/>
                    <w:adjustRightInd w:val="0"/>
                    <w:snapToGrid w:val="0"/>
                    <w:jc w:val="center"/>
                    <w:rPr>
                      <w:color w:val="auto"/>
                    </w:rPr>
                  </w:pPr>
                  <w:r>
                    <w:rPr>
                      <w:b/>
                      <w:bCs/>
                      <w:color w:val="auto"/>
                      <w:szCs w:val="21"/>
                    </w:rPr>
                    <w:t>本项目情况</w:t>
                  </w:r>
                </w:p>
              </w:tc>
              <w:tc>
                <w:tcPr>
                  <w:tcW w:w="430" w:type="dxa"/>
                  <w:vAlign w:val="center"/>
                </w:tcPr>
                <w:p>
                  <w:pPr>
                    <w:widowControl/>
                    <w:adjustRightInd w:val="0"/>
                    <w:snapToGrid w:val="0"/>
                    <w:jc w:val="center"/>
                    <w:rPr>
                      <w:color w:val="auto"/>
                    </w:rPr>
                  </w:pPr>
                  <w:r>
                    <w:rPr>
                      <w:b/>
                      <w:bCs/>
                      <w:color w:val="auto"/>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 w:type="dxa"/>
                  <w:vAlign w:val="center"/>
                </w:tcPr>
                <w:p>
                  <w:pPr>
                    <w:widowControl/>
                    <w:adjustRightInd w:val="0"/>
                    <w:snapToGrid w:val="0"/>
                    <w:jc w:val="center"/>
                    <w:rPr>
                      <w:color w:val="auto"/>
                    </w:rPr>
                  </w:pPr>
                  <w:r>
                    <w:rPr>
                      <w:rFonts w:hint="eastAsia"/>
                      <w:b/>
                      <w:bCs/>
                      <w:color w:val="auto"/>
                      <w:szCs w:val="21"/>
                    </w:rPr>
                    <w:t>总体要求</w:t>
                  </w:r>
                </w:p>
              </w:tc>
              <w:tc>
                <w:tcPr>
                  <w:tcW w:w="2774" w:type="dxa"/>
                  <w:vAlign w:val="center"/>
                </w:tcPr>
                <w:p>
                  <w:pPr>
                    <w:widowControl/>
                    <w:adjustRightInd w:val="0"/>
                    <w:snapToGrid w:val="0"/>
                    <w:jc w:val="center"/>
                    <w:rPr>
                      <w:color w:val="auto"/>
                    </w:rPr>
                  </w:pPr>
                  <w:r>
                    <w:rPr>
                      <w:rFonts w:hint="eastAsia" w:cs="宋体"/>
                      <w:color w:val="auto"/>
                      <w:kern w:val="0"/>
                      <w:szCs w:val="20"/>
                      <w:lang w:bidi="ar"/>
                    </w:rPr>
                    <w:t>应建立环境污染预防机制和处理环境污染事故的应急预案制度。</w:t>
                  </w:r>
                </w:p>
              </w:tc>
              <w:tc>
                <w:tcPr>
                  <w:tcW w:w="3191" w:type="dxa"/>
                  <w:vAlign w:val="center"/>
                </w:tcPr>
                <w:p>
                  <w:pPr>
                    <w:widowControl/>
                    <w:adjustRightInd w:val="0"/>
                    <w:snapToGrid w:val="0"/>
                    <w:jc w:val="center"/>
                    <w:rPr>
                      <w:color w:val="auto"/>
                    </w:rPr>
                  </w:pPr>
                  <w:r>
                    <w:rPr>
                      <w:rFonts w:hint="eastAsia" w:cs="宋体"/>
                      <w:color w:val="auto"/>
                      <w:kern w:val="0"/>
                      <w:szCs w:val="20"/>
                      <w:lang w:bidi="ar"/>
                    </w:rPr>
                    <w:t>本次环评要求企业建立环境污染预防机制和处理环境污染事故的应急预案制度。</w:t>
                  </w:r>
                </w:p>
              </w:tc>
              <w:tc>
                <w:tcPr>
                  <w:tcW w:w="430" w:type="dxa"/>
                  <w:vAlign w:val="center"/>
                </w:tcPr>
                <w:p>
                  <w:pPr>
                    <w:widowControl/>
                    <w:adjustRightInd w:val="0"/>
                    <w:snapToGrid w:val="0"/>
                    <w:jc w:val="center"/>
                    <w:rPr>
                      <w:color w:val="auto"/>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 w:type="dxa"/>
                  <w:vMerge w:val="restart"/>
                  <w:vAlign w:val="center"/>
                </w:tcPr>
                <w:p>
                  <w:pPr>
                    <w:widowControl/>
                    <w:adjustRightInd w:val="0"/>
                    <w:snapToGrid w:val="0"/>
                    <w:jc w:val="center"/>
                    <w:rPr>
                      <w:color w:val="auto"/>
                    </w:rPr>
                  </w:pPr>
                  <w:r>
                    <w:rPr>
                      <w:rFonts w:hint="eastAsia"/>
                      <w:b/>
                      <w:bCs/>
                      <w:color w:val="auto"/>
                      <w:szCs w:val="21"/>
                    </w:rPr>
                    <w:t>收集</w:t>
                  </w:r>
                </w:p>
              </w:tc>
              <w:tc>
                <w:tcPr>
                  <w:tcW w:w="2774" w:type="dxa"/>
                  <w:vAlign w:val="center"/>
                </w:tcPr>
                <w:p>
                  <w:pPr>
                    <w:widowControl/>
                    <w:adjustRightInd w:val="0"/>
                    <w:snapToGrid w:val="0"/>
                    <w:jc w:val="center"/>
                    <w:rPr>
                      <w:color w:val="auto"/>
                    </w:rPr>
                  </w:pPr>
                  <w:r>
                    <w:rPr>
                      <w:rFonts w:hint="eastAsia" w:cs="宋体"/>
                      <w:color w:val="auto"/>
                      <w:kern w:val="0"/>
                      <w:szCs w:val="20"/>
                      <w:lang w:bidi="ar"/>
                    </w:rPr>
                    <w:t>应按废塑料的种类进行分类收集。</w:t>
                  </w:r>
                </w:p>
              </w:tc>
              <w:tc>
                <w:tcPr>
                  <w:tcW w:w="3191" w:type="dxa"/>
                  <w:vAlign w:val="center"/>
                </w:tcPr>
                <w:p>
                  <w:pPr>
                    <w:widowControl/>
                    <w:adjustRightInd w:val="0"/>
                    <w:snapToGrid w:val="0"/>
                    <w:jc w:val="center"/>
                    <w:rPr>
                      <w:color w:val="auto"/>
                    </w:rPr>
                  </w:pPr>
                  <w:r>
                    <w:rPr>
                      <w:color w:val="auto"/>
                      <w:szCs w:val="21"/>
                    </w:rPr>
                    <w:t>本项目原料</w:t>
                  </w:r>
                  <w:r>
                    <w:rPr>
                      <w:rFonts w:hint="eastAsia"/>
                      <w:color w:val="auto"/>
                      <w:szCs w:val="21"/>
                    </w:rPr>
                    <w:t>分别外购</w:t>
                  </w:r>
                  <w:r>
                    <w:rPr>
                      <w:color w:val="auto"/>
                      <w:szCs w:val="21"/>
                    </w:rPr>
                    <w:t>，由第三方回收公司严格筛选回收后运至厂内</w:t>
                  </w:r>
                  <w:r>
                    <w:rPr>
                      <w:rFonts w:hint="eastAsia"/>
                      <w:color w:val="auto"/>
                      <w:szCs w:val="21"/>
                    </w:rPr>
                    <w:t>。</w:t>
                  </w:r>
                </w:p>
              </w:tc>
              <w:tc>
                <w:tcPr>
                  <w:tcW w:w="430" w:type="dxa"/>
                  <w:vAlign w:val="center"/>
                </w:tcPr>
                <w:p>
                  <w:pPr>
                    <w:widowControl/>
                    <w:adjustRightInd w:val="0"/>
                    <w:snapToGrid w:val="0"/>
                    <w:jc w:val="center"/>
                    <w:rPr>
                      <w:color w:val="auto"/>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 w:type="dxa"/>
                  <w:vMerge w:val="continue"/>
                  <w:vAlign w:val="center"/>
                </w:tcPr>
                <w:p>
                  <w:pPr>
                    <w:widowControl/>
                    <w:adjustRightInd w:val="0"/>
                    <w:snapToGrid w:val="0"/>
                    <w:jc w:val="center"/>
                    <w:rPr>
                      <w:color w:val="auto"/>
                    </w:rPr>
                  </w:pPr>
                </w:p>
              </w:tc>
              <w:tc>
                <w:tcPr>
                  <w:tcW w:w="2774" w:type="dxa"/>
                  <w:vAlign w:val="center"/>
                </w:tcPr>
                <w:p>
                  <w:pPr>
                    <w:widowControl/>
                    <w:adjustRightInd w:val="0"/>
                    <w:snapToGrid w:val="0"/>
                    <w:jc w:val="center"/>
                    <w:rPr>
                      <w:color w:val="auto"/>
                    </w:rPr>
                  </w:pPr>
                  <w:r>
                    <w:rPr>
                      <w:rFonts w:hint="eastAsia" w:cs="宋体"/>
                      <w:color w:val="auto"/>
                      <w:kern w:val="0"/>
                      <w:szCs w:val="20"/>
                      <w:lang w:bidi="ar"/>
                    </w:rPr>
                    <w:t>废塑料收集过程中应包装完整，避免遗撒。</w:t>
                  </w:r>
                </w:p>
              </w:tc>
              <w:tc>
                <w:tcPr>
                  <w:tcW w:w="3191" w:type="dxa"/>
                  <w:vAlign w:val="center"/>
                </w:tcPr>
                <w:p>
                  <w:pPr>
                    <w:widowControl/>
                    <w:adjustRightInd w:val="0"/>
                    <w:snapToGrid w:val="0"/>
                    <w:jc w:val="center"/>
                    <w:rPr>
                      <w:color w:val="auto"/>
                    </w:rPr>
                  </w:pPr>
                  <w:r>
                    <w:rPr>
                      <w:rFonts w:hint="eastAsia" w:cs="宋体"/>
                      <w:color w:val="auto"/>
                      <w:kern w:val="0"/>
                      <w:szCs w:val="20"/>
                      <w:lang w:bidi="ar"/>
                    </w:rPr>
                    <w:t>废塑料收集过程中包装完整。</w:t>
                  </w:r>
                </w:p>
              </w:tc>
              <w:tc>
                <w:tcPr>
                  <w:tcW w:w="430" w:type="dxa"/>
                  <w:vAlign w:val="center"/>
                </w:tcPr>
                <w:p>
                  <w:pPr>
                    <w:widowControl/>
                    <w:adjustRightInd w:val="0"/>
                    <w:snapToGrid w:val="0"/>
                    <w:jc w:val="center"/>
                    <w:rPr>
                      <w:color w:val="auto"/>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 w:type="dxa"/>
                  <w:vMerge w:val="continue"/>
                  <w:vAlign w:val="center"/>
                </w:tcPr>
                <w:p>
                  <w:pPr>
                    <w:widowControl/>
                    <w:adjustRightInd w:val="0"/>
                    <w:snapToGrid w:val="0"/>
                    <w:jc w:val="center"/>
                    <w:rPr>
                      <w:color w:val="auto"/>
                    </w:rPr>
                  </w:pPr>
                </w:p>
              </w:tc>
              <w:tc>
                <w:tcPr>
                  <w:tcW w:w="2774" w:type="dxa"/>
                  <w:vAlign w:val="center"/>
                </w:tcPr>
                <w:p>
                  <w:pPr>
                    <w:widowControl/>
                    <w:adjustRightInd w:val="0"/>
                    <w:snapToGrid w:val="0"/>
                    <w:jc w:val="center"/>
                    <w:rPr>
                      <w:color w:val="auto"/>
                    </w:rPr>
                  </w:pPr>
                  <w:r>
                    <w:rPr>
                      <w:rFonts w:hint="eastAsia" w:cs="宋体"/>
                      <w:color w:val="auto"/>
                      <w:kern w:val="0"/>
                      <w:szCs w:val="20"/>
                      <w:lang w:bidi="ar"/>
                    </w:rPr>
                    <w:t>废塑料收集过程中不得就地清洗。</w:t>
                  </w:r>
                </w:p>
              </w:tc>
              <w:tc>
                <w:tcPr>
                  <w:tcW w:w="3191" w:type="dxa"/>
                  <w:vAlign w:val="center"/>
                </w:tcPr>
                <w:p>
                  <w:pPr>
                    <w:widowControl/>
                    <w:adjustRightInd w:val="0"/>
                    <w:snapToGrid w:val="0"/>
                    <w:jc w:val="center"/>
                    <w:rPr>
                      <w:color w:val="auto"/>
                    </w:rPr>
                  </w:pPr>
                  <w:r>
                    <w:rPr>
                      <w:rFonts w:hint="eastAsia" w:cs="宋体"/>
                      <w:color w:val="auto"/>
                      <w:kern w:val="0"/>
                      <w:szCs w:val="20"/>
                      <w:lang w:bidi="ar"/>
                    </w:rPr>
                    <w:t>废塑料收集过程不就地清洗。</w:t>
                  </w:r>
                </w:p>
              </w:tc>
              <w:tc>
                <w:tcPr>
                  <w:tcW w:w="430" w:type="dxa"/>
                  <w:vAlign w:val="center"/>
                </w:tcPr>
                <w:p>
                  <w:pPr>
                    <w:widowControl/>
                    <w:adjustRightInd w:val="0"/>
                    <w:snapToGrid w:val="0"/>
                    <w:jc w:val="center"/>
                    <w:rPr>
                      <w:color w:val="auto"/>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 w:type="dxa"/>
                  <w:vMerge w:val="continue"/>
                  <w:vAlign w:val="center"/>
                </w:tcPr>
                <w:p>
                  <w:pPr>
                    <w:widowControl/>
                    <w:adjustRightInd w:val="0"/>
                    <w:snapToGrid w:val="0"/>
                    <w:jc w:val="center"/>
                    <w:rPr>
                      <w:color w:val="auto"/>
                    </w:rPr>
                  </w:pPr>
                </w:p>
              </w:tc>
              <w:tc>
                <w:tcPr>
                  <w:tcW w:w="2774" w:type="dxa"/>
                  <w:vAlign w:val="center"/>
                </w:tcPr>
                <w:p>
                  <w:pPr>
                    <w:widowControl/>
                    <w:adjustRightInd w:val="0"/>
                    <w:snapToGrid w:val="0"/>
                    <w:jc w:val="center"/>
                    <w:rPr>
                      <w:color w:val="auto"/>
                    </w:rPr>
                  </w:pPr>
                  <w:r>
                    <w:rPr>
                      <w:rFonts w:hint="eastAsia" w:cs="宋体"/>
                      <w:color w:val="auto"/>
                      <w:kern w:val="0"/>
                      <w:szCs w:val="20"/>
                      <w:lang w:bidi="ar"/>
                    </w:rPr>
                    <w:t>废塑料收集过程中应使用机械破碎技术进行减容处理，并配备相应的防尘、防噪声措施。</w:t>
                  </w:r>
                </w:p>
              </w:tc>
              <w:tc>
                <w:tcPr>
                  <w:tcW w:w="3191" w:type="dxa"/>
                  <w:vAlign w:val="center"/>
                </w:tcPr>
                <w:p>
                  <w:pPr>
                    <w:widowControl/>
                    <w:adjustRightInd w:val="0"/>
                    <w:snapToGrid w:val="0"/>
                    <w:jc w:val="center"/>
                    <w:rPr>
                      <w:color w:val="auto"/>
                    </w:rPr>
                  </w:pPr>
                  <w:r>
                    <w:rPr>
                      <w:rFonts w:hint="eastAsia" w:cs="宋体"/>
                      <w:color w:val="auto"/>
                      <w:kern w:val="0"/>
                      <w:szCs w:val="20"/>
                      <w:lang w:bidi="ar"/>
                    </w:rPr>
                    <w:t>废塑料收集过程中采用机械破碎技术进行减容处理，</w:t>
                  </w:r>
                  <w:r>
                    <w:rPr>
                      <w:color w:val="auto"/>
                      <w:szCs w:val="21"/>
                    </w:rPr>
                    <w:t>生产过程采取相应的隔声、减振、消声等措施，噪声符合《工业企业厂界环境噪声排放标准》（GB12348-2008）3类标准要求</w:t>
                  </w:r>
                  <w:r>
                    <w:rPr>
                      <w:rFonts w:hint="eastAsia" w:cs="宋体"/>
                      <w:color w:val="auto"/>
                      <w:kern w:val="0"/>
                      <w:szCs w:val="20"/>
                      <w:lang w:bidi="ar"/>
                    </w:rPr>
                    <w:t>。</w:t>
                  </w:r>
                </w:p>
              </w:tc>
              <w:tc>
                <w:tcPr>
                  <w:tcW w:w="430" w:type="dxa"/>
                  <w:vAlign w:val="center"/>
                </w:tcPr>
                <w:p>
                  <w:pPr>
                    <w:widowControl/>
                    <w:adjustRightInd w:val="0"/>
                    <w:snapToGrid w:val="0"/>
                    <w:jc w:val="center"/>
                    <w:rPr>
                      <w:color w:val="auto"/>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 w:type="dxa"/>
                  <w:vMerge w:val="restart"/>
                  <w:vAlign w:val="center"/>
                </w:tcPr>
                <w:p>
                  <w:pPr>
                    <w:widowControl/>
                    <w:adjustRightInd w:val="0"/>
                    <w:snapToGrid w:val="0"/>
                    <w:jc w:val="center"/>
                    <w:rPr>
                      <w:color w:val="auto"/>
                    </w:rPr>
                  </w:pPr>
                  <w:r>
                    <w:rPr>
                      <w:rFonts w:hint="eastAsia"/>
                      <w:b/>
                      <w:bCs/>
                      <w:color w:val="auto"/>
                      <w:szCs w:val="21"/>
                    </w:rPr>
                    <w:t>贮存</w:t>
                  </w:r>
                </w:p>
              </w:tc>
              <w:tc>
                <w:tcPr>
                  <w:tcW w:w="2774" w:type="dxa"/>
                  <w:vAlign w:val="center"/>
                </w:tcPr>
                <w:p>
                  <w:pPr>
                    <w:widowControl/>
                    <w:adjustRightInd w:val="0"/>
                    <w:snapToGrid w:val="0"/>
                    <w:jc w:val="center"/>
                    <w:rPr>
                      <w:color w:val="auto"/>
                    </w:rPr>
                  </w:pPr>
                  <w:r>
                    <w:rPr>
                      <w:rFonts w:hint="eastAsia" w:cs="宋体"/>
                      <w:color w:val="auto"/>
                      <w:kern w:val="0"/>
                      <w:szCs w:val="20"/>
                      <w:lang w:bidi="ar"/>
                    </w:rPr>
                    <w:t>废塑料贮存场地应符合《一般工业固体废物废物贮存和填埋污染控制标准》</w:t>
                  </w:r>
                  <w:r>
                    <w:rPr>
                      <w:color w:val="auto"/>
                      <w:kern w:val="0"/>
                      <w:szCs w:val="20"/>
                      <w:lang w:bidi="ar"/>
                    </w:rPr>
                    <w:t>GB18599</w:t>
                  </w:r>
                  <w:r>
                    <w:rPr>
                      <w:rFonts w:hint="eastAsia" w:cs="宋体"/>
                      <w:color w:val="auto"/>
                      <w:kern w:val="0"/>
                      <w:szCs w:val="20"/>
                      <w:lang w:bidi="ar"/>
                    </w:rPr>
                    <w:t>的有关规定。</w:t>
                  </w:r>
                </w:p>
              </w:tc>
              <w:tc>
                <w:tcPr>
                  <w:tcW w:w="3191" w:type="dxa"/>
                  <w:vAlign w:val="center"/>
                </w:tcPr>
                <w:p>
                  <w:pPr>
                    <w:widowControl/>
                    <w:adjustRightInd w:val="0"/>
                    <w:snapToGrid w:val="0"/>
                    <w:jc w:val="center"/>
                    <w:rPr>
                      <w:color w:val="auto"/>
                    </w:rPr>
                  </w:pPr>
                  <w:r>
                    <w:rPr>
                      <w:rFonts w:hint="eastAsia" w:cs="宋体"/>
                      <w:color w:val="auto"/>
                      <w:kern w:val="0"/>
                      <w:szCs w:val="20"/>
                      <w:lang w:bidi="ar"/>
                    </w:rPr>
                    <w:t>本项目生产车间按照</w:t>
                  </w:r>
                  <w:r>
                    <w:rPr>
                      <w:color w:val="auto"/>
                      <w:kern w:val="0"/>
                      <w:szCs w:val="20"/>
                      <w:lang w:bidi="ar"/>
                    </w:rPr>
                    <w:t>GB18599</w:t>
                  </w:r>
                  <w:r>
                    <w:rPr>
                      <w:rFonts w:hint="eastAsia" w:cs="宋体"/>
                      <w:color w:val="auto"/>
                      <w:kern w:val="0"/>
                      <w:szCs w:val="20"/>
                      <w:lang w:bidi="ar"/>
                    </w:rPr>
                    <w:t>的有关标准建设。</w:t>
                  </w:r>
                </w:p>
              </w:tc>
              <w:tc>
                <w:tcPr>
                  <w:tcW w:w="430" w:type="dxa"/>
                  <w:vAlign w:val="center"/>
                </w:tcPr>
                <w:p>
                  <w:pPr>
                    <w:widowControl/>
                    <w:adjustRightInd w:val="0"/>
                    <w:snapToGrid w:val="0"/>
                    <w:jc w:val="center"/>
                    <w:rPr>
                      <w:color w:val="auto"/>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 w:type="dxa"/>
                  <w:vMerge w:val="continue"/>
                  <w:vAlign w:val="center"/>
                </w:tcPr>
                <w:p>
                  <w:pPr>
                    <w:widowControl/>
                    <w:adjustRightInd w:val="0"/>
                    <w:snapToGrid w:val="0"/>
                    <w:jc w:val="center"/>
                    <w:rPr>
                      <w:color w:val="auto"/>
                    </w:rPr>
                  </w:pPr>
                </w:p>
              </w:tc>
              <w:tc>
                <w:tcPr>
                  <w:tcW w:w="2774" w:type="dxa"/>
                  <w:vAlign w:val="center"/>
                </w:tcPr>
                <w:p>
                  <w:pPr>
                    <w:widowControl/>
                    <w:adjustRightInd w:val="0"/>
                    <w:snapToGrid w:val="0"/>
                    <w:jc w:val="center"/>
                    <w:rPr>
                      <w:color w:val="auto"/>
                    </w:rPr>
                  </w:pPr>
                  <w:r>
                    <w:rPr>
                      <w:rFonts w:hint="eastAsia" w:cs="宋体"/>
                      <w:color w:val="auto"/>
                      <w:kern w:val="0"/>
                      <w:szCs w:val="20"/>
                      <w:lang w:bidi="ar"/>
                    </w:rPr>
                    <w:t>不同种类的废塑料应分开存放，并在显著位置设有标识。</w:t>
                  </w:r>
                </w:p>
              </w:tc>
              <w:tc>
                <w:tcPr>
                  <w:tcW w:w="3191" w:type="dxa"/>
                  <w:vAlign w:val="center"/>
                </w:tcPr>
                <w:p>
                  <w:pPr>
                    <w:widowControl/>
                    <w:adjustRightInd w:val="0"/>
                    <w:snapToGrid w:val="0"/>
                    <w:jc w:val="center"/>
                    <w:rPr>
                      <w:color w:val="auto"/>
                    </w:rPr>
                  </w:pPr>
                  <w:r>
                    <w:rPr>
                      <w:rFonts w:hint="eastAsia" w:cs="宋体"/>
                      <w:color w:val="auto"/>
                      <w:kern w:val="0"/>
                      <w:szCs w:val="20"/>
                      <w:lang w:bidi="ar"/>
                    </w:rPr>
                    <w:t>本项目废塑料按种类分开存放。</w:t>
                  </w:r>
                </w:p>
              </w:tc>
              <w:tc>
                <w:tcPr>
                  <w:tcW w:w="430" w:type="dxa"/>
                  <w:vAlign w:val="center"/>
                </w:tcPr>
                <w:p>
                  <w:pPr>
                    <w:widowControl/>
                    <w:adjustRightInd w:val="0"/>
                    <w:snapToGrid w:val="0"/>
                    <w:jc w:val="center"/>
                    <w:rPr>
                      <w:color w:val="auto"/>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 w:type="dxa"/>
                  <w:vMerge w:val="continue"/>
                  <w:vAlign w:val="center"/>
                </w:tcPr>
                <w:p>
                  <w:pPr>
                    <w:widowControl/>
                    <w:adjustRightInd w:val="0"/>
                    <w:snapToGrid w:val="0"/>
                    <w:jc w:val="center"/>
                    <w:rPr>
                      <w:color w:val="auto"/>
                    </w:rPr>
                  </w:pPr>
                </w:p>
              </w:tc>
              <w:tc>
                <w:tcPr>
                  <w:tcW w:w="2774" w:type="dxa"/>
                  <w:vAlign w:val="center"/>
                </w:tcPr>
                <w:p>
                  <w:pPr>
                    <w:widowControl/>
                    <w:adjustRightInd w:val="0"/>
                    <w:snapToGrid w:val="0"/>
                    <w:jc w:val="center"/>
                    <w:rPr>
                      <w:color w:val="auto"/>
                    </w:rPr>
                  </w:pPr>
                  <w:r>
                    <w:rPr>
                      <w:rFonts w:hint="eastAsia" w:cs="宋体"/>
                      <w:color w:val="auto"/>
                      <w:kern w:val="0"/>
                      <w:szCs w:val="20"/>
                      <w:lang w:bidi="ar"/>
                    </w:rPr>
                    <w:t>废塑料应存放在封闭或半封闭的环境中，并设有防火、防雨、防晒、防渗、防扬散措施，避免露天堆放。</w:t>
                  </w:r>
                </w:p>
              </w:tc>
              <w:tc>
                <w:tcPr>
                  <w:tcW w:w="3191" w:type="dxa"/>
                  <w:vAlign w:val="center"/>
                </w:tcPr>
                <w:p>
                  <w:pPr>
                    <w:widowControl/>
                    <w:adjustRightInd w:val="0"/>
                    <w:snapToGrid w:val="0"/>
                    <w:jc w:val="center"/>
                    <w:rPr>
                      <w:color w:val="auto"/>
                    </w:rPr>
                  </w:pPr>
                  <w:r>
                    <w:rPr>
                      <w:color w:val="auto"/>
                      <w:szCs w:val="21"/>
                    </w:rPr>
                    <w:t>本项目在在</w:t>
                  </w:r>
                  <w:r>
                    <w:rPr>
                      <w:rFonts w:hint="eastAsia"/>
                      <w:color w:val="auto"/>
                      <w:szCs w:val="21"/>
                    </w:rPr>
                    <w:t>租用厂房</w:t>
                  </w:r>
                  <w:r>
                    <w:rPr>
                      <w:color w:val="auto"/>
                      <w:szCs w:val="21"/>
                    </w:rPr>
                    <w:t>内</w:t>
                  </w:r>
                  <w:r>
                    <w:rPr>
                      <w:rFonts w:hint="eastAsia"/>
                      <w:color w:val="auto"/>
                      <w:szCs w:val="21"/>
                    </w:rPr>
                    <w:t>划定原料堆场、成品暂存等区域</w:t>
                  </w:r>
                  <w:r>
                    <w:rPr>
                      <w:color w:val="auto"/>
                      <w:szCs w:val="21"/>
                    </w:rPr>
                    <w:t>，地面水泥硬化处理</w:t>
                  </w:r>
                  <w:r>
                    <w:rPr>
                      <w:rFonts w:hint="eastAsia" w:cs="宋体"/>
                      <w:color w:val="auto"/>
                      <w:kern w:val="0"/>
                      <w:szCs w:val="20"/>
                      <w:lang w:bidi="ar"/>
                    </w:rPr>
                    <w:t>，并设有防火、防雨、防晒、防渗、防扬散措施。</w:t>
                  </w:r>
                </w:p>
              </w:tc>
              <w:tc>
                <w:tcPr>
                  <w:tcW w:w="430" w:type="dxa"/>
                  <w:vAlign w:val="center"/>
                </w:tcPr>
                <w:p>
                  <w:pPr>
                    <w:widowControl/>
                    <w:adjustRightInd w:val="0"/>
                    <w:snapToGrid w:val="0"/>
                    <w:jc w:val="center"/>
                    <w:rPr>
                      <w:color w:val="auto"/>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 w:type="dxa"/>
                  <w:vMerge w:val="restart"/>
                  <w:vAlign w:val="center"/>
                </w:tcPr>
                <w:p>
                  <w:pPr>
                    <w:widowControl/>
                    <w:adjustRightInd w:val="0"/>
                    <w:snapToGrid w:val="0"/>
                    <w:jc w:val="center"/>
                    <w:rPr>
                      <w:color w:val="auto"/>
                    </w:rPr>
                  </w:pPr>
                  <w:r>
                    <w:rPr>
                      <w:rFonts w:hint="eastAsia"/>
                      <w:b/>
                      <w:bCs/>
                      <w:color w:val="auto"/>
                      <w:szCs w:val="21"/>
                    </w:rPr>
                    <w:t>运输</w:t>
                  </w:r>
                </w:p>
              </w:tc>
              <w:tc>
                <w:tcPr>
                  <w:tcW w:w="2774" w:type="dxa"/>
                  <w:vAlign w:val="center"/>
                </w:tcPr>
                <w:p>
                  <w:pPr>
                    <w:widowControl/>
                    <w:adjustRightInd w:val="0"/>
                    <w:snapToGrid w:val="0"/>
                    <w:jc w:val="center"/>
                    <w:rPr>
                      <w:color w:val="auto"/>
                    </w:rPr>
                  </w:pPr>
                  <w:r>
                    <w:rPr>
                      <w:rFonts w:hint="eastAsia" w:cs="宋体"/>
                      <w:color w:val="auto"/>
                      <w:kern w:val="0"/>
                      <w:szCs w:val="20"/>
                      <w:lang w:bidi="ar"/>
                    </w:rPr>
                    <w:t>废塑料运输过程中应打包完整或采用封闭的运输工具，防止遗撒。</w:t>
                  </w:r>
                </w:p>
              </w:tc>
              <w:tc>
                <w:tcPr>
                  <w:tcW w:w="3191" w:type="dxa"/>
                  <w:vAlign w:val="center"/>
                </w:tcPr>
                <w:p>
                  <w:pPr>
                    <w:widowControl/>
                    <w:adjustRightInd w:val="0"/>
                    <w:snapToGrid w:val="0"/>
                    <w:jc w:val="center"/>
                    <w:rPr>
                      <w:color w:val="auto"/>
                    </w:rPr>
                  </w:pPr>
                  <w:r>
                    <w:rPr>
                      <w:rFonts w:hint="eastAsia" w:cs="宋体"/>
                      <w:color w:val="auto"/>
                      <w:kern w:val="0"/>
                      <w:szCs w:val="20"/>
                      <w:lang w:bidi="ar"/>
                    </w:rPr>
                    <w:t>废塑料运输过程采用封闭的运输工具。</w:t>
                  </w:r>
                </w:p>
              </w:tc>
              <w:tc>
                <w:tcPr>
                  <w:tcW w:w="430" w:type="dxa"/>
                  <w:vAlign w:val="center"/>
                </w:tcPr>
                <w:p>
                  <w:pPr>
                    <w:widowControl/>
                    <w:adjustRightInd w:val="0"/>
                    <w:snapToGrid w:val="0"/>
                    <w:jc w:val="center"/>
                    <w:rPr>
                      <w:color w:val="auto"/>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 w:type="dxa"/>
                  <w:vMerge w:val="continue"/>
                  <w:vAlign w:val="center"/>
                </w:tcPr>
                <w:p>
                  <w:pPr>
                    <w:widowControl/>
                    <w:adjustRightInd w:val="0"/>
                    <w:snapToGrid w:val="0"/>
                    <w:jc w:val="center"/>
                    <w:rPr>
                      <w:color w:val="auto"/>
                    </w:rPr>
                  </w:pPr>
                </w:p>
              </w:tc>
              <w:tc>
                <w:tcPr>
                  <w:tcW w:w="2774" w:type="dxa"/>
                  <w:vAlign w:val="center"/>
                </w:tcPr>
                <w:p>
                  <w:pPr>
                    <w:widowControl/>
                    <w:adjustRightInd w:val="0"/>
                    <w:snapToGrid w:val="0"/>
                    <w:jc w:val="center"/>
                    <w:rPr>
                      <w:color w:val="auto"/>
                    </w:rPr>
                  </w:pPr>
                  <w:r>
                    <w:rPr>
                      <w:rFonts w:hint="eastAsia" w:cs="宋体"/>
                      <w:color w:val="auto"/>
                      <w:kern w:val="0"/>
                      <w:szCs w:val="20"/>
                      <w:lang w:bidi="ar"/>
                    </w:rPr>
                    <w:t>废塑料运输工具在运输途中不得超高、超宽、超载。</w:t>
                  </w:r>
                </w:p>
              </w:tc>
              <w:tc>
                <w:tcPr>
                  <w:tcW w:w="3191" w:type="dxa"/>
                  <w:vAlign w:val="center"/>
                </w:tcPr>
                <w:p>
                  <w:pPr>
                    <w:widowControl/>
                    <w:adjustRightInd w:val="0"/>
                    <w:snapToGrid w:val="0"/>
                    <w:jc w:val="center"/>
                    <w:rPr>
                      <w:color w:val="auto"/>
                    </w:rPr>
                  </w:pPr>
                  <w:r>
                    <w:rPr>
                      <w:rFonts w:hint="eastAsia" w:cs="宋体"/>
                      <w:color w:val="auto"/>
                      <w:kern w:val="0"/>
                      <w:szCs w:val="20"/>
                      <w:lang w:bidi="ar"/>
                    </w:rPr>
                    <w:t>本项目采用封闭的交通工具运输，不超高、超宽、超载。</w:t>
                  </w:r>
                </w:p>
              </w:tc>
              <w:tc>
                <w:tcPr>
                  <w:tcW w:w="430" w:type="dxa"/>
                  <w:vAlign w:val="center"/>
                </w:tcPr>
                <w:p>
                  <w:pPr>
                    <w:widowControl/>
                    <w:adjustRightInd w:val="0"/>
                    <w:snapToGrid w:val="0"/>
                    <w:jc w:val="center"/>
                    <w:rPr>
                      <w:color w:val="auto"/>
                    </w:rPr>
                  </w:pPr>
                  <w:r>
                    <w:rPr>
                      <w:rFonts w:hint="eastAsia"/>
                      <w:color w:val="auto"/>
                      <w:szCs w:val="21"/>
                    </w:rPr>
                    <w:t>符合</w:t>
                  </w:r>
                </w:p>
              </w:tc>
            </w:tr>
          </w:tbl>
          <w:p>
            <w:pPr>
              <w:widowControl/>
              <w:spacing w:line="360" w:lineRule="auto"/>
              <w:ind w:firstLine="482" w:firstLineChars="200"/>
              <w:rPr>
                <w:b/>
                <w:bCs/>
                <w:color w:val="auto"/>
                <w:sz w:val="24"/>
              </w:rPr>
            </w:pPr>
            <w:r>
              <w:rPr>
                <w:rFonts w:hint="eastAsia"/>
                <w:b/>
                <w:bCs/>
                <w:color w:val="auto"/>
                <w:sz w:val="24"/>
              </w:rPr>
              <w:t>14、与《云南省重点行业挥发性有机物综合治理实施方案》的符合性分析</w:t>
            </w:r>
          </w:p>
          <w:p>
            <w:pPr>
              <w:widowControl/>
              <w:adjustRightInd w:val="0"/>
              <w:snapToGrid w:val="0"/>
              <w:spacing w:line="360" w:lineRule="auto"/>
              <w:ind w:firstLine="480" w:firstLineChars="200"/>
              <w:jc w:val="left"/>
              <w:rPr>
                <w:rFonts w:cs="宋体"/>
                <w:color w:val="auto"/>
                <w:kern w:val="0"/>
                <w:sz w:val="24"/>
                <w:lang w:bidi="ar"/>
              </w:rPr>
            </w:pPr>
            <w:r>
              <w:rPr>
                <w:rFonts w:hint="eastAsia" w:cs="宋体"/>
                <w:color w:val="auto"/>
                <w:kern w:val="0"/>
                <w:sz w:val="24"/>
                <w:lang w:bidi="ar"/>
              </w:rPr>
              <w:t>根据《云南省重点行业挥发性有机物综合治理实施方案》（云环通〔</w:t>
            </w:r>
            <w:r>
              <w:rPr>
                <w:color w:val="auto"/>
                <w:kern w:val="0"/>
                <w:sz w:val="24"/>
                <w:lang w:bidi="ar"/>
              </w:rPr>
              <w:t>2019</w:t>
            </w:r>
            <w:r>
              <w:rPr>
                <w:rFonts w:hint="eastAsia" w:cs="宋体"/>
                <w:color w:val="auto"/>
                <w:kern w:val="0"/>
                <w:sz w:val="24"/>
                <w:lang w:bidi="ar"/>
              </w:rPr>
              <w:t>〕</w:t>
            </w:r>
            <w:r>
              <w:rPr>
                <w:color w:val="auto"/>
                <w:kern w:val="0"/>
                <w:sz w:val="24"/>
                <w:lang w:bidi="ar"/>
              </w:rPr>
              <w:t>125</w:t>
            </w:r>
            <w:r>
              <w:rPr>
                <w:rFonts w:hint="eastAsia" w:cs="宋体"/>
                <w:color w:val="auto"/>
                <w:kern w:val="0"/>
                <w:sz w:val="24"/>
                <w:lang w:bidi="ar"/>
              </w:rPr>
              <w:t>号）中相关要求，项目符合性分析见下表1-10。</w:t>
            </w:r>
          </w:p>
          <w:p>
            <w:pPr>
              <w:pStyle w:val="2"/>
              <w:jc w:val="center"/>
              <w:rPr>
                <w:b/>
                <w:bCs/>
                <w:color w:val="auto"/>
                <w:sz w:val="24"/>
              </w:rPr>
            </w:pPr>
            <w:r>
              <w:rPr>
                <w:rFonts w:hint="eastAsia" w:cs="宋体"/>
                <w:b/>
                <w:bCs/>
                <w:color w:val="auto"/>
                <w:sz w:val="24"/>
                <w:lang w:bidi="ar"/>
              </w:rPr>
              <w:t>表1-11  与</w:t>
            </w:r>
            <w:r>
              <w:rPr>
                <w:rFonts w:hint="eastAsia"/>
                <w:b/>
                <w:bCs/>
                <w:color w:val="auto"/>
                <w:sz w:val="24"/>
              </w:rPr>
              <w:t>《云南省重点行业挥发性有机物综合治理实施方案》的符合性分析</w:t>
            </w:r>
          </w:p>
          <w:tbl>
            <w:tblPr>
              <w:tblStyle w:val="31"/>
              <w:tblW w:w="6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2169"/>
              <w:gridCol w:w="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1" w:type="dxa"/>
                  <w:vAlign w:val="center"/>
                </w:tcPr>
                <w:p>
                  <w:pPr>
                    <w:widowControl/>
                    <w:adjustRightInd w:val="0"/>
                    <w:snapToGrid w:val="0"/>
                    <w:jc w:val="center"/>
                    <w:rPr>
                      <w:color w:val="auto"/>
                    </w:rPr>
                  </w:pPr>
                  <w:r>
                    <w:rPr>
                      <w:rFonts w:hint="eastAsia"/>
                      <w:b/>
                      <w:bCs/>
                      <w:color w:val="auto"/>
                      <w:szCs w:val="21"/>
                    </w:rPr>
                    <w:t>文件要求</w:t>
                  </w:r>
                </w:p>
              </w:tc>
              <w:tc>
                <w:tcPr>
                  <w:tcW w:w="2169" w:type="dxa"/>
                  <w:vAlign w:val="center"/>
                </w:tcPr>
                <w:p>
                  <w:pPr>
                    <w:widowControl/>
                    <w:adjustRightInd w:val="0"/>
                    <w:snapToGrid w:val="0"/>
                    <w:jc w:val="center"/>
                    <w:rPr>
                      <w:color w:val="auto"/>
                    </w:rPr>
                  </w:pPr>
                  <w:r>
                    <w:rPr>
                      <w:b/>
                      <w:bCs/>
                      <w:color w:val="auto"/>
                      <w:szCs w:val="21"/>
                    </w:rPr>
                    <w:t>本项目情况</w:t>
                  </w:r>
                </w:p>
              </w:tc>
              <w:tc>
                <w:tcPr>
                  <w:tcW w:w="498" w:type="dxa"/>
                  <w:vAlign w:val="center"/>
                </w:tcPr>
                <w:p>
                  <w:pPr>
                    <w:widowControl/>
                    <w:adjustRightInd w:val="0"/>
                    <w:snapToGrid w:val="0"/>
                    <w:jc w:val="center"/>
                    <w:rPr>
                      <w:color w:val="auto"/>
                    </w:rPr>
                  </w:pPr>
                  <w:r>
                    <w:rPr>
                      <w:b/>
                      <w:bCs/>
                      <w:color w:val="auto"/>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1" w:type="dxa"/>
                  <w:vAlign w:val="center"/>
                </w:tcPr>
                <w:p>
                  <w:pPr>
                    <w:widowControl/>
                    <w:adjustRightInd w:val="0"/>
                    <w:snapToGrid w:val="0"/>
                    <w:jc w:val="center"/>
                    <w:rPr>
                      <w:color w:val="auto"/>
                    </w:rPr>
                  </w:pPr>
                  <w:r>
                    <w:rPr>
                      <w:rFonts w:cs="楷体"/>
                      <w:color w:val="auto"/>
                      <w:kern w:val="0"/>
                      <w:szCs w:val="20"/>
                      <w:lang w:bidi="ar"/>
                    </w:rPr>
                    <w:t>全面加强无组织排放控制。重点对含</w:t>
                  </w:r>
                  <w:r>
                    <w:rPr>
                      <w:color w:val="auto"/>
                      <w:kern w:val="0"/>
                      <w:szCs w:val="20"/>
                      <w:lang w:bidi="ar"/>
                    </w:rPr>
                    <w:t>VOCs</w:t>
                  </w:r>
                  <w:r>
                    <w:rPr>
                      <w:rFonts w:hint="eastAsia" w:cs="楷体"/>
                      <w:color w:val="auto"/>
                      <w:kern w:val="0"/>
                      <w:szCs w:val="20"/>
                      <w:lang w:bidi="ar"/>
                    </w:rPr>
                    <w:t>物料（包括含</w:t>
                  </w:r>
                  <w:r>
                    <w:rPr>
                      <w:color w:val="auto"/>
                      <w:kern w:val="0"/>
                      <w:szCs w:val="20"/>
                      <w:lang w:bidi="ar"/>
                    </w:rPr>
                    <w:t>VOCs</w:t>
                  </w:r>
                  <w:r>
                    <w:rPr>
                      <w:rFonts w:hint="eastAsia" w:cs="楷体"/>
                      <w:color w:val="auto"/>
                      <w:kern w:val="0"/>
                      <w:szCs w:val="20"/>
                      <w:lang w:bidi="ar"/>
                    </w:rPr>
                    <w:t>原辅材料、含</w:t>
                  </w:r>
                  <w:r>
                    <w:rPr>
                      <w:color w:val="auto"/>
                      <w:kern w:val="0"/>
                      <w:szCs w:val="20"/>
                      <w:lang w:bidi="ar"/>
                    </w:rPr>
                    <w:t>VOCs</w:t>
                  </w:r>
                  <w:r>
                    <w:rPr>
                      <w:rFonts w:hint="eastAsia" w:cs="楷体"/>
                      <w:color w:val="auto"/>
                      <w:kern w:val="0"/>
                      <w:szCs w:val="20"/>
                      <w:lang w:bidi="ar"/>
                    </w:rPr>
                    <w:t>产品、含</w:t>
                  </w:r>
                  <w:r>
                    <w:rPr>
                      <w:color w:val="auto"/>
                      <w:kern w:val="0"/>
                      <w:szCs w:val="20"/>
                      <w:lang w:bidi="ar"/>
                    </w:rPr>
                    <w:t>VOCs</w:t>
                  </w:r>
                  <w:r>
                    <w:rPr>
                      <w:rFonts w:hint="eastAsia" w:cs="楷体"/>
                      <w:color w:val="auto"/>
                      <w:kern w:val="0"/>
                      <w:szCs w:val="20"/>
                      <w:lang w:bidi="ar"/>
                    </w:rPr>
                    <w:t>废料以及有机聚合物材料等）储存、转移和输送、设备与管线组件泄漏、敞开液面逸散以及工艺过程等五类排放源实施管控，通过采取设备与场所密闭、工艺改进、废气有效收集等措施，削减</w:t>
                  </w:r>
                  <w:r>
                    <w:rPr>
                      <w:color w:val="auto"/>
                      <w:kern w:val="0"/>
                      <w:szCs w:val="20"/>
                      <w:lang w:bidi="ar"/>
                    </w:rPr>
                    <w:t>VOCs</w:t>
                  </w:r>
                  <w:r>
                    <w:rPr>
                      <w:rFonts w:hint="eastAsia" w:cs="楷体"/>
                      <w:color w:val="auto"/>
                      <w:kern w:val="0"/>
                      <w:szCs w:val="20"/>
                      <w:lang w:bidi="ar"/>
                    </w:rPr>
                    <w:t>无组织排放。</w:t>
                  </w:r>
                </w:p>
              </w:tc>
              <w:tc>
                <w:tcPr>
                  <w:tcW w:w="2169" w:type="dxa"/>
                  <w:vAlign w:val="center"/>
                </w:tcPr>
                <w:p>
                  <w:pPr>
                    <w:widowControl/>
                    <w:adjustRightInd w:val="0"/>
                    <w:snapToGrid w:val="0"/>
                    <w:jc w:val="center"/>
                    <w:rPr>
                      <w:color w:val="auto"/>
                    </w:rPr>
                  </w:pPr>
                  <w:r>
                    <w:rPr>
                      <w:rFonts w:cs="楷体"/>
                      <w:color w:val="auto"/>
                      <w:kern w:val="0"/>
                      <w:szCs w:val="20"/>
                      <w:lang w:bidi="ar"/>
                    </w:rPr>
                    <w:t>企业生产工艺过程通过采</w:t>
                  </w:r>
                  <w:r>
                    <w:rPr>
                      <w:rFonts w:hint="eastAsia" w:cs="楷体"/>
                      <w:color w:val="auto"/>
                      <w:kern w:val="0"/>
                      <w:szCs w:val="20"/>
                      <w:lang w:bidi="ar"/>
                    </w:rPr>
                    <w:t>取生产车间封闭、工艺优化、废气有效收集处理等措施，削减</w:t>
                  </w:r>
                  <w:r>
                    <w:rPr>
                      <w:color w:val="auto"/>
                      <w:kern w:val="0"/>
                      <w:szCs w:val="20"/>
                      <w:lang w:bidi="ar"/>
                    </w:rPr>
                    <w:t>VOCs</w:t>
                  </w:r>
                  <w:r>
                    <w:rPr>
                      <w:rFonts w:hint="eastAsia" w:cs="楷体"/>
                      <w:color w:val="auto"/>
                      <w:kern w:val="0"/>
                      <w:szCs w:val="20"/>
                      <w:lang w:bidi="ar"/>
                    </w:rPr>
                    <w:t>无组织排放。</w:t>
                  </w:r>
                </w:p>
              </w:tc>
              <w:tc>
                <w:tcPr>
                  <w:tcW w:w="498" w:type="dxa"/>
                  <w:vAlign w:val="center"/>
                </w:tcPr>
                <w:p>
                  <w:pPr>
                    <w:widowControl/>
                    <w:adjustRightInd w:val="0"/>
                    <w:snapToGrid w:val="0"/>
                    <w:jc w:val="center"/>
                    <w:rPr>
                      <w:color w:val="auto"/>
                    </w:rPr>
                  </w:pPr>
                  <w:r>
                    <w:rPr>
                      <w:rFonts w:hint="eastAsia"/>
                      <w:b/>
                      <w:bCs/>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1" w:type="dxa"/>
                  <w:vAlign w:val="center"/>
                </w:tcPr>
                <w:p>
                  <w:pPr>
                    <w:widowControl/>
                    <w:adjustRightInd w:val="0"/>
                    <w:snapToGrid w:val="0"/>
                    <w:jc w:val="center"/>
                    <w:rPr>
                      <w:color w:val="auto"/>
                    </w:rPr>
                  </w:pPr>
                  <w:r>
                    <w:rPr>
                      <w:rFonts w:cs="楷体"/>
                      <w:color w:val="auto"/>
                      <w:kern w:val="0"/>
                      <w:szCs w:val="20"/>
                      <w:lang w:bidi="ar"/>
                    </w:rPr>
                    <w:t>加强设备与场所密闭管理。含</w:t>
                  </w:r>
                  <w:r>
                    <w:rPr>
                      <w:color w:val="auto"/>
                      <w:kern w:val="0"/>
                      <w:szCs w:val="20"/>
                      <w:lang w:bidi="ar"/>
                    </w:rPr>
                    <w:t>VOCs</w:t>
                  </w:r>
                  <w:r>
                    <w:rPr>
                      <w:rFonts w:hint="eastAsia" w:cs="楷体"/>
                      <w:color w:val="auto"/>
                      <w:kern w:val="0"/>
                      <w:szCs w:val="20"/>
                      <w:lang w:bidi="ar"/>
                    </w:rPr>
                    <w:t>物料应储存于密闭容器、包装袋，高效密封储罐，封闭式储库、料仓等。含</w:t>
                  </w:r>
                  <w:r>
                    <w:rPr>
                      <w:color w:val="auto"/>
                      <w:kern w:val="0"/>
                      <w:szCs w:val="20"/>
                      <w:lang w:bidi="ar"/>
                    </w:rPr>
                    <w:t>VOCs</w:t>
                  </w:r>
                  <w:r>
                    <w:rPr>
                      <w:rFonts w:hint="eastAsia" w:cs="楷体"/>
                      <w:color w:val="auto"/>
                      <w:kern w:val="0"/>
                      <w:szCs w:val="20"/>
                      <w:lang w:bidi="ar"/>
                    </w:rPr>
                    <w:t>物料转移和输送，应采用密闭管道或密闭容器、罐车等。高</w:t>
                  </w:r>
                  <w:r>
                    <w:rPr>
                      <w:color w:val="auto"/>
                      <w:kern w:val="0"/>
                      <w:szCs w:val="20"/>
                      <w:lang w:bidi="ar"/>
                    </w:rPr>
                    <w:t>VOCs</w:t>
                  </w:r>
                  <w:r>
                    <w:rPr>
                      <w:rFonts w:hint="eastAsia" w:cs="楷体"/>
                      <w:color w:val="auto"/>
                      <w:kern w:val="0"/>
                      <w:szCs w:val="20"/>
                      <w:lang w:bidi="ar"/>
                    </w:rPr>
                    <w:t>含量废水（废水液面上方</w:t>
                  </w:r>
                  <w:r>
                    <w:rPr>
                      <w:color w:val="auto"/>
                      <w:kern w:val="0"/>
                      <w:szCs w:val="20"/>
                      <w:lang w:bidi="ar"/>
                    </w:rPr>
                    <w:t>100</w:t>
                  </w:r>
                  <w:r>
                    <w:rPr>
                      <w:rFonts w:hint="eastAsia" w:cs="楷体"/>
                      <w:color w:val="auto"/>
                      <w:kern w:val="0"/>
                      <w:szCs w:val="20"/>
                      <w:lang w:bidi="ar"/>
                    </w:rPr>
                    <w:t>毫米处</w:t>
                  </w:r>
                  <w:r>
                    <w:rPr>
                      <w:color w:val="auto"/>
                      <w:kern w:val="0"/>
                      <w:szCs w:val="20"/>
                      <w:lang w:bidi="ar"/>
                    </w:rPr>
                    <w:t>VOCs</w:t>
                  </w:r>
                  <w:r>
                    <w:rPr>
                      <w:rFonts w:hint="eastAsia" w:cs="楷体"/>
                      <w:color w:val="auto"/>
                      <w:kern w:val="0"/>
                      <w:szCs w:val="20"/>
                      <w:lang w:bidi="ar"/>
                    </w:rPr>
                    <w:t>检测浓度超过</w:t>
                  </w:r>
                  <w:r>
                    <w:rPr>
                      <w:color w:val="auto"/>
                      <w:kern w:val="0"/>
                      <w:szCs w:val="20"/>
                      <w:lang w:bidi="ar"/>
                    </w:rPr>
                    <w:t>200ppm</w:t>
                  </w:r>
                  <w:r>
                    <w:rPr>
                      <w:rFonts w:hint="eastAsia" w:cs="楷体"/>
                      <w:color w:val="auto"/>
                      <w:kern w:val="0"/>
                      <w:szCs w:val="20"/>
                      <w:lang w:bidi="ar"/>
                    </w:rPr>
                    <w:t>，其中，重点区域超过</w:t>
                  </w:r>
                  <w:r>
                    <w:rPr>
                      <w:color w:val="auto"/>
                      <w:kern w:val="0"/>
                      <w:szCs w:val="20"/>
                      <w:lang w:bidi="ar"/>
                    </w:rPr>
                    <w:t>100ppm</w:t>
                  </w:r>
                  <w:r>
                    <w:rPr>
                      <w:rFonts w:hint="eastAsia" w:cs="楷体"/>
                      <w:color w:val="auto"/>
                      <w:kern w:val="0"/>
                      <w:szCs w:val="20"/>
                      <w:lang w:bidi="ar"/>
                    </w:rPr>
                    <w:t>，以碳计）的集输、储存和处理过程，应加盖密闭。含</w:t>
                  </w:r>
                  <w:r>
                    <w:rPr>
                      <w:color w:val="auto"/>
                      <w:kern w:val="0"/>
                      <w:szCs w:val="20"/>
                      <w:lang w:bidi="ar"/>
                    </w:rPr>
                    <w:t>VOCs</w:t>
                  </w:r>
                  <w:r>
                    <w:rPr>
                      <w:rFonts w:hint="eastAsia" w:cs="楷体"/>
                      <w:color w:val="auto"/>
                      <w:kern w:val="0"/>
                      <w:szCs w:val="20"/>
                      <w:lang w:bidi="ar"/>
                    </w:rPr>
                    <w:t>物料生产和使用过程，应采取有效收集措施或在密闭空间中操作。</w:t>
                  </w:r>
                </w:p>
              </w:tc>
              <w:tc>
                <w:tcPr>
                  <w:tcW w:w="2169" w:type="dxa"/>
                  <w:vAlign w:val="center"/>
                </w:tcPr>
                <w:p>
                  <w:pPr>
                    <w:widowControl/>
                    <w:adjustRightInd w:val="0"/>
                    <w:snapToGrid w:val="0"/>
                    <w:jc w:val="center"/>
                    <w:rPr>
                      <w:color w:val="auto"/>
                    </w:rPr>
                  </w:pPr>
                  <w:r>
                    <w:rPr>
                      <w:color w:val="auto"/>
                      <w:kern w:val="0"/>
                      <w:szCs w:val="20"/>
                      <w:lang w:bidi="ar"/>
                    </w:rPr>
                    <w:t>1</w:t>
                  </w:r>
                  <w:r>
                    <w:rPr>
                      <w:rFonts w:cs="楷体"/>
                      <w:color w:val="auto"/>
                      <w:kern w:val="0"/>
                      <w:szCs w:val="20"/>
                      <w:lang w:bidi="ar"/>
                    </w:rPr>
                    <w:t>、项目原材料及产品（塑</w:t>
                  </w:r>
                  <w:r>
                    <w:rPr>
                      <w:rFonts w:hint="eastAsia" w:cs="楷体"/>
                      <w:color w:val="auto"/>
                      <w:kern w:val="0"/>
                      <w:szCs w:val="20"/>
                      <w:lang w:bidi="ar"/>
                    </w:rPr>
                    <w:t>料再生颗粒）为袋装，储存于封闭仓库内；</w:t>
                  </w:r>
                </w:p>
                <w:p>
                  <w:pPr>
                    <w:widowControl/>
                    <w:adjustRightInd w:val="0"/>
                    <w:snapToGrid w:val="0"/>
                    <w:jc w:val="center"/>
                    <w:rPr>
                      <w:color w:val="auto"/>
                    </w:rPr>
                  </w:pPr>
                  <w:r>
                    <w:rPr>
                      <w:color w:val="auto"/>
                      <w:kern w:val="0"/>
                      <w:szCs w:val="20"/>
                      <w:lang w:bidi="ar"/>
                    </w:rPr>
                    <w:t>2</w:t>
                  </w:r>
                  <w:r>
                    <w:rPr>
                      <w:rFonts w:hint="eastAsia" w:cs="楷体"/>
                      <w:color w:val="auto"/>
                      <w:kern w:val="0"/>
                      <w:szCs w:val="20"/>
                      <w:lang w:bidi="ar"/>
                    </w:rPr>
                    <w:t>、含</w:t>
                  </w:r>
                  <w:r>
                    <w:rPr>
                      <w:color w:val="auto"/>
                      <w:kern w:val="0"/>
                      <w:szCs w:val="20"/>
                      <w:lang w:bidi="ar"/>
                    </w:rPr>
                    <w:t>VOCs</w:t>
                  </w:r>
                  <w:r>
                    <w:rPr>
                      <w:rFonts w:hint="eastAsia" w:cs="楷体"/>
                      <w:color w:val="auto"/>
                      <w:kern w:val="0"/>
                      <w:szCs w:val="20"/>
                      <w:lang w:bidi="ar"/>
                    </w:rPr>
                    <w:t>物料在生产和使用过程，采取在封闭的生产车间内操作。</w:t>
                  </w:r>
                </w:p>
              </w:tc>
              <w:tc>
                <w:tcPr>
                  <w:tcW w:w="498" w:type="dxa"/>
                  <w:vAlign w:val="center"/>
                </w:tcPr>
                <w:p>
                  <w:pPr>
                    <w:widowControl/>
                    <w:adjustRightInd w:val="0"/>
                    <w:snapToGrid w:val="0"/>
                    <w:jc w:val="center"/>
                    <w:rPr>
                      <w:color w:val="auto"/>
                    </w:rPr>
                  </w:pPr>
                  <w:r>
                    <w:rPr>
                      <w:rFonts w:hint="eastAsia"/>
                      <w:b/>
                      <w:bCs/>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1" w:type="dxa"/>
                  <w:vAlign w:val="center"/>
                </w:tcPr>
                <w:p>
                  <w:pPr>
                    <w:widowControl/>
                    <w:adjustRightInd w:val="0"/>
                    <w:snapToGrid w:val="0"/>
                    <w:jc w:val="center"/>
                    <w:rPr>
                      <w:color w:val="auto"/>
                    </w:rPr>
                  </w:pPr>
                  <w:r>
                    <w:rPr>
                      <w:rFonts w:cs="楷体"/>
                      <w:color w:val="auto"/>
                      <w:kern w:val="0"/>
                      <w:szCs w:val="20"/>
                      <w:lang w:bidi="ar"/>
                    </w:rPr>
                    <w:t>提高废气收集率。遵循</w:t>
                  </w:r>
                  <w:r>
                    <w:rPr>
                      <w:color w:val="auto"/>
                      <w:kern w:val="0"/>
                      <w:szCs w:val="20"/>
                      <w:lang w:bidi="ar"/>
                    </w:rPr>
                    <w:t>“</w:t>
                  </w:r>
                  <w:r>
                    <w:rPr>
                      <w:rFonts w:hint="eastAsia" w:cs="楷体"/>
                      <w:color w:val="auto"/>
                      <w:kern w:val="0"/>
                      <w:szCs w:val="20"/>
                      <w:lang w:bidi="ar"/>
                    </w:rPr>
                    <w:t>应收尽收、分质收集</w:t>
                  </w:r>
                  <w:r>
                    <w:rPr>
                      <w:color w:val="auto"/>
                      <w:kern w:val="0"/>
                      <w:szCs w:val="20"/>
                      <w:lang w:bidi="ar"/>
                    </w:rPr>
                    <w:t>”</w:t>
                  </w:r>
                  <w:r>
                    <w:rPr>
                      <w:rFonts w:hint="eastAsia" w:cs="楷体"/>
                      <w:color w:val="auto"/>
                      <w:kern w:val="0"/>
                      <w:szCs w:val="20"/>
                      <w:lang w:bidi="ar"/>
                    </w:rPr>
                    <w:t>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w:t>
                  </w:r>
                  <w:r>
                    <w:rPr>
                      <w:color w:val="auto"/>
                      <w:kern w:val="0"/>
                      <w:szCs w:val="20"/>
                      <w:lang w:bidi="ar"/>
                    </w:rPr>
                    <w:t>VOCs</w:t>
                  </w:r>
                  <w:r>
                    <w:rPr>
                      <w:rFonts w:hint="eastAsia" w:cs="楷体"/>
                      <w:color w:val="auto"/>
                      <w:kern w:val="0"/>
                      <w:szCs w:val="20"/>
                      <w:lang w:bidi="ar"/>
                    </w:rPr>
                    <w:t>无组织排放位置，控制风速应不低于</w:t>
                  </w:r>
                  <w:r>
                    <w:rPr>
                      <w:color w:val="auto"/>
                      <w:kern w:val="0"/>
                      <w:szCs w:val="20"/>
                      <w:lang w:bidi="ar"/>
                    </w:rPr>
                    <w:t>0.3</w:t>
                  </w:r>
                  <w:r>
                    <w:rPr>
                      <w:rFonts w:hint="eastAsia" w:cs="楷体"/>
                      <w:color w:val="auto"/>
                      <w:kern w:val="0"/>
                      <w:szCs w:val="20"/>
                      <w:lang w:bidi="ar"/>
                    </w:rPr>
                    <w:t>米</w:t>
                  </w:r>
                  <w:r>
                    <w:rPr>
                      <w:color w:val="auto"/>
                      <w:kern w:val="0"/>
                      <w:szCs w:val="20"/>
                      <w:lang w:bidi="ar"/>
                    </w:rPr>
                    <w:t>/</w:t>
                  </w:r>
                  <w:r>
                    <w:rPr>
                      <w:rFonts w:hint="eastAsia" w:cs="楷体"/>
                      <w:color w:val="auto"/>
                      <w:kern w:val="0"/>
                      <w:szCs w:val="20"/>
                      <w:lang w:bidi="ar"/>
                    </w:rPr>
                    <w:t>秒，有行业要求的按相关规定执行。</w:t>
                  </w:r>
                </w:p>
              </w:tc>
              <w:tc>
                <w:tcPr>
                  <w:tcW w:w="2169" w:type="dxa"/>
                  <w:vAlign w:val="center"/>
                </w:tcPr>
                <w:p>
                  <w:pPr>
                    <w:widowControl/>
                    <w:adjustRightInd w:val="0"/>
                    <w:snapToGrid w:val="0"/>
                    <w:jc w:val="center"/>
                    <w:rPr>
                      <w:color w:val="auto"/>
                    </w:rPr>
                  </w:pPr>
                  <w:r>
                    <w:rPr>
                      <w:rFonts w:cs="楷体"/>
                      <w:color w:val="auto"/>
                      <w:kern w:val="0"/>
                      <w:szCs w:val="20"/>
                      <w:lang w:bidi="ar"/>
                    </w:rPr>
                    <w:t>项目生产车间与仓库均</w:t>
                  </w:r>
                  <w:r>
                    <w:rPr>
                      <w:rFonts w:hint="eastAsia" w:cs="楷体"/>
                      <w:color w:val="auto"/>
                      <w:kern w:val="0"/>
                      <w:szCs w:val="20"/>
                      <w:lang w:bidi="ar"/>
                    </w:rPr>
                    <w:t>为封闭车间，并保持微负压状态，并根据相关规范合理设置通风量。项目采用局部集气罩对</w:t>
                  </w:r>
                  <w:r>
                    <w:rPr>
                      <w:color w:val="auto"/>
                      <w:kern w:val="0"/>
                      <w:szCs w:val="20"/>
                      <w:lang w:bidi="ar"/>
                    </w:rPr>
                    <w:t>VOCs</w:t>
                  </w:r>
                  <w:r>
                    <w:rPr>
                      <w:rFonts w:hint="eastAsia" w:cs="楷体"/>
                      <w:color w:val="auto"/>
                      <w:kern w:val="0"/>
                      <w:szCs w:val="20"/>
                      <w:lang w:bidi="ar"/>
                    </w:rPr>
                    <w:t>进行收集，并保证距集气罩开口面控制点的</w:t>
                  </w:r>
                  <w:r>
                    <w:rPr>
                      <w:color w:val="auto"/>
                      <w:kern w:val="0"/>
                      <w:szCs w:val="20"/>
                      <w:lang w:bidi="ar"/>
                    </w:rPr>
                    <w:t>VOCs</w:t>
                  </w:r>
                  <w:r>
                    <w:rPr>
                      <w:rFonts w:hint="eastAsia" w:cs="楷体"/>
                      <w:color w:val="auto"/>
                      <w:kern w:val="0"/>
                      <w:szCs w:val="20"/>
                      <w:lang w:bidi="ar"/>
                    </w:rPr>
                    <w:t>无组织排放位置，控制风速不低于</w:t>
                  </w:r>
                  <w:r>
                    <w:rPr>
                      <w:color w:val="auto"/>
                      <w:kern w:val="0"/>
                      <w:szCs w:val="20"/>
                      <w:lang w:bidi="ar"/>
                    </w:rPr>
                    <w:t>0.3</w:t>
                  </w:r>
                  <w:r>
                    <w:rPr>
                      <w:rFonts w:hint="eastAsia" w:cs="楷体"/>
                      <w:color w:val="auto"/>
                      <w:kern w:val="0"/>
                      <w:szCs w:val="20"/>
                      <w:lang w:bidi="ar"/>
                    </w:rPr>
                    <w:t>米</w:t>
                  </w:r>
                  <w:r>
                    <w:rPr>
                      <w:color w:val="auto"/>
                      <w:kern w:val="0"/>
                      <w:szCs w:val="20"/>
                      <w:lang w:bidi="ar"/>
                    </w:rPr>
                    <w:t>/</w:t>
                  </w:r>
                  <w:r>
                    <w:rPr>
                      <w:rFonts w:hint="eastAsia" w:cs="楷体"/>
                      <w:color w:val="auto"/>
                      <w:kern w:val="0"/>
                      <w:szCs w:val="20"/>
                      <w:lang w:bidi="ar"/>
                    </w:rPr>
                    <w:t>秒</w:t>
                  </w:r>
                </w:p>
              </w:tc>
              <w:tc>
                <w:tcPr>
                  <w:tcW w:w="498" w:type="dxa"/>
                  <w:vAlign w:val="center"/>
                </w:tcPr>
                <w:p>
                  <w:pPr>
                    <w:widowControl/>
                    <w:adjustRightInd w:val="0"/>
                    <w:snapToGrid w:val="0"/>
                    <w:jc w:val="center"/>
                    <w:rPr>
                      <w:color w:val="auto"/>
                    </w:rPr>
                  </w:pPr>
                  <w:r>
                    <w:rPr>
                      <w:rFonts w:hint="eastAsia"/>
                      <w:b/>
                      <w:bCs/>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1" w:type="dxa"/>
                  <w:vAlign w:val="center"/>
                </w:tcPr>
                <w:p>
                  <w:pPr>
                    <w:widowControl/>
                    <w:adjustRightInd w:val="0"/>
                    <w:snapToGrid w:val="0"/>
                    <w:jc w:val="center"/>
                    <w:rPr>
                      <w:color w:val="auto"/>
                    </w:rPr>
                  </w:pPr>
                  <w:r>
                    <w:rPr>
                      <w:rFonts w:cs="楷体"/>
                      <w:color w:val="auto"/>
                      <w:kern w:val="0"/>
                      <w:szCs w:val="20"/>
                      <w:lang w:bidi="ar"/>
                    </w:rPr>
                    <w:t>推进建设适宜高效的治污设施。企业新建治污设施</w:t>
                  </w:r>
                  <w:r>
                    <w:rPr>
                      <w:rFonts w:hint="eastAsia" w:cs="楷体"/>
                      <w:color w:val="auto"/>
                      <w:kern w:val="0"/>
                      <w:szCs w:val="20"/>
                      <w:lang w:bidi="ar"/>
                    </w:rPr>
                    <w:t>或对现有治污设施实施改造，应依据排放废气的浓度、组分、风量，温度、湿度、压力，以及生产工况等，合理选择治理技术。鼓励企业采用多种技术的组合工艺，提高</w:t>
                  </w:r>
                  <w:r>
                    <w:rPr>
                      <w:color w:val="auto"/>
                      <w:kern w:val="0"/>
                      <w:szCs w:val="20"/>
                      <w:lang w:bidi="ar"/>
                    </w:rPr>
                    <w:t>VOCs</w:t>
                  </w:r>
                  <w:r>
                    <w:rPr>
                      <w:rFonts w:hint="eastAsia" w:cs="楷体"/>
                      <w:color w:val="auto"/>
                      <w:kern w:val="0"/>
                      <w:szCs w:val="20"/>
                      <w:lang w:bidi="ar"/>
                    </w:rPr>
                    <w:t>治理效率。低浓度、大风量废气，宜采用沸石转轮吸附、活性炭吸附、减风增浓等浓缩技术，提高</w:t>
                  </w:r>
                  <w:r>
                    <w:rPr>
                      <w:color w:val="auto"/>
                      <w:kern w:val="0"/>
                      <w:szCs w:val="20"/>
                      <w:lang w:bidi="ar"/>
                    </w:rPr>
                    <w:t>VOCs</w:t>
                  </w:r>
                  <w:r>
                    <w:rPr>
                      <w:rFonts w:hint="eastAsia" w:cs="楷体"/>
                      <w:color w:val="auto"/>
                      <w:kern w:val="0"/>
                      <w:szCs w:val="20"/>
                      <w:lang w:bidi="ar"/>
                    </w:rPr>
                    <w:t>浓度后净化处理；高浓度废气，优先进行溶剂回收，难以回收的，宜采用高温焚烧、催化燃烧等技术。油气（溶剂）回收宜采用冷凝</w:t>
                  </w:r>
                  <w:r>
                    <w:rPr>
                      <w:color w:val="auto"/>
                      <w:kern w:val="0"/>
                      <w:szCs w:val="20"/>
                      <w:lang w:bidi="ar"/>
                    </w:rPr>
                    <w:t>+</w:t>
                  </w:r>
                  <w:r>
                    <w:rPr>
                      <w:rFonts w:hint="eastAsia" w:cs="楷体"/>
                      <w:color w:val="auto"/>
                      <w:kern w:val="0"/>
                      <w:szCs w:val="20"/>
                      <w:lang w:bidi="ar"/>
                    </w:rPr>
                    <w:t>吸附、吸附</w:t>
                  </w:r>
                  <w:r>
                    <w:rPr>
                      <w:color w:val="auto"/>
                      <w:kern w:val="0"/>
                      <w:szCs w:val="20"/>
                      <w:lang w:bidi="ar"/>
                    </w:rPr>
                    <w:t>+</w:t>
                  </w:r>
                  <w:r>
                    <w:rPr>
                      <w:rFonts w:hint="eastAsia" w:cs="楷体"/>
                      <w:color w:val="auto"/>
                      <w:kern w:val="0"/>
                      <w:szCs w:val="20"/>
                      <w:lang w:bidi="ar"/>
                    </w:rPr>
                    <w:t>吸收、膜分离</w:t>
                  </w:r>
                  <w:r>
                    <w:rPr>
                      <w:color w:val="auto"/>
                      <w:kern w:val="0"/>
                      <w:szCs w:val="20"/>
                      <w:lang w:bidi="ar"/>
                    </w:rPr>
                    <w:t>+</w:t>
                  </w:r>
                  <w:r>
                    <w:rPr>
                      <w:rFonts w:hint="eastAsia" w:cs="楷体"/>
                      <w:color w:val="auto"/>
                      <w:kern w:val="0"/>
                      <w:szCs w:val="20"/>
                      <w:lang w:bidi="ar"/>
                    </w:rPr>
                    <w:t>吸附等技术。低温等离子、光催化、光氧化技术主要适用于恶臭异味等治理；生物法主要适用于低浓度</w:t>
                  </w:r>
                  <w:r>
                    <w:rPr>
                      <w:color w:val="auto"/>
                      <w:kern w:val="0"/>
                      <w:szCs w:val="20"/>
                      <w:lang w:bidi="ar"/>
                    </w:rPr>
                    <w:t>VOCs</w:t>
                  </w:r>
                  <w:r>
                    <w:rPr>
                      <w:rFonts w:hint="eastAsia" w:cs="楷体"/>
                      <w:color w:val="auto"/>
                      <w:kern w:val="0"/>
                      <w:szCs w:val="20"/>
                      <w:lang w:bidi="ar"/>
                    </w:rPr>
                    <w:t>废气治理和恶臭异味治理。非水溶性的</w:t>
                  </w:r>
                  <w:r>
                    <w:rPr>
                      <w:color w:val="auto"/>
                      <w:kern w:val="0"/>
                      <w:szCs w:val="20"/>
                      <w:lang w:bidi="ar"/>
                    </w:rPr>
                    <w:t>VOCs</w:t>
                  </w:r>
                  <w:r>
                    <w:rPr>
                      <w:rFonts w:hint="eastAsia" w:cs="楷体"/>
                      <w:color w:val="auto"/>
                      <w:kern w:val="0"/>
                      <w:szCs w:val="20"/>
                      <w:lang w:bidi="ar"/>
                    </w:rPr>
                    <w:t>废气禁止采用水或水溶液喷淋吸收处理。采用一次性活性炭吸附技术的，应定期更换活性炭，废旧活性炭应再生或处理处置。有条件的工业园区和产业集群等，推广集中喷涂、溶剂集中回收、活性炭集中再生等，加强资源共享，提高</w:t>
                  </w:r>
                  <w:r>
                    <w:rPr>
                      <w:color w:val="auto"/>
                      <w:kern w:val="0"/>
                      <w:szCs w:val="20"/>
                      <w:lang w:bidi="ar"/>
                    </w:rPr>
                    <w:t>VOCs</w:t>
                  </w:r>
                  <w:r>
                    <w:rPr>
                      <w:rFonts w:hint="eastAsia" w:cs="楷体"/>
                      <w:color w:val="auto"/>
                      <w:kern w:val="0"/>
                      <w:szCs w:val="20"/>
                      <w:lang w:bidi="ar"/>
                    </w:rPr>
                    <w:t>治理效率。</w:t>
                  </w:r>
                </w:p>
              </w:tc>
              <w:tc>
                <w:tcPr>
                  <w:tcW w:w="2169" w:type="dxa"/>
                  <w:vAlign w:val="center"/>
                </w:tcPr>
                <w:p>
                  <w:pPr>
                    <w:widowControl/>
                    <w:adjustRightInd w:val="0"/>
                    <w:snapToGrid w:val="0"/>
                    <w:jc w:val="center"/>
                    <w:rPr>
                      <w:color w:val="auto"/>
                    </w:rPr>
                  </w:pPr>
                  <w:r>
                    <w:rPr>
                      <w:rFonts w:cs="楷体"/>
                      <w:color w:val="auto"/>
                      <w:kern w:val="0"/>
                      <w:szCs w:val="20"/>
                      <w:lang w:bidi="ar"/>
                    </w:rPr>
                    <w:t>本项目排放废气属于大风</w:t>
                  </w:r>
                  <w:r>
                    <w:rPr>
                      <w:rFonts w:hint="eastAsia" w:cs="楷体"/>
                      <w:color w:val="auto"/>
                      <w:kern w:val="0"/>
                      <w:szCs w:val="20"/>
                      <w:lang w:bidi="ar"/>
                    </w:rPr>
                    <w:t>量、低浓度有机废气，设置</w:t>
                  </w:r>
                  <w:r>
                    <w:rPr>
                      <w:color w:val="auto"/>
                      <w:szCs w:val="21"/>
                    </w:rPr>
                    <w:t>“水洗装置+除湿除雾装置+</w:t>
                  </w:r>
                  <w:r>
                    <w:rPr>
                      <w:rFonts w:hint="eastAsia"/>
                      <w:color w:val="auto"/>
                      <w:szCs w:val="21"/>
                      <w:lang w:val="en-US" w:eastAsia="zh-CN"/>
                    </w:rPr>
                    <w:t>一级</w:t>
                  </w:r>
                  <w:r>
                    <w:rPr>
                      <w:color w:val="auto"/>
                      <w:szCs w:val="21"/>
                    </w:rPr>
                    <w:t>活性炭吸附装置+光氧催化装置”处理熔融废塑料熔融过程中产生的废气</w:t>
                  </w:r>
                  <w:r>
                    <w:rPr>
                      <w:rFonts w:hint="eastAsia" w:cs="楷体"/>
                      <w:color w:val="auto"/>
                      <w:kern w:val="0"/>
                      <w:szCs w:val="20"/>
                      <w:lang w:bidi="ar"/>
                    </w:rPr>
                    <w:t>，满足低浓大风量有机废气规定的技术要求，处理后废气能够达到《合成树脂工业污染物排放标准》</w:t>
                  </w:r>
                  <w:r>
                    <w:rPr>
                      <w:color w:val="auto"/>
                      <w:kern w:val="0"/>
                      <w:szCs w:val="20"/>
                      <w:lang w:bidi="ar"/>
                    </w:rPr>
                    <w:t>(GB31572-2015)</w:t>
                  </w:r>
                  <w:r>
                    <w:rPr>
                      <w:rFonts w:hint="eastAsia" w:cs="楷体"/>
                      <w:color w:val="auto"/>
                      <w:kern w:val="0"/>
                      <w:szCs w:val="20"/>
                      <w:lang w:bidi="ar"/>
                    </w:rPr>
                    <w:t>；废气处理设施吸附剂活性炭定期更换。</w:t>
                  </w:r>
                </w:p>
              </w:tc>
              <w:tc>
                <w:tcPr>
                  <w:tcW w:w="498" w:type="dxa"/>
                  <w:vAlign w:val="center"/>
                </w:tcPr>
                <w:p>
                  <w:pPr>
                    <w:widowControl/>
                    <w:adjustRightInd w:val="0"/>
                    <w:snapToGrid w:val="0"/>
                    <w:jc w:val="center"/>
                    <w:rPr>
                      <w:color w:val="auto"/>
                    </w:rPr>
                  </w:pPr>
                  <w:r>
                    <w:rPr>
                      <w:rFonts w:hint="eastAsia"/>
                      <w:b/>
                      <w:bCs/>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1" w:type="dxa"/>
                  <w:vAlign w:val="center"/>
                </w:tcPr>
                <w:p>
                  <w:pPr>
                    <w:widowControl/>
                    <w:adjustRightInd w:val="0"/>
                    <w:snapToGrid w:val="0"/>
                    <w:jc w:val="center"/>
                    <w:rPr>
                      <w:color w:val="auto"/>
                    </w:rPr>
                  </w:pPr>
                  <w:r>
                    <w:rPr>
                      <w:rFonts w:cs="楷体"/>
                      <w:color w:val="auto"/>
                      <w:kern w:val="0"/>
                      <w:szCs w:val="20"/>
                      <w:lang w:bidi="ar"/>
                    </w:rPr>
                    <w:t>实行重点排放源排放浓度与去除效率双重控制。车</w:t>
                  </w:r>
                  <w:r>
                    <w:rPr>
                      <w:rFonts w:hint="eastAsia" w:cs="楷体"/>
                      <w:color w:val="auto"/>
                      <w:kern w:val="0"/>
                      <w:szCs w:val="20"/>
                      <w:lang w:bidi="ar"/>
                    </w:rPr>
                    <w:t>间或生产设施收集排放的废气，</w:t>
                  </w:r>
                  <w:r>
                    <w:rPr>
                      <w:color w:val="auto"/>
                      <w:kern w:val="0"/>
                      <w:szCs w:val="20"/>
                      <w:lang w:bidi="ar"/>
                    </w:rPr>
                    <w:t>VOCs</w:t>
                  </w:r>
                  <w:r>
                    <w:rPr>
                      <w:rFonts w:hint="eastAsia" w:cs="楷体"/>
                      <w:color w:val="auto"/>
                      <w:kern w:val="0"/>
                      <w:szCs w:val="20"/>
                      <w:lang w:bidi="ar"/>
                    </w:rPr>
                    <w:t>初始排放速率大于等于</w:t>
                  </w:r>
                  <w:r>
                    <w:rPr>
                      <w:color w:val="auto"/>
                      <w:kern w:val="0"/>
                      <w:szCs w:val="20"/>
                      <w:lang w:bidi="ar"/>
                    </w:rPr>
                    <w:t>3</w:t>
                  </w:r>
                  <w:r>
                    <w:rPr>
                      <w:rFonts w:hint="eastAsia" w:cs="楷体"/>
                      <w:color w:val="auto"/>
                      <w:kern w:val="0"/>
                      <w:szCs w:val="20"/>
                      <w:lang w:bidi="ar"/>
                    </w:rPr>
                    <w:t>千克</w:t>
                  </w:r>
                  <w:r>
                    <w:rPr>
                      <w:color w:val="auto"/>
                      <w:kern w:val="0"/>
                      <w:szCs w:val="20"/>
                      <w:lang w:bidi="ar"/>
                    </w:rPr>
                    <w:t>/</w:t>
                  </w:r>
                  <w:r>
                    <w:rPr>
                      <w:rFonts w:hint="eastAsia" w:cs="楷体"/>
                      <w:color w:val="auto"/>
                      <w:kern w:val="0"/>
                      <w:szCs w:val="20"/>
                      <w:lang w:bidi="ar"/>
                    </w:rPr>
                    <w:t>小时、重点区域大于等于</w:t>
                  </w:r>
                  <w:r>
                    <w:rPr>
                      <w:color w:val="auto"/>
                      <w:kern w:val="0"/>
                      <w:szCs w:val="20"/>
                      <w:lang w:bidi="ar"/>
                    </w:rPr>
                    <w:t>2</w:t>
                  </w:r>
                  <w:r>
                    <w:rPr>
                      <w:rFonts w:hint="eastAsia" w:cs="楷体"/>
                      <w:color w:val="auto"/>
                      <w:kern w:val="0"/>
                      <w:szCs w:val="20"/>
                      <w:lang w:bidi="ar"/>
                    </w:rPr>
                    <w:t>千克</w:t>
                  </w:r>
                  <w:r>
                    <w:rPr>
                      <w:color w:val="auto"/>
                      <w:kern w:val="0"/>
                      <w:szCs w:val="20"/>
                      <w:lang w:bidi="ar"/>
                    </w:rPr>
                    <w:t>/</w:t>
                  </w:r>
                  <w:r>
                    <w:rPr>
                      <w:rFonts w:hint="eastAsia" w:cs="楷体"/>
                      <w:color w:val="auto"/>
                      <w:kern w:val="0"/>
                      <w:szCs w:val="20"/>
                      <w:lang w:bidi="ar"/>
                    </w:rPr>
                    <w:t>小时的，应加大控制力度，除确保排放浓度稳定达标外，还应实行去除效率控制，去除效率不低于</w:t>
                  </w:r>
                  <w:r>
                    <w:rPr>
                      <w:color w:val="auto"/>
                      <w:kern w:val="0"/>
                      <w:szCs w:val="20"/>
                      <w:lang w:bidi="ar"/>
                    </w:rPr>
                    <w:t>80%</w:t>
                  </w:r>
                  <w:r>
                    <w:rPr>
                      <w:rFonts w:hint="eastAsia" w:cs="楷体"/>
                      <w:color w:val="auto"/>
                      <w:kern w:val="0"/>
                      <w:szCs w:val="20"/>
                      <w:lang w:bidi="ar"/>
                    </w:rPr>
                    <w:t>；采用的原辅材料符合国家有关低</w:t>
                  </w:r>
                  <w:r>
                    <w:rPr>
                      <w:color w:val="auto"/>
                      <w:kern w:val="0"/>
                      <w:szCs w:val="20"/>
                      <w:lang w:bidi="ar"/>
                    </w:rPr>
                    <w:t>VOCs</w:t>
                  </w:r>
                  <w:r>
                    <w:rPr>
                      <w:rFonts w:hint="eastAsia" w:cs="楷体"/>
                      <w:color w:val="auto"/>
                      <w:kern w:val="0"/>
                      <w:szCs w:val="20"/>
                      <w:lang w:bidi="ar"/>
                    </w:rPr>
                    <w:t>含量产品规定的除外，有行业排放标准的按其相关规定执行</w:t>
                  </w:r>
                </w:p>
              </w:tc>
              <w:tc>
                <w:tcPr>
                  <w:tcW w:w="2169" w:type="dxa"/>
                  <w:vAlign w:val="center"/>
                </w:tcPr>
                <w:p>
                  <w:pPr>
                    <w:widowControl/>
                    <w:adjustRightInd w:val="0"/>
                    <w:snapToGrid w:val="0"/>
                    <w:jc w:val="center"/>
                    <w:rPr>
                      <w:color w:val="auto"/>
                    </w:rPr>
                  </w:pPr>
                  <w:r>
                    <w:rPr>
                      <w:rFonts w:cs="楷体"/>
                      <w:color w:val="auto"/>
                      <w:kern w:val="0"/>
                      <w:szCs w:val="20"/>
                      <w:lang w:bidi="ar"/>
                    </w:rPr>
                    <w:t>项目集气罩收集非甲烷</w:t>
                  </w:r>
                  <w:r>
                    <w:rPr>
                      <w:rFonts w:hint="eastAsia" w:cs="楷体"/>
                      <w:color w:val="auto"/>
                      <w:kern w:val="0"/>
                      <w:szCs w:val="20"/>
                      <w:lang w:bidi="ar"/>
                    </w:rPr>
                    <w:t>总烃初始排放速率远低于</w:t>
                  </w:r>
                  <w:r>
                    <w:rPr>
                      <w:color w:val="auto"/>
                      <w:kern w:val="0"/>
                      <w:szCs w:val="20"/>
                      <w:lang w:bidi="ar"/>
                    </w:rPr>
                    <w:t>3kg/h</w:t>
                  </w:r>
                  <w:r>
                    <w:rPr>
                      <w:rFonts w:hint="eastAsia" w:cs="楷体"/>
                      <w:color w:val="auto"/>
                      <w:kern w:val="0"/>
                      <w:szCs w:val="20"/>
                      <w:lang w:bidi="ar"/>
                    </w:rPr>
                    <w:t>，项目所属区域不在重点区域内。</w:t>
                  </w:r>
                </w:p>
              </w:tc>
              <w:tc>
                <w:tcPr>
                  <w:tcW w:w="498" w:type="dxa"/>
                  <w:vAlign w:val="center"/>
                </w:tcPr>
                <w:p>
                  <w:pPr>
                    <w:widowControl/>
                    <w:adjustRightInd w:val="0"/>
                    <w:snapToGrid w:val="0"/>
                    <w:jc w:val="center"/>
                    <w:rPr>
                      <w:color w:val="auto"/>
                    </w:rPr>
                  </w:pPr>
                  <w:r>
                    <w:rPr>
                      <w:rFonts w:hint="eastAsia"/>
                      <w:b/>
                      <w:bCs/>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1" w:type="dxa"/>
                  <w:vAlign w:val="center"/>
                </w:tcPr>
                <w:p>
                  <w:pPr>
                    <w:widowControl/>
                    <w:adjustRightInd w:val="0"/>
                    <w:snapToGrid w:val="0"/>
                    <w:jc w:val="center"/>
                    <w:rPr>
                      <w:color w:val="auto"/>
                    </w:rPr>
                  </w:pPr>
                  <w:r>
                    <w:rPr>
                      <w:rFonts w:cs="楷体"/>
                      <w:color w:val="auto"/>
                      <w:kern w:val="0"/>
                      <w:szCs w:val="20"/>
                      <w:lang w:bidi="ar"/>
                    </w:rPr>
                    <w:t>化工行业</w:t>
                  </w:r>
                  <w:r>
                    <w:rPr>
                      <w:color w:val="auto"/>
                      <w:kern w:val="0"/>
                      <w:szCs w:val="20"/>
                      <w:lang w:bidi="ar"/>
                    </w:rPr>
                    <w:t>VOCs</w:t>
                  </w:r>
                  <w:r>
                    <w:rPr>
                      <w:rFonts w:hint="eastAsia" w:cs="楷体"/>
                      <w:color w:val="auto"/>
                      <w:kern w:val="0"/>
                      <w:szCs w:val="20"/>
                      <w:lang w:bidi="ar"/>
                    </w:rPr>
                    <w:t>综合治理。加强制药、农药、涂料、油墨、胶粘剂、橡胶和塑料制品等行业</w:t>
                  </w:r>
                  <w:r>
                    <w:rPr>
                      <w:color w:val="auto"/>
                      <w:kern w:val="0"/>
                      <w:szCs w:val="20"/>
                      <w:lang w:bidi="ar"/>
                    </w:rPr>
                    <w:t>VOCs</w:t>
                  </w:r>
                  <w:r>
                    <w:rPr>
                      <w:rFonts w:hint="eastAsia" w:cs="楷体"/>
                      <w:color w:val="auto"/>
                      <w:kern w:val="0"/>
                      <w:szCs w:val="20"/>
                      <w:lang w:bidi="ar"/>
                    </w:rPr>
                    <w:t>治理力度。重点提高涉</w:t>
                  </w:r>
                  <w:r>
                    <w:rPr>
                      <w:color w:val="auto"/>
                      <w:kern w:val="0"/>
                      <w:szCs w:val="20"/>
                      <w:lang w:bidi="ar"/>
                    </w:rPr>
                    <w:t>VOCs</w:t>
                  </w:r>
                  <w:r>
                    <w:rPr>
                      <w:rFonts w:hint="eastAsia" w:cs="楷体"/>
                      <w:color w:val="auto"/>
                      <w:kern w:val="0"/>
                      <w:szCs w:val="20"/>
                      <w:lang w:bidi="ar"/>
                    </w:rPr>
                    <w:t>排放主要工序密闭化水平，加强无组织排放收集，加大含</w:t>
                  </w:r>
                  <w:r>
                    <w:rPr>
                      <w:color w:val="auto"/>
                      <w:kern w:val="0"/>
                      <w:szCs w:val="20"/>
                      <w:lang w:bidi="ar"/>
                    </w:rPr>
                    <w:t>VOCs</w:t>
                  </w:r>
                  <w:r>
                    <w:rPr>
                      <w:rFonts w:hint="eastAsia" w:cs="楷体"/>
                      <w:color w:val="auto"/>
                      <w:kern w:val="0"/>
                      <w:szCs w:val="20"/>
                      <w:lang w:bidi="ar"/>
                    </w:rPr>
                    <w:t>物料储存和装卸治理力度。废水储存、曝气池及其之前废水处理设施应按要求加盖封闭，实施废气收集与处理。密封点大于等于</w:t>
                  </w:r>
                  <w:r>
                    <w:rPr>
                      <w:color w:val="auto"/>
                      <w:kern w:val="0"/>
                      <w:szCs w:val="20"/>
                      <w:lang w:bidi="ar"/>
                    </w:rPr>
                    <w:t>2000</w:t>
                  </w:r>
                  <w:r>
                    <w:rPr>
                      <w:rFonts w:hint="eastAsia" w:cs="楷体"/>
                      <w:color w:val="auto"/>
                      <w:kern w:val="0"/>
                      <w:szCs w:val="20"/>
                      <w:lang w:bidi="ar"/>
                    </w:rPr>
                    <w:t>个的，要开</w:t>
                  </w:r>
                  <w:r>
                    <w:rPr>
                      <w:color w:val="auto"/>
                      <w:kern w:val="0"/>
                      <w:szCs w:val="20"/>
                      <w:lang w:bidi="ar"/>
                    </w:rPr>
                    <w:t>LDAR</w:t>
                  </w:r>
                  <w:r>
                    <w:rPr>
                      <w:rFonts w:hint="eastAsia" w:cs="楷体"/>
                      <w:color w:val="auto"/>
                      <w:kern w:val="0"/>
                      <w:szCs w:val="20"/>
                      <w:lang w:bidi="ar"/>
                    </w:rPr>
                    <w:t>工作。</w:t>
                  </w:r>
                </w:p>
              </w:tc>
              <w:tc>
                <w:tcPr>
                  <w:tcW w:w="2169" w:type="dxa"/>
                  <w:vAlign w:val="center"/>
                </w:tcPr>
                <w:p>
                  <w:pPr>
                    <w:widowControl/>
                    <w:adjustRightInd w:val="0"/>
                    <w:snapToGrid w:val="0"/>
                    <w:jc w:val="center"/>
                    <w:rPr>
                      <w:color w:val="auto"/>
                    </w:rPr>
                  </w:pPr>
                  <w:r>
                    <w:rPr>
                      <w:rFonts w:cs="楷体"/>
                      <w:color w:val="auto"/>
                      <w:kern w:val="0"/>
                      <w:szCs w:val="20"/>
                      <w:lang w:bidi="ar"/>
                    </w:rPr>
                    <w:t>项目为加强无组织排放收</w:t>
                  </w:r>
                  <w:r>
                    <w:rPr>
                      <w:rFonts w:hint="eastAsia" w:cs="楷体"/>
                      <w:color w:val="auto"/>
                      <w:kern w:val="0"/>
                      <w:szCs w:val="20"/>
                      <w:lang w:bidi="ar"/>
                    </w:rPr>
                    <w:t>集，针对有机废气排放源均采取了集气罩收集</w:t>
                  </w:r>
                  <w:r>
                    <w:rPr>
                      <w:color w:val="auto"/>
                      <w:kern w:val="0"/>
                      <w:szCs w:val="20"/>
                      <w:lang w:bidi="ar"/>
                    </w:rPr>
                    <w:t>+</w:t>
                  </w:r>
                  <w:r>
                    <w:rPr>
                      <w:rFonts w:hint="eastAsia" w:cs="楷体"/>
                      <w:color w:val="auto"/>
                      <w:kern w:val="0"/>
                      <w:szCs w:val="20"/>
                      <w:lang w:bidi="ar"/>
                    </w:rPr>
                    <w:t>末端治理措施，集气罩控制点风速</w:t>
                  </w:r>
                  <w:r>
                    <w:rPr>
                      <w:color w:val="auto"/>
                      <w:kern w:val="0"/>
                      <w:szCs w:val="20"/>
                      <w:lang w:bidi="ar"/>
                    </w:rPr>
                    <w:t>≥0.3m/s</w:t>
                  </w:r>
                  <w:r>
                    <w:rPr>
                      <w:rFonts w:hint="eastAsia" w:cs="楷体"/>
                      <w:color w:val="auto"/>
                      <w:kern w:val="0"/>
                      <w:szCs w:val="20"/>
                      <w:lang w:bidi="ar"/>
                    </w:rPr>
                    <w:t>，满足技术要求。</w:t>
                  </w:r>
                </w:p>
              </w:tc>
              <w:tc>
                <w:tcPr>
                  <w:tcW w:w="498" w:type="dxa"/>
                  <w:vAlign w:val="center"/>
                </w:tcPr>
                <w:p>
                  <w:pPr>
                    <w:widowControl/>
                    <w:adjustRightInd w:val="0"/>
                    <w:snapToGrid w:val="0"/>
                    <w:jc w:val="center"/>
                    <w:rPr>
                      <w:color w:val="auto"/>
                    </w:rPr>
                  </w:pPr>
                  <w:r>
                    <w:rPr>
                      <w:rFonts w:hint="eastAsia"/>
                      <w:b/>
                      <w:bCs/>
                      <w:color w:val="auto"/>
                      <w:szCs w:val="21"/>
                    </w:rPr>
                    <w:t>符合</w:t>
                  </w:r>
                </w:p>
              </w:tc>
            </w:tr>
          </w:tbl>
          <w:p>
            <w:pPr>
              <w:spacing w:line="360" w:lineRule="auto"/>
              <w:ind w:firstLine="480" w:firstLineChars="200"/>
              <w:rPr>
                <w:color w:val="auto"/>
              </w:rPr>
            </w:pPr>
            <w:r>
              <w:rPr>
                <w:rFonts w:hint="eastAsia" w:cs="宋体"/>
                <w:color w:val="auto"/>
                <w:kern w:val="0"/>
                <w:sz w:val="24"/>
                <w:lang w:bidi="ar"/>
              </w:rPr>
              <w:t>由上表可知，项目的建设符合《云南省重点行业挥发性有机物综合治理实施方案》（云环通〔</w:t>
            </w:r>
            <w:r>
              <w:rPr>
                <w:color w:val="auto"/>
                <w:kern w:val="0"/>
                <w:sz w:val="24"/>
                <w:lang w:bidi="ar"/>
              </w:rPr>
              <w:t>2019</w:t>
            </w:r>
            <w:r>
              <w:rPr>
                <w:rFonts w:hint="eastAsia" w:cs="宋体"/>
                <w:color w:val="auto"/>
                <w:kern w:val="0"/>
                <w:sz w:val="24"/>
                <w:lang w:bidi="ar"/>
              </w:rPr>
              <w:t>〕</w:t>
            </w:r>
            <w:r>
              <w:rPr>
                <w:color w:val="auto"/>
                <w:kern w:val="0"/>
                <w:sz w:val="24"/>
                <w:lang w:bidi="ar"/>
              </w:rPr>
              <w:t>125</w:t>
            </w:r>
            <w:r>
              <w:rPr>
                <w:rFonts w:hint="eastAsia" w:cs="宋体"/>
                <w:color w:val="auto"/>
                <w:kern w:val="0"/>
                <w:sz w:val="24"/>
                <w:lang w:bidi="ar"/>
              </w:rPr>
              <w:t>号）的相关要求。</w:t>
            </w:r>
          </w:p>
          <w:p>
            <w:pPr>
              <w:spacing w:line="360" w:lineRule="auto"/>
              <w:ind w:firstLine="482" w:firstLineChars="200"/>
              <w:rPr>
                <w:b/>
                <w:bCs/>
                <w:color w:val="auto"/>
                <w:kern w:val="0"/>
                <w:sz w:val="24"/>
              </w:rPr>
            </w:pPr>
            <w:r>
              <w:rPr>
                <w:rFonts w:hint="eastAsia"/>
                <w:b/>
                <w:bCs/>
                <w:color w:val="auto"/>
                <w:kern w:val="0"/>
                <w:sz w:val="24"/>
              </w:rPr>
              <w:t>15、与</w:t>
            </w:r>
            <w:r>
              <w:rPr>
                <w:b/>
                <w:bCs/>
                <w:color w:val="auto"/>
                <w:sz w:val="24"/>
              </w:rPr>
              <w:t>《固体废物再生利用污染防治技术导则》符合性分析</w:t>
            </w:r>
          </w:p>
          <w:p>
            <w:pPr>
              <w:spacing w:line="360" w:lineRule="auto"/>
              <w:ind w:firstLine="482" w:firstLineChars="200"/>
              <w:jc w:val="center"/>
              <w:rPr>
                <w:b/>
                <w:bCs/>
                <w:color w:val="auto"/>
                <w:sz w:val="24"/>
              </w:rPr>
            </w:pPr>
            <w:r>
              <w:rPr>
                <w:rFonts w:hint="eastAsia"/>
                <w:b/>
                <w:bCs/>
                <w:color w:val="auto"/>
                <w:kern w:val="0"/>
                <w:sz w:val="24"/>
              </w:rPr>
              <w:t xml:space="preserve">表1-12  </w:t>
            </w:r>
            <w:r>
              <w:rPr>
                <w:b/>
                <w:bCs/>
                <w:color w:val="auto"/>
                <w:sz w:val="24"/>
              </w:rPr>
              <w:t>与《固体废物再生利用污染防治技术导则》的符合性分析</w:t>
            </w:r>
          </w:p>
          <w:tbl>
            <w:tblPr>
              <w:tblStyle w:val="31"/>
              <w:tblW w:w="6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559"/>
              <w:gridCol w:w="1800"/>
              <w:gridCol w:w="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2" w:type="dxa"/>
                  <w:vAlign w:val="center"/>
                </w:tcPr>
                <w:p>
                  <w:pPr>
                    <w:widowControl/>
                    <w:jc w:val="center"/>
                    <w:rPr>
                      <w:color w:val="auto"/>
                      <w:szCs w:val="21"/>
                    </w:rPr>
                  </w:pPr>
                  <w:r>
                    <w:rPr>
                      <w:b/>
                      <w:bCs/>
                      <w:color w:val="auto"/>
                      <w:szCs w:val="21"/>
                    </w:rPr>
                    <w:t>项目</w:t>
                  </w:r>
                </w:p>
              </w:tc>
              <w:tc>
                <w:tcPr>
                  <w:tcW w:w="3559" w:type="dxa"/>
                  <w:vAlign w:val="center"/>
                </w:tcPr>
                <w:p>
                  <w:pPr>
                    <w:widowControl/>
                    <w:jc w:val="center"/>
                    <w:rPr>
                      <w:color w:val="auto"/>
                      <w:szCs w:val="21"/>
                    </w:rPr>
                  </w:pPr>
                  <w:r>
                    <w:rPr>
                      <w:b/>
                      <w:bCs/>
                      <w:color w:val="auto"/>
                      <w:szCs w:val="21"/>
                    </w:rPr>
                    <w:t>技术导则相关内容</w:t>
                  </w:r>
                </w:p>
              </w:tc>
              <w:tc>
                <w:tcPr>
                  <w:tcW w:w="1800" w:type="dxa"/>
                  <w:vAlign w:val="center"/>
                </w:tcPr>
                <w:p>
                  <w:pPr>
                    <w:widowControl/>
                    <w:jc w:val="center"/>
                    <w:rPr>
                      <w:color w:val="auto"/>
                      <w:szCs w:val="21"/>
                    </w:rPr>
                  </w:pPr>
                  <w:r>
                    <w:rPr>
                      <w:b/>
                      <w:bCs/>
                      <w:color w:val="auto"/>
                      <w:szCs w:val="21"/>
                    </w:rPr>
                    <w:t>本项目情况</w:t>
                  </w:r>
                </w:p>
              </w:tc>
              <w:tc>
                <w:tcPr>
                  <w:tcW w:w="417" w:type="dxa"/>
                  <w:vAlign w:val="center"/>
                </w:tcPr>
                <w:p>
                  <w:pPr>
                    <w:widowControl/>
                    <w:jc w:val="center"/>
                    <w:rPr>
                      <w:color w:val="auto"/>
                      <w:szCs w:val="21"/>
                    </w:rPr>
                  </w:pPr>
                  <w:r>
                    <w:rPr>
                      <w:b/>
                      <w:bCs/>
                      <w:color w:val="auto"/>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2" w:type="dxa"/>
                  <w:vAlign w:val="center"/>
                </w:tcPr>
                <w:p>
                  <w:pPr>
                    <w:widowControl/>
                    <w:jc w:val="center"/>
                    <w:rPr>
                      <w:color w:val="auto"/>
                      <w:szCs w:val="21"/>
                    </w:rPr>
                  </w:pPr>
                  <w:r>
                    <w:rPr>
                      <w:color w:val="auto"/>
                      <w:szCs w:val="21"/>
                    </w:rPr>
                    <w:t>总体要求</w:t>
                  </w:r>
                </w:p>
              </w:tc>
              <w:tc>
                <w:tcPr>
                  <w:tcW w:w="3559" w:type="dxa"/>
                  <w:vAlign w:val="center"/>
                </w:tcPr>
                <w:p>
                  <w:pPr>
                    <w:widowControl/>
                    <w:jc w:val="center"/>
                    <w:rPr>
                      <w:color w:val="auto"/>
                      <w:szCs w:val="21"/>
                    </w:rPr>
                  </w:pPr>
                  <w:r>
                    <w:rPr>
                      <w:color w:val="auto"/>
                      <w:szCs w:val="21"/>
                    </w:rPr>
                    <w:t>固体废物再生利用应遵循环境安全优先的原则，保证固体废物再生利用全过程的环境安全与人体健康；进行固体废物再生利用技术选择时，应在固体废物再生利用技术生命周期评价结果的基础上，结合相关法规及行业的产业政策要求；固体废物再生利用建设项目的选址应符合区域性环境保护规划和当地的城乡总体规划；固体废物再生利用建设项目的设计、施工、验收和运行应遵守国家现行的相关法规的规定，同时建立完善的环境管理制度，包括环境影响评价、环境管理计划、环境保护责任、排污许可、监测、信息公开、环境应急预案和环境保护档案管理等制度；应对固体废物再生利用各技术环节的环境污染因子进行识别，采取有效污染控制措施，配备污染物监测设备设施，避免污染物的无组织排放，防止发生二次污染，妥善处置产生的废物；固体废物再生利用产物作为产品的，应符合GB34330中要求的国家、地方制定或行业通行的产品质量标准，与国家相关污染控制标准或技术规范要求，包括该产物生产过程中排放到环境中的特征污染物含量标准和该产物中特征污染物的含量标准。</w:t>
                  </w:r>
                </w:p>
              </w:tc>
              <w:tc>
                <w:tcPr>
                  <w:tcW w:w="1800" w:type="dxa"/>
                  <w:vAlign w:val="center"/>
                </w:tcPr>
                <w:p>
                  <w:pPr>
                    <w:widowControl/>
                    <w:jc w:val="center"/>
                    <w:rPr>
                      <w:color w:val="auto"/>
                      <w:szCs w:val="21"/>
                    </w:rPr>
                  </w:pPr>
                  <w:r>
                    <w:rPr>
                      <w:color w:val="auto"/>
                      <w:szCs w:val="21"/>
                    </w:rPr>
                    <w:t>项目建设符合相关法规和产业政策要求；项目占地符合区域环境保护规划，项目用地原为工业用地，与园区规划不冲突；项目设计、施工、验收和运营按照相关规定进行，完善了环境管理制度；识别了环境污染因子，采取了相应污染防治措施，废气和噪声达标排放，废水综合利用不外排，固体废物合理处置，不会发生二次污染。</w:t>
                  </w:r>
                </w:p>
              </w:tc>
              <w:tc>
                <w:tcPr>
                  <w:tcW w:w="417" w:type="dxa"/>
                  <w:vAlign w:val="center"/>
                </w:tcPr>
                <w:p>
                  <w:pPr>
                    <w:widowControl/>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2" w:type="dxa"/>
                  <w:vAlign w:val="center"/>
                </w:tcPr>
                <w:p>
                  <w:pPr>
                    <w:widowControl/>
                    <w:jc w:val="center"/>
                    <w:rPr>
                      <w:color w:val="auto"/>
                      <w:szCs w:val="21"/>
                    </w:rPr>
                  </w:pPr>
                  <w:r>
                    <w:rPr>
                      <w:color w:val="auto"/>
                      <w:szCs w:val="21"/>
                    </w:rPr>
                    <w:t>主要工艺单元污染防治技术要求（一般规定）</w:t>
                  </w:r>
                </w:p>
              </w:tc>
              <w:tc>
                <w:tcPr>
                  <w:tcW w:w="3559" w:type="dxa"/>
                  <w:vAlign w:val="center"/>
                </w:tcPr>
                <w:p>
                  <w:pPr>
                    <w:widowControl/>
                    <w:jc w:val="center"/>
                    <w:rPr>
                      <w:color w:val="auto"/>
                      <w:szCs w:val="21"/>
                    </w:rPr>
                  </w:pPr>
                  <w:r>
                    <w:rPr>
                      <w:color w:val="auto"/>
                      <w:szCs w:val="21"/>
                    </w:rPr>
                    <w:t>进行再生利用作业前，应明确固体废物的理化特性，并采取相应的安全防护措施，以防止固体废物在清洗、破碎、中和反应等过程中引起有毒有害物质的释放；产生粉尘和有毒有害气体的作业区应采取除尘和有毒有害气体收集措施。应采取大气污染控制措施，大气污染物排放应满足特定行业排放（控制）标准的要求。没有特定行业污染排放（控制）标准的，应满足GB16297的要求，特征污染物排放（控制）应满足环境影响评价要求；应采取必要的措施防止恶臭物质扩散，周界恶臭污染物浓度应符合GB14554的要求；产生的冷凝液、浓缩液、渗滤液等废液应进行有效收集后集中处理。处理后产生的废水应优先考虑循环利用；应防止噪声污染。设备运转时厂界噪声应符合GB12348的要求，作业车间噪声应符合GBZ2.2的要求；产生的污泥、底渣、废油类等固体废物应按照其管理属性分别处置。不能自行综合利用或处置的，应交给有相应资质和处理能力的企业进行综合利用或处置。5.1.10危险废物的贮存、包装、处置等应符合GB18597、HJ2042等危险废物专用标准的要求。</w:t>
                  </w:r>
                </w:p>
              </w:tc>
              <w:tc>
                <w:tcPr>
                  <w:tcW w:w="1800" w:type="dxa"/>
                  <w:vAlign w:val="center"/>
                </w:tcPr>
                <w:p>
                  <w:pPr>
                    <w:widowControl/>
                    <w:jc w:val="center"/>
                    <w:rPr>
                      <w:color w:val="auto"/>
                      <w:szCs w:val="21"/>
                    </w:rPr>
                  </w:pPr>
                  <w:r>
                    <w:rPr>
                      <w:color w:val="auto"/>
                      <w:szCs w:val="21"/>
                    </w:rPr>
                    <w:t>项目明确了废旧塑料理化特性，废旧塑料不涉及有毒有害材料；恶臭产生和排放量少，满足相关要求；产生冷却水收集循环使用，清洗废水和地面冲洗废水收集处理后回用；生活污水</w:t>
                  </w:r>
                  <w:r>
                    <w:rPr>
                      <w:rFonts w:hint="eastAsia"/>
                      <w:color w:val="auto"/>
                      <w:szCs w:val="21"/>
                    </w:rPr>
                    <w:t>依托</w:t>
                  </w:r>
                  <w:r>
                    <w:rPr>
                      <w:color w:val="auto"/>
                      <w:szCs w:val="21"/>
                    </w:rPr>
                    <w:t>云南鹏腾机械设备制造有限公司污水处理设施处理后，回用于绿化，不外排；通过厂房隔声、距离衰减后，厂界噪声达标排放；噪声源强值符合GBZ2.2要求；</w:t>
                  </w:r>
                </w:p>
              </w:tc>
              <w:tc>
                <w:tcPr>
                  <w:tcW w:w="417" w:type="dxa"/>
                  <w:vAlign w:val="center"/>
                </w:tcPr>
                <w:p>
                  <w:pPr>
                    <w:widowControl/>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2" w:type="dxa"/>
                  <w:vAlign w:val="center"/>
                </w:tcPr>
                <w:p>
                  <w:pPr>
                    <w:widowControl/>
                    <w:jc w:val="center"/>
                    <w:rPr>
                      <w:color w:val="auto"/>
                      <w:szCs w:val="21"/>
                    </w:rPr>
                  </w:pPr>
                  <w:r>
                    <w:rPr>
                      <w:color w:val="auto"/>
                      <w:szCs w:val="21"/>
                    </w:rPr>
                    <w:t>主要工艺单元污染防治技术要求（清洗技术）</w:t>
                  </w:r>
                </w:p>
              </w:tc>
              <w:tc>
                <w:tcPr>
                  <w:tcW w:w="3559" w:type="dxa"/>
                  <w:vAlign w:val="center"/>
                </w:tcPr>
                <w:p>
                  <w:pPr>
                    <w:pStyle w:val="87"/>
                    <w:jc w:val="center"/>
                    <w:rPr>
                      <w:color w:val="auto"/>
                      <w:sz w:val="21"/>
                      <w:lang w:eastAsia="zh-CN"/>
                    </w:rPr>
                  </w:pPr>
                  <w:r>
                    <w:rPr>
                      <w:color w:val="auto"/>
                      <w:spacing w:val="-6"/>
                      <w:sz w:val="21"/>
                      <w:lang w:eastAsia="zh-CN"/>
                    </w:rPr>
                    <w:t>清洗是采用水、其他溶剂或气体从被洗涤对象</w:t>
                  </w:r>
                  <w:r>
                    <w:rPr>
                      <w:color w:val="auto"/>
                      <w:spacing w:val="-4"/>
                      <w:sz w:val="21"/>
                      <w:lang w:eastAsia="zh-CN"/>
                    </w:rPr>
                    <w:t>中除去杂质成分，以达到分离纯化目的的过</w:t>
                  </w:r>
                  <w:r>
                    <w:rPr>
                      <w:color w:val="auto"/>
                      <w:spacing w:val="-6"/>
                      <w:sz w:val="21"/>
                      <w:lang w:eastAsia="zh-CN"/>
                    </w:rPr>
                    <w:t>程；遇水或其他溶剂易燃或产生易燃气体、易释放挥发性毒性物质的固体废物，不应采用清</w:t>
                  </w:r>
                  <w:r>
                    <w:rPr>
                      <w:color w:val="auto"/>
                      <w:spacing w:val="-7"/>
                      <w:sz w:val="21"/>
                      <w:lang w:eastAsia="zh-CN"/>
                    </w:rPr>
                    <w:t>洗处理；可根据洗涤目的对固体废物进行多级</w:t>
                  </w:r>
                  <w:r>
                    <w:rPr>
                      <w:color w:val="auto"/>
                      <w:spacing w:val="-5"/>
                      <w:sz w:val="21"/>
                      <w:lang w:eastAsia="zh-CN"/>
                    </w:rPr>
                    <w:t>清洗，清洗工艺可采用顺流清洗或逆流清洗；</w:t>
                  </w:r>
                  <w:r>
                    <w:rPr>
                      <w:color w:val="auto"/>
                      <w:spacing w:val="-4"/>
                      <w:sz w:val="21"/>
                      <w:lang w:eastAsia="zh-CN"/>
                    </w:rPr>
                    <w:t>固体废物清洗设备应具备耐磨、防腐蚀等性</w:t>
                  </w:r>
                  <w:r>
                    <w:rPr>
                      <w:color w:val="auto"/>
                      <w:sz w:val="21"/>
                      <w:lang w:eastAsia="zh-CN"/>
                    </w:rPr>
                    <w:t>能。</w:t>
                  </w:r>
                </w:p>
              </w:tc>
              <w:tc>
                <w:tcPr>
                  <w:tcW w:w="1800" w:type="dxa"/>
                  <w:vAlign w:val="center"/>
                </w:tcPr>
                <w:p>
                  <w:pPr>
                    <w:pStyle w:val="87"/>
                    <w:jc w:val="center"/>
                    <w:rPr>
                      <w:color w:val="auto"/>
                      <w:sz w:val="21"/>
                      <w:lang w:eastAsia="zh-CN"/>
                    </w:rPr>
                  </w:pPr>
                  <w:r>
                    <w:rPr>
                      <w:color w:val="auto"/>
                      <w:spacing w:val="-9"/>
                      <w:sz w:val="21"/>
                      <w:lang w:eastAsia="zh-CN"/>
                    </w:rPr>
                    <w:t>项目清洗是采用水清洗，不</w:t>
                  </w:r>
                  <w:r>
                    <w:rPr>
                      <w:color w:val="auto"/>
                      <w:spacing w:val="-10"/>
                      <w:sz w:val="21"/>
                      <w:lang w:eastAsia="zh-CN"/>
                    </w:rPr>
                    <w:t>添加清洗剂；运营过程</w:t>
                  </w:r>
                  <w:r>
                    <w:rPr>
                      <w:color w:val="auto"/>
                      <w:spacing w:val="-5"/>
                      <w:sz w:val="21"/>
                      <w:lang w:eastAsia="zh-CN"/>
                    </w:rPr>
                    <w:t>不涉及遇水或其他溶</w:t>
                  </w:r>
                  <w:r>
                    <w:rPr>
                      <w:color w:val="auto"/>
                      <w:spacing w:val="-4"/>
                      <w:sz w:val="21"/>
                      <w:lang w:eastAsia="zh-CN"/>
                    </w:rPr>
                    <w:t>剂易燃或产生易燃气</w:t>
                  </w:r>
                  <w:r>
                    <w:rPr>
                      <w:color w:val="auto"/>
                      <w:spacing w:val="-9"/>
                      <w:sz w:val="21"/>
                      <w:lang w:eastAsia="zh-CN"/>
                    </w:rPr>
                    <w:t>体、易释放挥发性毒性</w:t>
                  </w:r>
                  <w:r>
                    <w:rPr>
                      <w:color w:val="auto"/>
                      <w:spacing w:val="-10"/>
                      <w:sz w:val="21"/>
                      <w:lang w:eastAsia="zh-CN"/>
                    </w:rPr>
                    <w:t>物质的固体废物；固体</w:t>
                  </w:r>
                  <w:r>
                    <w:rPr>
                      <w:color w:val="auto"/>
                      <w:spacing w:val="-5"/>
                      <w:sz w:val="21"/>
                      <w:lang w:eastAsia="zh-CN"/>
                    </w:rPr>
                    <w:t>废物清洗设备应具备</w:t>
                  </w:r>
                  <w:r>
                    <w:rPr>
                      <w:color w:val="auto"/>
                      <w:sz w:val="21"/>
                      <w:lang w:eastAsia="zh-CN"/>
                    </w:rPr>
                    <w:t>耐磨等性能。</w:t>
                  </w:r>
                </w:p>
              </w:tc>
              <w:tc>
                <w:tcPr>
                  <w:tcW w:w="417" w:type="dxa"/>
                  <w:vAlign w:val="center"/>
                </w:tcPr>
                <w:p>
                  <w:pPr>
                    <w:widowControl/>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2" w:type="dxa"/>
                  <w:vAlign w:val="center"/>
                </w:tcPr>
                <w:p>
                  <w:pPr>
                    <w:widowControl/>
                    <w:jc w:val="center"/>
                    <w:rPr>
                      <w:color w:val="auto"/>
                      <w:szCs w:val="21"/>
                    </w:rPr>
                  </w:pPr>
                  <w:r>
                    <w:rPr>
                      <w:color w:val="auto"/>
                      <w:szCs w:val="21"/>
                    </w:rPr>
                    <w:t>主要工艺单元污染防治技术要求（破碎技术要</w:t>
                  </w:r>
                </w:p>
                <w:p>
                  <w:pPr>
                    <w:widowControl/>
                    <w:jc w:val="center"/>
                    <w:rPr>
                      <w:color w:val="auto"/>
                      <w:szCs w:val="21"/>
                    </w:rPr>
                  </w:pPr>
                  <w:r>
                    <w:rPr>
                      <w:color w:val="auto"/>
                      <w:szCs w:val="21"/>
                    </w:rPr>
                    <w:t>求）</w:t>
                  </w:r>
                </w:p>
              </w:tc>
              <w:tc>
                <w:tcPr>
                  <w:tcW w:w="3559" w:type="dxa"/>
                  <w:vAlign w:val="center"/>
                </w:tcPr>
                <w:p>
                  <w:pPr>
                    <w:widowControl/>
                    <w:jc w:val="center"/>
                    <w:rPr>
                      <w:color w:val="auto"/>
                      <w:szCs w:val="21"/>
                    </w:rPr>
                  </w:pPr>
                  <w:r>
                    <w:rPr>
                      <w:color w:val="auto"/>
                      <w:szCs w:val="21"/>
                    </w:rPr>
                    <w:t>废塑料、废橡胶等固体废物的破碎宜采用干法破碎。固体废物破碎处理前应对其进行预处理，以保证给料的均匀性，防止非破碎物混入，引起破碎机械的过载损坏。</w:t>
                  </w:r>
                </w:p>
              </w:tc>
              <w:tc>
                <w:tcPr>
                  <w:tcW w:w="1800" w:type="dxa"/>
                  <w:vAlign w:val="center"/>
                </w:tcPr>
                <w:p>
                  <w:pPr>
                    <w:widowControl/>
                    <w:jc w:val="center"/>
                    <w:rPr>
                      <w:color w:val="auto"/>
                      <w:szCs w:val="21"/>
                    </w:rPr>
                  </w:pPr>
                  <w:r>
                    <w:rPr>
                      <w:color w:val="auto"/>
                      <w:szCs w:val="21"/>
                    </w:rPr>
                    <w:t>项目原料破碎处理前对其进行清洗去杂。</w:t>
                  </w:r>
                </w:p>
              </w:tc>
              <w:tc>
                <w:tcPr>
                  <w:tcW w:w="417" w:type="dxa"/>
                  <w:vAlign w:val="center"/>
                </w:tcPr>
                <w:p>
                  <w:pPr>
                    <w:widowControl/>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2" w:type="dxa"/>
                  <w:vAlign w:val="center"/>
                </w:tcPr>
                <w:p>
                  <w:pPr>
                    <w:widowControl/>
                    <w:jc w:val="center"/>
                    <w:rPr>
                      <w:color w:val="auto"/>
                      <w:szCs w:val="21"/>
                    </w:rPr>
                  </w:pPr>
                  <w:r>
                    <w:rPr>
                      <w:color w:val="auto"/>
                      <w:szCs w:val="21"/>
                    </w:rPr>
                    <w:t>主要工艺单元污染防治技术要求（分选技术要求）</w:t>
                  </w:r>
                </w:p>
              </w:tc>
              <w:tc>
                <w:tcPr>
                  <w:tcW w:w="3559" w:type="dxa"/>
                  <w:vAlign w:val="center"/>
                </w:tcPr>
                <w:p>
                  <w:pPr>
                    <w:widowControl/>
                    <w:jc w:val="center"/>
                    <w:rPr>
                      <w:color w:val="auto"/>
                      <w:szCs w:val="21"/>
                    </w:rPr>
                  </w:pPr>
                  <w:r>
                    <w:rPr>
                      <w:color w:val="auto"/>
                      <w:spacing w:val="-3"/>
                      <w:szCs w:val="21"/>
                    </w:rPr>
                    <w:t>分选是用人工或机械的方法将固体废物中各种可再生利用的成分或不利于后续处理的杂</w:t>
                  </w:r>
                  <w:r>
                    <w:rPr>
                      <w:color w:val="auto"/>
                      <w:spacing w:val="-5"/>
                      <w:szCs w:val="21"/>
                    </w:rPr>
                    <w:t>质成分分类分离的处理过程。固体废物分选前</w:t>
                  </w:r>
                  <w:r>
                    <w:rPr>
                      <w:color w:val="auto"/>
                      <w:spacing w:val="-4"/>
                      <w:szCs w:val="21"/>
                    </w:rPr>
                    <w:t>应对其进行预处理，清除有毒有害成分或物</w:t>
                  </w:r>
                  <w:r>
                    <w:rPr>
                      <w:color w:val="auto"/>
                      <w:spacing w:val="-6"/>
                      <w:szCs w:val="21"/>
                    </w:rPr>
                    <w:t>质，将大块固体废物破碎、筛分，以改善废物</w:t>
                  </w:r>
                  <w:r>
                    <w:rPr>
                      <w:color w:val="auto"/>
                      <w:spacing w:val="-4"/>
                      <w:szCs w:val="21"/>
                    </w:rPr>
                    <w:t>的分离特性。</w:t>
                  </w:r>
                </w:p>
              </w:tc>
              <w:tc>
                <w:tcPr>
                  <w:tcW w:w="1800" w:type="dxa"/>
                  <w:vAlign w:val="center"/>
                </w:tcPr>
                <w:p>
                  <w:pPr>
                    <w:pStyle w:val="87"/>
                    <w:jc w:val="center"/>
                    <w:rPr>
                      <w:color w:val="auto"/>
                      <w:sz w:val="21"/>
                      <w:lang w:eastAsia="zh-CN"/>
                    </w:rPr>
                  </w:pPr>
                  <w:r>
                    <w:rPr>
                      <w:color w:val="auto"/>
                      <w:sz w:val="21"/>
                      <w:lang w:eastAsia="zh-CN"/>
                    </w:rPr>
                    <w:t>项目回收的</w:t>
                  </w:r>
                  <w:r>
                    <w:rPr>
                      <w:rFonts w:hint="eastAsia"/>
                      <w:color w:val="auto"/>
                      <w:sz w:val="21"/>
                      <w:lang w:eastAsia="zh-CN"/>
                    </w:rPr>
                    <w:t>原料</w:t>
                  </w:r>
                  <w:r>
                    <w:rPr>
                      <w:color w:val="auto"/>
                      <w:sz w:val="21"/>
                      <w:lang w:eastAsia="zh-CN"/>
                    </w:rPr>
                    <w:t>在废品回收企业内已经进行过分拣并进行打包包装的</w:t>
                  </w:r>
                  <w:r>
                    <w:rPr>
                      <w:rFonts w:hint="eastAsia"/>
                      <w:color w:val="auto"/>
                      <w:sz w:val="21"/>
                      <w:lang w:eastAsia="zh-CN"/>
                    </w:rPr>
                    <w:t>，</w:t>
                  </w:r>
                  <w:r>
                    <w:rPr>
                      <w:color w:val="auto"/>
                      <w:sz w:val="21"/>
                      <w:lang w:eastAsia="zh-CN"/>
                    </w:rPr>
                    <w:t>不需在厂内进行分拣，直接进行开包进料。</w:t>
                  </w:r>
                </w:p>
              </w:tc>
              <w:tc>
                <w:tcPr>
                  <w:tcW w:w="417" w:type="dxa"/>
                  <w:vAlign w:val="center"/>
                </w:tcPr>
                <w:p>
                  <w:pPr>
                    <w:widowControl/>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2" w:type="dxa"/>
                  <w:vAlign w:val="center"/>
                </w:tcPr>
                <w:p>
                  <w:pPr>
                    <w:widowControl/>
                    <w:jc w:val="center"/>
                    <w:rPr>
                      <w:color w:val="auto"/>
                      <w:szCs w:val="21"/>
                    </w:rPr>
                  </w:pPr>
                  <w:r>
                    <w:rPr>
                      <w:color w:val="auto"/>
                      <w:szCs w:val="21"/>
                    </w:rPr>
                    <w:t>固体废物土地利用污染防治技术要求</w:t>
                  </w:r>
                </w:p>
              </w:tc>
              <w:tc>
                <w:tcPr>
                  <w:tcW w:w="3559" w:type="dxa"/>
                  <w:vAlign w:val="center"/>
                </w:tcPr>
                <w:p>
                  <w:pPr>
                    <w:pStyle w:val="87"/>
                    <w:jc w:val="center"/>
                    <w:rPr>
                      <w:color w:val="auto"/>
                      <w:sz w:val="21"/>
                      <w:lang w:eastAsia="zh-CN"/>
                    </w:rPr>
                  </w:pPr>
                  <w:r>
                    <w:rPr>
                      <w:color w:val="auto"/>
                      <w:sz w:val="21"/>
                      <w:lang w:eastAsia="zh-CN"/>
                    </w:rPr>
                    <w:t>固体废物土地利用的前处理设施应具备必要的废水处理、废气处理、防止或降低噪声、粉尘处理等污染防治设施。废水排放应符合GB8978的要求，废气排放应符合GB18484、GB16297</w:t>
                  </w:r>
                  <w:r>
                    <w:rPr>
                      <w:color w:val="auto"/>
                      <w:spacing w:val="-17"/>
                      <w:sz w:val="21"/>
                      <w:lang w:eastAsia="zh-CN"/>
                    </w:rPr>
                    <w:t>、</w:t>
                  </w:r>
                  <w:r>
                    <w:rPr>
                      <w:color w:val="auto"/>
                      <w:sz w:val="21"/>
                      <w:lang w:eastAsia="zh-CN"/>
                    </w:rPr>
                    <w:t>GB14554</w:t>
                  </w:r>
                  <w:r>
                    <w:rPr>
                      <w:color w:val="auto"/>
                      <w:spacing w:val="-5"/>
                      <w:sz w:val="21"/>
                      <w:lang w:eastAsia="zh-CN"/>
                    </w:rPr>
                    <w:t>的要求，周界恶臭污染物</w:t>
                  </w:r>
                  <w:r>
                    <w:rPr>
                      <w:color w:val="auto"/>
                      <w:spacing w:val="-11"/>
                      <w:sz w:val="21"/>
                      <w:lang w:eastAsia="zh-CN"/>
                    </w:rPr>
                    <w:t>浓度应符合</w:t>
                  </w:r>
                  <w:r>
                    <w:rPr>
                      <w:color w:val="auto"/>
                      <w:sz w:val="21"/>
                      <w:lang w:eastAsia="zh-CN"/>
                    </w:rPr>
                    <w:t>GB14554</w:t>
                  </w:r>
                  <w:r>
                    <w:rPr>
                      <w:color w:val="auto"/>
                      <w:spacing w:val="-14"/>
                      <w:sz w:val="21"/>
                      <w:lang w:eastAsia="zh-CN"/>
                    </w:rPr>
                    <w:t>的规定，厂界噪声应达到</w:t>
                  </w:r>
                  <w:r>
                    <w:rPr>
                      <w:color w:val="auto"/>
                      <w:sz w:val="21"/>
                      <w:lang w:eastAsia="zh-CN"/>
                    </w:rPr>
                    <w:t>GB12348</w:t>
                  </w:r>
                  <w:r>
                    <w:rPr>
                      <w:color w:val="auto"/>
                      <w:spacing w:val="-9"/>
                      <w:sz w:val="21"/>
                      <w:lang w:eastAsia="zh-CN"/>
                    </w:rPr>
                    <w:t>的要求，作业区粉尘和有毒有害气体</w:t>
                  </w:r>
                  <w:r>
                    <w:rPr>
                      <w:color w:val="auto"/>
                      <w:spacing w:val="-10"/>
                      <w:sz w:val="21"/>
                      <w:lang w:eastAsia="zh-CN"/>
                    </w:rPr>
                    <w:t>的允许浓度应符合</w:t>
                  </w:r>
                  <w:r>
                    <w:rPr>
                      <w:color w:val="auto"/>
                      <w:sz w:val="21"/>
                      <w:lang w:eastAsia="zh-CN"/>
                    </w:rPr>
                    <w:t>GBZ2.1</w:t>
                  </w:r>
                  <w:r>
                    <w:rPr>
                      <w:color w:val="auto"/>
                      <w:spacing w:val="-6"/>
                      <w:sz w:val="21"/>
                      <w:lang w:eastAsia="zh-CN"/>
                    </w:rPr>
                    <w:t>的规定。为防范固</w:t>
                  </w:r>
                  <w:r>
                    <w:rPr>
                      <w:color w:val="auto"/>
                      <w:spacing w:val="-7"/>
                      <w:sz w:val="21"/>
                      <w:lang w:eastAsia="zh-CN"/>
                    </w:rPr>
                    <w:t>体废物土地利用的环境风险，应按照</w:t>
                  </w:r>
                  <w:r>
                    <w:rPr>
                      <w:color w:val="auto"/>
                      <w:sz w:val="21"/>
                      <w:lang w:eastAsia="zh-CN"/>
                    </w:rPr>
                    <w:t>GB15618、GB36600和GB/T14848的要求对土地利用区域内的土壤和地下水进行采样监测。</w:t>
                  </w:r>
                </w:p>
              </w:tc>
              <w:tc>
                <w:tcPr>
                  <w:tcW w:w="1800" w:type="dxa"/>
                  <w:vAlign w:val="center"/>
                </w:tcPr>
                <w:p>
                  <w:pPr>
                    <w:widowControl/>
                    <w:jc w:val="center"/>
                    <w:rPr>
                      <w:color w:val="auto"/>
                      <w:szCs w:val="21"/>
                    </w:rPr>
                  </w:pPr>
                  <w:r>
                    <w:rPr>
                      <w:color w:val="auto"/>
                      <w:szCs w:val="21"/>
                    </w:rPr>
                    <w:t>项目不涉及固体废物土地利用</w:t>
                  </w:r>
                </w:p>
              </w:tc>
              <w:tc>
                <w:tcPr>
                  <w:tcW w:w="417" w:type="dxa"/>
                  <w:vAlign w:val="center"/>
                </w:tcPr>
                <w:p>
                  <w:pPr>
                    <w:widowControl/>
                    <w:jc w:val="center"/>
                    <w:rPr>
                      <w:color w:val="auto"/>
                      <w:szCs w:val="21"/>
                    </w:rPr>
                  </w:pPr>
                  <w:r>
                    <w:rPr>
                      <w:color w:val="auto"/>
                      <w:szCs w:val="21"/>
                    </w:rPr>
                    <w:t>符合</w:t>
                  </w:r>
                </w:p>
              </w:tc>
            </w:tr>
          </w:tbl>
          <w:p>
            <w:pPr>
              <w:widowControl/>
              <w:spacing w:line="360" w:lineRule="auto"/>
              <w:ind w:firstLine="480" w:firstLineChars="200"/>
              <w:rPr>
                <w:color w:val="auto"/>
                <w:sz w:val="24"/>
              </w:rPr>
            </w:pPr>
            <w:r>
              <w:rPr>
                <w:color w:val="auto"/>
                <w:sz w:val="24"/>
              </w:rPr>
              <w:t>综上所述，项目建设符合《固体废物再生利用污染防治技术导则》（HJ1091-2020）相关要求。</w:t>
            </w:r>
          </w:p>
          <w:p>
            <w:pPr>
              <w:spacing w:line="360" w:lineRule="auto"/>
              <w:ind w:firstLine="482" w:firstLineChars="200"/>
              <w:rPr>
                <w:b/>
                <w:bCs/>
                <w:color w:val="auto"/>
                <w:kern w:val="0"/>
                <w:sz w:val="24"/>
              </w:rPr>
            </w:pPr>
            <w:r>
              <w:rPr>
                <w:rFonts w:hint="eastAsia"/>
                <w:b/>
                <w:bCs/>
                <w:color w:val="auto"/>
                <w:kern w:val="0"/>
                <w:sz w:val="24"/>
              </w:rPr>
              <w:t>16、与《电子废物、废轮胎、废塑料、废旧衣物、废家电拆解等再生利用行业清理整顿工作方案》相符性分析</w:t>
            </w:r>
          </w:p>
          <w:p>
            <w:pPr>
              <w:widowControl/>
              <w:spacing w:line="360" w:lineRule="auto"/>
              <w:ind w:firstLine="480" w:firstLineChars="200"/>
              <w:rPr>
                <w:color w:val="auto"/>
                <w:sz w:val="24"/>
              </w:rPr>
            </w:pPr>
            <w:r>
              <w:rPr>
                <w:rFonts w:hint="eastAsia"/>
                <w:color w:val="auto"/>
                <w:sz w:val="24"/>
              </w:rPr>
              <w:t>本项目与中华人民共和国生态环境部2017年8月2日发布的《关于联合开展电子废物、废轮胎、废塑料、废旧衣服、废家电拆解等再生利用行业清理整顿的通知》(环办土壤函[2017]1240号)相符性详见下表。</w:t>
            </w:r>
          </w:p>
          <w:p>
            <w:pPr>
              <w:spacing w:line="360" w:lineRule="auto"/>
              <w:ind w:firstLine="482" w:firstLineChars="200"/>
              <w:jc w:val="center"/>
              <w:rPr>
                <w:b/>
                <w:bCs/>
                <w:color w:val="auto"/>
                <w:kern w:val="0"/>
                <w:sz w:val="24"/>
              </w:rPr>
            </w:pPr>
            <w:r>
              <w:rPr>
                <w:rFonts w:hint="eastAsia"/>
                <w:b/>
                <w:bCs/>
                <w:color w:val="auto"/>
                <w:kern w:val="0"/>
                <w:sz w:val="24"/>
              </w:rPr>
              <w:t>表1-13  与（环办土壤函[2017]1240号）文件的相符性分析</w:t>
            </w:r>
          </w:p>
          <w:tbl>
            <w:tblPr>
              <w:tblStyle w:val="31"/>
              <w:tblW w:w="6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3341"/>
              <w:gridCol w:w="2509"/>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tcPr>
                <w:p>
                  <w:pPr>
                    <w:rPr>
                      <w:b/>
                      <w:bCs/>
                      <w:color w:val="auto"/>
                    </w:rPr>
                  </w:pPr>
                  <w:r>
                    <w:rPr>
                      <w:rFonts w:hint="eastAsia"/>
                      <w:b/>
                      <w:bCs/>
                      <w:color w:val="auto"/>
                    </w:rPr>
                    <w:t>项目</w:t>
                  </w:r>
                </w:p>
              </w:tc>
              <w:tc>
                <w:tcPr>
                  <w:tcW w:w="3341" w:type="dxa"/>
                </w:tcPr>
                <w:p>
                  <w:pPr>
                    <w:rPr>
                      <w:b/>
                      <w:bCs/>
                      <w:color w:val="auto"/>
                    </w:rPr>
                  </w:pPr>
                  <w:r>
                    <w:rPr>
                      <w:rFonts w:hint="eastAsia"/>
                      <w:b/>
                      <w:bCs/>
                      <w:color w:val="auto"/>
                    </w:rPr>
                    <w:t>相关管理规定</w:t>
                  </w:r>
                </w:p>
              </w:tc>
              <w:tc>
                <w:tcPr>
                  <w:tcW w:w="2509" w:type="dxa"/>
                </w:tcPr>
                <w:p>
                  <w:pPr>
                    <w:rPr>
                      <w:b/>
                      <w:bCs/>
                      <w:color w:val="auto"/>
                    </w:rPr>
                  </w:pPr>
                  <w:r>
                    <w:rPr>
                      <w:rFonts w:hint="eastAsia"/>
                      <w:b/>
                      <w:bCs/>
                      <w:color w:val="auto"/>
                    </w:rPr>
                    <w:t>本项目情况</w:t>
                  </w:r>
                </w:p>
              </w:tc>
              <w:tc>
                <w:tcPr>
                  <w:tcW w:w="485" w:type="dxa"/>
                </w:tcPr>
                <w:p>
                  <w:pPr>
                    <w:rPr>
                      <w:b/>
                      <w:bCs/>
                      <w:color w:val="auto"/>
                    </w:rPr>
                  </w:pPr>
                  <w:r>
                    <w:rPr>
                      <w:rFonts w:hint="eastAsia"/>
                      <w:b/>
                      <w:bCs/>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tcPr>
                <w:p>
                  <w:pPr>
                    <w:rPr>
                      <w:color w:val="auto"/>
                    </w:rPr>
                  </w:pPr>
                  <w:r>
                    <w:rPr>
                      <w:rFonts w:hint="eastAsia"/>
                      <w:color w:val="auto"/>
                    </w:rPr>
                    <w:t>1</w:t>
                  </w:r>
                </w:p>
              </w:tc>
              <w:tc>
                <w:tcPr>
                  <w:tcW w:w="3341" w:type="dxa"/>
                </w:tcPr>
                <w:p>
                  <w:pPr>
                    <w:rPr>
                      <w:color w:val="auto"/>
                    </w:rPr>
                  </w:pPr>
                  <w:r>
                    <w:rPr>
                      <w:color w:val="auto"/>
                    </w:rPr>
                    <w:t>依法取缔</w:t>
                  </w:r>
                  <w:r>
                    <w:rPr>
                      <w:rFonts w:hint="eastAsia"/>
                      <w:color w:val="auto"/>
                    </w:rPr>
                    <w:t>一批</w:t>
                  </w:r>
                  <w:r>
                    <w:rPr>
                      <w:color w:val="auto"/>
                    </w:rPr>
                    <w:t>污染严重的非法再生利用企业。</w:t>
                  </w:r>
                </w:p>
                <w:p>
                  <w:pPr>
                    <w:rPr>
                      <w:color w:val="auto"/>
                    </w:rPr>
                  </w:pPr>
                  <w:r>
                    <w:rPr>
                      <w:color w:val="auto"/>
                    </w:rPr>
                    <w:t>主要包括</w:t>
                  </w:r>
                  <w:r>
                    <w:rPr>
                      <w:rFonts w:hint="eastAsia"/>
                      <w:color w:val="auto"/>
                    </w:rPr>
                    <w:t>：</w:t>
                  </w:r>
                  <w:r>
                    <w:rPr>
                      <w:color w:val="auto"/>
                    </w:rPr>
                    <w:t>①与居民区混杂、严重影响居民正常生活环境的无证无照小作坊</w:t>
                  </w:r>
                  <w:r>
                    <w:rPr>
                      <w:rFonts w:hint="eastAsia"/>
                      <w:color w:val="auto"/>
                    </w:rPr>
                    <w:t>；</w:t>
                  </w:r>
                  <w:r>
                    <w:rPr>
                      <w:color w:val="auto"/>
                    </w:rPr>
                    <w:t>②无环保审批手续、未办理工商登记的非法企业</w:t>
                  </w:r>
                  <w:r>
                    <w:rPr>
                      <w:rFonts w:hint="eastAsia"/>
                      <w:color w:val="auto"/>
                    </w:rPr>
                    <w:t>；</w:t>
                  </w:r>
                  <w:r>
                    <w:rPr>
                      <w:color w:val="auto"/>
                    </w:rPr>
                    <w:t>③不符合国家产业政策的企业</w:t>
                  </w:r>
                  <w:r>
                    <w:rPr>
                      <w:rFonts w:hint="eastAsia"/>
                      <w:color w:val="auto"/>
                    </w:rPr>
                    <w:t>；</w:t>
                  </w:r>
                  <w:r>
                    <w:rPr>
                      <w:color w:val="auto"/>
                    </w:rPr>
                    <w:t>④污染治理设施运行不正常且无法稳定达标排放的企业</w:t>
                  </w:r>
                  <w:r>
                    <w:rPr>
                      <w:rFonts w:hint="eastAsia"/>
                      <w:color w:val="auto"/>
                    </w:rPr>
                    <w:t>；</w:t>
                  </w:r>
                  <w:r>
                    <w:rPr>
                      <w:color w:val="auto"/>
                    </w:rPr>
                    <w:t>⑤加工利用“洋垃圾”的企业(洋垃圾是指危险废物、医疗废物、电子废物、废旧衣服、生活垃圾、废轮胎等禁止进口的固体废物和走私进口的固体废物)</w:t>
                  </w:r>
                  <w:r>
                    <w:rPr>
                      <w:rFonts w:hint="eastAsia"/>
                      <w:color w:val="auto"/>
                    </w:rPr>
                    <w:t>；</w:t>
                  </w:r>
                  <w:r>
                    <w:rPr>
                      <w:color w:val="auto"/>
                    </w:rPr>
                    <w:t>⑥无危险废物经营许可证从事含有毒有害物质的电子废物、废塑料(如沾染危险化学品、农药等废塑料包装物，以及输液器、针头、血袋等</w:t>
                  </w:r>
                  <w:r>
                    <w:rPr>
                      <w:rFonts w:hint="eastAsia"/>
                      <w:color w:val="auto"/>
                    </w:rPr>
                    <w:t>一</w:t>
                  </w:r>
                  <w:r>
                    <w:rPr>
                      <w:color w:val="auto"/>
                    </w:rPr>
                    <w:t>次性废弃医疗用塑料制品等)加工利用的企业。对上述企业的违法行为依法予以查处，并报请地方人民政府依法对违法企业予以关停。</w:t>
                  </w:r>
                </w:p>
              </w:tc>
              <w:tc>
                <w:tcPr>
                  <w:tcW w:w="2509" w:type="dxa"/>
                </w:tcPr>
                <w:p>
                  <w:pPr>
                    <w:rPr>
                      <w:color w:val="auto"/>
                    </w:rPr>
                  </w:pPr>
                  <w:r>
                    <w:rPr>
                      <w:color w:val="auto"/>
                    </w:rPr>
                    <w:t>①</w:t>
                  </w:r>
                  <w:r>
                    <w:rPr>
                      <w:rFonts w:hint="eastAsia"/>
                      <w:color w:val="auto"/>
                    </w:rPr>
                    <w:t>项目属于新建，位于</w:t>
                  </w:r>
                  <w:r>
                    <w:rPr>
                      <w:color w:val="auto"/>
                      <w:szCs w:val="21"/>
                    </w:rPr>
                    <w:t>位于</w:t>
                  </w:r>
                  <w:r>
                    <w:rPr>
                      <w:rFonts w:hint="eastAsia"/>
                      <w:color w:val="auto"/>
                      <w:szCs w:val="21"/>
                    </w:rPr>
                    <w:t>寻甸特色产业园区羊街片区，项目依法办理相关手续，对周边居民正常生活环境影响较小；</w:t>
                  </w:r>
                  <w:r>
                    <w:rPr>
                      <w:color w:val="auto"/>
                    </w:rPr>
                    <w:t>②</w:t>
                  </w:r>
                  <w:r>
                    <w:rPr>
                      <w:rFonts w:hint="eastAsia"/>
                      <w:color w:val="auto"/>
                    </w:rPr>
                    <w:t>项目正在办理相关环保手续；</w:t>
                  </w:r>
                  <w:r>
                    <w:rPr>
                      <w:color w:val="auto"/>
                    </w:rPr>
                    <w:t>③</w:t>
                  </w:r>
                  <w:r>
                    <w:rPr>
                      <w:rFonts w:hint="eastAsia"/>
                      <w:color w:val="auto"/>
                    </w:rPr>
                    <w:t>项目符合国家产业政策，属于鼓励类项目；</w:t>
                  </w:r>
                  <w:r>
                    <w:rPr>
                      <w:color w:val="auto"/>
                    </w:rPr>
                    <w:t>④</w:t>
                  </w:r>
                  <w:r>
                    <w:rPr>
                      <w:rFonts w:hint="eastAsia"/>
                      <w:color w:val="auto"/>
                    </w:rPr>
                    <w:t>项目正在办理相关环保手续，环评要求定期对污染治理设施进行维护，并对污染物进行监测，保证稳定达标排放；</w:t>
                  </w:r>
                  <w:r>
                    <w:rPr>
                      <w:color w:val="auto"/>
                    </w:rPr>
                    <w:t>⑤</w:t>
                  </w:r>
                  <w:r>
                    <w:rPr>
                      <w:rFonts w:hint="eastAsia"/>
                      <w:color w:val="auto"/>
                    </w:rPr>
                    <w:t>项目加工利用废编织袋、农用地膜，不属于加工利用“洋垃圾”；</w:t>
                  </w:r>
                  <w:r>
                    <w:rPr>
                      <w:color w:val="auto"/>
                    </w:rPr>
                    <w:t>⑥</w:t>
                  </w:r>
                  <w:r>
                    <w:rPr>
                      <w:rFonts w:hint="eastAsia"/>
                      <w:color w:val="auto"/>
                    </w:rPr>
                    <w:t>项目加工利用废编织袋，农用地膜等，不属于危险化学品、危险废物、一次性废弃医疗用塑料制品等，不含农药及油污。</w:t>
                  </w:r>
                </w:p>
              </w:tc>
              <w:tc>
                <w:tcPr>
                  <w:tcW w:w="485" w:type="dxa"/>
                </w:tcPr>
                <w:p>
                  <w:pPr>
                    <w:rPr>
                      <w:color w:val="auto"/>
                    </w:rPr>
                  </w:pPr>
                  <w:r>
                    <w:rPr>
                      <w:rFonts w:hint="eastAsia"/>
                      <w:color w:val="auto"/>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tcPr>
                <w:p>
                  <w:pPr>
                    <w:rPr>
                      <w:color w:val="auto"/>
                    </w:rPr>
                  </w:pPr>
                  <w:r>
                    <w:rPr>
                      <w:rFonts w:hint="eastAsia"/>
                      <w:color w:val="auto"/>
                    </w:rPr>
                    <w:t>2</w:t>
                  </w:r>
                </w:p>
              </w:tc>
              <w:tc>
                <w:tcPr>
                  <w:tcW w:w="3341" w:type="dxa"/>
                </w:tcPr>
                <w:p>
                  <w:pPr>
                    <w:rPr>
                      <w:color w:val="auto"/>
                    </w:rPr>
                  </w:pPr>
                  <w:r>
                    <w:rPr>
                      <w:color w:val="auto"/>
                    </w:rPr>
                    <w:t>重点整治加工利用集散地。本次清理整顿集散地是指</w:t>
                  </w:r>
                  <w:r>
                    <w:rPr>
                      <w:rFonts w:hint="eastAsia"/>
                      <w:color w:val="auto"/>
                    </w:rPr>
                    <w:t>：</w:t>
                  </w:r>
                  <w:r>
                    <w:rPr>
                      <w:color w:val="auto"/>
                    </w:rPr>
                    <w:t>在一个工业园区或行政村内聚集5家(含)以上，或在</w:t>
                  </w:r>
                  <w:r>
                    <w:rPr>
                      <w:rFonts w:hint="eastAsia"/>
                      <w:color w:val="auto"/>
                    </w:rPr>
                    <w:t>一</w:t>
                  </w:r>
                  <w:r>
                    <w:rPr>
                      <w:color w:val="auto"/>
                    </w:rPr>
                    <w:t>个乡(镇、街道)内聚集10家(含)以上的电子废物、废轮胎、废塑料、废旧衣服、废家电拆解再生利用作坊和企业。重点检查集散地规划环评的审批和落实情况、环保基础设施建设和运行情况，对行政村内或城乡结合部与居民区混杂的集散地要依法坚决予以取缔。对环保基础设施落后、污染严重、群众反响强烈的集散地，报请人民政府依法</w:t>
                  </w:r>
                  <w:r>
                    <w:rPr>
                      <w:rFonts w:hint="eastAsia"/>
                      <w:color w:val="auto"/>
                    </w:rPr>
                    <w:t>予以</w:t>
                  </w:r>
                  <w:r>
                    <w:rPr>
                      <w:color w:val="auto"/>
                    </w:rPr>
                    <w:t>取缔。对集散地内的非法加工利用企业要坚决予以取缔。配合地方人民政府切实做好集散她综合整治、产业转型发展、人员就业安置、维护社会稳定等各项工作。引导集散地绿色发展。</w:t>
                  </w:r>
                </w:p>
              </w:tc>
              <w:tc>
                <w:tcPr>
                  <w:tcW w:w="2509" w:type="dxa"/>
                </w:tcPr>
                <w:p>
                  <w:pPr>
                    <w:rPr>
                      <w:color w:val="auto"/>
                    </w:rPr>
                  </w:pPr>
                  <w:r>
                    <w:rPr>
                      <w:rFonts w:hint="eastAsia"/>
                      <w:color w:val="auto"/>
                    </w:rPr>
                    <w:t>本项目位于</w:t>
                  </w:r>
                  <w:r>
                    <w:rPr>
                      <w:rFonts w:hint="eastAsia"/>
                      <w:color w:val="auto"/>
                      <w:szCs w:val="21"/>
                    </w:rPr>
                    <w:t>寻甸特色产业园区羊街片区，根据调查，寻甸特色产业园区羊街片区内无电子废物、废轮胎、废塑料、废旧衣服、废家电拆解再生利用作坊和企业，本项目为首家相关企业。项目属于新建，正在办理环保手续过程中，环保基础设施还未建设。</w:t>
                  </w:r>
                </w:p>
              </w:tc>
              <w:tc>
                <w:tcPr>
                  <w:tcW w:w="485" w:type="dxa"/>
                </w:tcPr>
                <w:p>
                  <w:pPr>
                    <w:rPr>
                      <w:color w:val="auto"/>
                    </w:rPr>
                  </w:pPr>
                  <w:r>
                    <w:rPr>
                      <w:rFonts w:hint="eastAsia"/>
                      <w:color w:val="auto"/>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tcPr>
                <w:p>
                  <w:pPr>
                    <w:rPr>
                      <w:color w:val="auto"/>
                    </w:rPr>
                  </w:pPr>
                  <w:r>
                    <w:rPr>
                      <w:rFonts w:hint="eastAsia"/>
                      <w:color w:val="auto"/>
                    </w:rPr>
                    <w:t>3</w:t>
                  </w:r>
                </w:p>
              </w:tc>
              <w:tc>
                <w:tcPr>
                  <w:tcW w:w="3341" w:type="dxa"/>
                </w:tcPr>
                <w:p>
                  <w:pPr>
                    <w:rPr>
                      <w:color w:val="auto"/>
                    </w:rPr>
                  </w:pPr>
                  <w:r>
                    <w:rPr>
                      <w:color w:val="auto"/>
                    </w:rPr>
                    <w:t>规范引导</w:t>
                  </w:r>
                  <w:r>
                    <w:rPr>
                      <w:rFonts w:hint="eastAsia"/>
                      <w:color w:val="auto"/>
                    </w:rPr>
                    <w:t>一批</w:t>
                  </w:r>
                  <w:r>
                    <w:rPr>
                      <w:color w:val="auto"/>
                    </w:rPr>
                    <w:t>再生利用企业健康发展。发挥“城市矿产”示范基地、再生资源示范工程、循环经济示范园区的引领作用和回收利用骨干企业的带动作用</w:t>
                  </w:r>
                  <w:r>
                    <w:rPr>
                      <w:rFonts w:hint="eastAsia"/>
                      <w:color w:val="auto"/>
                    </w:rPr>
                    <w:t>；</w:t>
                  </w:r>
                  <w:r>
                    <w:rPr>
                      <w:color w:val="auto"/>
                    </w:rPr>
                    <w:t>完善</w:t>
                  </w:r>
                </w:p>
                <w:p>
                  <w:pPr>
                    <w:rPr>
                      <w:color w:val="auto"/>
                    </w:rPr>
                  </w:pPr>
                  <w:r>
                    <w:rPr>
                      <w:color w:val="auto"/>
                    </w:rPr>
                    <w:t>再生资源回收利用基础设施，促进有关企业采用先进适用加工工艺，集聚发展，集中建设和运营污染治理设施，推动国内废物再生利用集散地园区化</w:t>
                  </w:r>
                  <w:r>
                    <w:rPr>
                      <w:rFonts w:hint="eastAsia"/>
                      <w:color w:val="auto"/>
                    </w:rPr>
                    <w:t>、规模化和清洁化发展；鼓励合法合规再生利用企业，联合、重组，做大做强。</w:t>
                  </w:r>
                </w:p>
              </w:tc>
              <w:tc>
                <w:tcPr>
                  <w:tcW w:w="2509" w:type="dxa"/>
                </w:tcPr>
                <w:p>
                  <w:pPr>
                    <w:rPr>
                      <w:color w:val="auto"/>
                    </w:rPr>
                  </w:pPr>
                  <w:r>
                    <w:rPr>
                      <w:rFonts w:hint="eastAsia"/>
                      <w:color w:val="auto"/>
                    </w:rPr>
                    <w:t>项目利用废编织袋，农用地膜作为原料，不涉及危险废物等。同时报告提出对原料进行控制，禁止使用危险化学品、农药等污染的废弃塑料包装物，废弃的一次性医疗用塑料制品（如输液器、血袋）作为原料。项目生产废水经厂内污水处理站处理后回用，不外排。各类污染物规范处理。</w:t>
                  </w:r>
                </w:p>
              </w:tc>
              <w:tc>
                <w:tcPr>
                  <w:tcW w:w="485" w:type="dxa"/>
                </w:tcPr>
                <w:p>
                  <w:pPr>
                    <w:rPr>
                      <w:color w:val="auto"/>
                    </w:rPr>
                  </w:pPr>
                  <w:r>
                    <w:rPr>
                      <w:rFonts w:hint="eastAsia"/>
                      <w:color w:val="auto"/>
                    </w:rPr>
                    <w:t>相符</w:t>
                  </w:r>
                </w:p>
              </w:tc>
            </w:tr>
          </w:tbl>
          <w:p>
            <w:pPr>
              <w:rPr>
                <w:color w:val="auto"/>
              </w:rPr>
            </w:pPr>
          </w:p>
          <w:p>
            <w:pPr>
              <w:spacing w:line="360" w:lineRule="auto"/>
              <w:ind w:firstLine="482" w:firstLineChars="200"/>
              <w:rPr>
                <w:b/>
                <w:bCs/>
                <w:color w:val="auto"/>
                <w:kern w:val="0"/>
                <w:sz w:val="24"/>
              </w:rPr>
            </w:pPr>
            <w:r>
              <w:rPr>
                <w:rFonts w:hint="eastAsia"/>
                <w:b/>
                <w:bCs/>
                <w:color w:val="auto"/>
                <w:kern w:val="0"/>
                <w:sz w:val="24"/>
              </w:rPr>
              <w:t>17、与《再生资源回收管理办法》（商务部[2007]年第8号）的符合性分析</w:t>
            </w:r>
          </w:p>
          <w:p>
            <w:pPr>
              <w:widowControl/>
              <w:spacing w:line="360" w:lineRule="auto"/>
              <w:ind w:firstLine="480" w:firstLineChars="200"/>
              <w:rPr>
                <w:color w:val="auto"/>
                <w:sz w:val="24"/>
              </w:rPr>
            </w:pPr>
            <w:r>
              <w:rPr>
                <w:rFonts w:hint="eastAsia"/>
                <w:color w:val="auto"/>
                <w:sz w:val="24"/>
              </w:rPr>
              <w:t>《再生资源回收管理办法》（商务部[2007]年第8号）及《商务部关于废止和修改部分规章的决定》（中华人民共和国商务部令2019年第1号）中规定：再生资源包括废旧金属、报废电子产品、报废机电设备及其零部件、废造纸原料（如废纸废棉等）、废轻化工原料（如橡胶、塑料、农药包装物、动物杂骨、毛发等）、废玻璃等，国家鼓励以环境无害化方式回收处理再生资源，鼓励开展有关再生资源回收处理的科学研究、技术开发和推广。</w:t>
            </w:r>
          </w:p>
          <w:p>
            <w:pPr>
              <w:widowControl/>
              <w:spacing w:line="360" w:lineRule="auto"/>
              <w:ind w:firstLine="480" w:firstLineChars="200"/>
              <w:rPr>
                <w:color w:val="auto"/>
                <w:sz w:val="24"/>
              </w:rPr>
            </w:pPr>
            <w:r>
              <w:rPr>
                <w:rFonts w:hint="eastAsia"/>
                <w:color w:val="auto"/>
                <w:sz w:val="24"/>
              </w:rPr>
              <w:t>本项目为废旧塑料再生颗粒生产项目，属于以上规定中“废轻化工原料”中的废塑料再生，项目以废塑料为原料生产塑料颗粒产品实现了资源的回收利用，满足管理办法要求。</w:t>
            </w:r>
          </w:p>
          <w:p>
            <w:pPr>
              <w:spacing w:line="360" w:lineRule="auto"/>
              <w:ind w:firstLine="482" w:firstLineChars="200"/>
              <w:rPr>
                <w:b/>
                <w:bCs/>
                <w:color w:val="auto"/>
                <w:kern w:val="0"/>
                <w:sz w:val="24"/>
              </w:rPr>
            </w:pPr>
            <w:r>
              <w:rPr>
                <w:rFonts w:hint="eastAsia"/>
                <w:b/>
                <w:bCs/>
                <w:color w:val="auto"/>
                <w:kern w:val="0"/>
                <w:sz w:val="24"/>
              </w:rPr>
              <w:t>18、与《云南省进一步加强塑料污染治理的实施方案》的符合性分析</w:t>
            </w:r>
          </w:p>
          <w:p>
            <w:pPr>
              <w:widowControl/>
              <w:spacing w:line="360" w:lineRule="auto"/>
              <w:ind w:firstLine="480" w:firstLineChars="200"/>
              <w:rPr>
                <w:color w:val="auto"/>
                <w:sz w:val="24"/>
              </w:rPr>
            </w:pPr>
            <w:r>
              <w:rPr>
                <w:rFonts w:hint="eastAsia"/>
                <w:color w:val="auto"/>
                <w:sz w:val="24"/>
              </w:rPr>
              <w:t>本项目与云南省发展和改革委员会 云南省生态环境厅关于印发《云南省进一步加强塑料污染治理的实施方案》（云发改资环[2020]863号）相符性详见下表。</w:t>
            </w:r>
          </w:p>
          <w:p>
            <w:pPr>
              <w:spacing w:line="360" w:lineRule="auto"/>
              <w:ind w:firstLine="482" w:firstLineChars="200"/>
              <w:jc w:val="center"/>
              <w:rPr>
                <w:b/>
                <w:bCs/>
                <w:color w:val="auto"/>
                <w:kern w:val="0"/>
                <w:sz w:val="24"/>
              </w:rPr>
            </w:pPr>
            <w:r>
              <w:rPr>
                <w:rFonts w:hint="eastAsia"/>
                <w:b/>
                <w:bCs/>
                <w:color w:val="auto"/>
                <w:kern w:val="0"/>
                <w:sz w:val="24"/>
              </w:rPr>
              <w:t>表1-14  与（云发改资环[2020]863号）文件的相符性分析</w:t>
            </w:r>
          </w:p>
          <w:tbl>
            <w:tblPr>
              <w:tblStyle w:val="31"/>
              <w:tblW w:w="6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3341"/>
              <w:gridCol w:w="2509"/>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tcPr>
                <w:p>
                  <w:pPr>
                    <w:rPr>
                      <w:b/>
                      <w:bCs/>
                      <w:color w:val="auto"/>
                    </w:rPr>
                  </w:pPr>
                  <w:r>
                    <w:rPr>
                      <w:rFonts w:hint="eastAsia"/>
                      <w:b/>
                      <w:bCs/>
                      <w:color w:val="auto"/>
                    </w:rPr>
                    <w:t>项目</w:t>
                  </w:r>
                </w:p>
              </w:tc>
              <w:tc>
                <w:tcPr>
                  <w:tcW w:w="3341" w:type="dxa"/>
                </w:tcPr>
                <w:p>
                  <w:pPr>
                    <w:jc w:val="center"/>
                    <w:rPr>
                      <w:b/>
                      <w:bCs/>
                      <w:color w:val="auto"/>
                    </w:rPr>
                  </w:pPr>
                  <w:r>
                    <w:rPr>
                      <w:rFonts w:hint="eastAsia"/>
                      <w:b/>
                      <w:bCs/>
                      <w:color w:val="auto"/>
                    </w:rPr>
                    <w:t>相关管理规定</w:t>
                  </w:r>
                </w:p>
              </w:tc>
              <w:tc>
                <w:tcPr>
                  <w:tcW w:w="2509" w:type="dxa"/>
                </w:tcPr>
                <w:p>
                  <w:pPr>
                    <w:jc w:val="center"/>
                    <w:rPr>
                      <w:b/>
                      <w:bCs/>
                      <w:color w:val="auto"/>
                    </w:rPr>
                  </w:pPr>
                  <w:r>
                    <w:rPr>
                      <w:rFonts w:hint="eastAsia"/>
                      <w:b/>
                      <w:bCs/>
                      <w:color w:val="auto"/>
                    </w:rPr>
                    <w:t>本项目情况</w:t>
                  </w:r>
                </w:p>
              </w:tc>
              <w:tc>
                <w:tcPr>
                  <w:tcW w:w="485" w:type="dxa"/>
                </w:tcPr>
                <w:p>
                  <w:pPr>
                    <w:rPr>
                      <w:b/>
                      <w:bCs/>
                      <w:color w:val="auto"/>
                    </w:rPr>
                  </w:pPr>
                  <w:r>
                    <w:rPr>
                      <w:rFonts w:hint="eastAsia"/>
                      <w:b/>
                      <w:bCs/>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tcPr>
                <w:p>
                  <w:pPr>
                    <w:rPr>
                      <w:color w:val="auto"/>
                    </w:rPr>
                  </w:pPr>
                  <w:r>
                    <w:rPr>
                      <w:rFonts w:hint="eastAsia"/>
                      <w:color w:val="auto"/>
                    </w:rPr>
                    <w:t>1</w:t>
                  </w:r>
                </w:p>
              </w:tc>
              <w:tc>
                <w:tcPr>
                  <w:tcW w:w="3341" w:type="dxa"/>
                </w:tcPr>
                <w:p>
                  <w:pPr>
                    <w:rPr>
                      <w:color w:val="auto"/>
                    </w:rPr>
                  </w:pPr>
                  <w:r>
                    <w:rPr>
                      <w:rFonts w:hint="eastAsia"/>
                      <w:color w:val="auto"/>
                    </w:rPr>
                    <w:t>禁止生产、销售的塑料制品。全省范围内禁止生产和销售厚度小于0.025毫米的超薄塑料购物袋、厚度小于0.01毫米的聚乙烯农用地膜。禁止以医疗废物为原料制造塑料制品。全面禁止废塑料进口。到2020年底，禁止生产和销售一次性发泡塑料餐具、一次性塑料棉签；禁止生产含塑料微珠的日化产品。到2020年底，禁止销售含塑料微珠的日化产品。</w:t>
                  </w:r>
                </w:p>
              </w:tc>
              <w:tc>
                <w:tcPr>
                  <w:tcW w:w="2509" w:type="dxa"/>
                </w:tcPr>
                <w:p>
                  <w:pPr>
                    <w:rPr>
                      <w:color w:val="auto"/>
                    </w:rPr>
                  </w:pPr>
                  <w:r>
                    <w:rPr>
                      <w:rFonts w:hint="eastAsia"/>
                      <w:color w:val="auto"/>
                    </w:rPr>
                    <w:t>项目利用废编织袋、农用地膜、一般废旧塑料为原料生产再生塑料颗粒，不涉及生产和销售厚度小于0.025毫米的超薄塑料购物袋、厚度小于0.01毫米的聚乙烯农用地膜，不涉及废塑料进口；不涉及生产和销售一次性发泡塑料餐具、一次性塑料棉签、含塑料微珠的日化产品等。</w:t>
                  </w:r>
                </w:p>
              </w:tc>
              <w:tc>
                <w:tcPr>
                  <w:tcW w:w="485" w:type="dxa"/>
                </w:tcPr>
                <w:p>
                  <w:pPr>
                    <w:rPr>
                      <w:color w:val="auto"/>
                    </w:rPr>
                  </w:pPr>
                  <w:r>
                    <w:rPr>
                      <w:rFonts w:hint="eastAsia"/>
                      <w:color w:val="auto"/>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tcPr>
                <w:p>
                  <w:pPr>
                    <w:rPr>
                      <w:color w:val="auto"/>
                    </w:rPr>
                  </w:pPr>
                  <w:r>
                    <w:rPr>
                      <w:rFonts w:hint="eastAsia"/>
                      <w:color w:val="auto"/>
                    </w:rPr>
                    <w:t>2</w:t>
                  </w:r>
                </w:p>
              </w:tc>
              <w:tc>
                <w:tcPr>
                  <w:tcW w:w="3341" w:type="dxa"/>
                </w:tcPr>
                <w:p>
                  <w:pPr>
                    <w:rPr>
                      <w:color w:val="auto"/>
                    </w:rPr>
                  </w:pPr>
                  <w:r>
                    <w:rPr>
                      <w:rFonts w:hint="eastAsia"/>
                      <w:color w:val="auto"/>
                    </w:rPr>
                    <w:t>加强塑料废弃物回收和清运。按照《云南省加快推进城市生活垃圾分类工作实施方案》要求，结合实施垃圾分类，合理布局建设可回收物分拣中心和集散市场，建立简便易行的分类投放站（点），加大塑料废弃物等可回收物分类收集和处理力度。在写字楼、机场、车站、港口码头等塑料废弃物产生量大的场所，增加投放设施，提高清运频次。推动电商外卖平台、环卫部门、回收企业等开展多方合作，在重点区域投放快递包装、外卖餐盒等回收设施。建立健全废旧农膜回收体系，规范废旧渔网渔具回收处置。建立完善再生资源回收利用体系，积极探索“互联网+资源回收”模式，实现再生资源回收网络和生活垃圾分类网络“两网融合”；建设塑料等再生资源分类、回收、储存、中转、利用信息化平台，推动再生资源回收利用规范化、专业化管理。</w:t>
                  </w:r>
                </w:p>
              </w:tc>
              <w:tc>
                <w:tcPr>
                  <w:tcW w:w="2509" w:type="dxa"/>
                </w:tcPr>
                <w:p>
                  <w:pPr>
                    <w:rPr>
                      <w:color w:val="auto"/>
                    </w:rPr>
                  </w:pPr>
                  <w:r>
                    <w:rPr>
                      <w:rFonts w:hint="eastAsia"/>
                      <w:color w:val="auto"/>
                    </w:rPr>
                    <w:t>项目利用废编织袋、农用地膜、一般废旧塑料为原料生产再生塑料颗粒，项目原料外购于本地废品回收站，原料外购进场时已经过废品回收站初步分拣，按照PE原料（废弃农用地膜、废编织袋等）、PP原料（一般废旧塑料）袋装运输进场分类堆存。</w:t>
                  </w:r>
                </w:p>
              </w:tc>
              <w:tc>
                <w:tcPr>
                  <w:tcW w:w="485" w:type="dxa"/>
                </w:tcPr>
                <w:p>
                  <w:pPr>
                    <w:rPr>
                      <w:color w:val="auto"/>
                    </w:rPr>
                  </w:pPr>
                  <w:r>
                    <w:rPr>
                      <w:rFonts w:hint="eastAsia"/>
                      <w:color w:val="auto"/>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tcPr>
                <w:p>
                  <w:pPr>
                    <w:rPr>
                      <w:color w:val="auto"/>
                    </w:rPr>
                  </w:pPr>
                  <w:r>
                    <w:rPr>
                      <w:rFonts w:hint="eastAsia"/>
                      <w:color w:val="auto"/>
                    </w:rPr>
                    <w:t>3</w:t>
                  </w:r>
                </w:p>
              </w:tc>
              <w:tc>
                <w:tcPr>
                  <w:tcW w:w="3341" w:type="dxa"/>
                </w:tcPr>
                <w:p>
                  <w:pPr>
                    <w:rPr>
                      <w:color w:val="auto"/>
                    </w:rPr>
                  </w:pPr>
                  <w:r>
                    <w:rPr>
                      <w:rFonts w:hint="eastAsia"/>
                      <w:color w:val="auto"/>
                    </w:rPr>
                    <w:t>推进资源化能源化利用。推动塑料废弃物资源化利用的规范化、集中化和产业化，充分发挥资源循环利用基地、静脉产业园区等的聚集效应，积极引进塑料废弃物资源化利用企业，提高塑料废弃物资源化利用水平，实行废水、废气和固体废物统一处置。加快垃圾焚烧发电项目建设，推进分拣成本高、不宜资源化利用塑料废弃物的能源化利用，加强垃圾焚烧发电等企业的运行管理，确保各类污染物稳定达标排放，并最大限度降低塑料垃圾直接填埋量。</w:t>
                  </w:r>
                </w:p>
              </w:tc>
              <w:tc>
                <w:tcPr>
                  <w:tcW w:w="2509" w:type="dxa"/>
                </w:tcPr>
                <w:p>
                  <w:pPr>
                    <w:rPr>
                      <w:color w:val="auto"/>
                    </w:rPr>
                  </w:pPr>
                  <w:r>
                    <w:rPr>
                      <w:rFonts w:hint="eastAsia"/>
                      <w:color w:val="auto"/>
                    </w:rPr>
                    <w:t>项目利用废编织袋、农用地膜、一般废旧塑料为原料生产再生塑料颗粒，项目位于寻甸工业园区羊街片区，</w:t>
                  </w:r>
                  <w:r>
                    <w:rPr>
                      <w:color w:val="auto"/>
                      <w:kern w:val="0"/>
                      <w:szCs w:val="21"/>
                    </w:rPr>
                    <w:t>项目清洗塑料废水经</w:t>
                  </w:r>
                  <w:r>
                    <w:rPr>
                      <w:color w:val="auto"/>
                      <w:szCs w:val="21"/>
                    </w:rPr>
                    <w:t>厂内污水处理设施</w:t>
                  </w:r>
                  <w:r>
                    <w:rPr>
                      <w:color w:val="auto"/>
                      <w:kern w:val="0"/>
                      <w:szCs w:val="21"/>
                    </w:rPr>
                    <w:t>（</w:t>
                  </w:r>
                  <w:r>
                    <w:rPr>
                      <w:rFonts w:hint="eastAsia"/>
                      <w:color w:val="auto"/>
                      <w:kern w:val="0"/>
                      <w:szCs w:val="21"/>
                    </w:rPr>
                    <w:t>格栅+隔油+水解</w:t>
                  </w:r>
                  <w:r>
                    <w:rPr>
                      <w:color w:val="auto"/>
                      <w:kern w:val="0"/>
                      <w:szCs w:val="21"/>
                    </w:rPr>
                    <w:t>+</w:t>
                  </w:r>
                  <w:r>
                    <w:rPr>
                      <w:rFonts w:hint="eastAsia"/>
                      <w:color w:val="auto"/>
                      <w:kern w:val="0"/>
                      <w:szCs w:val="21"/>
                    </w:rPr>
                    <w:t>生物接触氧化法</w:t>
                  </w:r>
                  <w:r>
                    <w:rPr>
                      <w:color w:val="auto"/>
                      <w:kern w:val="0"/>
                      <w:szCs w:val="21"/>
                    </w:rPr>
                    <w:t>）处理后汇入清水</w:t>
                  </w:r>
                  <w:r>
                    <w:rPr>
                      <w:rFonts w:hint="eastAsia"/>
                      <w:color w:val="auto"/>
                      <w:kern w:val="0"/>
                      <w:szCs w:val="21"/>
                    </w:rPr>
                    <w:t>回用</w:t>
                  </w:r>
                  <w:r>
                    <w:rPr>
                      <w:color w:val="auto"/>
                      <w:kern w:val="0"/>
                      <w:szCs w:val="21"/>
                    </w:rPr>
                    <w:t>池回用于生产线，不外排</w:t>
                  </w:r>
                  <w:r>
                    <w:rPr>
                      <w:rFonts w:hint="eastAsia"/>
                      <w:color w:val="auto"/>
                      <w:kern w:val="0"/>
                      <w:szCs w:val="21"/>
                    </w:rPr>
                    <w:t>；项目废气经</w:t>
                  </w:r>
                  <w:r>
                    <w:rPr>
                      <w:color w:val="auto"/>
                      <w:szCs w:val="21"/>
                    </w:rPr>
                    <w:t>集气罩</w:t>
                  </w:r>
                  <w:r>
                    <w:rPr>
                      <w:rFonts w:hint="eastAsia"/>
                      <w:color w:val="auto"/>
                      <w:szCs w:val="21"/>
                    </w:rPr>
                    <w:t>收集后</w:t>
                  </w:r>
                  <w:r>
                    <w:rPr>
                      <w:color w:val="auto"/>
                      <w:szCs w:val="21"/>
                    </w:rPr>
                    <w:t>，经“水洗装置+除湿除雾装置+</w:t>
                  </w:r>
                  <w:r>
                    <w:rPr>
                      <w:rFonts w:hint="eastAsia"/>
                      <w:color w:val="auto"/>
                      <w:szCs w:val="21"/>
                      <w:lang w:val="en-US" w:eastAsia="zh-CN"/>
                    </w:rPr>
                    <w:t>一级</w:t>
                  </w:r>
                  <w:r>
                    <w:rPr>
                      <w:color w:val="auto"/>
                      <w:szCs w:val="21"/>
                    </w:rPr>
                    <w:t>活性炭吸附装置+光氧催化装置”处理后，</w:t>
                  </w:r>
                  <w:r>
                    <w:rPr>
                      <w:rFonts w:hint="eastAsia"/>
                      <w:color w:val="auto"/>
                      <w:szCs w:val="21"/>
                    </w:rPr>
                    <w:t>通过20</w:t>
                  </w:r>
                  <w:r>
                    <w:rPr>
                      <w:color w:val="auto"/>
                      <w:szCs w:val="21"/>
                    </w:rPr>
                    <w:t>m排气筒有组</w:t>
                  </w:r>
                  <w:r>
                    <w:rPr>
                      <w:rFonts w:hint="eastAsia" w:cs="宋体"/>
                      <w:color w:val="auto"/>
                      <w:kern w:val="0"/>
                      <w:szCs w:val="21"/>
                      <w:lang w:bidi="ar"/>
                    </w:rPr>
                    <w:t>织排放。项目</w:t>
                  </w:r>
                  <w:r>
                    <w:rPr>
                      <w:color w:val="auto"/>
                      <w:szCs w:val="21"/>
                    </w:rPr>
                    <w:t>定期更换的废滤网集中收集后，</w:t>
                  </w:r>
                  <w:r>
                    <w:rPr>
                      <w:color w:val="auto"/>
                      <w:kern w:val="0"/>
                      <w:szCs w:val="21"/>
                    </w:rPr>
                    <w:t>外售合法且具备废滤网回收再生能力的单位回收处置</w:t>
                  </w:r>
                  <w:r>
                    <w:rPr>
                      <w:color w:val="auto"/>
                      <w:szCs w:val="21"/>
                    </w:rPr>
                    <w:t>。半成品可直接返回造粒机重新进行造粒。生活垃圾分类收集及时清运至</w:t>
                  </w:r>
                  <w:r>
                    <w:rPr>
                      <w:rFonts w:hint="eastAsia"/>
                      <w:color w:val="auto"/>
                      <w:szCs w:val="21"/>
                    </w:rPr>
                    <w:t>园区</w:t>
                  </w:r>
                  <w:r>
                    <w:rPr>
                      <w:color w:val="auto"/>
                      <w:szCs w:val="21"/>
                    </w:rPr>
                    <w:t>指定地点由环卫部门集中处置。废机油、废油桶、废活性炭</w:t>
                  </w:r>
                  <w:r>
                    <w:rPr>
                      <w:rFonts w:hint="eastAsia"/>
                      <w:color w:val="auto"/>
                      <w:szCs w:val="21"/>
                    </w:rPr>
                    <w:t>、废光氧管</w:t>
                  </w:r>
                  <w:r>
                    <w:rPr>
                      <w:color w:val="auto"/>
                      <w:szCs w:val="21"/>
                    </w:rPr>
                    <w:t>均属于危险废物，分类暂存于危废暂存间内，定期交由有资质的单位处置。</w:t>
                  </w:r>
                  <w:r>
                    <w:rPr>
                      <w:rFonts w:hint="eastAsia"/>
                      <w:color w:val="auto"/>
                      <w:szCs w:val="21"/>
                    </w:rPr>
                    <w:t>项目的废水、废气和固体废物均得到统一处理。</w:t>
                  </w:r>
                </w:p>
              </w:tc>
              <w:tc>
                <w:tcPr>
                  <w:tcW w:w="485" w:type="dxa"/>
                </w:tcPr>
                <w:p>
                  <w:pPr>
                    <w:rPr>
                      <w:color w:val="auto"/>
                    </w:rPr>
                  </w:pPr>
                  <w:r>
                    <w:rPr>
                      <w:rFonts w:hint="eastAsia"/>
                      <w:color w:val="auto"/>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tcPr>
                <w:p>
                  <w:pPr>
                    <w:rPr>
                      <w:color w:val="auto"/>
                    </w:rPr>
                  </w:pPr>
                  <w:r>
                    <w:rPr>
                      <w:rFonts w:hint="eastAsia"/>
                      <w:color w:val="auto"/>
                    </w:rPr>
                    <w:t>4</w:t>
                  </w:r>
                </w:p>
              </w:tc>
              <w:tc>
                <w:tcPr>
                  <w:tcW w:w="3341" w:type="dxa"/>
                </w:tcPr>
                <w:p>
                  <w:pPr>
                    <w:rPr>
                      <w:color w:val="auto"/>
                    </w:rPr>
                  </w:pPr>
                  <w:r>
                    <w:rPr>
                      <w:rFonts w:hint="eastAsia"/>
                      <w:color w:val="auto"/>
                    </w:rPr>
                    <w:t>开展塑料垃圾专项清理。结合开展爱国卫生“清垃圾”专项行动，以机场、车站、港口码头等人流集中场所为重点，推进塑料垃圾专项清理整治；加快生活垃圾非正规堆放点、倾倒点排查整治工作，重点解决城乡结合部、环境敏感区、道路和江河沿线、坑塘沟渠等处生活垃圾随意倾倒堆放导致的塑料污染问题；大力开展高原湖泊、江河、港湾塑料垃圾清理行动。根据《云南省农业农村污染治理攻坚战作战方案》，加大地膜国家标准宣传贯彻力度，从源头保障地膜可回收利用。建立完善回收网络，加大香蕉等农产品套袋回收力度。推进农田残留地膜、农药化肥塑料包装等清理整治、回收处理工作，逐步降低农田残留地膜量。</w:t>
                  </w:r>
                </w:p>
              </w:tc>
              <w:tc>
                <w:tcPr>
                  <w:tcW w:w="2509" w:type="dxa"/>
                </w:tcPr>
                <w:p>
                  <w:pPr>
                    <w:rPr>
                      <w:color w:val="auto"/>
                    </w:rPr>
                  </w:pPr>
                  <w:r>
                    <w:rPr>
                      <w:rFonts w:hint="eastAsia"/>
                      <w:color w:val="auto"/>
                    </w:rPr>
                    <w:t>项目利用废编织袋、农用地膜、一般废旧塑料为原料生产再生塑料颗粒，项目原料外购于本地废品回收站，推进了农药地膜、农药化肥塑料包装袋等清理整治、回收处理工作。</w:t>
                  </w:r>
                </w:p>
              </w:tc>
              <w:tc>
                <w:tcPr>
                  <w:tcW w:w="485" w:type="dxa"/>
                </w:tcPr>
                <w:p>
                  <w:pPr>
                    <w:rPr>
                      <w:color w:val="auto"/>
                    </w:rPr>
                  </w:pPr>
                  <w:r>
                    <w:rPr>
                      <w:rFonts w:hint="eastAsia"/>
                      <w:color w:val="auto"/>
                    </w:rPr>
                    <w:t>相符</w:t>
                  </w:r>
                </w:p>
              </w:tc>
            </w:tr>
          </w:tbl>
          <w:p>
            <w:pPr>
              <w:widowControl/>
              <w:spacing w:line="360" w:lineRule="auto"/>
              <w:ind w:firstLine="480" w:firstLineChars="200"/>
              <w:rPr>
                <w:b/>
                <w:bCs/>
                <w:color w:val="auto"/>
                <w:kern w:val="0"/>
                <w:sz w:val="24"/>
              </w:rPr>
            </w:pPr>
            <w:r>
              <w:rPr>
                <w:color w:val="auto"/>
                <w:sz w:val="24"/>
              </w:rPr>
              <w:t>综上所述，项目建设符合</w:t>
            </w:r>
            <w:r>
              <w:rPr>
                <w:rFonts w:hint="eastAsia"/>
                <w:color w:val="auto"/>
                <w:sz w:val="24"/>
              </w:rPr>
              <w:t>《云南省进一步加强塑料污染治理的实施方案》（云发改资环[2020]863号）</w:t>
            </w:r>
            <w:r>
              <w:rPr>
                <w:color w:val="auto"/>
                <w:sz w:val="24"/>
              </w:rPr>
              <w:t>相关要求。</w:t>
            </w:r>
          </w:p>
          <w:p>
            <w:pPr>
              <w:spacing w:line="360" w:lineRule="auto"/>
              <w:ind w:firstLine="482" w:firstLineChars="200"/>
              <w:rPr>
                <w:b/>
                <w:bCs/>
                <w:color w:val="auto"/>
                <w:kern w:val="0"/>
                <w:sz w:val="24"/>
              </w:rPr>
            </w:pPr>
            <w:r>
              <w:rPr>
                <w:rFonts w:hint="eastAsia"/>
                <w:b/>
                <w:bCs/>
                <w:color w:val="auto"/>
                <w:kern w:val="0"/>
                <w:sz w:val="24"/>
              </w:rPr>
              <w:t>19</w:t>
            </w:r>
            <w:r>
              <w:rPr>
                <w:b/>
                <w:bCs/>
                <w:color w:val="auto"/>
                <w:kern w:val="0"/>
                <w:sz w:val="24"/>
              </w:rPr>
              <w:t>、选址合理性分析</w:t>
            </w:r>
          </w:p>
          <w:p>
            <w:pPr>
              <w:spacing w:line="360" w:lineRule="auto"/>
              <w:ind w:firstLine="480" w:firstLineChars="200"/>
              <w:rPr>
                <w:color w:val="auto"/>
                <w:sz w:val="24"/>
              </w:rPr>
            </w:pPr>
            <w:r>
              <w:rPr>
                <w:color w:val="auto"/>
                <w:sz w:val="24"/>
              </w:rPr>
              <w:t>项目位于寻甸特色产业园区羊街片区，属于工业园区规划范围内，根据分析，项目符合</w:t>
            </w:r>
            <w:r>
              <w:rPr>
                <w:color w:val="auto"/>
              </w:rPr>
              <w:fldChar w:fldCharType="begin"/>
            </w:r>
            <w:r>
              <w:rPr>
                <w:color w:val="auto"/>
              </w:rPr>
              <w:instrText xml:space="preserve"> HYPERLINK "http://www.mee.gov.cn/ywgz/fgbz/bz/bzwb/gthw/qtxgbz/202206/t20220607_984652.shtml" </w:instrText>
            </w:r>
            <w:r>
              <w:rPr>
                <w:color w:val="auto"/>
              </w:rPr>
              <w:fldChar w:fldCharType="separate"/>
            </w:r>
            <w:r>
              <w:rPr>
                <w:rStyle w:val="36"/>
                <w:rFonts w:hint="eastAsia" w:cs="微软雅黑"/>
                <w:color w:val="auto"/>
                <w:sz w:val="24"/>
                <w:szCs w:val="27"/>
                <w:u w:val="none"/>
                <w:shd w:val="clear" w:color="auto" w:fill="FFFFFF"/>
              </w:rPr>
              <w:t>《废塑料污染控制技术规范》（HJ 364-2022）</w:t>
            </w:r>
            <w:r>
              <w:rPr>
                <w:rStyle w:val="36"/>
                <w:rFonts w:hint="eastAsia" w:cs="微软雅黑"/>
                <w:color w:val="auto"/>
                <w:sz w:val="24"/>
                <w:szCs w:val="27"/>
                <w:u w:val="none"/>
                <w:shd w:val="clear" w:color="auto" w:fill="FFFFFF"/>
              </w:rPr>
              <w:fldChar w:fldCharType="end"/>
            </w:r>
            <w:r>
              <w:rPr>
                <w:color w:val="auto"/>
                <w:sz w:val="24"/>
              </w:rPr>
              <w:t>和《废塑料加工利用污染防治管理规定》（公告2012年第55号）中关于选址的相关规定</w:t>
            </w:r>
            <w:r>
              <w:rPr>
                <w:rFonts w:hint="eastAsia"/>
                <w:color w:val="auto"/>
                <w:sz w:val="24"/>
              </w:rPr>
              <w:t>。</w:t>
            </w:r>
            <w:r>
              <w:rPr>
                <w:color w:val="auto"/>
                <w:sz w:val="24"/>
              </w:rPr>
              <w:t>根据项目的工程分析和环境影响分析结果，该项目运营期间主要污染物为废气和废水，通过采取一系列的环境护和污染防治措施，各污染物可实现达标排放，不会改变周围环境功能，不会对评价范围内敏感目标造成超标影响。项目不涉及自然保护区、风景名胜区、生态功能保护区等需特殊保护的环境敏感区，选址从环境角度来看是可</w:t>
            </w:r>
            <w:r>
              <w:rPr>
                <w:rFonts w:hint="eastAsia"/>
                <w:color w:val="auto"/>
                <w:sz w:val="24"/>
              </w:rPr>
              <w:t>行的。</w:t>
            </w:r>
          </w:p>
          <w:p>
            <w:pPr>
              <w:spacing w:line="360" w:lineRule="auto"/>
              <w:ind w:firstLine="482" w:firstLineChars="200"/>
              <w:rPr>
                <w:b/>
                <w:bCs/>
                <w:color w:val="auto"/>
                <w:sz w:val="24"/>
              </w:rPr>
            </w:pPr>
            <w:r>
              <w:rPr>
                <w:rFonts w:hint="eastAsia"/>
                <w:b/>
                <w:bCs/>
                <w:color w:val="auto"/>
                <w:sz w:val="24"/>
              </w:rPr>
              <w:t>20、周围环境相容性分析</w:t>
            </w:r>
          </w:p>
          <w:p>
            <w:pPr>
              <w:spacing w:line="360" w:lineRule="auto"/>
              <w:ind w:firstLine="480" w:firstLineChars="200"/>
              <w:rPr>
                <w:color w:val="auto"/>
                <w:sz w:val="24"/>
              </w:rPr>
            </w:pPr>
            <w:r>
              <w:rPr>
                <w:color w:val="auto"/>
                <w:sz w:val="24"/>
              </w:rPr>
              <w:t>本项目位于寻甸特色产业园区羊街片区云南鹏腾机械设备制造有限公司</w:t>
            </w:r>
            <w:r>
              <w:rPr>
                <w:rFonts w:hint="eastAsia"/>
                <w:color w:val="auto"/>
                <w:sz w:val="24"/>
              </w:rPr>
              <w:t>1号厂房11跨</w:t>
            </w:r>
            <w:r>
              <w:rPr>
                <w:color w:val="auto"/>
                <w:sz w:val="24"/>
              </w:rPr>
              <w:t>内，</w:t>
            </w:r>
            <w:r>
              <w:rPr>
                <w:rFonts w:hint="eastAsia"/>
                <w:color w:val="auto"/>
                <w:sz w:val="24"/>
              </w:rPr>
              <w:t>租用云南鹏腾机械设备制造有限公司的空闲厂房，在空闲厂房内设置废塑料再生颗粒生产线，项目用地性质为属于工业用地，根据调查，本项目所在地周边关系见下表：</w:t>
            </w:r>
          </w:p>
          <w:p>
            <w:pPr>
              <w:spacing w:line="360" w:lineRule="auto"/>
              <w:jc w:val="center"/>
              <w:rPr>
                <w:b/>
                <w:bCs/>
                <w:color w:val="auto"/>
                <w:sz w:val="24"/>
              </w:rPr>
            </w:pPr>
            <w:r>
              <w:rPr>
                <w:rFonts w:hint="eastAsia"/>
                <w:b/>
                <w:bCs/>
                <w:color w:val="auto"/>
                <w:sz w:val="24"/>
              </w:rPr>
              <w:t>表1-15  项目周围环境关系一览表</w:t>
            </w:r>
          </w:p>
          <w:tbl>
            <w:tblPr>
              <w:tblStyle w:val="30"/>
              <w:tblW w:w="673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6"/>
              <w:gridCol w:w="2045"/>
              <w:gridCol w:w="723"/>
              <w:gridCol w:w="900"/>
              <w:gridCol w:w="25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2" w:hRule="atLeast"/>
                <w:jc w:val="center"/>
              </w:trPr>
              <w:tc>
                <w:tcPr>
                  <w:tcW w:w="546" w:type="dxa"/>
                  <w:noWrap/>
                  <w:vAlign w:val="center"/>
                </w:tcPr>
                <w:p>
                  <w:pPr>
                    <w:adjustRightInd w:val="0"/>
                    <w:snapToGrid w:val="0"/>
                    <w:jc w:val="center"/>
                    <w:rPr>
                      <w:b/>
                      <w:bCs/>
                      <w:color w:val="auto"/>
                    </w:rPr>
                  </w:pPr>
                  <w:r>
                    <w:rPr>
                      <w:b/>
                      <w:bCs/>
                      <w:color w:val="auto"/>
                    </w:rPr>
                    <w:t>序号</w:t>
                  </w:r>
                </w:p>
              </w:tc>
              <w:tc>
                <w:tcPr>
                  <w:tcW w:w="2045" w:type="dxa"/>
                  <w:noWrap/>
                  <w:vAlign w:val="center"/>
                </w:tcPr>
                <w:p>
                  <w:pPr>
                    <w:adjustRightInd w:val="0"/>
                    <w:snapToGrid w:val="0"/>
                    <w:jc w:val="center"/>
                    <w:rPr>
                      <w:b/>
                      <w:bCs/>
                      <w:color w:val="auto"/>
                    </w:rPr>
                  </w:pPr>
                  <w:r>
                    <w:rPr>
                      <w:b/>
                      <w:bCs/>
                      <w:color w:val="auto"/>
                    </w:rPr>
                    <w:t>名称</w:t>
                  </w:r>
                </w:p>
              </w:tc>
              <w:tc>
                <w:tcPr>
                  <w:tcW w:w="723" w:type="dxa"/>
                  <w:noWrap/>
                  <w:vAlign w:val="center"/>
                </w:tcPr>
                <w:p>
                  <w:pPr>
                    <w:adjustRightInd w:val="0"/>
                    <w:snapToGrid w:val="0"/>
                    <w:jc w:val="center"/>
                    <w:rPr>
                      <w:b/>
                      <w:bCs/>
                      <w:color w:val="auto"/>
                    </w:rPr>
                  </w:pPr>
                  <w:r>
                    <w:rPr>
                      <w:b/>
                      <w:bCs/>
                      <w:color w:val="auto"/>
                    </w:rPr>
                    <w:t>方位</w:t>
                  </w:r>
                </w:p>
              </w:tc>
              <w:tc>
                <w:tcPr>
                  <w:tcW w:w="900" w:type="dxa"/>
                  <w:noWrap/>
                  <w:vAlign w:val="center"/>
                </w:tcPr>
                <w:p>
                  <w:pPr>
                    <w:adjustRightInd w:val="0"/>
                    <w:snapToGrid w:val="0"/>
                    <w:jc w:val="center"/>
                    <w:rPr>
                      <w:b/>
                      <w:bCs/>
                      <w:color w:val="auto"/>
                    </w:rPr>
                  </w:pPr>
                  <w:r>
                    <w:rPr>
                      <w:b/>
                      <w:bCs/>
                      <w:color w:val="auto"/>
                    </w:rPr>
                    <w:t>厂界距离（m）</w:t>
                  </w:r>
                </w:p>
              </w:tc>
              <w:tc>
                <w:tcPr>
                  <w:tcW w:w="2523" w:type="dxa"/>
                  <w:noWrap/>
                  <w:vAlign w:val="center"/>
                </w:tcPr>
                <w:p>
                  <w:pPr>
                    <w:adjustRightInd w:val="0"/>
                    <w:snapToGrid w:val="0"/>
                    <w:jc w:val="center"/>
                    <w:rPr>
                      <w:b/>
                      <w:bCs/>
                      <w:color w:val="auto"/>
                    </w:rPr>
                  </w:pPr>
                  <w:r>
                    <w:rPr>
                      <w:rFonts w:hint="eastAsia"/>
                      <w:b/>
                      <w:bCs/>
                      <w:color w:val="auto"/>
                    </w:rPr>
                    <w:t>主要污染物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546" w:type="dxa"/>
                  <w:noWrap/>
                  <w:vAlign w:val="center"/>
                </w:tcPr>
                <w:p>
                  <w:pPr>
                    <w:adjustRightInd w:val="0"/>
                    <w:snapToGrid w:val="0"/>
                    <w:jc w:val="center"/>
                    <w:rPr>
                      <w:color w:val="auto"/>
                    </w:rPr>
                  </w:pPr>
                  <w:r>
                    <w:rPr>
                      <w:color w:val="auto"/>
                    </w:rPr>
                    <w:t>1</w:t>
                  </w:r>
                </w:p>
              </w:tc>
              <w:tc>
                <w:tcPr>
                  <w:tcW w:w="2045" w:type="dxa"/>
                  <w:noWrap/>
                  <w:vAlign w:val="center"/>
                </w:tcPr>
                <w:p>
                  <w:pPr>
                    <w:pStyle w:val="14"/>
                    <w:pBdr>
                      <w:bottom w:val="none" w:color="auto" w:sz="0" w:space="0"/>
                    </w:pBdr>
                    <w:rPr>
                      <w:color w:val="auto"/>
                    </w:rPr>
                  </w:pPr>
                  <w:r>
                    <w:rPr>
                      <w:rFonts w:hint="eastAsia"/>
                      <w:color w:val="auto"/>
                      <w:sz w:val="21"/>
                      <w:szCs w:val="21"/>
                    </w:rPr>
                    <w:t>云南鹏腾机械设备制造有限公司</w:t>
                  </w:r>
                </w:p>
              </w:tc>
              <w:tc>
                <w:tcPr>
                  <w:tcW w:w="723" w:type="dxa"/>
                  <w:noWrap/>
                  <w:vAlign w:val="center"/>
                </w:tcPr>
                <w:p>
                  <w:pPr>
                    <w:pStyle w:val="14"/>
                    <w:pBdr>
                      <w:bottom w:val="none" w:color="auto" w:sz="0" w:space="0"/>
                    </w:pBdr>
                    <w:rPr>
                      <w:color w:val="auto"/>
                    </w:rPr>
                  </w:pPr>
                  <w:r>
                    <w:rPr>
                      <w:rFonts w:hint="eastAsia"/>
                      <w:color w:val="auto"/>
                      <w:sz w:val="21"/>
                      <w:szCs w:val="21"/>
                    </w:rPr>
                    <w:t>北</w:t>
                  </w:r>
                  <w:r>
                    <w:rPr>
                      <w:color w:val="auto"/>
                      <w:sz w:val="21"/>
                      <w:szCs w:val="21"/>
                    </w:rPr>
                    <w:t>侧</w:t>
                  </w:r>
                </w:p>
              </w:tc>
              <w:tc>
                <w:tcPr>
                  <w:tcW w:w="900" w:type="dxa"/>
                  <w:noWrap/>
                  <w:vAlign w:val="center"/>
                </w:tcPr>
                <w:p>
                  <w:pPr>
                    <w:pStyle w:val="14"/>
                    <w:pBdr>
                      <w:bottom w:val="none" w:color="auto" w:sz="0" w:space="0"/>
                    </w:pBdr>
                    <w:rPr>
                      <w:color w:val="auto"/>
                    </w:rPr>
                  </w:pPr>
                  <w:r>
                    <w:rPr>
                      <w:rFonts w:hint="eastAsia"/>
                      <w:color w:val="auto"/>
                      <w:sz w:val="21"/>
                      <w:szCs w:val="21"/>
                    </w:rPr>
                    <w:t>5</w:t>
                  </w:r>
                  <w:r>
                    <w:rPr>
                      <w:color w:val="auto"/>
                      <w:sz w:val="21"/>
                      <w:szCs w:val="21"/>
                    </w:rPr>
                    <w:t>0m</w:t>
                  </w:r>
                </w:p>
              </w:tc>
              <w:tc>
                <w:tcPr>
                  <w:tcW w:w="2523" w:type="dxa"/>
                  <w:noWrap/>
                  <w:vAlign w:val="center"/>
                </w:tcPr>
                <w:p>
                  <w:pPr>
                    <w:pStyle w:val="14"/>
                    <w:pBdr>
                      <w:bottom w:val="none" w:color="auto" w:sz="0" w:space="0"/>
                    </w:pBdr>
                    <w:rPr>
                      <w:color w:val="auto"/>
                      <w:sz w:val="21"/>
                      <w:szCs w:val="21"/>
                    </w:rPr>
                  </w:pPr>
                  <w:r>
                    <w:rPr>
                      <w:rFonts w:hint="eastAsia"/>
                      <w:color w:val="auto"/>
                      <w:sz w:val="21"/>
                      <w:szCs w:val="21"/>
                    </w:rPr>
                    <w:t>颗粒物、pH、COD、BOD</w:t>
                  </w:r>
                  <w:r>
                    <w:rPr>
                      <w:rFonts w:hint="eastAsia"/>
                      <w:color w:val="auto"/>
                      <w:sz w:val="21"/>
                      <w:szCs w:val="21"/>
                      <w:vertAlign w:val="subscript"/>
                    </w:rPr>
                    <w:t>5</w:t>
                  </w:r>
                  <w:r>
                    <w:rPr>
                      <w:rFonts w:hint="eastAsia"/>
                      <w:color w:val="auto"/>
                      <w:sz w:val="21"/>
                      <w:szCs w:val="21"/>
                    </w:rPr>
                    <w:t>、氨氮、SS、一般固废、危险废物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546" w:type="dxa"/>
                  <w:noWrap/>
                  <w:vAlign w:val="center"/>
                </w:tcPr>
                <w:p>
                  <w:pPr>
                    <w:adjustRightInd w:val="0"/>
                    <w:snapToGrid w:val="0"/>
                    <w:jc w:val="center"/>
                    <w:rPr>
                      <w:color w:val="auto"/>
                    </w:rPr>
                  </w:pPr>
                  <w:r>
                    <w:rPr>
                      <w:color w:val="auto"/>
                    </w:rPr>
                    <w:t>2</w:t>
                  </w:r>
                </w:p>
              </w:tc>
              <w:tc>
                <w:tcPr>
                  <w:tcW w:w="2045" w:type="dxa"/>
                  <w:noWrap/>
                  <w:vAlign w:val="center"/>
                </w:tcPr>
                <w:p>
                  <w:pPr>
                    <w:pStyle w:val="14"/>
                    <w:pBdr>
                      <w:bottom w:val="none" w:color="auto" w:sz="0" w:space="0"/>
                    </w:pBdr>
                    <w:rPr>
                      <w:color w:val="auto"/>
                    </w:rPr>
                  </w:pPr>
                  <w:r>
                    <w:rPr>
                      <w:rFonts w:hint="eastAsia"/>
                      <w:color w:val="auto"/>
                      <w:sz w:val="21"/>
                      <w:szCs w:val="21"/>
                    </w:rPr>
                    <w:t>云南胜爵人防设备生产有限公司</w:t>
                  </w:r>
                </w:p>
              </w:tc>
              <w:tc>
                <w:tcPr>
                  <w:tcW w:w="723" w:type="dxa"/>
                  <w:noWrap/>
                  <w:vAlign w:val="center"/>
                </w:tcPr>
                <w:p>
                  <w:pPr>
                    <w:pStyle w:val="14"/>
                    <w:pBdr>
                      <w:bottom w:val="none" w:color="auto" w:sz="0" w:space="0"/>
                    </w:pBdr>
                    <w:rPr>
                      <w:color w:val="auto"/>
                    </w:rPr>
                  </w:pPr>
                  <w:r>
                    <w:rPr>
                      <w:rFonts w:hint="eastAsia"/>
                      <w:color w:val="auto"/>
                      <w:sz w:val="21"/>
                      <w:szCs w:val="21"/>
                    </w:rPr>
                    <w:t>东侧</w:t>
                  </w:r>
                </w:p>
              </w:tc>
              <w:tc>
                <w:tcPr>
                  <w:tcW w:w="900" w:type="dxa"/>
                  <w:noWrap/>
                  <w:vAlign w:val="center"/>
                </w:tcPr>
                <w:p>
                  <w:pPr>
                    <w:pStyle w:val="14"/>
                    <w:pBdr>
                      <w:bottom w:val="none" w:color="auto" w:sz="0" w:space="0"/>
                    </w:pBdr>
                    <w:rPr>
                      <w:color w:val="auto"/>
                    </w:rPr>
                  </w:pPr>
                  <w:r>
                    <w:rPr>
                      <w:rFonts w:hint="eastAsia"/>
                      <w:color w:val="auto"/>
                      <w:sz w:val="21"/>
                      <w:szCs w:val="21"/>
                    </w:rPr>
                    <w:t>50m</w:t>
                  </w:r>
                </w:p>
              </w:tc>
              <w:tc>
                <w:tcPr>
                  <w:tcW w:w="2523" w:type="dxa"/>
                  <w:noWrap/>
                  <w:vAlign w:val="center"/>
                </w:tcPr>
                <w:p>
                  <w:pPr>
                    <w:pStyle w:val="14"/>
                    <w:pBdr>
                      <w:bottom w:val="none" w:color="auto" w:sz="0" w:space="0"/>
                    </w:pBdr>
                    <w:rPr>
                      <w:color w:val="auto"/>
                      <w:sz w:val="21"/>
                      <w:szCs w:val="21"/>
                    </w:rPr>
                  </w:pPr>
                  <w:r>
                    <w:rPr>
                      <w:rFonts w:hint="eastAsia"/>
                      <w:color w:val="auto"/>
                      <w:sz w:val="21"/>
                      <w:szCs w:val="21"/>
                    </w:rPr>
                    <w:t>颗粒物、TVOC、甲醛、pH、COD、BOD</w:t>
                  </w:r>
                  <w:r>
                    <w:rPr>
                      <w:rFonts w:hint="eastAsia"/>
                      <w:color w:val="auto"/>
                      <w:sz w:val="21"/>
                      <w:szCs w:val="21"/>
                      <w:vertAlign w:val="subscript"/>
                    </w:rPr>
                    <w:t>5</w:t>
                  </w:r>
                  <w:r>
                    <w:rPr>
                      <w:rFonts w:hint="eastAsia"/>
                      <w:color w:val="auto"/>
                      <w:sz w:val="21"/>
                      <w:szCs w:val="21"/>
                    </w:rPr>
                    <w:t>、氨氮、SS、一般固废、危险废物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atLeast"/>
                <w:jc w:val="center"/>
              </w:trPr>
              <w:tc>
                <w:tcPr>
                  <w:tcW w:w="546" w:type="dxa"/>
                  <w:noWrap/>
                  <w:vAlign w:val="center"/>
                </w:tcPr>
                <w:p>
                  <w:pPr>
                    <w:adjustRightInd w:val="0"/>
                    <w:snapToGrid w:val="0"/>
                    <w:jc w:val="center"/>
                    <w:rPr>
                      <w:color w:val="auto"/>
                    </w:rPr>
                  </w:pPr>
                  <w:r>
                    <w:rPr>
                      <w:color w:val="auto"/>
                    </w:rPr>
                    <w:t>3</w:t>
                  </w:r>
                </w:p>
              </w:tc>
              <w:tc>
                <w:tcPr>
                  <w:tcW w:w="2045" w:type="dxa"/>
                  <w:noWrap/>
                  <w:vAlign w:val="center"/>
                </w:tcPr>
                <w:p>
                  <w:pPr>
                    <w:pStyle w:val="14"/>
                    <w:pBdr>
                      <w:bottom w:val="none" w:color="auto" w:sz="0" w:space="0"/>
                    </w:pBdr>
                    <w:rPr>
                      <w:color w:val="auto"/>
                    </w:rPr>
                  </w:pPr>
                  <w:r>
                    <w:rPr>
                      <w:rFonts w:hint="eastAsia"/>
                      <w:color w:val="auto"/>
                      <w:sz w:val="21"/>
                      <w:szCs w:val="21"/>
                    </w:rPr>
                    <w:t>昆明东山水泥厂</w:t>
                  </w:r>
                </w:p>
              </w:tc>
              <w:tc>
                <w:tcPr>
                  <w:tcW w:w="723" w:type="dxa"/>
                  <w:noWrap/>
                  <w:vAlign w:val="center"/>
                </w:tcPr>
                <w:p>
                  <w:pPr>
                    <w:pStyle w:val="14"/>
                    <w:pBdr>
                      <w:bottom w:val="none" w:color="auto" w:sz="0" w:space="0"/>
                    </w:pBdr>
                    <w:rPr>
                      <w:color w:val="auto"/>
                    </w:rPr>
                  </w:pPr>
                  <w:r>
                    <w:rPr>
                      <w:rFonts w:hint="eastAsia"/>
                      <w:color w:val="auto"/>
                      <w:sz w:val="21"/>
                      <w:szCs w:val="21"/>
                    </w:rPr>
                    <w:t>东</w:t>
                  </w:r>
                  <w:r>
                    <w:rPr>
                      <w:color w:val="auto"/>
                      <w:sz w:val="21"/>
                      <w:szCs w:val="21"/>
                    </w:rPr>
                    <w:t>侧</w:t>
                  </w:r>
                </w:p>
              </w:tc>
              <w:tc>
                <w:tcPr>
                  <w:tcW w:w="900" w:type="dxa"/>
                  <w:noWrap/>
                  <w:vAlign w:val="center"/>
                </w:tcPr>
                <w:p>
                  <w:pPr>
                    <w:pStyle w:val="14"/>
                    <w:pBdr>
                      <w:bottom w:val="none" w:color="auto" w:sz="0" w:space="0"/>
                    </w:pBdr>
                    <w:rPr>
                      <w:color w:val="auto"/>
                    </w:rPr>
                  </w:pPr>
                  <w:r>
                    <w:rPr>
                      <w:rFonts w:hint="eastAsia"/>
                      <w:color w:val="auto"/>
                      <w:sz w:val="21"/>
                      <w:szCs w:val="21"/>
                    </w:rPr>
                    <w:t>1</w:t>
                  </w:r>
                  <w:r>
                    <w:rPr>
                      <w:color w:val="auto"/>
                      <w:sz w:val="21"/>
                      <w:szCs w:val="21"/>
                    </w:rPr>
                    <w:t>50m</w:t>
                  </w:r>
                </w:p>
              </w:tc>
              <w:tc>
                <w:tcPr>
                  <w:tcW w:w="2523" w:type="dxa"/>
                  <w:noWrap/>
                  <w:vAlign w:val="center"/>
                </w:tcPr>
                <w:p>
                  <w:pPr>
                    <w:pStyle w:val="14"/>
                    <w:pBdr>
                      <w:bottom w:val="none" w:color="auto" w:sz="0" w:space="0"/>
                    </w:pBdr>
                    <w:rPr>
                      <w:color w:val="auto"/>
                      <w:sz w:val="21"/>
                      <w:szCs w:val="21"/>
                    </w:rPr>
                  </w:pPr>
                  <w:r>
                    <w:rPr>
                      <w:rFonts w:hint="eastAsia"/>
                      <w:color w:val="auto"/>
                      <w:sz w:val="21"/>
                      <w:szCs w:val="21"/>
                    </w:rPr>
                    <w:t>颗粒物、pH、COD、BOD</w:t>
                  </w:r>
                  <w:r>
                    <w:rPr>
                      <w:rFonts w:hint="eastAsia"/>
                      <w:color w:val="auto"/>
                      <w:sz w:val="21"/>
                      <w:szCs w:val="21"/>
                      <w:vertAlign w:val="subscript"/>
                    </w:rPr>
                    <w:t>5</w:t>
                  </w:r>
                  <w:r>
                    <w:rPr>
                      <w:rFonts w:hint="eastAsia"/>
                      <w:color w:val="auto"/>
                      <w:sz w:val="21"/>
                      <w:szCs w:val="21"/>
                    </w:rPr>
                    <w:t>、氨氮、SS</w:t>
                  </w:r>
                </w:p>
              </w:tc>
            </w:tr>
          </w:tbl>
          <w:p>
            <w:pPr>
              <w:spacing w:line="360" w:lineRule="auto"/>
              <w:ind w:firstLine="480" w:firstLineChars="200"/>
              <w:rPr>
                <w:color w:val="auto"/>
                <w:sz w:val="24"/>
              </w:rPr>
            </w:pPr>
            <w:r>
              <w:rPr>
                <w:rFonts w:hint="eastAsia"/>
                <w:color w:val="auto"/>
                <w:sz w:val="24"/>
              </w:rPr>
              <w:t>本项目</w:t>
            </w:r>
            <w:r>
              <w:rPr>
                <w:color w:val="auto"/>
                <w:sz w:val="24"/>
              </w:rPr>
              <w:t>周边企业主要产生废气（颗粒物、有机废气</w:t>
            </w:r>
            <w:r>
              <w:rPr>
                <w:rFonts w:hint="eastAsia"/>
                <w:color w:val="auto"/>
                <w:sz w:val="24"/>
              </w:rPr>
              <w:t>（以非甲烷总烃计）</w:t>
            </w:r>
            <w:r>
              <w:rPr>
                <w:color w:val="auto"/>
                <w:sz w:val="24"/>
              </w:rPr>
              <w:t>等）、废水、噪声及固体废弃物等污染物。本项目属于</w:t>
            </w:r>
            <w:r>
              <w:rPr>
                <w:rFonts w:hint="eastAsia"/>
                <w:color w:val="auto"/>
                <w:sz w:val="24"/>
              </w:rPr>
              <w:t>C2929塑料零件及其他塑料制品制造</w:t>
            </w:r>
            <w:r>
              <w:rPr>
                <w:color w:val="auto"/>
                <w:sz w:val="24"/>
              </w:rPr>
              <w:t>项目，大气污染物主要为颗粒物、</w:t>
            </w:r>
            <w:r>
              <w:rPr>
                <w:rFonts w:hint="eastAsia"/>
                <w:color w:val="auto"/>
                <w:sz w:val="24"/>
              </w:rPr>
              <w:t>非甲烷总烃</w:t>
            </w:r>
            <w:r>
              <w:rPr>
                <w:color w:val="auto"/>
                <w:sz w:val="24"/>
              </w:rPr>
              <w:t>，经采取相应的对策措施能达标排放，主要设备也置于厂房内，对周边加工企业影响甚微，且周边加工企业主要生产均在厂房内，因此总体分析后本项目对周边企业和环境影响有限，项目与周边环境相容。</w:t>
            </w:r>
          </w:p>
        </w:tc>
      </w:tr>
    </w:tbl>
    <w:p>
      <w:pPr>
        <w:rPr>
          <w:color w:val="auto"/>
        </w:rPr>
      </w:pPr>
      <w:bookmarkStart w:id="10" w:name="_Toc29522"/>
      <w:bookmarkStart w:id="11" w:name="_Toc22744"/>
      <w:bookmarkStart w:id="12" w:name="_Toc3740"/>
      <w:r>
        <w:rPr>
          <w:color w:val="auto"/>
        </w:rPr>
        <w:br w:type="page"/>
      </w:r>
    </w:p>
    <w:p>
      <w:pPr>
        <w:pStyle w:val="4"/>
        <w:rPr>
          <w:rFonts w:eastAsia="宋体"/>
          <w:color w:val="auto"/>
        </w:rPr>
      </w:pPr>
      <w:r>
        <w:rPr>
          <w:rFonts w:eastAsia="宋体"/>
          <w:color w:val="auto"/>
        </w:rPr>
        <w:t>二、建设项目工程分析</w:t>
      </w:r>
      <w:bookmarkEnd w:id="10"/>
      <w:bookmarkEnd w:id="11"/>
      <w:bookmarkEnd w:id="12"/>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9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4" w:hRule="atLeast"/>
          <w:jc w:val="center"/>
        </w:trPr>
        <w:tc>
          <w:tcPr>
            <w:tcW w:w="431" w:type="pct"/>
            <w:vAlign w:val="center"/>
          </w:tcPr>
          <w:p>
            <w:pPr>
              <w:spacing w:line="360" w:lineRule="auto"/>
              <w:jc w:val="center"/>
              <w:rPr>
                <w:color w:val="auto"/>
                <w:sz w:val="24"/>
              </w:rPr>
            </w:pPr>
            <w:r>
              <w:rPr>
                <w:color w:val="auto"/>
                <w:sz w:val="24"/>
              </w:rPr>
              <w:t>建设内容</w:t>
            </w:r>
          </w:p>
        </w:tc>
        <w:tc>
          <w:tcPr>
            <w:tcW w:w="4568" w:type="pct"/>
          </w:tcPr>
          <w:p>
            <w:pPr>
              <w:widowControl/>
              <w:spacing w:line="360" w:lineRule="auto"/>
              <w:ind w:firstLine="482" w:firstLineChars="200"/>
              <w:rPr>
                <w:b/>
                <w:color w:val="auto"/>
                <w:sz w:val="24"/>
              </w:rPr>
            </w:pPr>
            <w:bookmarkStart w:id="13" w:name="_Toc25945"/>
            <w:bookmarkStart w:id="14" w:name="_Toc4003"/>
            <w:bookmarkStart w:id="15" w:name="_Toc483056245"/>
            <w:bookmarkStart w:id="16" w:name="_Toc483056623"/>
            <w:r>
              <w:rPr>
                <w:rFonts w:hint="eastAsia"/>
                <w:b/>
                <w:color w:val="auto"/>
                <w:sz w:val="24"/>
              </w:rPr>
              <w:t>1、项目由来</w:t>
            </w:r>
          </w:p>
          <w:p>
            <w:pPr>
              <w:pStyle w:val="13"/>
              <w:spacing w:after="0" w:line="360" w:lineRule="auto"/>
              <w:ind w:left="0" w:leftChars="0" w:firstLine="480" w:firstLineChars="200"/>
              <w:rPr>
                <w:rFonts w:hint="eastAsia"/>
                <w:color w:val="auto"/>
              </w:rPr>
            </w:pPr>
            <w:r>
              <w:rPr>
                <w:rFonts w:hint="eastAsia"/>
                <w:color w:val="auto"/>
              </w:rPr>
              <w:t>随着塑料工业的发展及使用量的上升</w:t>
            </w:r>
            <w:r>
              <w:rPr>
                <w:rFonts w:hint="eastAsia"/>
                <w:color w:val="auto"/>
                <w:lang w:eastAsia="zh-CN"/>
              </w:rPr>
              <w:t>，</w:t>
            </w:r>
            <w:r>
              <w:rPr>
                <w:rFonts w:hint="eastAsia"/>
                <w:color w:val="auto"/>
              </w:rPr>
              <w:t>废旧塑料的产生量同步增加，为减少甚至消除废旧塑料无序和非法进入环境中</w:t>
            </w:r>
            <w:r>
              <w:rPr>
                <w:rFonts w:hint="eastAsia"/>
                <w:color w:val="auto"/>
                <w:lang w:eastAsia="zh-CN"/>
              </w:rPr>
              <w:t>，</w:t>
            </w:r>
            <w:r>
              <w:rPr>
                <w:rFonts w:hint="eastAsia"/>
                <w:color w:val="auto"/>
              </w:rPr>
              <w:t>形成“白色污染”，目前最可行的技术就是采取回收、分类、再生。我国作为能源需求大国</w:t>
            </w:r>
            <w:r>
              <w:rPr>
                <w:rFonts w:hint="eastAsia"/>
                <w:color w:val="auto"/>
                <w:lang w:eastAsia="zh-CN"/>
              </w:rPr>
              <w:t>，</w:t>
            </w:r>
            <w:r>
              <w:rPr>
                <w:rFonts w:hint="eastAsia"/>
                <w:color w:val="auto"/>
              </w:rPr>
              <w:t>利用废旧塑料再生造粒，可为国家节约资源，缓解国内的塑料原料供需矛盾</w:t>
            </w:r>
            <w:r>
              <w:rPr>
                <w:rFonts w:hint="eastAsia"/>
                <w:color w:val="auto"/>
                <w:lang w:eastAsia="zh-CN"/>
              </w:rPr>
              <w:t>，</w:t>
            </w:r>
            <w:r>
              <w:rPr>
                <w:rFonts w:hint="eastAsia"/>
                <w:color w:val="auto"/>
              </w:rPr>
              <w:t>符合我国建设节约型社会的要求，又可为环境保护作出重要贡献，是国内塑料业持续发展的必由之路。</w:t>
            </w:r>
          </w:p>
          <w:p>
            <w:pPr>
              <w:pStyle w:val="13"/>
              <w:spacing w:after="0" w:line="360" w:lineRule="auto"/>
              <w:ind w:left="0" w:leftChars="0" w:firstLine="480" w:firstLineChars="200"/>
              <w:rPr>
                <w:color w:val="auto"/>
              </w:rPr>
            </w:pPr>
            <w:r>
              <w:rPr>
                <w:color w:val="auto"/>
                <w:szCs w:val="24"/>
              </w:rPr>
              <w:t>云南塑发科技有限公司拟投资2000万元，以</w:t>
            </w:r>
            <w:r>
              <w:rPr>
                <w:bCs/>
                <w:color w:val="auto"/>
                <w:szCs w:val="24"/>
              </w:rPr>
              <w:t>废弃农用地膜、废编织袋等、一般废旧塑料</w:t>
            </w:r>
            <w:r>
              <w:rPr>
                <w:color w:val="auto"/>
                <w:szCs w:val="24"/>
              </w:rPr>
              <w:t>为原料，</w:t>
            </w:r>
            <w:r>
              <w:rPr>
                <w:rFonts w:hint="eastAsia"/>
                <w:color w:val="auto"/>
                <w:szCs w:val="24"/>
              </w:rPr>
              <w:t>租用</w:t>
            </w:r>
            <w:r>
              <w:rPr>
                <w:color w:val="auto"/>
              </w:rPr>
              <w:t>寻甸特色产业园区羊街片区</w:t>
            </w:r>
            <w:r>
              <w:rPr>
                <w:color w:val="auto"/>
                <w:szCs w:val="24"/>
              </w:rPr>
              <w:t>云南鹏腾机械设备制造有限公司</w:t>
            </w:r>
            <w:r>
              <w:rPr>
                <w:rFonts w:hint="eastAsia"/>
                <w:color w:val="auto"/>
                <w:szCs w:val="24"/>
              </w:rPr>
              <w:t>1</w:t>
            </w:r>
            <w:r>
              <w:rPr>
                <w:color w:val="auto"/>
                <w:szCs w:val="24"/>
              </w:rPr>
              <w:t>号标准厂房</w:t>
            </w:r>
            <w:r>
              <w:rPr>
                <w:rFonts w:hint="eastAsia"/>
                <w:color w:val="auto"/>
                <w:szCs w:val="24"/>
              </w:rPr>
              <w:t>11跨</w:t>
            </w:r>
            <w:r>
              <w:rPr>
                <w:color w:val="auto"/>
              </w:rPr>
              <w:t>空置</w:t>
            </w:r>
            <w:r>
              <w:rPr>
                <w:rFonts w:hint="eastAsia"/>
                <w:color w:val="auto"/>
                <w:lang w:val="en-US" w:eastAsia="zh-CN"/>
              </w:rPr>
              <w:t>厂房</w:t>
            </w:r>
            <w:r>
              <w:rPr>
                <w:color w:val="auto"/>
              </w:rPr>
              <w:t>建设再生塑料颗粒加工项目。项目已于202</w:t>
            </w:r>
            <w:r>
              <w:rPr>
                <w:rFonts w:hint="eastAsia"/>
                <w:color w:val="auto"/>
              </w:rPr>
              <w:t>2</w:t>
            </w:r>
            <w:r>
              <w:rPr>
                <w:color w:val="auto"/>
              </w:rPr>
              <w:t>年</w:t>
            </w:r>
            <w:r>
              <w:rPr>
                <w:rFonts w:hint="eastAsia"/>
                <w:color w:val="auto"/>
              </w:rPr>
              <w:t>4</w:t>
            </w:r>
            <w:r>
              <w:rPr>
                <w:color w:val="auto"/>
              </w:rPr>
              <w:t>月</w:t>
            </w:r>
            <w:r>
              <w:rPr>
                <w:rFonts w:hint="eastAsia"/>
                <w:color w:val="auto"/>
              </w:rPr>
              <w:t>22</w:t>
            </w:r>
            <w:r>
              <w:rPr>
                <w:color w:val="auto"/>
              </w:rPr>
              <w:t>日取得寻甸回族彝族自治县发展和改革局出具的投资项目备案证，项目代码：</w:t>
            </w:r>
            <w:r>
              <w:rPr>
                <w:rFonts w:hint="eastAsia"/>
                <w:color w:val="auto"/>
              </w:rPr>
              <w:t>2204</w:t>
            </w:r>
            <w:r>
              <w:rPr>
                <w:color w:val="auto"/>
              </w:rPr>
              <w:t>-530129-</w:t>
            </w:r>
            <w:r>
              <w:rPr>
                <w:rFonts w:hint="eastAsia"/>
                <w:color w:val="auto"/>
              </w:rPr>
              <w:t>04-05</w:t>
            </w:r>
            <w:r>
              <w:rPr>
                <w:color w:val="auto"/>
              </w:rPr>
              <w:t>-</w:t>
            </w:r>
            <w:r>
              <w:rPr>
                <w:rFonts w:hint="eastAsia"/>
                <w:color w:val="auto"/>
              </w:rPr>
              <w:t>115973</w:t>
            </w:r>
            <w:r>
              <w:rPr>
                <w:color w:val="auto"/>
              </w:rPr>
              <w:t>。根据投资项目备案证，本项目占地面积约2900m</w:t>
            </w:r>
            <w:r>
              <w:rPr>
                <w:color w:val="auto"/>
                <w:vertAlign w:val="superscript"/>
              </w:rPr>
              <w:t>2</w:t>
            </w:r>
            <w:r>
              <w:rPr>
                <w:color w:val="auto"/>
              </w:rPr>
              <w:t>，年生产改性塑料</w:t>
            </w:r>
            <w:r>
              <w:rPr>
                <w:rFonts w:hint="eastAsia"/>
                <w:color w:val="auto"/>
              </w:rPr>
              <w:t>5</w:t>
            </w:r>
            <w:r>
              <w:rPr>
                <w:color w:val="auto"/>
              </w:rPr>
              <w:t>000t。</w:t>
            </w:r>
          </w:p>
          <w:p>
            <w:pPr>
              <w:autoSpaceDE w:val="0"/>
              <w:autoSpaceDN w:val="0"/>
              <w:spacing w:line="360" w:lineRule="auto"/>
              <w:ind w:firstLine="480" w:firstLineChars="200"/>
              <w:rPr>
                <w:color w:val="auto"/>
                <w:sz w:val="24"/>
              </w:rPr>
            </w:pPr>
            <w:r>
              <w:rPr>
                <w:rFonts w:hint="eastAsia"/>
                <w:color w:val="auto"/>
                <w:sz w:val="24"/>
              </w:rPr>
              <w:t>根据《中华人民共和国环境保护法》、《中华人民共和国环境影响评价法》、《建设项目环境保护管理条例》及国家有关法律法规，根据《建设项目环境影响评价分类管理名录（2021版）》规定，拟建项目属于“二十六、橡胶和塑料制品业、53塑料制品业292、其他（年用非溶剂型低VOCs含量涂料10吨以下的除外）”，应当编制环境影响报告表。为此，云南塑发科技有限公司委托我单位承担该项目的环境影响评价工作（委托书见附件）。我单位接受委托后进行了实地踏勘，收集有关资料，按照环境影响评价有关技术规范，编制了《</w:t>
            </w:r>
            <w:r>
              <w:rPr>
                <w:color w:val="auto"/>
                <w:sz w:val="24"/>
              </w:rPr>
              <w:t>云南塑发科技有限公司新建改性塑料生产建设项目</w:t>
            </w:r>
            <w:r>
              <w:rPr>
                <w:rFonts w:hint="eastAsia"/>
                <w:color w:val="auto"/>
                <w:sz w:val="24"/>
              </w:rPr>
              <w:t>环境影响报告表》，供建设单位上报审批。</w:t>
            </w:r>
          </w:p>
          <w:p>
            <w:pPr>
              <w:adjustRightInd w:val="0"/>
              <w:snapToGrid w:val="0"/>
              <w:spacing w:line="360" w:lineRule="auto"/>
              <w:ind w:firstLine="482" w:firstLineChars="200"/>
              <w:outlineLvl w:val="0"/>
              <w:rPr>
                <w:b/>
                <w:bCs/>
                <w:color w:val="auto"/>
                <w:sz w:val="24"/>
              </w:rPr>
            </w:pPr>
            <w:r>
              <w:rPr>
                <w:rFonts w:hint="eastAsia"/>
                <w:b/>
                <w:bCs/>
                <w:color w:val="auto"/>
                <w:sz w:val="24"/>
              </w:rPr>
              <w:t>2</w:t>
            </w:r>
            <w:r>
              <w:rPr>
                <w:b/>
                <w:bCs/>
                <w:color w:val="auto"/>
                <w:sz w:val="24"/>
              </w:rPr>
              <w:t>、项目</w:t>
            </w:r>
            <w:r>
              <w:rPr>
                <w:rFonts w:hint="eastAsia"/>
                <w:b/>
                <w:bCs/>
                <w:color w:val="auto"/>
                <w:sz w:val="24"/>
              </w:rPr>
              <w:t>建设内容及工程规模</w:t>
            </w:r>
          </w:p>
          <w:p>
            <w:pPr>
              <w:adjustRightInd w:val="0"/>
              <w:snapToGrid w:val="0"/>
              <w:spacing w:line="360" w:lineRule="auto"/>
              <w:ind w:firstLine="482" w:firstLineChars="200"/>
              <w:rPr>
                <w:color w:val="auto"/>
                <w:sz w:val="24"/>
              </w:rPr>
            </w:pPr>
            <w:r>
              <w:rPr>
                <w:b/>
                <w:color w:val="auto"/>
                <w:sz w:val="24"/>
              </w:rPr>
              <w:t>（1）项目名称：</w:t>
            </w:r>
            <w:r>
              <w:rPr>
                <w:color w:val="auto"/>
                <w:sz w:val="24"/>
              </w:rPr>
              <w:t>云南塑发科技有限公司新建改性塑料生产建设项目</w:t>
            </w:r>
          </w:p>
          <w:p>
            <w:pPr>
              <w:adjustRightInd w:val="0"/>
              <w:snapToGrid w:val="0"/>
              <w:spacing w:line="360" w:lineRule="auto"/>
              <w:ind w:firstLine="482" w:firstLineChars="200"/>
              <w:rPr>
                <w:color w:val="auto"/>
                <w:sz w:val="24"/>
              </w:rPr>
            </w:pPr>
            <w:r>
              <w:rPr>
                <w:b/>
                <w:color w:val="auto"/>
                <w:sz w:val="24"/>
              </w:rPr>
              <w:t>（2）建设单位：</w:t>
            </w:r>
            <w:r>
              <w:rPr>
                <w:color w:val="auto"/>
                <w:sz w:val="24"/>
              </w:rPr>
              <w:t>云南塑发科技有限公司</w:t>
            </w:r>
          </w:p>
          <w:p>
            <w:pPr>
              <w:adjustRightInd w:val="0"/>
              <w:snapToGrid w:val="0"/>
              <w:spacing w:line="360" w:lineRule="auto"/>
              <w:ind w:firstLine="482" w:firstLineChars="200"/>
              <w:rPr>
                <w:bCs/>
                <w:color w:val="auto"/>
                <w:sz w:val="24"/>
              </w:rPr>
            </w:pPr>
            <w:r>
              <w:rPr>
                <w:b/>
                <w:color w:val="auto"/>
                <w:sz w:val="24"/>
              </w:rPr>
              <w:t>（3）</w:t>
            </w:r>
            <w:r>
              <w:rPr>
                <w:rFonts w:hint="eastAsia"/>
                <w:b/>
                <w:color w:val="auto"/>
                <w:sz w:val="24"/>
              </w:rPr>
              <w:t>建设性质：</w:t>
            </w:r>
            <w:r>
              <w:rPr>
                <w:rFonts w:hint="eastAsia"/>
                <w:bCs/>
                <w:color w:val="auto"/>
                <w:sz w:val="24"/>
              </w:rPr>
              <w:t>新建</w:t>
            </w:r>
          </w:p>
          <w:p>
            <w:pPr>
              <w:adjustRightInd w:val="0"/>
              <w:snapToGrid w:val="0"/>
              <w:spacing w:line="360" w:lineRule="auto"/>
              <w:ind w:firstLine="482" w:firstLineChars="200"/>
              <w:rPr>
                <w:bCs/>
                <w:color w:val="auto"/>
                <w:sz w:val="24"/>
              </w:rPr>
            </w:pPr>
            <w:r>
              <w:rPr>
                <w:rFonts w:hint="eastAsia"/>
                <w:b/>
                <w:color w:val="auto"/>
                <w:sz w:val="24"/>
              </w:rPr>
              <w:t>（4）</w:t>
            </w:r>
            <w:r>
              <w:rPr>
                <w:b/>
                <w:color w:val="auto"/>
                <w:sz w:val="24"/>
              </w:rPr>
              <w:t>建设地点：</w:t>
            </w:r>
            <w:r>
              <w:rPr>
                <w:color w:val="auto"/>
                <w:sz w:val="24"/>
              </w:rPr>
              <w:t>寻甸特色产业园区羊街片区（云南鹏腾机械设备制造有限公司</w:t>
            </w:r>
            <w:r>
              <w:rPr>
                <w:rFonts w:hint="eastAsia"/>
                <w:color w:val="auto"/>
                <w:sz w:val="24"/>
              </w:rPr>
              <w:t>1号厂房11跨</w:t>
            </w:r>
            <w:r>
              <w:rPr>
                <w:color w:val="auto"/>
                <w:sz w:val="24"/>
              </w:rPr>
              <w:t>内）</w:t>
            </w:r>
          </w:p>
          <w:p>
            <w:pPr>
              <w:spacing w:line="360" w:lineRule="auto"/>
              <w:ind w:firstLine="482" w:firstLineChars="200"/>
              <w:rPr>
                <w:color w:val="auto"/>
                <w:sz w:val="24"/>
              </w:rPr>
            </w:pPr>
            <w:r>
              <w:rPr>
                <w:b/>
                <w:color w:val="auto"/>
                <w:sz w:val="24"/>
              </w:rPr>
              <w:t>（</w:t>
            </w:r>
            <w:r>
              <w:rPr>
                <w:rFonts w:hint="eastAsia"/>
                <w:b/>
                <w:color w:val="auto"/>
                <w:sz w:val="24"/>
              </w:rPr>
              <w:t>5</w:t>
            </w:r>
            <w:r>
              <w:rPr>
                <w:b/>
                <w:color w:val="auto"/>
                <w:sz w:val="24"/>
              </w:rPr>
              <w:t>）建设内容及规模：</w:t>
            </w:r>
            <w:r>
              <w:rPr>
                <w:rFonts w:hint="eastAsia"/>
                <w:b w:val="0"/>
                <w:bCs/>
                <w:color w:val="auto"/>
                <w:sz w:val="24"/>
                <w:lang w:val="en-US" w:eastAsia="zh-CN"/>
              </w:rPr>
              <w:t>项目租用云南鹏腾机械设备制造有限公司1号厂房11跨进行建设，项目</w:t>
            </w:r>
            <w:r>
              <w:rPr>
                <w:rFonts w:hint="eastAsia"/>
                <w:color w:val="auto"/>
                <w:sz w:val="24"/>
              </w:rPr>
              <w:t>总面积2900m</w:t>
            </w:r>
            <w:r>
              <w:rPr>
                <w:rFonts w:hint="eastAsia"/>
                <w:color w:val="auto"/>
                <w:sz w:val="24"/>
                <w:vertAlign w:val="superscript"/>
              </w:rPr>
              <w:t>2</w:t>
            </w:r>
            <w:r>
              <w:rPr>
                <w:rFonts w:hint="eastAsia"/>
                <w:color w:val="auto"/>
                <w:sz w:val="24"/>
              </w:rPr>
              <w:t>（约4.35亩），其中</w:t>
            </w:r>
            <w:r>
              <w:rPr>
                <w:rFonts w:hint="eastAsia"/>
                <w:color w:val="auto"/>
                <w:sz w:val="24"/>
                <w:lang w:val="en-US" w:eastAsia="zh-CN"/>
              </w:rPr>
              <w:t>包括</w:t>
            </w:r>
            <w:r>
              <w:rPr>
                <w:rFonts w:hint="eastAsia"/>
                <w:color w:val="auto"/>
                <w:sz w:val="24"/>
              </w:rPr>
              <w:t>生产车间1600平方米，原料暂存区500平方米；成品仓库700平方米；办公室300平方米，同时配套建设道路、停车场、围墙、绿化、环保设施、供配电、给排水、消防等公用辅助工程，项目投产后，年生产改性塑料5000吨。</w:t>
            </w:r>
          </w:p>
          <w:p>
            <w:pPr>
              <w:pStyle w:val="4"/>
              <w:spacing w:before="0" w:after="0" w:line="360" w:lineRule="auto"/>
              <w:ind w:left="0" w:firstLine="482" w:firstLineChars="200"/>
              <w:rPr>
                <w:rFonts w:eastAsia="宋体"/>
                <w:color w:val="auto"/>
                <w:kern w:val="2"/>
                <w:sz w:val="24"/>
                <w:szCs w:val="24"/>
              </w:rPr>
            </w:pPr>
            <w:r>
              <w:rPr>
                <w:rFonts w:eastAsia="宋体"/>
                <w:color w:val="auto"/>
                <w:kern w:val="2"/>
                <w:sz w:val="24"/>
                <w:szCs w:val="24"/>
              </w:rPr>
              <w:t>（</w:t>
            </w:r>
            <w:r>
              <w:rPr>
                <w:rFonts w:hint="eastAsia" w:eastAsia="宋体"/>
                <w:color w:val="auto"/>
                <w:kern w:val="2"/>
                <w:sz w:val="24"/>
                <w:szCs w:val="24"/>
              </w:rPr>
              <w:t>6</w:t>
            </w:r>
            <w:r>
              <w:rPr>
                <w:rFonts w:eastAsia="宋体"/>
                <w:color w:val="auto"/>
                <w:kern w:val="2"/>
                <w:sz w:val="24"/>
                <w:szCs w:val="24"/>
              </w:rPr>
              <w:t>）工程组成</w:t>
            </w:r>
          </w:p>
          <w:p>
            <w:pPr>
              <w:spacing w:line="360" w:lineRule="auto"/>
              <w:ind w:firstLine="480" w:firstLineChars="200"/>
              <w:rPr>
                <w:color w:val="auto"/>
                <w:sz w:val="24"/>
              </w:rPr>
            </w:pPr>
            <w:r>
              <w:rPr>
                <w:rFonts w:hint="eastAsia"/>
                <w:color w:val="auto"/>
                <w:sz w:val="24"/>
              </w:rPr>
              <w:t>项目租用云南鹏腾机械设备制造有限公司在寻甸特色产业园羊街片区3号地块建设的厂房第1号厂房11跨，建设6条改性塑料生产线，租用2号宿舍楼作为项目生活综合楼。</w:t>
            </w:r>
            <w:r>
              <w:rPr>
                <w:color w:val="auto"/>
                <w:sz w:val="24"/>
              </w:rPr>
              <w:t>建设单位主要对租用厂房进行装修，合理布局生产设施设备，新建生产线，同时</w:t>
            </w:r>
            <w:r>
              <w:rPr>
                <w:color w:val="auto"/>
                <w:kern w:val="0"/>
                <w:sz w:val="24"/>
              </w:rPr>
              <w:t>配套相应的辅助设施和环保设施。</w:t>
            </w:r>
          </w:p>
          <w:p>
            <w:pPr>
              <w:spacing w:line="360" w:lineRule="auto"/>
              <w:ind w:firstLine="480" w:firstLineChars="200"/>
              <w:rPr>
                <w:color w:val="auto"/>
                <w:sz w:val="24"/>
              </w:rPr>
            </w:pPr>
            <w:r>
              <w:rPr>
                <w:color w:val="auto"/>
                <w:kern w:val="0"/>
                <w:sz w:val="24"/>
              </w:rPr>
              <w:t>本项目主要建设内容分为主体工程、辅助工程、公用工程、储运工程、环保工程。</w:t>
            </w:r>
            <w:r>
              <w:rPr>
                <w:color w:val="auto"/>
                <w:sz w:val="24"/>
              </w:rPr>
              <w:t>各工程具体建设内容详见表2-1。</w:t>
            </w:r>
          </w:p>
          <w:p>
            <w:pPr>
              <w:adjustRightInd w:val="0"/>
              <w:snapToGrid w:val="0"/>
              <w:spacing w:line="360" w:lineRule="auto"/>
              <w:jc w:val="center"/>
              <w:outlineLvl w:val="0"/>
              <w:rPr>
                <w:b/>
                <w:bCs/>
                <w:color w:val="auto"/>
                <w:sz w:val="24"/>
              </w:rPr>
            </w:pPr>
            <w:r>
              <w:rPr>
                <w:b/>
                <w:bCs/>
                <w:color w:val="auto"/>
                <w:sz w:val="24"/>
              </w:rPr>
              <w:t>表2-1  建设项目工程组成一览表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655"/>
              <w:gridCol w:w="695"/>
              <w:gridCol w:w="870"/>
              <w:gridCol w:w="3917"/>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88" w:type="pct"/>
                  <w:vAlign w:val="center"/>
                </w:tcPr>
                <w:p>
                  <w:pPr>
                    <w:pStyle w:val="51"/>
                    <w:spacing w:beforeLines="0" w:afterLines="0" w:line="240" w:lineRule="auto"/>
                    <w:rPr>
                      <w:rFonts w:ascii="Times New Roman"/>
                      <w:color w:val="auto"/>
                      <w:szCs w:val="21"/>
                    </w:rPr>
                  </w:pPr>
                  <w:r>
                    <w:rPr>
                      <w:rFonts w:ascii="Times New Roman"/>
                      <w:color w:val="auto"/>
                      <w:szCs w:val="21"/>
                    </w:rPr>
                    <w:t>序号</w:t>
                  </w:r>
                </w:p>
              </w:tc>
              <w:tc>
                <w:tcPr>
                  <w:tcW w:w="423" w:type="pct"/>
                  <w:vAlign w:val="center"/>
                </w:tcPr>
                <w:p>
                  <w:pPr>
                    <w:pStyle w:val="51"/>
                    <w:spacing w:beforeLines="0" w:afterLines="0" w:line="240" w:lineRule="auto"/>
                    <w:rPr>
                      <w:rFonts w:ascii="Times New Roman"/>
                      <w:color w:val="auto"/>
                      <w:szCs w:val="21"/>
                    </w:rPr>
                  </w:pPr>
                  <w:r>
                    <w:rPr>
                      <w:rFonts w:ascii="Times New Roman"/>
                      <w:color w:val="auto"/>
                      <w:szCs w:val="21"/>
                    </w:rPr>
                    <w:t>工程</w:t>
                  </w:r>
                </w:p>
              </w:tc>
              <w:tc>
                <w:tcPr>
                  <w:tcW w:w="449" w:type="pct"/>
                  <w:vAlign w:val="center"/>
                </w:tcPr>
                <w:p>
                  <w:pPr>
                    <w:pStyle w:val="51"/>
                    <w:spacing w:beforeLines="0" w:afterLines="0" w:line="240" w:lineRule="auto"/>
                    <w:rPr>
                      <w:rFonts w:ascii="Times New Roman"/>
                      <w:color w:val="auto"/>
                      <w:szCs w:val="21"/>
                    </w:rPr>
                  </w:pPr>
                  <w:r>
                    <w:rPr>
                      <w:rFonts w:ascii="Times New Roman"/>
                      <w:color w:val="auto"/>
                      <w:szCs w:val="21"/>
                    </w:rPr>
                    <w:t>工程名称</w:t>
                  </w:r>
                </w:p>
              </w:tc>
              <w:tc>
                <w:tcPr>
                  <w:tcW w:w="3092" w:type="pct"/>
                  <w:gridSpan w:val="2"/>
                  <w:vAlign w:val="center"/>
                </w:tcPr>
                <w:p>
                  <w:pPr>
                    <w:pStyle w:val="51"/>
                    <w:spacing w:beforeLines="0" w:afterLines="0" w:line="240" w:lineRule="auto"/>
                    <w:rPr>
                      <w:rFonts w:ascii="Times New Roman"/>
                      <w:color w:val="auto"/>
                      <w:szCs w:val="21"/>
                    </w:rPr>
                  </w:pPr>
                  <w:r>
                    <w:rPr>
                      <w:rFonts w:ascii="Times New Roman"/>
                      <w:color w:val="auto"/>
                      <w:szCs w:val="21"/>
                    </w:rPr>
                    <w:t>建设内容及功能</w:t>
                  </w:r>
                </w:p>
              </w:tc>
              <w:tc>
                <w:tcPr>
                  <w:tcW w:w="746" w:type="pct"/>
                  <w:vAlign w:val="center"/>
                </w:tcPr>
                <w:p>
                  <w:pPr>
                    <w:pStyle w:val="51"/>
                    <w:spacing w:beforeLines="0" w:afterLines="0" w:line="240" w:lineRule="auto"/>
                    <w:rPr>
                      <w:rFonts w:ascii="Times New Roman"/>
                      <w:color w:val="auto"/>
                      <w:szCs w:val="21"/>
                    </w:rPr>
                  </w:pPr>
                  <w:r>
                    <w:rPr>
                      <w:rFonts w:ascii="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288" w:type="pct"/>
                  <w:vMerge w:val="restart"/>
                  <w:vAlign w:val="center"/>
                </w:tcPr>
                <w:p>
                  <w:pPr>
                    <w:pStyle w:val="51"/>
                    <w:spacing w:beforeLines="0" w:afterLines="0" w:line="240" w:lineRule="auto"/>
                    <w:rPr>
                      <w:rFonts w:ascii="Times New Roman"/>
                      <w:b w:val="0"/>
                      <w:bCs/>
                      <w:color w:val="auto"/>
                      <w:szCs w:val="21"/>
                    </w:rPr>
                  </w:pPr>
                  <w:r>
                    <w:rPr>
                      <w:rFonts w:ascii="Times New Roman"/>
                      <w:b w:val="0"/>
                      <w:bCs/>
                      <w:color w:val="auto"/>
                      <w:szCs w:val="21"/>
                    </w:rPr>
                    <w:t>1</w:t>
                  </w:r>
                </w:p>
              </w:tc>
              <w:tc>
                <w:tcPr>
                  <w:tcW w:w="423" w:type="pct"/>
                  <w:vMerge w:val="restart"/>
                  <w:vAlign w:val="center"/>
                </w:tcPr>
                <w:p>
                  <w:pPr>
                    <w:pStyle w:val="51"/>
                    <w:spacing w:beforeLines="0" w:afterLines="0" w:line="240" w:lineRule="auto"/>
                    <w:rPr>
                      <w:rFonts w:ascii="Times New Roman"/>
                      <w:b w:val="0"/>
                      <w:bCs/>
                      <w:color w:val="auto"/>
                      <w:szCs w:val="21"/>
                    </w:rPr>
                  </w:pPr>
                  <w:r>
                    <w:rPr>
                      <w:rFonts w:ascii="Times New Roman"/>
                      <w:b w:val="0"/>
                      <w:bCs/>
                      <w:color w:val="auto"/>
                      <w:szCs w:val="21"/>
                    </w:rPr>
                    <w:t>主体</w:t>
                  </w:r>
                </w:p>
                <w:p>
                  <w:pPr>
                    <w:pStyle w:val="51"/>
                    <w:spacing w:beforeLines="0" w:afterLines="0" w:line="240" w:lineRule="auto"/>
                    <w:rPr>
                      <w:rFonts w:ascii="Times New Roman"/>
                      <w:b w:val="0"/>
                      <w:bCs/>
                      <w:color w:val="auto"/>
                      <w:szCs w:val="21"/>
                    </w:rPr>
                  </w:pPr>
                  <w:r>
                    <w:rPr>
                      <w:rFonts w:ascii="Times New Roman"/>
                      <w:b w:val="0"/>
                      <w:bCs/>
                      <w:color w:val="auto"/>
                      <w:szCs w:val="21"/>
                    </w:rPr>
                    <w:t>工程</w:t>
                  </w:r>
                </w:p>
              </w:tc>
              <w:tc>
                <w:tcPr>
                  <w:tcW w:w="449" w:type="pct"/>
                  <w:vAlign w:val="center"/>
                </w:tcPr>
                <w:p>
                  <w:pPr>
                    <w:jc w:val="center"/>
                    <w:rPr>
                      <w:snapToGrid w:val="0"/>
                      <w:color w:val="auto"/>
                      <w:szCs w:val="21"/>
                    </w:rPr>
                  </w:pPr>
                  <w:r>
                    <w:rPr>
                      <w:snapToGrid w:val="0"/>
                      <w:color w:val="auto"/>
                      <w:szCs w:val="21"/>
                    </w:rPr>
                    <w:t>生产</w:t>
                  </w:r>
                </w:p>
                <w:p>
                  <w:pPr>
                    <w:jc w:val="center"/>
                    <w:rPr>
                      <w:bCs/>
                      <w:color w:val="auto"/>
                      <w:szCs w:val="21"/>
                    </w:rPr>
                  </w:pPr>
                  <w:r>
                    <w:rPr>
                      <w:snapToGrid w:val="0"/>
                      <w:color w:val="auto"/>
                      <w:szCs w:val="21"/>
                    </w:rPr>
                    <w:t>车间</w:t>
                  </w:r>
                </w:p>
              </w:tc>
              <w:tc>
                <w:tcPr>
                  <w:tcW w:w="3092" w:type="pct"/>
                  <w:gridSpan w:val="2"/>
                  <w:vAlign w:val="center"/>
                </w:tcPr>
                <w:p>
                  <w:pPr>
                    <w:rPr>
                      <w:bCs/>
                      <w:color w:val="auto"/>
                      <w:szCs w:val="21"/>
                    </w:rPr>
                  </w:pPr>
                  <w:r>
                    <w:rPr>
                      <w:color w:val="auto"/>
                      <w:szCs w:val="21"/>
                    </w:rPr>
                    <w:t>建筑面积1600m</w:t>
                  </w:r>
                  <w:r>
                    <w:rPr>
                      <w:color w:val="auto"/>
                      <w:szCs w:val="21"/>
                      <w:vertAlign w:val="superscript"/>
                    </w:rPr>
                    <w:t>2</w:t>
                  </w:r>
                  <w:r>
                    <w:rPr>
                      <w:color w:val="auto"/>
                      <w:szCs w:val="21"/>
                    </w:rPr>
                    <w:t>。设置6条</w:t>
                  </w:r>
                  <w:r>
                    <w:rPr>
                      <w:color w:val="auto"/>
                      <w:kern w:val="0"/>
                      <w:szCs w:val="21"/>
                    </w:rPr>
                    <w:t>再生塑料颗粒</w:t>
                  </w:r>
                  <w:r>
                    <w:rPr>
                      <w:color w:val="auto"/>
                      <w:szCs w:val="21"/>
                    </w:rPr>
                    <w:t>生产线，每条</w:t>
                  </w:r>
                  <w:r>
                    <w:rPr>
                      <w:color w:val="auto"/>
                      <w:kern w:val="0"/>
                      <w:szCs w:val="21"/>
                    </w:rPr>
                    <w:t>再生塑料颗粒</w:t>
                  </w:r>
                  <w:r>
                    <w:rPr>
                      <w:color w:val="auto"/>
                      <w:szCs w:val="21"/>
                    </w:rPr>
                    <w:t>生产线各生产833.33t/a。共计年生产再生塑料颗粒5000t/a。6条</w:t>
                  </w:r>
                  <w:r>
                    <w:rPr>
                      <w:color w:val="auto"/>
                      <w:kern w:val="0"/>
                      <w:szCs w:val="21"/>
                    </w:rPr>
                    <w:t>再生塑料颗粒</w:t>
                  </w:r>
                  <w:r>
                    <w:rPr>
                      <w:color w:val="auto"/>
                      <w:szCs w:val="21"/>
                    </w:rPr>
                    <w:t>生产线依次布置于租用厂房西北侧，设置混料工段、上料工段、熔融挤出工段、切割制粒工段、筛分工段、包装工段。</w:t>
                  </w:r>
                </w:p>
              </w:tc>
              <w:tc>
                <w:tcPr>
                  <w:tcW w:w="746" w:type="pct"/>
                  <w:vAlign w:val="center"/>
                </w:tcPr>
                <w:p>
                  <w:pPr>
                    <w:rPr>
                      <w:bCs/>
                      <w:color w:val="auto"/>
                      <w:szCs w:val="21"/>
                    </w:rPr>
                  </w:pPr>
                  <w:r>
                    <w:rPr>
                      <w:color w:val="auto"/>
                      <w:szCs w:val="21"/>
                    </w:rPr>
                    <w:t>新建，依托现有1号厂房</w:t>
                  </w:r>
                  <w:r>
                    <w:rPr>
                      <w:rFonts w:hint="eastAsia"/>
                      <w:color w:val="auto"/>
                      <w:szCs w:val="21"/>
                      <w:lang w:val="en-US" w:eastAsia="zh-CN"/>
                    </w:rPr>
                    <w:t>11跨</w:t>
                  </w:r>
                  <w:r>
                    <w:rPr>
                      <w:color w:val="auto"/>
                      <w:szCs w:val="21"/>
                    </w:rPr>
                    <w:t>进行装修建设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Merge w:val="restart"/>
                  <w:vAlign w:val="center"/>
                </w:tcPr>
                <w:p>
                  <w:pPr>
                    <w:jc w:val="center"/>
                    <w:rPr>
                      <w:bCs/>
                      <w:color w:val="auto"/>
                      <w:szCs w:val="21"/>
                    </w:rPr>
                  </w:pPr>
                  <w:r>
                    <w:rPr>
                      <w:snapToGrid w:val="0"/>
                      <w:color w:val="auto"/>
                      <w:szCs w:val="21"/>
                    </w:rPr>
                    <w:t>原料预处理区</w:t>
                  </w:r>
                </w:p>
              </w:tc>
              <w:tc>
                <w:tcPr>
                  <w:tcW w:w="3092" w:type="pct"/>
                  <w:gridSpan w:val="2"/>
                  <w:vAlign w:val="center"/>
                </w:tcPr>
                <w:p>
                  <w:pPr>
                    <w:rPr>
                      <w:bCs/>
                      <w:color w:val="auto"/>
                      <w:szCs w:val="21"/>
                    </w:rPr>
                  </w:pPr>
                  <w:r>
                    <w:rPr>
                      <w:color w:val="auto"/>
                      <w:szCs w:val="21"/>
                    </w:rPr>
                    <w:t>原料预处理区位于原料暂存区内，建筑面积100m</w:t>
                  </w:r>
                  <w:r>
                    <w:rPr>
                      <w:color w:val="auto"/>
                      <w:szCs w:val="21"/>
                      <w:vertAlign w:val="superscript"/>
                    </w:rPr>
                    <w:t>2</w:t>
                  </w:r>
                  <w:r>
                    <w:rPr>
                      <w:color w:val="auto"/>
                      <w:szCs w:val="21"/>
                    </w:rPr>
                    <w:t>。</w:t>
                  </w:r>
                </w:p>
              </w:tc>
              <w:tc>
                <w:tcPr>
                  <w:tcW w:w="746" w:type="pct"/>
                  <w:vMerge w:val="restart"/>
                  <w:vAlign w:val="center"/>
                </w:tcPr>
                <w:p>
                  <w:pPr>
                    <w:pStyle w:val="51"/>
                    <w:spacing w:beforeLines="0" w:afterLines="0" w:line="240" w:lineRule="auto"/>
                    <w:rPr>
                      <w:rFonts w:ascii="Times New Roman"/>
                      <w:b w:val="0"/>
                      <w:bCs/>
                      <w:color w:val="auto"/>
                      <w:szCs w:val="21"/>
                    </w:rPr>
                  </w:pPr>
                  <w:r>
                    <w:rPr>
                      <w:rFonts w:ascii="Times New Roman"/>
                      <w:b w:val="0"/>
                      <w:bCs/>
                      <w:color w:val="auto"/>
                      <w:szCs w:val="21"/>
                    </w:rPr>
                    <w:t>新建，依托现有</w:t>
                  </w:r>
                  <w:r>
                    <w:rPr>
                      <w:b w:val="0"/>
                      <w:bCs/>
                      <w:color w:val="auto"/>
                      <w:szCs w:val="21"/>
                    </w:rPr>
                    <w:t>1号厂房</w:t>
                  </w:r>
                  <w:r>
                    <w:rPr>
                      <w:rFonts w:hint="eastAsia"/>
                      <w:b w:val="0"/>
                      <w:bCs/>
                      <w:color w:val="auto"/>
                      <w:szCs w:val="21"/>
                      <w:lang w:val="en-US" w:eastAsia="zh-CN"/>
                    </w:rPr>
                    <w:t>11跨</w:t>
                  </w:r>
                  <w:r>
                    <w:rPr>
                      <w:rFonts w:ascii="Times New Roman"/>
                      <w:b w:val="0"/>
                      <w:bCs/>
                      <w:color w:val="auto"/>
                      <w:szCs w:val="21"/>
                    </w:rPr>
                    <w:t>进行装修建设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88" w:type="pct"/>
                  <w:vMerge w:val="continue"/>
                  <w:vAlign w:val="center"/>
                </w:tcPr>
                <w:p>
                  <w:pPr>
                    <w:pStyle w:val="51"/>
                    <w:spacing w:beforeLines="0" w:afterLines="0" w:line="240" w:lineRule="auto"/>
                    <w:rPr>
                      <w:rFonts w:ascii="Times New Roman"/>
                      <w:color w:val="auto"/>
                      <w:szCs w:val="21"/>
                    </w:rPr>
                  </w:pPr>
                </w:p>
              </w:tc>
              <w:tc>
                <w:tcPr>
                  <w:tcW w:w="423" w:type="pct"/>
                  <w:vMerge w:val="continue"/>
                  <w:vAlign w:val="center"/>
                </w:tcPr>
                <w:p>
                  <w:pPr>
                    <w:pStyle w:val="51"/>
                    <w:spacing w:beforeLines="0" w:afterLines="0" w:line="240" w:lineRule="auto"/>
                    <w:rPr>
                      <w:rFonts w:ascii="Times New Roman"/>
                      <w:color w:val="auto"/>
                      <w:szCs w:val="21"/>
                    </w:rPr>
                  </w:pPr>
                </w:p>
              </w:tc>
              <w:tc>
                <w:tcPr>
                  <w:tcW w:w="449" w:type="pct"/>
                  <w:vMerge w:val="continue"/>
                  <w:vAlign w:val="center"/>
                </w:tcPr>
                <w:p>
                  <w:pPr>
                    <w:jc w:val="center"/>
                    <w:rPr>
                      <w:color w:val="auto"/>
                      <w:szCs w:val="21"/>
                    </w:rPr>
                  </w:pPr>
                </w:p>
              </w:tc>
              <w:tc>
                <w:tcPr>
                  <w:tcW w:w="3092" w:type="pct"/>
                  <w:gridSpan w:val="2"/>
                  <w:vAlign w:val="center"/>
                </w:tcPr>
                <w:p>
                  <w:pPr>
                    <w:rPr>
                      <w:bCs/>
                      <w:color w:val="auto"/>
                      <w:szCs w:val="21"/>
                    </w:rPr>
                  </w:pPr>
                  <w:r>
                    <w:rPr>
                      <w:snapToGrid w:val="0"/>
                      <w:color w:val="auto"/>
                      <w:szCs w:val="21"/>
                    </w:rPr>
                    <w:t>设置2条原料预处理</w:t>
                  </w:r>
                  <w:r>
                    <w:rPr>
                      <w:color w:val="auto"/>
                      <w:szCs w:val="21"/>
                    </w:rPr>
                    <w:t>生产线，布置于原料暂存区东北侧，包括上料工段、除渣除铁工段、清洗工段、甩干工段、破碎工段。</w:t>
                  </w:r>
                </w:p>
              </w:tc>
              <w:tc>
                <w:tcPr>
                  <w:tcW w:w="746" w:type="pct"/>
                  <w:vMerge w:val="continue"/>
                  <w:vAlign w:val="center"/>
                </w:tcPr>
                <w:p>
                  <w:pPr>
                    <w:pStyle w:val="51"/>
                    <w:spacing w:beforeLines="0" w:afterLines="0" w:line="240" w:lineRule="auto"/>
                    <w:rPr>
                      <w:rFonts w:ascii="Times New Roman"/>
                      <w:b w:val="0"/>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88" w:type="pct"/>
                  <w:vMerge w:val="restart"/>
                  <w:vAlign w:val="center"/>
                </w:tcPr>
                <w:p>
                  <w:pPr>
                    <w:pStyle w:val="51"/>
                    <w:spacing w:beforeLines="0" w:afterLines="0" w:line="240" w:lineRule="auto"/>
                    <w:rPr>
                      <w:rFonts w:ascii="Times New Roman"/>
                      <w:b w:val="0"/>
                      <w:bCs/>
                      <w:color w:val="auto"/>
                      <w:szCs w:val="21"/>
                    </w:rPr>
                  </w:pPr>
                  <w:r>
                    <w:rPr>
                      <w:rFonts w:ascii="Times New Roman"/>
                      <w:b w:val="0"/>
                      <w:bCs/>
                      <w:color w:val="auto"/>
                      <w:szCs w:val="21"/>
                    </w:rPr>
                    <w:t>2</w:t>
                  </w:r>
                </w:p>
              </w:tc>
              <w:tc>
                <w:tcPr>
                  <w:tcW w:w="423" w:type="pct"/>
                  <w:vMerge w:val="restart"/>
                  <w:vAlign w:val="center"/>
                </w:tcPr>
                <w:p>
                  <w:pPr>
                    <w:pStyle w:val="51"/>
                    <w:spacing w:beforeLines="0" w:afterLines="0" w:line="240" w:lineRule="auto"/>
                    <w:rPr>
                      <w:rFonts w:ascii="Times New Roman"/>
                      <w:b w:val="0"/>
                      <w:bCs/>
                      <w:color w:val="auto"/>
                      <w:szCs w:val="21"/>
                    </w:rPr>
                  </w:pPr>
                  <w:r>
                    <w:rPr>
                      <w:rFonts w:ascii="Times New Roman"/>
                      <w:b w:val="0"/>
                      <w:bCs/>
                      <w:color w:val="auto"/>
                      <w:szCs w:val="21"/>
                    </w:rPr>
                    <w:t>辅助</w:t>
                  </w:r>
                </w:p>
                <w:p>
                  <w:pPr>
                    <w:pStyle w:val="51"/>
                    <w:spacing w:beforeLines="0" w:afterLines="0" w:line="240" w:lineRule="auto"/>
                    <w:rPr>
                      <w:rFonts w:ascii="Times New Roman"/>
                      <w:b w:val="0"/>
                      <w:bCs/>
                      <w:color w:val="auto"/>
                      <w:szCs w:val="21"/>
                    </w:rPr>
                  </w:pPr>
                  <w:r>
                    <w:rPr>
                      <w:rFonts w:ascii="Times New Roman"/>
                      <w:b w:val="0"/>
                      <w:bCs/>
                      <w:color w:val="auto"/>
                      <w:szCs w:val="21"/>
                    </w:rPr>
                    <w:t>工程</w:t>
                  </w:r>
                </w:p>
              </w:tc>
              <w:tc>
                <w:tcPr>
                  <w:tcW w:w="449" w:type="pct"/>
                  <w:vAlign w:val="center"/>
                </w:tcPr>
                <w:p>
                  <w:pPr>
                    <w:jc w:val="center"/>
                    <w:rPr>
                      <w:bCs/>
                      <w:color w:val="auto"/>
                      <w:szCs w:val="21"/>
                    </w:rPr>
                  </w:pPr>
                  <w:r>
                    <w:rPr>
                      <w:color w:val="auto"/>
                      <w:szCs w:val="21"/>
                    </w:rPr>
                    <w:t>生产办公区</w:t>
                  </w:r>
                </w:p>
              </w:tc>
              <w:tc>
                <w:tcPr>
                  <w:tcW w:w="3092" w:type="pct"/>
                  <w:gridSpan w:val="2"/>
                  <w:vAlign w:val="center"/>
                </w:tcPr>
                <w:p>
                  <w:pPr>
                    <w:rPr>
                      <w:bCs/>
                      <w:color w:val="auto"/>
                      <w:szCs w:val="21"/>
                    </w:rPr>
                  </w:pPr>
                  <w:r>
                    <w:rPr>
                      <w:color w:val="auto"/>
                      <w:szCs w:val="21"/>
                    </w:rPr>
                    <w:t>厂房内设置办公区1个，位于租用1号厂房东侧，为车间独立的半封闭间，占地面积150</w:t>
                  </w:r>
                  <w:r>
                    <w:rPr>
                      <w:color w:val="auto"/>
                      <w:kern w:val="0"/>
                      <w:szCs w:val="21"/>
                    </w:rPr>
                    <w:t>m</w:t>
                  </w:r>
                  <w:r>
                    <w:rPr>
                      <w:color w:val="auto"/>
                      <w:kern w:val="0"/>
                      <w:szCs w:val="21"/>
                      <w:vertAlign w:val="superscript"/>
                    </w:rPr>
                    <w:t>2</w:t>
                  </w:r>
                  <w:r>
                    <w:rPr>
                      <w:color w:val="auto"/>
                      <w:kern w:val="0"/>
                      <w:szCs w:val="21"/>
                    </w:rPr>
                    <w:t>，</w:t>
                  </w:r>
                  <w:r>
                    <w:rPr>
                      <w:color w:val="auto"/>
                      <w:szCs w:val="21"/>
                    </w:rPr>
                    <w:t>建筑面积300m</w:t>
                  </w:r>
                  <w:r>
                    <w:rPr>
                      <w:color w:val="auto"/>
                      <w:szCs w:val="21"/>
                      <w:vertAlign w:val="superscript"/>
                    </w:rPr>
                    <w:t>2</w:t>
                  </w:r>
                  <w:r>
                    <w:rPr>
                      <w:color w:val="auto"/>
                      <w:szCs w:val="21"/>
                    </w:rPr>
                    <w:t xml:space="preserve">。一层布置工具备品室1间，二层布置办公用房、会议室。 </w:t>
                  </w:r>
                </w:p>
              </w:tc>
              <w:tc>
                <w:tcPr>
                  <w:tcW w:w="746" w:type="pct"/>
                  <w:vAlign w:val="center"/>
                </w:tcPr>
                <w:p>
                  <w:pPr>
                    <w:jc w:val="center"/>
                    <w:rPr>
                      <w:bCs/>
                      <w:color w:val="auto"/>
                      <w:szCs w:val="21"/>
                    </w:rPr>
                  </w:pPr>
                  <w:r>
                    <w:rPr>
                      <w:color w:val="auto"/>
                      <w:szCs w:val="21"/>
                    </w:rPr>
                    <w:t>新建，依托现有1号厂房</w:t>
                  </w:r>
                  <w:r>
                    <w:rPr>
                      <w:rFonts w:hint="eastAsia"/>
                      <w:color w:val="auto"/>
                      <w:szCs w:val="21"/>
                      <w:lang w:val="en-US" w:eastAsia="zh-CN"/>
                    </w:rPr>
                    <w:t>11跨</w:t>
                  </w:r>
                  <w:r>
                    <w:rPr>
                      <w:color w:val="auto"/>
                      <w:szCs w:val="21"/>
                    </w:rPr>
                    <w:t>进行装修建设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Align w:val="center"/>
                </w:tcPr>
                <w:p>
                  <w:pPr>
                    <w:jc w:val="center"/>
                    <w:rPr>
                      <w:color w:val="auto"/>
                      <w:szCs w:val="21"/>
                    </w:rPr>
                  </w:pPr>
                  <w:r>
                    <w:rPr>
                      <w:color w:val="auto"/>
                      <w:szCs w:val="21"/>
                    </w:rPr>
                    <w:t>生活</w:t>
                  </w:r>
                </w:p>
                <w:p>
                  <w:pPr>
                    <w:jc w:val="center"/>
                    <w:rPr>
                      <w:bCs/>
                      <w:color w:val="auto"/>
                      <w:szCs w:val="21"/>
                    </w:rPr>
                  </w:pPr>
                  <w:r>
                    <w:rPr>
                      <w:color w:val="auto"/>
                      <w:szCs w:val="21"/>
                    </w:rPr>
                    <w:t>用房</w:t>
                  </w:r>
                </w:p>
              </w:tc>
              <w:tc>
                <w:tcPr>
                  <w:tcW w:w="3092" w:type="pct"/>
                  <w:gridSpan w:val="2"/>
                  <w:vAlign w:val="center"/>
                </w:tcPr>
                <w:p>
                  <w:pPr>
                    <w:pStyle w:val="11"/>
                    <w:spacing w:line="240" w:lineRule="auto"/>
                    <w:rPr>
                      <w:bCs/>
                      <w:color w:val="auto"/>
                      <w:sz w:val="21"/>
                      <w:szCs w:val="21"/>
                    </w:rPr>
                  </w:pPr>
                  <w:r>
                    <w:rPr>
                      <w:color w:val="auto"/>
                      <w:sz w:val="21"/>
                      <w:szCs w:val="21"/>
                    </w:rPr>
                    <w:t>本项目租用云南鹏腾机械设备制造有限公司2号宿舍楼其中一层，用于厂内员工住宿，租用楼层建筑面积约为400m</w:t>
                  </w:r>
                  <w:r>
                    <w:rPr>
                      <w:color w:val="auto"/>
                      <w:sz w:val="21"/>
                      <w:szCs w:val="21"/>
                      <w:vertAlign w:val="superscript"/>
                    </w:rPr>
                    <w:t>2</w:t>
                  </w:r>
                  <w:r>
                    <w:rPr>
                      <w:color w:val="auto"/>
                      <w:sz w:val="21"/>
                      <w:szCs w:val="21"/>
                    </w:rPr>
                    <w:t>。</w:t>
                  </w:r>
                </w:p>
              </w:tc>
              <w:tc>
                <w:tcPr>
                  <w:tcW w:w="746" w:type="pct"/>
                  <w:vAlign w:val="center"/>
                </w:tcPr>
                <w:p>
                  <w:pPr>
                    <w:jc w:val="center"/>
                    <w:rPr>
                      <w:bCs/>
                      <w:color w:val="auto"/>
                      <w:szCs w:val="21"/>
                    </w:rPr>
                  </w:pPr>
                  <w:r>
                    <w:rPr>
                      <w:color w:val="auto"/>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Align w:val="center"/>
                </w:tcPr>
                <w:p>
                  <w:pPr>
                    <w:widowControl/>
                    <w:jc w:val="center"/>
                    <w:rPr>
                      <w:bCs/>
                      <w:color w:val="auto"/>
                      <w:szCs w:val="21"/>
                    </w:rPr>
                  </w:pPr>
                  <w:r>
                    <w:rPr>
                      <w:color w:val="auto"/>
                      <w:kern w:val="0"/>
                      <w:szCs w:val="21"/>
                    </w:rPr>
                    <w:t>食堂</w:t>
                  </w:r>
                </w:p>
              </w:tc>
              <w:tc>
                <w:tcPr>
                  <w:tcW w:w="3092" w:type="pct"/>
                  <w:gridSpan w:val="2"/>
                  <w:vAlign w:val="center"/>
                </w:tcPr>
                <w:p>
                  <w:pPr>
                    <w:widowControl/>
                    <w:rPr>
                      <w:bCs/>
                      <w:color w:val="auto"/>
                      <w:szCs w:val="21"/>
                    </w:rPr>
                  </w:pPr>
                  <w:r>
                    <w:rPr>
                      <w:color w:val="auto"/>
                      <w:kern w:val="0"/>
                      <w:szCs w:val="21"/>
                    </w:rPr>
                    <w:t>食堂为</w:t>
                  </w:r>
                  <w:r>
                    <w:rPr>
                      <w:color w:val="auto"/>
                      <w:szCs w:val="21"/>
                    </w:rPr>
                    <w:t>云南鹏腾机械设备制造有限公司</w:t>
                  </w:r>
                  <w:r>
                    <w:rPr>
                      <w:color w:val="auto"/>
                      <w:kern w:val="0"/>
                      <w:szCs w:val="21"/>
                    </w:rPr>
                    <w:t>原有，共一层，高约4m，占地面积400m</w:t>
                  </w:r>
                  <w:r>
                    <w:rPr>
                      <w:color w:val="auto"/>
                      <w:kern w:val="0"/>
                      <w:szCs w:val="21"/>
                      <w:vertAlign w:val="superscript"/>
                    </w:rPr>
                    <w:t>2</w:t>
                  </w:r>
                  <w:r>
                    <w:rPr>
                      <w:color w:val="auto"/>
                      <w:kern w:val="0"/>
                      <w:szCs w:val="21"/>
                    </w:rPr>
                    <w:t>，本项目员工在此食堂内就餐。</w:t>
                  </w:r>
                </w:p>
              </w:tc>
              <w:tc>
                <w:tcPr>
                  <w:tcW w:w="746" w:type="pct"/>
                  <w:vAlign w:val="center"/>
                </w:tcPr>
                <w:p>
                  <w:pPr>
                    <w:jc w:val="center"/>
                    <w:rPr>
                      <w:bCs/>
                      <w:color w:val="auto"/>
                      <w:szCs w:val="21"/>
                    </w:rPr>
                  </w:pPr>
                  <w:r>
                    <w:rPr>
                      <w:color w:val="auto"/>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288" w:type="pct"/>
                  <w:vMerge w:val="restart"/>
                  <w:vAlign w:val="center"/>
                </w:tcPr>
                <w:p>
                  <w:pPr>
                    <w:pStyle w:val="51"/>
                    <w:spacing w:beforeLines="0" w:afterLines="0" w:line="240" w:lineRule="auto"/>
                    <w:rPr>
                      <w:rFonts w:ascii="Times New Roman"/>
                      <w:b w:val="0"/>
                      <w:bCs/>
                      <w:color w:val="auto"/>
                      <w:szCs w:val="21"/>
                    </w:rPr>
                  </w:pPr>
                  <w:r>
                    <w:rPr>
                      <w:rFonts w:ascii="Times New Roman"/>
                      <w:b w:val="0"/>
                      <w:bCs/>
                      <w:color w:val="auto"/>
                      <w:szCs w:val="21"/>
                    </w:rPr>
                    <w:t>3</w:t>
                  </w:r>
                </w:p>
              </w:tc>
              <w:tc>
                <w:tcPr>
                  <w:tcW w:w="423" w:type="pct"/>
                  <w:vMerge w:val="restart"/>
                  <w:vAlign w:val="center"/>
                </w:tcPr>
                <w:p>
                  <w:pPr>
                    <w:pStyle w:val="51"/>
                    <w:spacing w:beforeLines="0" w:afterLines="0" w:line="240" w:lineRule="auto"/>
                    <w:rPr>
                      <w:rFonts w:ascii="Times New Roman"/>
                      <w:b w:val="0"/>
                      <w:bCs/>
                      <w:color w:val="auto"/>
                      <w:szCs w:val="21"/>
                    </w:rPr>
                  </w:pPr>
                  <w:r>
                    <w:rPr>
                      <w:rFonts w:ascii="Times New Roman"/>
                      <w:b w:val="0"/>
                      <w:bCs/>
                      <w:color w:val="auto"/>
                      <w:szCs w:val="21"/>
                    </w:rPr>
                    <w:t>储运工程</w:t>
                  </w:r>
                </w:p>
              </w:tc>
              <w:tc>
                <w:tcPr>
                  <w:tcW w:w="449" w:type="pct"/>
                  <w:vAlign w:val="center"/>
                </w:tcPr>
                <w:p>
                  <w:pPr>
                    <w:jc w:val="center"/>
                    <w:rPr>
                      <w:color w:val="auto"/>
                      <w:szCs w:val="21"/>
                    </w:rPr>
                  </w:pPr>
                  <w:r>
                    <w:rPr>
                      <w:color w:val="auto"/>
                      <w:szCs w:val="21"/>
                    </w:rPr>
                    <w:t>原料</w:t>
                  </w:r>
                </w:p>
                <w:p>
                  <w:pPr>
                    <w:jc w:val="center"/>
                    <w:rPr>
                      <w:color w:val="auto"/>
                      <w:kern w:val="0"/>
                      <w:szCs w:val="21"/>
                    </w:rPr>
                  </w:pPr>
                  <w:r>
                    <w:rPr>
                      <w:color w:val="auto"/>
                      <w:szCs w:val="21"/>
                    </w:rPr>
                    <w:t>暂存区</w:t>
                  </w:r>
                </w:p>
              </w:tc>
              <w:tc>
                <w:tcPr>
                  <w:tcW w:w="3092" w:type="pct"/>
                  <w:gridSpan w:val="2"/>
                  <w:vAlign w:val="center"/>
                </w:tcPr>
                <w:p>
                  <w:pPr>
                    <w:rPr>
                      <w:color w:val="auto"/>
                      <w:szCs w:val="21"/>
                    </w:rPr>
                  </w:pPr>
                  <w:r>
                    <w:rPr>
                      <w:color w:val="auto"/>
                      <w:szCs w:val="21"/>
                    </w:rPr>
                    <w:t>设置原料暂存区1个，占地面积500</w:t>
                  </w:r>
                  <w:r>
                    <w:rPr>
                      <w:color w:val="auto"/>
                      <w:kern w:val="0"/>
                      <w:szCs w:val="21"/>
                    </w:rPr>
                    <w:t>m</w:t>
                  </w:r>
                  <w:r>
                    <w:rPr>
                      <w:color w:val="auto"/>
                      <w:kern w:val="0"/>
                      <w:szCs w:val="21"/>
                      <w:vertAlign w:val="superscript"/>
                    </w:rPr>
                    <w:t>2</w:t>
                  </w:r>
                  <w:r>
                    <w:rPr>
                      <w:color w:val="auto"/>
                      <w:kern w:val="0"/>
                      <w:szCs w:val="21"/>
                    </w:rPr>
                    <w:t>，</w:t>
                  </w:r>
                  <w:r>
                    <w:rPr>
                      <w:color w:val="auto"/>
                      <w:szCs w:val="21"/>
                    </w:rPr>
                    <w:t>项目在租用1号厂房东南侧分区设置原料暂存区，原料暂存区地面为水泥硬化，原料袋装入场后进入原料暂存区暂存。最大储存量为100t，能满足6天生产需求。</w:t>
                  </w:r>
                </w:p>
                <w:p>
                  <w:pPr>
                    <w:rPr>
                      <w:color w:val="auto"/>
                      <w:kern w:val="0"/>
                      <w:szCs w:val="21"/>
                    </w:rPr>
                  </w:pPr>
                  <w:r>
                    <w:rPr>
                      <w:color w:val="auto"/>
                      <w:szCs w:val="21"/>
                    </w:rPr>
                    <w:t>6条</w:t>
                  </w:r>
                  <w:r>
                    <w:rPr>
                      <w:color w:val="auto"/>
                      <w:kern w:val="0"/>
                      <w:szCs w:val="21"/>
                    </w:rPr>
                    <w:t>再生塑料颗粒</w:t>
                  </w:r>
                  <w:r>
                    <w:rPr>
                      <w:color w:val="auto"/>
                      <w:szCs w:val="21"/>
                    </w:rPr>
                    <w:t>生产线共用1个原料暂存区。</w:t>
                  </w:r>
                </w:p>
              </w:tc>
              <w:tc>
                <w:tcPr>
                  <w:tcW w:w="746" w:type="pct"/>
                  <w:vAlign w:val="center"/>
                </w:tcPr>
                <w:p>
                  <w:pPr>
                    <w:rPr>
                      <w:color w:val="auto"/>
                      <w:szCs w:val="21"/>
                    </w:rPr>
                  </w:pPr>
                  <w:r>
                    <w:rPr>
                      <w:color w:val="auto"/>
                      <w:szCs w:val="21"/>
                    </w:rPr>
                    <w:t>新建，依托现有1号厂房</w:t>
                  </w:r>
                  <w:r>
                    <w:rPr>
                      <w:rFonts w:hint="eastAsia"/>
                      <w:color w:val="auto"/>
                      <w:szCs w:val="21"/>
                      <w:lang w:val="en-US" w:eastAsia="zh-CN"/>
                    </w:rPr>
                    <w:t>11跨</w:t>
                  </w:r>
                  <w:r>
                    <w:rPr>
                      <w:color w:val="auto"/>
                      <w:szCs w:val="21"/>
                    </w:rPr>
                    <w:t>进行装修建设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Align w:val="center"/>
                </w:tcPr>
                <w:p>
                  <w:pPr>
                    <w:jc w:val="center"/>
                    <w:rPr>
                      <w:color w:val="auto"/>
                      <w:szCs w:val="21"/>
                    </w:rPr>
                  </w:pPr>
                  <w:r>
                    <w:rPr>
                      <w:color w:val="auto"/>
                      <w:szCs w:val="21"/>
                    </w:rPr>
                    <w:t>预处理</w:t>
                  </w:r>
                </w:p>
                <w:p>
                  <w:pPr>
                    <w:jc w:val="center"/>
                    <w:rPr>
                      <w:color w:val="auto"/>
                      <w:szCs w:val="21"/>
                    </w:rPr>
                  </w:pPr>
                  <w:r>
                    <w:rPr>
                      <w:color w:val="auto"/>
                      <w:szCs w:val="21"/>
                    </w:rPr>
                    <w:t>原料</w:t>
                  </w:r>
                </w:p>
                <w:p>
                  <w:pPr>
                    <w:jc w:val="center"/>
                    <w:rPr>
                      <w:color w:val="auto"/>
                      <w:kern w:val="0"/>
                      <w:szCs w:val="21"/>
                    </w:rPr>
                  </w:pPr>
                  <w:r>
                    <w:rPr>
                      <w:color w:val="auto"/>
                      <w:szCs w:val="21"/>
                    </w:rPr>
                    <w:t>暂存区</w:t>
                  </w:r>
                </w:p>
              </w:tc>
              <w:tc>
                <w:tcPr>
                  <w:tcW w:w="3092" w:type="pct"/>
                  <w:gridSpan w:val="2"/>
                  <w:vAlign w:val="center"/>
                </w:tcPr>
                <w:p>
                  <w:pPr>
                    <w:rPr>
                      <w:color w:val="auto"/>
                      <w:kern w:val="0"/>
                      <w:szCs w:val="21"/>
                    </w:rPr>
                  </w:pPr>
                  <w:r>
                    <w:rPr>
                      <w:color w:val="auto"/>
                      <w:szCs w:val="21"/>
                    </w:rPr>
                    <w:t>设置预处理原料暂存区1个，占地面积200m</w:t>
                  </w:r>
                  <w:r>
                    <w:rPr>
                      <w:color w:val="auto"/>
                      <w:szCs w:val="21"/>
                      <w:vertAlign w:val="superscript"/>
                    </w:rPr>
                    <w:t>2</w:t>
                  </w:r>
                  <w:r>
                    <w:rPr>
                      <w:color w:val="auto"/>
                      <w:szCs w:val="21"/>
                    </w:rPr>
                    <w:t>。项目在租用1号厂房东北侧分区设置预处理原料暂存区，预处理原料暂存区地面为水泥硬化，用于暂存预处理后的原料。最大储存量为100t，能满足6天生产需求</w:t>
                  </w:r>
                </w:p>
              </w:tc>
              <w:tc>
                <w:tcPr>
                  <w:tcW w:w="746" w:type="pct"/>
                  <w:vAlign w:val="center"/>
                </w:tcPr>
                <w:p>
                  <w:pPr>
                    <w:rPr>
                      <w:color w:val="auto"/>
                      <w:szCs w:val="21"/>
                    </w:rPr>
                  </w:pPr>
                  <w:r>
                    <w:rPr>
                      <w:color w:val="auto"/>
                      <w:szCs w:val="21"/>
                    </w:rPr>
                    <w:t>新建，依托现有1号厂房</w:t>
                  </w:r>
                  <w:r>
                    <w:rPr>
                      <w:rFonts w:hint="eastAsia"/>
                      <w:color w:val="auto"/>
                      <w:szCs w:val="21"/>
                      <w:lang w:val="en-US" w:eastAsia="zh-CN"/>
                    </w:rPr>
                    <w:t>11跨</w:t>
                  </w:r>
                  <w:r>
                    <w:rPr>
                      <w:color w:val="auto"/>
                      <w:szCs w:val="21"/>
                    </w:rPr>
                    <w:t>进行装修建设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Align w:val="center"/>
                </w:tcPr>
                <w:p>
                  <w:pPr>
                    <w:jc w:val="center"/>
                    <w:rPr>
                      <w:color w:val="auto"/>
                      <w:szCs w:val="21"/>
                    </w:rPr>
                  </w:pPr>
                  <w:r>
                    <w:rPr>
                      <w:color w:val="auto"/>
                      <w:szCs w:val="21"/>
                    </w:rPr>
                    <w:t>成品</w:t>
                  </w:r>
                </w:p>
                <w:p>
                  <w:pPr>
                    <w:jc w:val="center"/>
                    <w:rPr>
                      <w:color w:val="auto"/>
                      <w:kern w:val="0"/>
                      <w:szCs w:val="21"/>
                    </w:rPr>
                  </w:pPr>
                  <w:r>
                    <w:rPr>
                      <w:color w:val="auto"/>
                      <w:szCs w:val="21"/>
                    </w:rPr>
                    <w:t>暂存区</w:t>
                  </w:r>
                </w:p>
              </w:tc>
              <w:tc>
                <w:tcPr>
                  <w:tcW w:w="3092" w:type="pct"/>
                  <w:gridSpan w:val="2"/>
                  <w:vAlign w:val="center"/>
                </w:tcPr>
                <w:p>
                  <w:pPr>
                    <w:rPr>
                      <w:color w:val="auto"/>
                      <w:kern w:val="0"/>
                      <w:szCs w:val="21"/>
                    </w:rPr>
                  </w:pPr>
                  <w:r>
                    <w:rPr>
                      <w:color w:val="auto"/>
                      <w:szCs w:val="21"/>
                    </w:rPr>
                    <w:t>成品暂存区占地面积约700m</w:t>
                  </w:r>
                  <w:r>
                    <w:rPr>
                      <w:color w:val="auto"/>
                      <w:szCs w:val="21"/>
                      <w:vertAlign w:val="superscript"/>
                    </w:rPr>
                    <w:t>2</w:t>
                  </w:r>
                  <w:r>
                    <w:rPr>
                      <w:color w:val="auto"/>
                      <w:szCs w:val="21"/>
                    </w:rPr>
                    <w:t>，位于租用1号厂房西南侧，成品暂存区地面水泥硬化。本项目成品包装规格为20kg/袋，包装完成后在成品暂存区集中暂存。</w:t>
                  </w:r>
                </w:p>
              </w:tc>
              <w:tc>
                <w:tcPr>
                  <w:tcW w:w="746" w:type="pct"/>
                  <w:vAlign w:val="center"/>
                </w:tcPr>
                <w:p>
                  <w:pPr>
                    <w:jc w:val="center"/>
                    <w:rPr>
                      <w:color w:val="auto"/>
                      <w:szCs w:val="21"/>
                    </w:rPr>
                  </w:pPr>
                  <w:r>
                    <w:rPr>
                      <w:color w:val="auto"/>
                      <w:szCs w:val="21"/>
                    </w:rPr>
                    <w:t>新建，依托现有1号厂房</w:t>
                  </w:r>
                  <w:r>
                    <w:rPr>
                      <w:rFonts w:hint="eastAsia"/>
                      <w:color w:val="auto"/>
                      <w:szCs w:val="21"/>
                      <w:lang w:val="en-US" w:eastAsia="zh-CN"/>
                    </w:rPr>
                    <w:t>11跨</w:t>
                  </w:r>
                  <w:r>
                    <w:rPr>
                      <w:color w:val="auto"/>
                      <w:szCs w:val="21"/>
                    </w:rPr>
                    <w:t>进行装修建设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8" w:type="pct"/>
                  <w:vMerge w:val="restart"/>
                  <w:vAlign w:val="center"/>
                </w:tcPr>
                <w:p>
                  <w:pPr>
                    <w:pStyle w:val="51"/>
                    <w:spacing w:beforeLines="0" w:afterLines="0" w:line="240" w:lineRule="auto"/>
                    <w:rPr>
                      <w:rFonts w:ascii="Times New Roman"/>
                      <w:b w:val="0"/>
                      <w:bCs/>
                      <w:color w:val="auto"/>
                      <w:szCs w:val="21"/>
                    </w:rPr>
                  </w:pPr>
                  <w:r>
                    <w:rPr>
                      <w:rFonts w:ascii="Times New Roman"/>
                      <w:b w:val="0"/>
                      <w:bCs/>
                      <w:color w:val="auto"/>
                      <w:szCs w:val="21"/>
                    </w:rPr>
                    <w:t>4</w:t>
                  </w:r>
                </w:p>
              </w:tc>
              <w:tc>
                <w:tcPr>
                  <w:tcW w:w="423" w:type="pct"/>
                  <w:vMerge w:val="restart"/>
                  <w:vAlign w:val="center"/>
                </w:tcPr>
                <w:p>
                  <w:pPr>
                    <w:pStyle w:val="51"/>
                    <w:spacing w:beforeLines="0" w:afterLines="0" w:line="240" w:lineRule="auto"/>
                    <w:rPr>
                      <w:rFonts w:ascii="Times New Roman"/>
                      <w:b w:val="0"/>
                      <w:bCs/>
                      <w:color w:val="auto"/>
                      <w:szCs w:val="21"/>
                    </w:rPr>
                  </w:pPr>
                  <w:r>
                    <w:rPr>
                      <w:rFonts w:ascii="Times New Roman"/>
                      <w:b w:val="0"/>
                      <w:bCs/>
                      <w:color w:val="auto"/>
                      <w:szCs w:val="21"/>
                    </w:rPr>
                    <w:t>公用</w:t>
                  </w:r>
                </w:p>
                <w:p>
                  <w:pPr>
                    <w:pStyle w:val="51"/>
                    <w:spacing w:beforeLines="0" w:afterLines="0" w:line="240" w:lineRule="auto"/>
                    <w:rPr>
                      <w:rFonts w:ascii="Times New Roman"/>
                      <w:b w:val="0"/>
                      <w:bCs/>
                      <w:color w:val="auto"/>
                      <w:szCs w:val="21"/>
                    </w:rPr>
                  </w:pPr>
                  <w:r>
                    <w:rPr>
                      <w:rFonts w:ascii="Times New Roman"/>
                      <w:b w:val="0"/>
                      <w:bCs/>
                      <w:color w:val="auto"/>
                      <w:szCs w:val="21"/>
                    </w:rPr>
                    <w:t>工程</w:t>
                  </w:r>
                </w:p>
              </w:tc>
              <w:tc>
                <w:tcPr>
                  <w:tcW w:w="449" w:type="pct"/>
                  <w:vAlign w:val="center"/>
                </w:tcPr>
                <w:p>
                  <w:pPr>
                    <w:jc w:val="center"/>
                    <w:rPr>
                      <w:bCs/>
                      <w:color w:val="auto"/>
                      <w:szCs w:val="21"/>
                    </w:rPr>
                  </w:pPr>
                  <w:r>
                    <w:rPr>
                      <w:color w:val="auto"/>
                      <w:szCs w:val="21"/>
                    </w:rPr>
                    <w:t>给水</w:t>
                  </w:r>
                </w:p>
              </w:tc>
              <w:tc>
                <w:tcPr>
                  <w:tcW w:w="3092" w:type="pct"/>
                  <w:gridSpan w:val="2"/>
                  <w:vAlign w:val="center"/>
                </w:tcPr>
                <w:p>
                  <w:pPr>
                    <w:rPr>
                      <w:bCs/>
                      <w:color w:val="auto"/>
                      <w:szCs w:val="21"/>
                    </w:rPr>
                  </w:pPr>
                  <w:r>
                    <w:rPr>
                      <w:color w:val="auto"/>
                      <w:szCs w:val="21"/>
                    </w:rPr>
                    <w:t>项目生产生活用水均来自市政供水，依托园区供水系统进行供水。</w:t>
                  </w:r>
                </w:p>
              </w:tc>
              <w:tc>
                <w:tcPr>
                  <w:tcW w:w="746" w:type="pct"/>
                  <w:vAlign w:val="center"/>
                </w:tcPr>
                <w:p>
                  <w:pPr>
                    <w:jc w:val="center"/>
                    <w:rPr>
                      <w:bCs/>
                      <w:color w:val="auto"/>
                      <w:szCs w:val="21"/>
                    </w:rPr>
                  </w:pPr>
                  <w:r>
                    <w:rPr>
                      <w:color w:val="auto"/>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Merge w:val="restart"/>
                  <w:vAlign w:val="center"/>
                </w:tcPr>
                <w:p>
                  <w:pPr>
                    <w:pStyle w:val="51"/>
                    <w:spacing w:beforeLines="0" w:afterLines="0" w:line="240" w:lineRule="auto"/>
                    <w:rPr>
                      <w:rFonts w:ascii="Times New Roman"/>
                      <w:b w:val="0"/>
                      <w:bCs/>
                      <w:color w:val="auto"/>
                      <w:szCs w:val="21"/>
                    </w:rPr>
                  </w:pPr>
                  <w:r>
                    <w:rPr>
                      <w:rFonts w:ascii="Times New Roman"/>
                      <w:b w:val="0"/>
                      <w:bCs/>
                      <w:color w:val="auto"/>
                      <w:szCs w:val="21"/>
                    </w:rPr>
                    <w:t>排水系统</w:t>
                  </w:r>
                </w:p>
              </w:tc>
              <w:tc>
                <w:tcPr>
                  <w:tcW w:w="3092" w:type="pct"/>
                  <w:gridSpan w:val="2"/>
                  <w:vAlign w:val="center"/>
                </w:tcPr>
                <w:p>
                  <w:pPr>
                    <w:rPr>
                      <w:bCs/>
                      <w:color w:val="auto"/>
                      <w:szCs w:val="21"/>
                    </w:rPr>
                  </w:pPr>
                  <w:r>
                    <w:rPr>
                      <w:color w:val="auto"/>
                      <w:szCs w:val="21"/>
                    </w:rPr>
                    <w:t>项目严格执行雨污分流制，厂房建筑物屋面雨水与厂房周边地面雨水经厂房配套设置的雨水沟排入园区雨水管网。</w:t>
                  </w:r>
                </w:p>
              </w:tc>
              <w:tc>
                <w:tcPr>
                  <w:tcW w:w="746" w:type="pct"/>
                  <w:vAlign w:val="center"/>
                </w:tcPr>
                <w:p>
                  <w:pPr>
                    <w:jc w:val="center"/>
                    <w:rPr>
                      <w:bCs/>
                      <w:color w:val="auto"/>
                      <w:szCs w:val="21"/>
                    </w:rPr>
                  </w:pPr>
                  <w:r>
                    <w:rPr>
                      <w:color w:val="auto"/>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jc w:val="center"/>
              </w:trPr>
              <w:tc>
                <w:tcPr>
                  <w:tcW w:w="288" w:type="pct"/>
                  <w:vMerge w:val="continue"/>
                  <w:vAlign w:val="center"/>
                </w:tcPr>
                <w:p>
                  <w:pPr>
                    <w:pStyle w:val="51"/>
                    <w:spacing w:beforeLines="0" w:afterLines="0" w:line="240" w:lineRule="auto"/>
                    <w:rPr>
                      <w:rFonts w:ascii="Times New Roman"/>
                      <w:color w:val="auto"/>
                      <w:szCs w:val="21"/>
                    </w:rPr>
                  </w:pPr>
                </w:p>
              </w:tc>
              <w:tc>
                <w:tcPr>
                  <w:tcW w:w="423" w:type="pct"/>
                  <w:vMerge w:val="continue"/>
                  <w:vAlign w:val="center"/>
                </w:tcPr>
                <w:p>
                  <w:pPr>
                    <w:pStyle w:val="51"/>
                    <w:spacing w:beforeLines="0" w:afterLines="0" w:line="240" w:lineRule="auto"/>
                    <w:rPr>
                      <w:rFonts w:ascii="Times New Roman"/>
                      <w:color w:val="auto"/>
                      <w:szCs w:val="21"/>
                    </w:rPr>
                  </w:pPr>
                </w:p>
              </w:tc>
              <w:tc>
                <w:tcPr>
                  <w:tcW w:w="449" w:type="pct"/>
                  <w:vMerge w:val="continue"/>
                  <w:vAlign w:val="center"/>
                </w:tcPr>
                <w:p>
                  <w:pPr>
                    <w:pStyle w:val="51"/>
                    <w:spacing w:beforeLines="0" w:afterLines="0" w:line="240" w:lineRule="auto"/>
                    <w:rPr>
                      <w:rFonts w:ascii="Times New Roman"/>
                      <w:color w:val="auto"/>
                      <w:szCs w:val="21"/>
                    </w:rPr>
                  </w:pPr>
                </w:p>
              </w:tc>
              <w:tc>
                <w:tcPr>
                  <w:tcW w:w="3092" w:type="pct"/>
                  <w:gridSpan w:val="2"/>
                  <w:vAlign w:val="center"/>
                </w:tcPr>
                <w:p>
                  <w:pPr>
                    <w:rPr>
                      <w:bCs/>
                      <w:color w:val="auto"/>
                      <w:szCs w:val="21"/>
                    </w:rPr>
                  </w:pPr>
                  <w:r>
                    <w:rPr>
                      <w:color w:val="auto"/>
                      <w:szCs w:val="21"/>
                    </w:rPr>
                    <w:t>清洗废水、车间地面清洁废水、废气处理系统废水经自建污水处理设施（</w:t>
                  </w:r>
                  <w:r>
                    <w:rPr>
                      <w:rFonts w:hint="eastAsia"/>
                      <w:color w:val="auto"/>
                      <w:szCs w:val="21"/>
                    </w:rPr>
                    <w:t>格栅+隔油+水解</w:t>
                  </w:r>
                  <w:r>
                    <w:rPr>
                      <w:color w:val="auto"/>
                      <w:szCs w:val="21"/>
                    </w:rPr>
                    <w:t>+</w:t>
                  </w:r>
                  <w:r>
                    <w:rPr>
                      <w:rFonts w:hint="eastAsia"/>
                      <w:color w:val="auto"/>
                      <w:szCs w:val="21"/>
                    </w:rPr>
                    <w:t>生物接触氧化法</w:t>
                  </w:r>
                  <w:r>
                    <w:rPr>
                      <w:color w:val="auto"/>
                      <w:szCs w:val="21"/>
                    </w:rPr>
                    <w:t>）处理后汇入清水回用池回用于生产线，不外排。</w:t>
                  </w:r>
                </w:p>
              </w:tc>
              <w:tc>
                <w:tcPr>
                  <w:tcW w:w="746" w:type="pct"/>
                  <w:vAlign w:val="center"/>
                </w:tcPr>
                <w:p>
                  <w:pPr>
                    <w:jc w:val="center"/>
                    <w:rPr>
                      <w:bCs/>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Merge w:val="continue"/>
                  <w:vAlign w:val="center"/>
                </w:tcPr>
                <w:p>
                  <w:pPr>
                    <w:pStyle w:val="51"/>
                    <w:spacing w:beforeLines="0" w:afterLines="0" w:line="240" w:lineRule="auto"/>
                    <w:rPr>
                      <w:rFonts w:ascii="Times New Roman"/>
                      <w:b w:val="0"/>
                      <w:bCs/>
                      <w:color w:val="auto"/>
                      <w:szCs w:val="21"/>
                    </w:rPr>
                  </w:pPr>
                </w:p>
              </w:tc>
              <w:tc>
                <w:tcPr>
                  <w:tcW w:w="3092" w:type="pct"/>
                  <w:gridSpan w:val="2"/>
                  <w:vAlign w:val="center"/>
                </w:tcPr>
                <w:p>
                  <w:pPr>
                    <w:rPr>
                      <w:bCs/>
                      <w:color w:val="auto"/>
                      <w:szCs w:val="21"/>
                    </w:rPr>
                  </w:pPr>
                  <w:r>
                    <w:rPr>
                      <w:color w:val="auto"/>
                      <w:szCs w:val="21"/>
                    </w:rPr>
                    <w:t>冷却废水经冷却水池收集后，全部循环使用，不外排。</w:t>
                  </w:r>
                </w:p>
              </w:tc>
              <w:tc>
                <w:tcPr>
                  <w:tcW w:w="746" w:type="pct"/>
                  <w:vAlign w:val="center"/>
                </w:tcPr>
                <w:p>
                  <w:pPr>
                    <w:jc w:val="center"/>
                    <w:rPr>
                      <w:bCs/>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Merge w:val="continue"/>
                  <w:vAlign w:val="center"/>
                </w:tcPr>
                <w:p>
                  <w:pPr>
                    <w:pStyle w:val="51"/>
                    <w:spacing w:beforeLines="0" w:afterLines="0" w:line="240" w:lineRule="auto"/>
                    <w:rPr>
                      <w:rFonts w:ascii="Times New Roman"/>
                      <w:b w:val="0"/>
                      <w:bCs/>
                      <w:color w:val="auto"/>
                      <w:szCs w:val="21"/>
                    </w:rPr>
                  </w:pPr>
                </w:p>
              </w:tc>
              <w:tc>
                <w:tcPr>
                  <w:tcW w:w="3092" w:type="pct"/>
                  <w:gridSpan w:val="2"/>
                  <w:vAlign w:val="center"/>
                </w:tcPr>
                <w:p>
                  <w:pPr>
                    <w:rPr>
                      <w:bCs/>
                      <w:color w:val="auto"/>
                      <w:szCs w:val="21"/>
                    </w:rPr>
                  </w:pPr>
                  <w:r>
                    <w:rPr>
                      <w:color w:val="auto"/>
                      <w:szCs w:val="21"/>
                    </w:rPr>
                    <w:t>生活污水排入云南鹏腾机械设备制造有限公司宿舍楼化粪池处理后，再进入到云南鹏腾机械设备制造有限公司一体化污水处理设施处理达到GB/T18920-2020《城市污水再生利用 城市杂用水水质》标准后，回用于绿化，不外排。</w:t>
                  </w:r>
                </w:p>
              </w:tc>
              <w:tc>
                <w:tcPr>
                  <w:tcW w:w="746" w:type="pct"/>
                  <w:vAlign w:val="center"/>
                </w:tcPr>
                <w:p>
                  <w:pPr>
                    <w:jc w:val="center"/>
                    <w:rPr>
                      <w:bCs/>
                      <w:color w:val="auto"/>
                      <w:szCs w:val="21"/>
                    </w:rPr>
                  </w:pPr>
                  <w:r>
                    <w:rPr>
                      <w:color w:val="auto"/>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Align w:val="center"/>
                </w:tcPr>
                <w:p>
                  <w:pPr>
                    <w:jc w:val="center"/>
                    <w:rPr>
                      <w:bCs/>
                      <w:color w:val="auto"/>
                      <w:szCs w:val="21"/>
                    </w:rPr>
                  </w:pPr>
                  <w:r>
                    <w:rPr>
                      <w:color w:val="auto"/>
                      <w:szCs w:val="21"/>
                    </w:rPr>
                    <w:t>供电</w:t>
                  </w:r>
                </w:p>
              </w:tc>
              <w:tc>
                <w:tcPr>
                  <w:tcW w:w="3092" w:type="pct"/>
                  <w:gridSpan w:val="2"/>
                  <w:vAlign w:val="center"/>
                </w:tcPr>
                <w:p>
                  <w:pPr>
                    <w:rPr>
                      <w:bCs/>
                      <w:color w:val="auto"/>
                      <w:szCs w:val="21"/>
                    </w:rPr>
                  </w:pPr>
                  <w:r>
                    <w:rPr>
                      <w:color w:val="auto"/>
                      <w:szCs w:val="21"/>
                    </w:rPr>
                    <w:t>项目用电来自于市政供电，厂内供电依托园区供电系统。</w:t>
                  </w:r>
                </w:p>
              </w:tc>
              <w:tc>
                <w:tcPr>
                  <w:tcW w:w="746" w:type="pct"/>
                  <w:vAlign w:val="center"/>
                </w:tcPr>
                <w:p>
                  <w:pPr>
                    <w:jc w:val="center"/>
                    <w:rPr>
                      <w:bCs/>
                      <w:color w:val="auto"/>
                      <w:szCs w:val="21"/>
                    </w:rPr>
                  </w:pPr>
                  <w:r>
                    <w:rPr>
                      <w:color w:val="auto"/>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Align w:val="center"/>
                </w:tcPr>
                <w:p>
                  <w:pPr>
                    <w:jc w:val="center"/>
                    <w:rPr>
                      <w:bCs/>
                      <w:color w:val="auto"/>
                      <w:szCs w:val="21"/>
                    </w:rPr>
                  </w:pPr>
                  <w:r>
                    <w:rPr>
                      <w:color w:val="auto"/>
                      <w:szCs w:val="21"/>
                    </w:rPr>
                    <w:t>供热</w:t>
                  </w:r>
                </w:p>
              </w:tc>
              <w:tc>
                <w:tcPr>
                  <w:tcW w:w="3092" w:type="pct"/>
                  <w:gridSpan w:val="2"/>
                  <w:vAlign w:val="center"/>
                </w:tcPr>
                <w:p>
                  <w:pPr>
                    <w:rPr>
                      <w:bCs/>
                      <w:color w:val="auto"/>
                      <w:szCs w:val="21"/>
                    </w:rPr>
                  </w:pPr>
                  <w:r>
                    <w:rPr>
                      <w:color w:val="auto"/>
                      <w:szCs w:val="21"/>
                    </w:rPr>
                    <w:t>原料熔融挤出工序采用电加热（温度在180-200℃之间）。</w:t>
                  </w:r>
                </w:p>
              </w:tc>
              <w:tc>
                <w:tcPr>
                  <w:tcW w:w="746" w:type="pct"/>
                  <w:vAlign w:val="center"/>
                </w:tcPr>
                <w:p>
                  <w:pPr>
                    <w:jc w:val="center"/>
                    <w:rPr>
                      <w:bCs/>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3" w:hRule="atLeast"/>
                <w:jc w:val="center"/>
              </w:trPr>
              <w:tc>
                <w:tcPr>
                  <w:tcW w:w="288" w:type="pct"/>
                  <w:vMerge w:val="restart"/>
                  <w:vAlign w:val="center"/>
                </w:tcPr>
                <w:p>
                  <w:pPr>
                    <w:pStyle w:val="51"/>
                    <w:spacing w:beforeLines="0" w:afterLines="0" w:line="240" w:lineRule="auto"/>
                    <w:rPr>
                      <w:rFonts w:ascii="Times New Roman"/>
                      <w:b w:val="0"/>
                      <w:bCs/>
                      <w:color w:val="auto"/>
                      <w:szCs w:val="21"/>
                    </w:rPr>
                  </w:pPr>
                  <w:r>
                    <w:rPr>
                      <w:rFonts w:ascii="Times New Roman"/>
                      <w:b w:val="0"/>
                      <w:bCs/>
                      <w:color w:val="auto"/>
                      <w:szCs w:val="21"/>
                    </w:rPr>
                    <w:t>5</w:t>
                  </w:r>
                </w:p>
              </w:tc>
              <w:tc>
                <w:tcPr>
                  <w:tcW w:w="423" w:type="pct"/>
                  <w:vMerge w:val="restart"/>
                  <w:vAlign w:val="center"/>
                </w:tcPr>
                <w:p>
                  <w:pPr>
                    <w:pStyle w:val="51"/>
                    <w:spacing w:beforeLines="0" w:afterLines="0" w:line="240" w:lineRule="auto"/>
                    <w:rPr>
                      <w:rFonts w:ascii="Times New Roman"/>
                      <w:b w:val="0"/>
                      <w:bCs/>
                      <w:color w:val="auto"/>
                      <w:szCs w:val="21"/>
                    </w:rPr>
                  </w:pPr>
                  <w:r>
                    <w:rPr>
                      <w:rFonts w:ascii="Times New Roman"/>
                      <w:b w:val="0"/>
                      <w:bCs/>
                      <w:color w:val="auto"/>
                      <w:szCs w:val="21"/>
                    </w:rPr>
                    <w:t>环保工程</w:t>
                  </w:r>
                </w:p>
              </w:tc>
              <w:tc>
                <w:tcPr>
                  <w:tcW w:w="449" w:type="pct"/>
                  <w:vMerge w:val="restart"/>
                  <w:vAlign w:val="center"/>
                </w:tcPr>
                <w:p>
                  <w:pPr>
                    <w:pStyle w:val="51"/>
                    <w:spacing w:beforeLines="0" w:afterLines="0" w:line="240" w:lineRule="auto"/>
                    <w:rPr>
                      <w:rFonts w:ascii="Times New Roman"/>
                      <w:b w:val="0"/>
                      <w:bCs/>
                      <w:color w:val="auto"/>
                      <w:szCs w:val="21"/>
                    </w:rPr>
                  </w:pPr>
                  <w:r>
                    <w:rPr>
                      <w:rFonts w:ascii="Times New Roman"/>
                      <w:b w:val="0"/>
                      <w:bCs/>
                      <w:color w:val="auto"/>
                      <w:szCs w:val="21"/>
                    </w:rPr>
                    <w:t>废气处理设施</w:t>
                  </w:r>
                </w:p>
              </w:tc>
              <w:tc>
                <w:tcPr>
                  <w:tcW w:w="3092" w:type="pct"/>
                  <w:gridSpan w:val="2"/>
                  <w:vAlign w:val="center"/>
                </w:tcPr>
                <w:p>
                  <w:pPr>
                    <w:rPr>
                      <w:color w:val="auto"/>
                      <w:szCs w:val="21"/>
                    </w:rPr>
                  </w:pPr>
                  <w:r>
                    <w:rPr>
                      <w:color w:val="auto"/>
                      <w:kern w:val="0"/>
                      <w:szCs w:val="21"/>
                    </w:rPr>
                    <w:t>共设置1套废气处理装置，</w:t>
                  </w:r>
                  <w:r>
                    <w:rPr>
                      <w:color w:val="auto"/>
                      <w:szCs w:val="21"/>
                    </w:rPr>
                    <w:t>分别在1#、2#、3#、4#、5#、6#</w:t>
                  </w:r>
                  <w:r>
                    <w:rPr>
                      <w:color w:val="auto"/>
                      <w:kern w:val="0"/>
                      <w:szCs w:val="21"/>
                    </w:rPr>
                    <w:t>塑料颗粒</w:t>
                  </w:r>
                  <w:r>
                    <w:rPr>
                      <w:color w:val="auto"/>
                      <w:szCs w:val="21"/>
                    </w:rPr>
                    <w:t>生产线的熔融挤出机废气排放点（主机排气孔、主机至副机进料口、副机挤出口）设置集气罩（每条生产线设置3个集气罩，6条生产线共设置18个集气罩，集气罩收集效率约80%）。</w:t>
                  </w:r>
                </w:p>
                <w:p>
                  <w:pPr>
                    <w:rPr>
                      <w:bCs/>
                      <w:color w:val="auto"/>
                      <w:szCs w:val="21"/>
                    </w:rPr>
                  </w:pPr>
                  <w:r>
                    <w:rPr>
                      <w:color w:val="auto"/>
                      <w:kern w:val="0"/>
                      <w:szCs w:val="21"/>
                    </w:rPr>
                    <w:t>收集废气经“水洗装置+除湿除雾装置+</w:t>
                  </w:r>
                  <w:r>
                    <w:rPr>
                      <w:rFonts w:hint="eastAsia"/>
                      <w:color w:val="auto"/>
                      <w:kern w:val="0"/>
                      <w:szCs w:val="21"/>
                      <w:lang w:val="en-US" w:eastAsia="zh-CN"/>
                    </w:rPr>
                    <w:t>一级</w:t>
                  </w:r>
                  <w:r>
                    <w:rPr>
                      <w:color w:val="auto"/>
                      <w:kern w:val="0"/>
                      <w:szCs w:val="21"/>
                    </w:rPr>
                    <w:t>活性炭吸附装置+光氧催化装置”（6条生产线共用1套废气</w:t>
                  </w:r>
                  <w:r>
                    <w:rPr>
                      <w:snapToGrid w:val="0"/>
                      <w:color w:val="auto"/>
                      <w:szCs w:val="21"/>
                    </w:rPr>
                    <w:t>处理设施，</w:t>
                  </w:r>
                  <w:r>
                    <w:rPr>
                      <w:color w:val="auto"/>
                      <w:kern w:val="0"/>
                      <w:szCs w:val="21"/>
                    </w:rPr>
                    <w:t>共设置1套）处理后，经1根20m排气筒排放。</w:t>
                  </w:r>
                  <w:r>
                    <w:rPr>
                      <w:rStyle w:val="37"/>
                      <w:color w:val="auto"/>
                      <w:kern w:val="0"/>
                      <w:szCs w:val="21"/>
                    </w:rPr>
                    <w:t>去除效率为颗粒物75%，挥发性有机物80%。</w:t>
                  </w:r>
                </w:p>
              </w:tc>
              <w:tc>
                <w:tcPr>
                  <w:tcW w:w="746" w:type="pct"/>
                  <w:vAlign w:val="center"/>
                </w:tcPr>
                <w:p>
                  <w:pPr>
                    <w:jc w:val="center"/>
                    <w:rPr>
                      <w:bCs/>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3"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Merge w:val="continue"/>
                  <w:vAlign w:val="center"/>
                </w:tcPr>
                <w:p>
                  <w:pPr>
                    <w:pStyle w:val="51"/>
                    <w:spacing w:beforeLines="0" w:afterLines="0" w:line="240" w:lineRule="auto"/>
                    <w:rPr>
                      <w:rFonts w:ascii="Times New Roman"/>
                      <w:b w:val="0"/>
                      <w:bCs/>
                      <w:color w:val="auto"/>
                      <w:szCs w:val="21"/>
                    </w:rPr>
                  </w:pPr>
                </w:p>
              </w:tc>
              <w:tc>
                <w:tcPr>
                  <w:tcW w:w="3092" w:type="pct"/>
                  <w:gridSpan w:val="2"/>
                  <w:vAlign w:val="center"/>
                </w:tcPr>
                <w:p>
                  <w:pPr>
                    <w:adjustRightInd w:val="0"/>
                    <w:snapToGrid w:val="0"/>
                    <w:rPr>
                      <w:color w:val="auto"/>
                      <w:kern w:val="0"/>
                      <w:szCs w:val="21"/>
                    </w:rPr>
                  </w:pPr>
                  <w:r>
                    <w:rPr>
                      <w:rFonts w:hint="eastAsia"/>
                      <w:color w:val="auto"/>
                      <w:szCs w:val="21"/>
                    </w:rPr>
                    <w:t>食堂油烟</w:t>
                  </w:r>
                  <w:r>
                    <w:rPr>
                      <w:color w:val="auto"/>
                      <w:szCs w:val="21"/>
                    </w:rPr>
                    <w:t>依托</w:t>
                  </w:r>
                  <w:r>
                    <w:rPr>
                      <w:rFonts w:hint="eastAsia"/>
                      <w:color w:val="auto"/>
                      <w:szCs w:val="21"/>
                    </w:rPr>
                    <w:t>云南鹏腾机械设备制造有限公司厂区内已建好的</w:t>
                  </w:r>
                  <w:r>
                    <w:rPr>
                      <w:color w:val="auto"/>
                      <w:szCs w:val="21"/>
                    </w:rPr>
                    <w:t>油烟处理设备（1台抽油烟机）。</w:t>
                  </w:r>
                  <w:r>
                    <w:rPr>
                      <w:rFonts w:hint="eastAsia"/>
                      <w:color w:val="auto"/>
                      <w:szCs w:val="21"/>
                    </w:rPr>
                    <w:t>抽油烟机的风量为2000m</w:t>
                  </w:r>
                  <w:r>
                    <w:rPr>
                      <w:rFonts w:hint="eastAsia"/>
                      <w:color w:val="auto"/>
                      <w:szCs w:val="21"/>
                      <w:vertAlign w:val="superscript"/>
                    </w:rPr>
                    <w:t>3</w:t>
                  </w:r>
                  <w:r>
                    <w:rPr>
                      <w:rFonts w:hint="eastAsia"/>
                      <w:color w:val="auto"/>
                      <w:szCs w:val="21"/>
                    </w:rPr>
                    <w:t>/h，净化效率不低于60%。</w:t>
                  </w:r>
                </w:p>
              </w:tc>
              <w:tc>
                <w:tcPr>
                  <w:tcW w:w="746" w:type="pct"/>
                  <w:vAlign w:val="center"/>
                </w:tcPr>
                <w:p>
                  <w:pPr>
                    <w:adjustRightInd w:val="0"/>
                    <w:snapToGrid w:val="0"/>
                    <w:rPr>
                      <w:color w:val="auto"/>
                      <w:szCs w:val="21"/>
                    </w:rPr>
                  </w:pPr>
                  <w:r>
                    <w:rPr>
                      <w:color w:val="auto"/>
                      <w:szCs w:val="21"/>
                    </w:rPr>
                    <w:t>依托已建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Merge w:val="restart"/>
                  <w:vAlign w:val="center"/>
                </w:tcPr>
                <w:p>
                  <w:pPr>
                    <w:pStyle w:val="51"/>
                    <w:spacing w:beforeLines="0" w:afterLines="0" w:line="240" w:lineRule="auto"/>
                    <w:rPr>
                      <w:rFonts w:ascii="Times New Roman"/>
                      <w:b w:val="0"/>
                      <w:bCs/>
                      <w:color w:val="auto"/>
                      <w:szCs w:val="21"/>
                    </w:rPr>
                  </w:pPr>
                  <w:r>
                    <w:rPr>
                      <w:rFonts w:ascii="Times New Roman"/>
                      <w:b w:val="0"/>
                      <w:bCs/>
                      <w:color w:val="auto"/>
                      <w:szCs w:val="21"/>
                    </w:rPr>
                    <w:t>废水处理设施</w:t>
                  </w:r>
                </w:p>
              </w:tc>
              <w:tc>
                <w:tcPr>
                  <w:tcW w:w="3092" w:type="pct"/>
                  <w:gridSpan w:val="2"/>
                  <w:vAlign w:val="center"/>
                </w:tcPr>
                <w:p>
                  <w:pPr>
                    <w:rPr>
                      <w:bCs/>
                      <w:color w:val="auto"/>
                      <w:szCs w:val="21"/>
                    </w:rPr>
                  </w:pPr>
                  <w:r>
                    <w:rPr>
                      <w:color w:val="auto"/>
                      <w:szCs w:val="21"/>
                    </w:rPr>
                    <w:t>1#、2#原料预处理生产线共用1个清洗池（容积24m</w:t>
                  </w:r>
                  <w:r>
                    <w:rPr>
                      <w:color w:val="auto"/>
                      <w:szCs w:val="21"/>
                      <w:vertAlign w:val="superscript"/>
                    </w:rPr>
                    <w:t>3</w:t>
                  </w:r>
                  <w:r>
                    <w:rPr>
                      <w:color w:val="auto"/>
                      <w:szCs w:val="21"/>
                    </w:rPr>
                    <w:t>），1个清水回用池（容积24m</w:t>
                  </w:r>
                  <w:r>
                    <w:rPr>
                      <w:color w:val="auto"/>
                      <w:szCs w:val="21"/>
                      <w:vertAlign w:val="superscript"/>
                    </w:rPr>
                    <w:t>3</w:t>
                  </w:r>
                  <w:r>
                    <w:rPr>
                      <w:color w:val="auto"/>
                      <w:szCs w:val="21"/>
                    </w:rPr>
                    <w:t>）；清洗水经自建污水处理设施处理后汇入清水回用池循环使用，不外排。</w:t>
                  </w:r>
                </w:p>
              </w:tc>
              <w:tc>
                <w:tcPr>
                  <w:tcW w:w="746" w:type="pct"/>
                  <w:vAlign w:val="center"/>
                </w:tcPr>
                <w:p>
                  <w:pPr>
                    <w:jc w:val="center"/>
                    <w:rPr>
                      <w:bCs/>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Merge w:val="continue"/>
                  <w:vAlign w:val="center"/>
                </w:tcPr>
                <w:p>
                  <w:pPr>
                    <w:pStyle w:val="51"/>
                    <w:spacing w:beforeLines="0" w:afterLines="0" w:line="240" w:lineRule="auto"/>
                    <w:rPr>
                      <w:rFonts w:ascii="Times New Roman"/>
                      <w:b w:val="0"/>
                      <w:bCs/>
                      <w:color w:val="auto"/>
                      <w:szCs w:val="21"/>
                    </w:rPr>
                  </w:pPr>
                </w:p>
              </w:tc>
              <w:tc>
                <w:tcPr>
                  <w:tcW w:w="3092" w:type="pct"/>
                  <w:gridSpan w:val="2"/>
                  <w:vAlign w:val="center"/>
                </w:tcPr>
                <w:p>
                  <w:pPr>
                    <w:rPr>
                      <w:bCs/>
                      <w:color w:val="auto"/>
                      <w:szCs w:val="21"/>
                    </w:rPr>
                  </w:pPr>
                  <w:r>
                    <w:rPr>
                      <w:color w:val="auto"/>
                      <w:szCs w:val="21"/>
                    </w:rPr>
                    <w:t>1#、2#、3#、4#、5#、6#</w:t>
                  </w:r>
                  <w:r>
                    <w:rPr>
                      <w:color w:val="auto"/>
                      <w:kern w:val="0"/>
                      <w:szCs w:val="21"/>
                    </w:rPr>
                    <w:t>再生塑料颗粒</w:t>
                  </w:r>
                  <w:r>
                    <w:rPr>
                      <w:color w:val="auto"/>
                      <w:szCs w:val="21"/>
                    </w:rPr>
                    <w:t>生产线共用1个冷却水池（容积22m</w:t>
                  </w:r>
                  <w:r>
                    <w:rPr>
                      <w:color w:val="auto"/>
                      <w:szCs w:val="21"/>
                      <w:vertAlign w:val="superscript"/>
                    </w:rPr>
                    <w:t>3</w:t>
                  </w:r>
                  <w:r>
                    <w:rPr>
                      <w:color w:val="auto"/>
                      <w:szCs w:val="21"/>
                    </w:rPr>
                    <w:t>），冷却水池内的冷却水循环使用，不外排。</w:t>
                  </w:r>
                </w:p>
              </w:tc>
              <w:tc>
                <w:tcPr>
                  <w:tcW w:w="746" w:type="pct"/>
                  <w:vAlign w:val="center"/>
                </w:tcPr>
                <w:p>
                  <w:pPr>
                    <w:jc w:val="center"/>
                    <w:rPr>
                      <w:bCs/>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Merge w:val="continue"/>
                  <w:vAlign w:val="center"/>
                </w:tcPr>
                <w:p>
                  <w:pPr>
                    <w:pStyle w:val="51"/>
                    <w:spacing w:beforeLines="0" w:afterLines="0" w:line="240" w:lineRule="auto"/>
                    <w:rPr>
                      <w:rFonts w:ascii="Times New Roman"/>
                      <w:b w:val="0"/>
                      <w:bCs/>
                      <w:color w:val="auto"/>
                      <w:szCs w:val="21"/>
                    </w:rPr>
                  </w:pPr>
                </w:p>
              </w:tc>
              <w:tc>
                <w:tcPr>
                  <w:tcW w:w="3092" w:type="pct"/>
                  <w:gridSpan w:val="2"/>
                  <w:vAlign w:val="center"/>
                </w:tcPr>
                <w:p>
                  <w:pPr>
                    <w:rPr>
                      <w:bCs/>
                      <w:color w:val="auto"/>
                      <w:szCs w:val="21"/>
                    </w:rPr>
                  </w:pPr>
                  <w:r>
                    <w:rPr>
                      <w:color w:val="auto"/>
                      <w:szCs w:val="21"/>
                    </w:rPr>
                    <w:t>设置1个30m</w:t>
                  </w:r>
                  <w:r>
                    <w:rPr>
                      <w:color w:val="auto"/>
                      <w:szCs w:val="21"/>
                      <w:vertAlign w:val="superscript"/>
                    </w:rPr>
                    <w:t>3</w:t>
                  </w:r>
                  <w:r>
                    <w:rPr>
                      <w:color w:val="auto"/>
                      <w:szCs w:val="21"/>
                    </w:rPr>
                    <w:t>事故池，用于收集事故废水，砼结构，防渗。</w:t>
                  </w:r>
                </w:p>
              </w:tc>
              <w:tc>
                <w:tcPr>
                  <w:tcW w:w="746" w:type="pct"/>
                  <w:vAlign w:val="center"/>
                </w:tcPr>
                <w:p>
                  <w:pPr>
                    <w:jc w:val="center"/>
                    <w:rPr>
                      <w:bCs/>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Merge w:val="continue"/>
                  <w:vAlign w:val="center"/>
                </w:tcPr>
                <w:p>
                  <w:pPr>
                    <w:pStyle w:val="51"/>
                    <w:spacing w:beforeLines="0" w:afterLines="0" w:line="240" w:lineRule="auto"/>
                    <w:rPr>
                      <w:rFonts w:ascii="Times New Roman"/>
                      <w:b w:val="0"/>
                      <w:bCs/>
                      <w:color w:val="auto"/>
                      <w:szCs w:val="21"/>
                    </w:rPr>
                  </w:pPr>
                </w:p>
              </w:tc>
              <w:tc>
                <w:tcPr>
                  <w:tcW w:w="3092" w:type="pct"/>
                  <w:gridSpan w:val="2"/>
                  <w:vAlign w:val="center"/>
                </w:tcPr>
                <w:p>
                  <w:pPr>
                    <w:rPr>
                      <w:bCs/>
                      <w:color w:val="auto"/>
                      <w:szCs w:val="21"/>
                    </w:rPr>
                  </w:pPr>
                  <w:r>
                    <w:rPr>
                      <w:color w:val="auto"/>
                      <w:szCs w:val="21"/>
                    </w:rPr>
                    <w:t>项目废气处理水洗装置为一体化装置，采用三个罐体组成，总装水量为0.6m</w:t>
                  </w:r>
                  <w:r>
                    <w:rPr>
                      <w:color w:val="auto"/>
                      <w:szCs w:val="21"/>
                      <w:vertAlign w:val="superscript"/>
                    </w:rPr>
                    <w:t>3</w:t>
                  </w:r>
                  <w:r>
                    <w:rPr>
                      <w:color w:val="auto"/>
                      <w:szCs w:val="21"/>
                    </w:rPr>
                    <w:t>，介质选用清水，废气水洗装置水2天更换一次，更换的废水收集后进入自建污水处理站进行处理后回用于生产线。</w:t>
                  </w:r>
                </w:p>
              </w:tc>
              <w:tc>
                <w:tcPr>
                  <w:tcW w:w="746" w:type="pct"/>
                  <w:vAlign w:val="center"/>
                </w:tcPr>
                <w:p>
                  <w:pPr>
                    <w:jc w:val="center"/>
                    <w:rPr>
                      <w:bCs/>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Merge w:val="continue"/>
                  <w:vAlign w:val="center"/>
                </w:tcPr>
                <w:p>
                  <w:pPr>
                    <w:pStyle w:val="51"/>
                    <w:spacing w:beforeLines="0" w:afterLines="0" w:line="240" w:lineRule="auto"/>
                    <w:rPr>
                      <w:rFonts w:ascii="Times New Roman"/>
                      <w:b w:val="0"/>
                      <w:bCs/>
                      <w:color w:val="auto"/>
                      <w:szCs w:val="21"/>
                    </w:rPr>
                  </w:pPr>
                </w:p>
              </w:tc>
              <w:tc>
                <w:tcPr>
                  <w:tcW w:w="3092" w:type="pct"/>
                  <w:gridSpan w:val="2"/>
                  <w:vAlign w:val="center"/>
                </w:tcPr>
                <w:p>
                  <w:pPr>
                    <w:rPr>
                      <w:color w:val="auto"/>
                      <w:szCs w:val="21"/>
                    </w:rPr>
                  </w:pPr>
                  <w:r>
                    <w:rPr>
                      <w:color w:val="auto"/>
                      <w:szCs w:val="21"/>
                    </w:rPr>
                    <w:t>生产废水主要为清洗废水、废气处理设施废水、车间地面清洁废水等。</w:t>
                  </w:r>
                </w:p>
                <w:p>
                  <w:pPr>
                    <w:rPr>
                      <w:bCs/>
                      <w:color w:val="auto"/>
                      <w:szCs w:val="21"/>
                    </w:rPr>
                  </w:pPr>
                  <w:r>
                    <w:rPr>
                      <w:color w:val="auto"/>
                      <w:szCs w:val="21"/>
                    </w:rPr>
                    <w:t>新建1套</w:t>
                  </w:r>
                  <w:r>
                    <w:rPr>
                      <w:rFonts w:hint="eastAsia"/>
                      <w:color w:val="auto"/>
                      <w:szCs w:val="21"/>
                      <w:lang w:val="en-US" w:eastAsia="zh-CN"/>
                    </w:rPr>
                    <w:t>生产废水</w:t>
                  </w:r>
                  <w:r>
                    <w:rPr>
                      <w:color w:val="auto"/>
                      <w:szCs w:val="21"/>
                    </w:rPr>
                    <w:t>处理设施布置在生产场地东侧，处理工艺为“</w:t>
                  </w:r>
                  <w:r>
                    <w:rPr>
                      <w:rFonts w:hint="eastAsia"/>
                      <w:color w:val="auto"/>
                      <w:szCs w:val="21"/>
                    </w:rPr>
                    <w:t>格栅+隔油+水解</w:t>
                  </w:r>
                  <w:r>
                    <w:rPr>
                      <w:color w:val="auto"/>
                      <w:szCs w:val="21"/>
                    </w:rPr>
                    <w:t>+</w:t>
                  </w:r>
                  <w:r>
                    <w:rPr>
                      <w:rFonts w:hint="eastAsia"/>
                      <w:color w:val="auto"/>
                      <w:szCs w:val="21"/>
                    </w:rPr>
                    <w:t>生物接触氧化法</w:t>
                  </w:r>
                  <w:r>
                    <w:rPr>
                      <w:color w:val="auto"/>
                      <w:szCs w:val="21"/>
                    </w:rPr>
                    <w:t>”，设计处理规模为</w:t>
                  </w:r>
                  <w:r>
                    <w:rPr>
                      <w:rFonts w:hint="eastAsia"/>
                      <w:color w:val="auto"/>
                      <w:szCs w:val="21"/>
                    </w:rPr>
                    <w:t>50</w:t>
                  </w:r>
                  <w:r>
                    <w:rPr>
                      <w:color w:val="auto"/>
                      <w:szCs w:val="21"/>
                    </w:rPr>
                    <w:t>m</w:t>
                  </w:r>
                  <w:r>
                    <w:rPr>
                      <w:color w:val="auto"/>
                      <w:szCs w:val="21"/>
                      <w:vertAlign w:val="superscript"/>
                    </w:rPr>
                    <w:t>3</w:t>
                  </w:r>
                  <w:r>
                    <w:rPr>
                      <w:color w:val="auto"/>
                      <w:szCs w:val="21"/>
                    </w:rPr>
                    <w:t>/d，生产废水分别经截排水沟收集至污水处理设施；经处理后汇入清水回用池回用于生产线，不外排。</w:t>
                  </w:r>
                </w:p>
              </w:tc>
              <w:tc>
                <w:tcPr>
                  <w:tcW w:w="746" w:type="pct"/>
                  <w:vAlign w:val="center"/>
                </w:tcPr>
                <w:p>
                  <w:pPr>
                    <w:jc w:val="center"/>
                    <w:rPr>
                      <w:bCs/>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Merge w:val="continue"/>
                  <w:vAlign w:val="center"/>
                </w:tcPr>
                <w:p>
                  <w:pPr>
                    <w:pStyle w:val="51"/>
                    <w:spacing w:beforeLines="0" w:afterLines="0" w:line="240" w:lineRule="auto"/>
                    <w:rPr>
                      <w:rFonts w:ascii="Times New Roman"/>
                      <w:b w:val="0"/>
                      <w:bCs/>
                      <w:color w:val="auto"/>
                      <w:szCs w:val="21"/>
                    </w:rPr>
                  </w:pPr>
                </w:p>
              </w:tc>
              <w:tc>
                <w:tcPr>
                  <w:tcW w:w="3092" w:type="pct"/>
                  <w:gridSpan w:val="2"/>
                  <w:vAlign w:val="center"/>
                </w:tcPr>
                <w:p>
                  <w:pPr>
                    <w:rPr>
                      <w:bCs/>
                      <w:color w:val="auto"/>
                      <w:szCs w:val="21"/>
                    </w:rPr>
                  </w:pPr>
                  <w:r>
                    <w:rPr>
                      <w:color w:val="auto"/>
                      <w:szCs w:val="21"/>
                    </w:rPr>
                    <w:t>生活污水经云南鹏腾机械设备制造有限公司宿舍楼配套设置的</w:t>
                  </w:r>
                  <w:r>
                    <w:rPr>
                      <w:color w:val="auto"/>
                      <w:kern w:val="0"/>
                      <w:szCs w:val="21"/>
                    </w:rPr>
                    <w:t>0.5m</w:t>
                  </w:r>
                  <w:r>
                    <w:rPr>
                      <w:color w:val="auto"/>
                      <w:kern w:val="0"/>
                      <w:szCs w:val="21"/>
                      <w:vertAlign w:val="superscript"/>
                    </w:rPr>
                    <w:t>3</w:t>
                  </w:r>
                  <w:r>
                    <w:rPr>
                      <w:color w:val="auto"/>
                      <w:szCs w:val="21"/>
                    </w:rPr>
                    <w:t>隔油池+</w:t>
                  </w:r>
                  <w:r>
                    <w:rPr>
                      <w:rFonts w:hint="eastAsia"/>
                      <w:color w:val="auto"/>
                      <w:kern w:val="0"/>
                      <w:szCs w:val="21"/>
                      <w:lang w:val="en-US" w:eastAsia="zh-CN"/>
                    </w:rPr>
                    <w:t>30</w:t>
                  </w:r>
                  <w:r>
                    <w:rPr>
                      <w:color w:val="auto"/>
                      <w:kern w:val="0"/>
                      <w:szCs w:val="21"/>
                    </w:rPr>
                    <w:t>m</w:t>
                  </w:r>
                  <w:r>
                    <w:rPr>
                      <w:color w:val="auto"/>
                      <w:kern w:val="0"/>
                      <w:szCs w:val="21"/>
                      <w:vertAlign w:val="superscript"/>
                    </w:rPr>
                    <w:t>3</w:t>
                  </w:r>
                  <w:r>
                    <w:rPr>
                      <w:color w:val="auto"/>
                      <w:szCs w:val="21"/>
                    </w:rPr>
                    <w:t>化粪池+</w:t>
                  </w:r>
                  <w:r>
                    <w:rPr>
                      <w:rFonts w:hint="eastAsia"/>
                      <w:color w:val="auto"/>
                      <w:kern w:val="0"/>
                      <w:szCs w:val="21"/>
                      <w:lang w:val="en-US" w:eastAsia="zh-CN"/>
                    </w:rPr>
                    <w:t>30</w:t>
                  </w:r>
                  <w:r>
                    <w:rPr>
                      <w:color w:val="auto"/>
                      <w:kern w:val="0"/>
                      <w:szCs w:val="21"/>
                    </w:rPr>
                    <w:t>m</w:t>
                  </w:r>
                  <w:r>
                    <w:rPr>
                      <w:color w:val="auto"/>
                      <w:kern w:val="0"/>
                      <w:szCs w:val="21"/>
                      <w:vertAlign w:val="superscript"/>
                    </w:rPr>
                    <w:t>3</w:t>
                  </w:r>
                  <w:r>
                    <w:rPr>
                      <w:color w:val="auto"/>
                      <w:kern w:val="0"/>
                      <w:szCs w:val="21"/>
                    </w:rPr>
                    <w:t>/d</w:t>
                  </w:r>
                  <w:r>
                    <w:rPr>
                      <w:rFonts w:hint="eastAsia"/>
                      <w:color w:val="auto"/>
                      <w:kern w:val="0"/>
                      <w:szCs w:val="21"/>
                      <w:lang w:val="en-US" w:eastAsia="zh-CN"/>
                    </w:rPr>
                    <w:t>生活</w:t>
                  </w:r>
                  <w:r>
                    <w:rPr>
                      <w:color w:val="auto"/>
                      <w:szCs w:val="21"/>
                    </w:rPr>
                    <w:t>污水处理设施处理达《城市污水再生利用 城市杂用水水质》（GB/T18920-2020）标准后，回用于绿化，不外排。</w:t>
                  </w:r>
                </w:p>
              </w:tc>
              <w:tc>
                <w:tcPr>
                  <w:tcW w:w="746" w:type="pct"/>
                  <w:vAlign w:val="center"/>
                </w:tcPr>
                <w:p>
                  <w:pPr>
                    <w:jc w:val="center"/>
                    <w:rPr>
                      <w:bCs/>
                      <w:color w:val="auto"/>
                      <w:szCs w:val="21"/>
                    </w:rPr>
                  </w:pPr>
                  <w:r>
                    <w:rPr>
                      <w:color w:val="auto"/>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Align w:val="center"/>
                </w:tcPr>
                <w:p>
                  <w:pPr>
                    <w:pStyle w:val="51"/>
                    <w:spacing w:beforeLines="0" w:afterLines="0" w:line="240" w:lineRule="auto"/>
                    <w:rPr>
                      <w:rFonts w:ascii="Times New Roman"/>
                      <w:b w:val="0"/>
                      <w:bCs/>
                      <w:color w:val="auto"/>
                      <w:szCs w:val="21"/>
                    </w:rPr>
                  </w:pPr>
                  <w:r>
                    <w:rPr>
                      <w:rFonts w:ascii="Times New Roman"/>
                      <w:b w:val="0"/>
                      <w:bCs/>
                      <w:color w:val="auto"/>
                      <w:szCs w:val="21"/>
                    </w:rPr>
                    <w:t>噪声处理措施</w:t>
                  </w:r>
                </w:p>
              </w:tc>
              <w:tc>
                <w:tcPr>
                  <w:tcW w:w="3092" w:type="pct"/>
                  <w:gridSpan w:val="2"/>
                  <w:vAlign w:val="center"/>
                </w:tcPr>
                <w:p>
                  <w:pPr>
                    <w:rPr>
                      <w:bCs/>
                      <w:color w:val="auto"/>
                      <w:szCs w:val="21"/>
                    </w:rPr>
                  </w:pPr>
                  <w:r>
                    <w:rPr>
                      <w:color w:val="auto"/>
                      <w:szCs w:val="21"/>
                    </w:rPr>
                    <w:t>对主要产生噪声设备，采取优化设备选型、优化布局、室内放置、基础减振、风机消声、隔声等降噪措施。</w:t>
                  </w:r>
                </w:p>
              </w:tc>
              <w:tc>
                <w:tcPr>
                  <w:tcW w:w="746" w:type="pct"/>
                  <w:vAlign w:val="center"/>
                </w:tcPr>
                <w:p>
                  <w:pPr>
                    <w:jc w:val="center"/>
                    <w:rPr>
                      <w:bCs/>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Merge w:val="restart"/>
                  <w:vAlign w:val="center"/>
                </w:tcPr>
                <w:p>
                  <w:pPr>
                    <w:pStyle w:val="51"/>
                    <w:spacing w:beforeLines="0" w:afterLines="0" w:line="240" w:lineRule="auto"/>
                    <w:rPr>
                      <w:rFonts w:ascii="Times New Roman"/>
                      <w:b w:val="0"/>
                      <w:bCs/>
                      <w:color w:val="auto"/>
                      <w:szCs w:val="21"/>
                    </w:rPr>
                  </w:pPr>
                  <w:r>
                    <w:rPr>
                      <w:rFonts w:ascii="Times New Roman"/>
                      <w:b w:val="0"/>
                      <w:bCs/>
                      <w:color w:val="auto"/>
                      <w:szCs w:val="21"/>
                    </w:rPr>
                    <w:t>固废处理措施</w:t>
                  </w:r>
                </w:p>
              </w:tc>
              <w:tc>
                <w:tcPr>
                  <w:tcW w:w="562" w:type="pct"/>
                  <w:vAlign w:val="center"/>
                </w:tcPr>
                <w:p>
                  <w:pPr>
                    <w:jc w:val="center"/>
                    <w:rPr>
                      <w:color w:val="auto"/>
                      <w:szCs w:val="21"/>
                    </w:rPr>
                  </w:pPr>
                  <w:r>
                    <w:rPr>
                      <w:color w:val="auto"/>
                      <w:szCs w:val="21"/>
                    </w:rPr>
                    <w:t>一般固废</w:t>
                  </w:r>
                </w:p>
                <w:p>
                  <w:pPr>
                    <w:jc w:val="center"/>
                    <w:rPr>
                      <w:bCs/>
                      <w:color w:val="auto"/>
                      <w:szCs w:val="21"/>
                    </w:rPr>
                  </w:pPr>
                  <w:r>
                    <w:rPr>
                      <w:color w:val="auto"/>
                      <w:szCs w:val="21"/>
                    </w:rPr>
                    <w:t>暂存间</w:t>
                  </w:r>
                </w:p>
              </w:tc>
              <w:tc>
                <w:tcPr>
                  <w:tcW w:w="2530" w:type="pct"/>
                  <w:vAlign w:val="center"/>
                </w:tcPr>
                <w:p>
                  <w:pPr>
                    <w:rPr>
                      <w:bCs/>
                      <w:color w:val="auto"/>
                      <w:szCs w:val="21"/>
                    </w:rPr>
                  </w:pPr>
                  <w:r>
                    <w:rPr>
                      <w:color w:val="auto"/>
                      <w:szCs w:val="21"/>
                    </w:rPr>
                    <w:t>设置1处一般固废暂存点，位于生产厂房南侧，使用标识牌标注“一般固废固废暂存”，面积约10m</w:t>
                  </w:r>
                  <w:r>
                    <w:rPr>
                      <w:color w:val="auto"/>
                      <w:szCs w:val="21"/>
                      <w:vertAlign w:val="superscript"/>
                    </w:rPr>
                    <w:t>2</w:t>
                  </w:r>
                  <w:r>
                    <w:rPr>
                      <w:color w:val="auto"/>
                      <w:szCs w:val="21"/>
                    </w:rPr>
                    <w:t>，用于暂存一般固废。</w:t>
                  </w:r>
                </w:p>
              </w:tc>
              <w:tc>
                <w:tcPr>
                  <w:tcW w:w="746" w:type="pct"/>
                  <w:vAlign w:val="center"/>
                </w:tcPr>
                <w:p>
                  <w:pPr>
                    <w:jc w:val="center"/>
                    <w:rPr>
                      <w:bCs/>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Merge w:val="continue"/>
                  <w:vAlign w:val="center"/>
                </w:tcPr>
                <w:p>
                  <w:pPr>
                    <w:pStyle w:val="51"/>
                    <w:spacing w:beforeLines="0" w:afterLines="0" w:line="240" w:lineRule="auto"/>
                    <w:rPr>
                      <w:rFonts w:ascii="Times New Roman"/>
                      <w:b w:val="0"/>
                      <w:bCs/>
                      <w:color w:val="auto"/>
                      <w:szCs w:val="21"/>
                    </w:rPr>
                  </w:pPr>
                </w:p>
              </w:tc>
              <w:tc>
                <w:tcPr>
                  <w:tcW w:w="562" w:type="pct"/>
                  <w:vAlign w:val="center"/>
                </w:tcPr>
                <w:p>
                  <w:pPr>
                    <w:autoSpaceDE w:val="0"/>
                    <w:autoSpaceDN w:val="0"/>
                    <w:jc w:val="center"/>
                    <w:rPr>
                      <w:color w:val="auto"/>
                      <w:szCs w:val="21"/>
                    </w:rPr>
                  </w:pPr>
                  <w:r>
                    <w:rPr>
                      <w:color w:val="auto"/>
                      <w:szCs w:val="21"/>
                    </w:rPr>
                    <w:t>危废</w:t>
                  </w:r>
                </w:p>
                <w:p>
                  <w:pPr>
                    <w:autoSpaceDE w:val="0"/>
                    <w:autoSpaceDN w:val="0"/>
                    <w:jc w:val="center"/>
                    <w:rPr>
                      <w:bCs/>
                      <w:color w:val="auto"/>
                      <w:szCs w:val="21"/>
                    </w:rPr>
                  </w:pPr>
                  <w:r>
                    <w:rPr>
                      <w:color w:val="auto"/>
                      <w:szCs w:val="21"/>
                    </w:rPr>
                    <w:t>暂存间</w:t>
                  </w:r>
                </w:p>
              </w:tc>
              <w:tc>
                <w:tcPr>
                  <w:tcW w:w="2530" w:type="pct"/>
                  <w:vAlign w:val="center"/>
                </w:tcPr>
                <w:p>
                  <w:pPr>
                    <w:autoSpaceDE w:val="0"/>
                    <w:autoSpaceDN w:val="0"/>
                    <w:rPr>
                      <w:bCs/>
                      <w:color w:val="auto"/>
                      <w:szCs w:val="21"/>
                    </w:rPr>
                  </w:pPr>
                  <w:r>
                    <w:rPr>
                      <w:color w:val="auto"/>
                      <w:szCs w:val="21"/>
                    </w:rPr>
                    <w:t>在生产厂房南侧新建一个危废暂存间，占地面积约为10m</w:t>
                  </w:r>
                  <w:r>
                    <w:rPr>
                      <w:color w:val="auto"/>
                      <w:szCs w:val="21"/>
                      <w:vertAlign w:val="superscript"/>
                    </w:rPr>
                    <w:t>2</w:t>
                  </w:r>
                  <w:r>
                    <w:rPr>
                      <w:color w:val="auto"/>
                      <w:szCs w:val="21"/>
                    </w:rPr>
                    <w:t>，危废暂存间做好“三防”措施，且暂存间地面、围堰按《环境影响评价技术导则 地下水环境》（HJ610-2016）进行“重点防渗”，环评建议拟采用在现有的水泥硬化基础上新增2.0mmHDPE膜进行防渗，使其地面、围堰区达到渗透系数≤1×10</w:t>
                  </w:r>
                  <w:r>
                    <w:rPr>
                      <w:color w:val="auto"/>
                      <w:szCs w:val="21"/>
                      <w:vertAlign w:val="superscript"/>
                    </w:rPr>
                    <w:t>-10</w:t>
                  </w:r>
                  <w:r>
                    <w:rPr>
                      <w:color w:val="auto"/>
                      <w:szCs w:val="21"/>
                    </w:rPr>
                    <w:t>cm/s的防渗性能。暂存间设置危险废物标识牌。暂存间内的危险废物委托有资质的单位进行清运处置。</w:t>
                  </w:r>
                </w:p>
              </w:tc>
              <w:tc>
                <w:tcPr>
                  <w:tcW w:w="746" w:type="pct"/>
                  <w:vAlign w:val="center"/>
                </w:tcPr>
                <w:p>
                  <w:pPr>
                    <w:jc w:val="center"/>
                    <w:rPr>
                      <w:bCs/>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Merge w:val="continue"/>
                  <w:vAlign w:val="center"/>
                </w:tcPr>
                <w:p>
                  <w:pPr>
                    <w:pStyle w:val="51"/>
                    <w:spacing w:beforeLines="0" w:afterLines="0" w:line="240" w:lineRule="auto"/>
                    <w:rPr>
                      <w:rFonts w:ascii="Times New Roman"/>
                      <w:b w:val="0"/>
                      <w:bCs/>
                      <w:color w:val="auto"/>
                      <w:szCs w:val="21"/>
                    </w:rPr>
                  </w:pPr>
                </w:p>
              </w:tc>
              <w:tc>
                <w:tcPr>
                  <w:tcW w:w="562" w:type="pct"/>
                  <w:vAlign w:val="center"/>
                </w:tcPr>
                <w:p>
                  <w:pPr>
                    <w:jc w:val="center"/>
                    <w:rPr>
                      <w:color w:val="auto"/>
                      <w:szCs w:val="21"/>
                    </w:rPr>
                  </w:pPr>
                  <w:r>
                    <w:rPr>
                      <w:color w:val="auto"/>
                      <w:szCs w:val="21"/>
                    </w:rPr>
                    <w:t>生活垃圾</w:t>
                  </w:r>
                </w:p>
                <w:p>
                  <w:pPr>
                    <w:jc w:val="center"/>
                    <w:rPr>
                      <w:bCs/>
                      <w:color w:val="auto"/>
                      <w:szCs w:val="21"/>
                    </w:rPr>
                  </w:pPr>
                  <w:r>
                    <w:rPr>
                      <w:color w:val="auto"/>
                      <w:szCs w:val="21"/>
                    </w:rPr>
                    <w:t>收集</w:t>
                  </w:r>
                </w:p>
              </w:tc>
              <w:tc>
                <w:tcPr>
                  <w:tcW w:w="2530" w:type="pct"/>
                  <w:vAlign w:val="center"/>
                </w:tcPr>
                <w:p>
                  <w:pPr>
                    <w:rPr>
                      <w:bCs/>
                      <w:color w:val="auto"/>
                      <w:szCs w:val="21"/>
                    </w:rPr>
                  </w:pPr>
                  <w:r>
                    <w:rPr>
                      <w:color w:val="auto"/>
                      <w:szCs w:val="21"/>
                    </w:rPr>
                    <w:t>厂区内设置若干带盖生活垃圾收集桶，收集生活垃圾</w:t>
                  </w:r>
                </w:p>
              </w:tc>
              <w:tc>
                <w:tcPr>
                  <w:tcW w:w="746" w:type="pct"/>
                  <w:vAlign w:val="center"/>
                </w:tcPr>
                <w:p>
                  <w:pPr>
                    <w:jc w:val="center"/>
                    <w:rPr>
                      <w:bCs/>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Merge w:val="continue"/>
                  <w:vAlign w:val="center"/>
                </w:tcPr>
                <w:p>
                  <w:pPr>
                    <w:pStyle w:val="51"/>
                    <w:spacing w:beforeLines="0" w:afterLines="0" w:line="240" w:lineRule="auto"/>
                    <w:rPr>
                      <w:rFonts w:ascii="Times New Roman"/>
                      <w:b w:val="0"/>
                      <w:bCs/>
                      <w:color w:val="auto"/>
                      <w:szCs w:val="21"/>
                    </w:rPr>
                  </w:pPr>
                </w:p>
              </w:tc>
              <w:tc>
                <w:tcPr>
                  <w:tcW w:w="562" w:type="pct"/>
                  <w:vAlign w:val="center"/>
                </w:tcPr>
                <w:p>
                  <w:pPr>
                    <w:jc w:val="center"/>
                    <w:rPr>
                      <w:bCs/>
                      <w:color w:val="auto"/>
                      <w:szCs w:val="21"/>
                    </w:rPr>
                  </w:pPr>
                  <w:r>
                    <w:rPr>
                      <w:color w:val="auto"/>
                      <w:szCs w:val="21"/>
                    </w:rPr>
                    <w:t>污泥池</w:t>
                  </w:r>
                </w:p>
              </w:tc>
              <w:tc>
                <w:tcPr>
                  <w:tcW w:w="2530" w:type="pct"/>
                  <w:vAlign w:val="center"/>
                </w:tcPr>
                <w:p>
                  <w:pPr>
                    <w:rPr>
                      <w:bCs/>
                      <w:color w:val="auto"/>
                      <w:szCs w:val="21"/>
                    </w:rPr>
                  </w:pPr>
                  <w:r>
                    <w:rPr>
                      <w:rFonts w:hint="eastAsia"/>
                      <w:color w:val="auto"/>
                      <w:szCs w:val="21"/>
                      <w:lang w:val="en-US" w:eastAsia="zh-CN"/>
                    </w:rPr>
                    <w:t>生产废水</w:t>
                  </w:r>
                  <w:r>
                    <w:rPr>
                      <w:color w:val="auto"/>
                      <w:szCs w:val="21"/>
                    </w:rPr>
                    <w:t>处理设施旁设置1个10m</w:t>
                  </w:r>
                  <w:r>
                    <w:rPr>
                      <w:color w:val="auto"/>
                      <w:szCs w:val="21"/>
                      <w:vertAlign w:val="superscript"/>
                    </w:rPr>
                    <w:t>3</w:t>
                  </w:r>
                  <w:r>
                    <w:rPr>
                      <w:color w:val="auto"/>
                      <w:szCs w:val="21"/>
                    </w:rPr>
                    <w:t>污泥池，</w:t>
                  </w:r>
                  <w:r>
                    <w:rPr>
                      <w:rFonts w:hint="eastAsia"/>
                      <w:color w:val="auto"/>
                      <w:szCs w:val="21"/>
                      <w:lang w:val="en-US" w:eastAsia="zh-CN"/>
                    </w:rPr>
                    <w:t>生产废水处理</w:t>
                  </w:r>
                  <w:r>
                    <w:rPr>
                      <w:color w:val="auto"/>
                      <w:szCs w:val="21"/>
                    </w:rPr>
                    <w:t>设施污泥</w:t>
                  </w:r>
                  <w:r>
                    <w:rPr>
                      <w:rFonts w:hint="eastAsia"/>
                      <w:color w:val="auto"/>
                      <w:lang w:val="en-US" w:eastAsia="zh-CN"/>
                    </w:rPr>
                    <w:t>经鉴定后再处置，若为Ⅰ类一般固废外售当地砖厂制砖，否则按相关要求委托资质单位处置</w:t>
                  </w:r>
                  <w:r>
                    <w:rPr>
                      <w:rStyle w:val="37"/>
                      <w:color w:val="auto"/>
                      <w:kern w:val="0"/>
                      <w:szCs w:val="21"/>
                    </w:rPr>
                    <w:t>。</w:t>
                  </w:r>
                </w:p>
              </w:tc>
              <w:tc>
                <w:tcPr>
                  <w:tcW w:w="746" w:type="pct"/>
                  <w:vAlign w:val="center"/>
                </w:tcPr>
                <w:p>
                  <w:pPr>
                    <w:jc w:val="center"/>
                    <w:rPr>
                      <w:bCs/>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Merge w:val="continue"/>
                  <w:vAlign w:val="center"/>
                </w:tcPr>
                <w:p>
                  <w:pPr>
                    <w:pStyle w:val="51"/>
                    <w:spacing w:beforeLines="0" w:afterLines="0" w:line="240" w:lineRule="auto"/>
                    <w:rPr>
                      <w:rFonts w:ascii="Times New Roman"/>
                      <w:b w:val="0"/>
                      <w:bCs/>
                      <w:color w:val="auto"/>
                      <w:szCs w:val="21"/>
                    </w:rPr>
                  </w:pPr>
                </w:p>
              </w:tc>
              <w:tc>
                <w:tcPr>
                  <w:tcW w:w="562" w:type="pct"/>
                  <w:vAlign w:val="center"/>
                </w:tcPr>
                <w:p>
                  <w:pPr>
                    <w:jc w:val="center"/>
                    <w:rPr>
                      <w:bCs/>
                      <w:color w:val="auto"/>
                      <w:szCs w:val="21"/>
                    </w:rPr>
                  </w:pPr>
                  <w:r>
                    <w:rPr>
                      <w:color w:val="auto"/>
                      <w:szCs w:val="21"/>
                    </w:rPr>
                    <w:t>废滤网</w:t>
                  </w:r>
                </w:p>
              </w:tc>
              <w:tc>
                <w:tcPr>
                  <w:tcW w:w="2530" w:type="pct"/>
                  <w:vAlign w:val="center"/>
                </w:tcPr>
                <w:p>
                  <w:pPr>
                    <w:rPr>
                      <w:bCs/>
                      <w:color w:val="auto"/>
                      <w:szCs w:val="21"/>
                    </w:rPr>
                  </w:pPr>
                  <w:r>
                    <w:rPr>
                      <w:color w:val="auto"/>
                      <w:szCs w:val="21"/>
                    </w:rPr>
                    <w:t>设置240L带盖垃圾收集桶，废滤网收集后外售合法且具备废滤网回收再生能力的单位回收处置。</w:t>
                  </w:r>
                </w:p>
              </w:tc>
              <w:tc>
                <w:tcPr>
                  <w:tcW w:w="746" w:type="pct"/>
                  <w:vAlign w:val="center"/>
                </w:tcPr>
                <w:p>
                  <w:pPr>
                    <w:jc w:val="center"/>
                    <w:rPr>
                      <w:bCs/>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jc w:val="center"/>
              </w:trPr>
              <w:tc>
                <w:tcPr>
                  <w:tcW w:w="288" w:type="pct"/>
                  <w:vMerge w:val="continue"/>
                  <w:vAlign w:val="center"/>
                </w:tcPr>
                <w:p>
                  <w:pPr>
                    <w:pStyle w:val="51"/>
                    <w:spacing w:beforeLines="0" w:afterLines="0" w:line="240" w:lineRule="auto"/>
                    <w:rPr>
                      <w:rFonts w:ascii="Times New Roman"/>
                      <w:b w:val="0"/>
                      <w:bCs/>
                      <w:color w:val="auto"/>
                      <w:szCs w:val="21"/>
                    </w:rPr>
                  </w:pPr>
                </w:p>
              </w:tc>
              <w:tc>
                <w:tcPr>
                  <w:tcW w:w="423" w:type="pct"/>
                  <w:vMerge w:val="continue"/>
                  <w:vAlign w:val="center"/>
                </w:tcPr>
                <w:p>
                  <w:pPr>
                    <w:pStyle w:val="51"/>
                    <w:spacing w:beforeLines="0" w:afterLines="0" w:line="240" w:lineRule="auto"/>
                    <w:rPr>
                      <w:rFonts w:ascii="Times New Roman"/>
                      <w:b w:val="0"/>
                      <w:bCs/>
                      <w:color w:val="auto"/>
                      <w:szCs w:val="21"/>
                    </w:rPr>
                  </w:pPr>
                </w:p>
              </w:tc>
              <w:tc>
                <w:tcPr>
                  <w:tcW w:w="449" w:type="pct"/>
                  <w:vAlign w:val="center"/>
                </w:tcPr>
                <w:p>
                  <w:pPr>
                    <w:jc w:val="center"/>
                    <w:rPr>
                      <w:bCs/>
                      <w:color w:val="auto"/>
                      <w:szCs w:val="21"/>
                    </w:rPr>
                  </w:pPr>
                  <w:r>
                    <w:rPr>
                      <w:color w:val="auto"/>
                      <w:szCs w:val="21"/>
                    </w:rPr>
                    <w:t>地下水防渗工程</w:t>
                  </w:r>
                </w:p>
              </w:tc>
              <w:tc>
                <w:tcPr>
                  <w:tcW w:w="3092" w:type="pct"/>
                  <w:gridSpan w:val="2"/>
                  <w:vAlign w:val="center"/>
                </w:tcPr>
                <w:p>
                  <w:pPr>
                    <w:rPr>
                      <w:color w:val="auto"/>
                      <w:szCs w:val="21"/>
                    </w:rPr>
                  </w:pPr>
                  <w:r>
                    <w:rPr>
                      <w:color w:val="auto"/>
                      <w:szCs w:val="21"/>
                    </w:rPr>
                    <w:t>（1）重点防渗区：危废暂存间。危废暂存间拟采用在现有的水泥硬化基础上新增2.0mmHDPE膜进行防渗，使其地面、围堰区达到渗透系数≤1×10</w:t>
                  </w:r>
                  <w:r>
                    <w:rPr>
                      <w:color w:val="auto"/>
                      <w:szCs w:val="21"/>
                      <w:vertAlign w:val="superscript"/>
                    </w:rPr>
                    <w:t>-10</w:t>
                  </w:r>
                  <w:r>
                    <w:rPr>
                      <w:color w:val="auto"/>
                      <w:szCs w:val="21"/>
                    </w:rPr>
                    <w:t>cm/s的防渗性能。</w:t>
                  </w:r>
                </w:p>
                <w:p>
                  <w:pPr>
                    <w:rPr>
                      <w:color w:val="auto"/>
                      <w:szCs w:val="21"/>
                    </w:rPr>
                  </w:pPr>
                  <w:r>
                    <w:rPr>
                      <w:color w:val="auto"/>
                      <w:szCs w:val="21"/>
                    </w:rPr>
                    <w:t>（2）一般防渗区：污水处理设施各盛水构筑物（清水回用池、调节池、混凝沉淀器、污泥池）、排污管道、清洗池、事故池为一般防渗区，</w:t>
                  </w:r>
                  <w:r>
                    <w:rPr>
                      <w:bCs/>
                      <w:snapToGrid w:val="0"/>
                      <w:color w:val="auto"/>
                      <w:kern w:val="0"/>
                      <w:szCs w:val="21"/>
                    </w:rPr>
                    <w:t>防渗层拟采用“</w:t>
                  </w:r>
                  <w:r>
                    <w:rPr>
                      <w:bCs/>
                      <w:snapToGrid w:val="0"/>
                      <w:color w:val="auto"/>
                      <w:szCs w:val="21"/>
                    </w:rPr>
                    <w:t>结构厚度不应小于250mm，混凝土的抗渗等级不应低于P8”进行防渗</w:t>
                  </w:r>
                  <w:r>
                    <w:rPr>
                      <w:bCs/>
                      <w:snapToGrid w:val="0"/>
                      <w:color w:val="auto"/>
                      <w:kern w:val="0"/>
                      <w:szCs w:val="21"/>
                    </w:rPr>
                    <w:t>，防渗性能达到等效黏土防渗层Mb≥1.5m，渗透系数≤1.0×10</w:t>
                  </w:r>
                  <w:r>
                    <w:rPr>
                      <w:bCs/>
                      <w:snapToGrid w:val="0"/>
                      <w:color w:val="auto"/>
                      <w:kern w:val="0"/>
                      <w:szCs w:val="21"/>
                      <w:vertAlign w:val="superscript"/>
                    </w:rPr>
                    <w:t>-7</w:t>
                  </w:r>
                  <w:r>
                    <w:rPr>
                      <w:bCs/>
                      <w:snapToGrid w:val="0"/>
                      <w:color w:val="auto"/>
                      <w:kern w:val="0"/>
                      <w:szCs w:val="21"/>
                    </w:rPr>
                    <w:t>cm/s</w:t>
                  </w:r>
                  <w:r>
                    <w:rPr>
                      <w:color w:val="auto"/>
                      <w:szCs w:val="21"/>
                    </w:rPr>
                    <w:t xml:space="preserve">。  </w:t>
                  </w:r>
                </w:p>
                <w:p>
                  <w:pPr>
                    <w:rPr>
                      <w:bCs/>
                      <w:color w:val="auto"/>
                      <w:szCs w:val="21"/>
                    </w:rPr>
                  </w:pPr>
                  <w:r>
                    <w:rPr>
                      <w:color w:val="auto"/>
                      <w:szCs w:val="21"/>
                    </w:rPr>
                    <w:t>（3）简单防渗区：生产车间地面、一般固废暂存间、原料暂存区、预处理原料暂存区、成品暂存区的地面根据《废塑料综合利用行业规范条件》要求：企业加工存储场地面全部硬化且无破损现象。因此，项目占地内生产车间地面、一般固废暂存间、原料暂存区、预处理原料暂存区、成品暂存区及厂区其余地面应全部硬化处理且保证无破损现象。</w:t>
                  </w:r>
                </w:p>
              </w:tc>
              <w:tc>
                <w:tcPr>
                  <w:tcW w:w="746" w:type="pct"/>
                  <w:vAlign w:val="center"/>
                </w:tcPr>
                <w:p>
                  <w:pPr>
                    <w:jc w:val="center"/>
                    <w:rPr>
                      <w:bCs/>
                      <w:color w:val="auto"/>
                      <w:szCs w:val="21"/>
                    </w:rPr>
                  </w:pPr>
                  <w:r>
                    <w:rPr>
                      <w:color w:val="auto"/>
                      <w:szCs w:val="21"/>
                    </w:rPr>
                    <w:t>新建</w:t>
                  </w:r>
                </w:p>
              </w:tc>
            </w:tr>
          </w:tbl>
          <w:p>
            <w:pPr>
              <w:numPr>
                <w:ilvl w:val="0"/>
                <w:numId w:val="2"/>
              </w:numPr>
              <w:adjustRightInd w:val="0"/>
              <w:snapToGrid w:val="0"/>
              <w:spacing w:line="360" w:lineRule="auto"/>
              <w:ind w:left="148" w:firstLine="482"/>
              <w:rPr>
                <w:b/>
                <w:bCs/>
                <w:color w:val="auto"/>
                <w:sz w:val="24"/>
              </w:rPr>
            </w:pPr>
            <w:r>
              <w:rPr>
                <w:rFonts w:hint="eastAsia"/>
                <w:b/>
                <w:bCs/>
                <w:color w:val="auto"/>
                <w:sz w:val="24"/>
              </w:rPr>
              <w:t>项目依托工程情况</w:t>
            </w:r>
          </w:p>
          <w:p>
            <w:pPr>
              <w:widowControl/>
              <w:spacing w:line="360" w:lineRule="auto"/>
              <w:ind w:firstLine="480" w:firstLineChars="200"/>
              <w:rPr>
                <w:bCs/>
                <w:color w:val="auto"/>
                <w:sz w:val="24"/>
              </w:rPr>
            </w:pPr>
            <w:r>
              <w:rPr>
                <w:rFonts w:hint="eastAsia"/>
                <w:color w:val="auto"/>
                <w:sz w:val="24"/>
              </w:rPr>
              <w:t>云南鹏腾机械设备制造有限公司在寻甸县羊街镇装备制造园3号地块建设办公楼、宿舍楼、食堂和厂房。建设2栋宿舍楼，其中1号宿舍楼为4层，2号宿舍楼为5层，建设1栋3层高办公楼，建设3栋标准厂房。总建筑面积为2</w:t>
            </w:r>
            <w:r>
              <w:rPr>
                <w:color w:val="auto"/>
                <w:sz w:val="24"/>
              </w:rPr>
              <w:t>9984.20</w:t>
            </w:r>
            <w:r>
              <w:rPr>
                <w:rFonts w:hint="eastAsia"/>
                <w:color w:val="auto"/>
                <w:sz w:val="24"/>
              </w:rPr>
              <w:t>m</w:t>
            </w:r>
            <w:r>
              <w:rPr>
                <w:color w:val="auto"/>
                <w:sz w:val="24"/>
                <w:vertAlign w:val="superscript"/>
              </w:rPr>
              <w:t>2</w:t>
            </w:r>
            <w:r>
              <w:rPr>
                <w:rFonts w:hint="eastAsia"/>
                <w:color w:val="auto"/>
                <w:sz w:val="24"/>
              </w:rPr>
              <w:t>，并配套设置了门卫室、公厕、化粪池及一体化污水处理站等设施。</w:t>
            </w:r>
            <w:r>
              <w:rPr>
                <w:rFonts w:hint="eastAsia"/>
                <w:bCs/>
                <w:color w:val="auto"/>
                <w:sz w:val="24"/>
              </w:rPr>
              <w:t>根据</w:t>
            </w:r>
            <w:r>
              <w:rPr>
                <w:color w:val="auto"/>
                <w:sz w:val="24"/>
              </w:rPr>
              <w:t>《建设项目环境影响评价分类管理名录》（20</w:t>
            </w:r>
            <w:r>
              <w:rPr>
                <w:rFonts w:hint="eastAsia"/>
                <w:color w:val="auto"/>
                <w:sz w:val="24"/>
              </w:rPr>
              <w:t>21年1月1日实施</w:t>
            </w:r>
            <w:r>
              <w:rPr>
                <w:color w:val="auto"/>
                <w:sz w:val="24"/>
              </w:rPr>
              <w:t>）</w:t>
            </w:r>
            <w:r>
              <w:rPr>
                <w:rFonts w:hint="eastAsia"/>
                <w:color w:val="auto"/>
                <w:sz w:val="24"/>
              </w:rPr>
              <w:t>，</w:t>
            </w:r>
            <w:r>
              <w:rPr>
                <w:bCs/>
                <w:color w:val="auto"/>
                <w:sz w:val="24"/>
              </w:rPr>
              <w:t>云南鹏腾实业有限公司</w:t>
            </w:r>
            <w:r>
              <w:rPr>
                <w:rFonts w:hint="eastAsia"/>
                <w:bCs/>
                <w:color w:val="auto"/>
                <w:sz w:val="24"/>
              </w:rPr>
              <w:t>无需开展环评。目前，</w:t>
            </w:r>
            <w:r>
              <w:rPr>
                <w:bCs/>
                <w:color w:val="auto"/>
                <w:sz w:val="24"/>
              </w:rPr>
              <w:t>云南鹏腾实业有限公司</w:t>
            </w:r>
            <w:r>
              <w:rPr>
                <w:rFonts w:hint="eastAsia"/>
                <w:bCs/>
                <w:color w:val="auto"/>
                <w:sz w:val="24"/>
              </w:rPr>
              <w:t>已建设完成，并于2022年4月19日申领了《固定污染源排污登记回执》（登记编号：91530129584803017T001Y）。</w:t>
            </w:r>
          </w:p>
          <w:p>
            <w:pPr>
              <w:spacing w:line="360" w:lineRule="auto"/>
              <w:jc w:val="center"/>
              <w:rPr>
                <w:b/>
                <w:color w:val="auto"/>
                <w:kern w:val="0"/>
                <w:sz w:val="24"/>
              </w:rPr>
            </w:pPr>
            <w:r>
              <w:rPr>
                <w:rFonts w:hint="eastAsia"/>
                <w:b/>
                <w:color w:val="auto"/>
                <w:kern w:val="0"/>
                <w:sz w:val="24"/>
              </w:rPr>
              <w:t>表2-2   依托工程建设情况一览表</w:t>
            </w:r>
          </w:p>
          <w:tbl>
            <w:tblPr>
              <w:tblStyle w:val="31"/>
              <w:tblW w:w="7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18"/>
              <w:gridCol w:w="3191"/>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tcPr>
                <w:p>
                  <w:pPr>
                    <w:pStyle w:val="2"/>
                    <w:spacing w:before="0" w:after="0" w:line="240" w:lineRule="auto"/>
                    <w:ind w:right="0"/>
                    <w:jc w:val="center"/>
                    <w:rPr>
                      <w:color w:val="auto"/>
                      <w:sz w:val="21"/>
                      <w:szCs w:val="21"/>
                    </w:rPr>
                  </w:pPr>
                  <w:r>
                    <w:rPr>
                      <w:color w:val="auto"/>
                      <w:sz w:val="21"/>
                      <w:szCs w:val="21"/>
                    </w:rPr>
                    <w:t>工程类别</w:t>
                  </w:r>
                </w:p>
              </w:tc>
              <w:tc>
                <w:tcPr>
                  <w:tcW w:w="1118" w:type="dxa"/>
                </w:tcPr>
                <w:p>
                  <w:pPr>
                    <w:pStyle w:val="2"/>
                    <w:spacing w:before="0" w:after="0" w:line="240" w:lineRule="auto"/>
                    <w:ind w:right="0"/>
                    <w:jc w:val="center"/>
                    <w:rPr>
                      <w:color w:val="auto"/>
                      <w:sz w:val="21"/>
                      <w:szCs w:val="21"/>
                    </w:rPr>
                  </w:pPr>
                  <w:r>
                    <w:rPr>
                      <w:color w:val="auto"/>
                      <w:sz w:val="21"/>
                      <w:szCs w:val="21"/>
                    </w:rPr>
                    <w:t>工程名称</w:t>
                  </w:r>
                </w:p>
              </w:tc>
              <w:tc>
                <w:tcPr>
                  <w:tcW w:w="3191" w:type="dxa"/>
                </w:tcPr>
                <w:p>
                  <w:pPr>
                    <w:pStyle w:val="2"/>
                    <w:spacing w:before="0" w:after="0" w:line="240" w:lineRule="auto"/>
                    <w:ind w:right="0"/>
                    <w:jc w:val="center"/>
                    <w:rPr>
                      <w:color w:val="auto"/>
                      <w:sz w:val="21"/>
                      <w:szCs w:val="21"/>
                    </w:rPr>
                  </w:pPr>
                  <w:r>
                    <w:rPr>
                      <w:color w:val="auto"/>
                      <w:sz w:val="21"/>
                      <w:szCs w:val="21"/>
                    </w:rPr>
                    <w:t>主要建设内容</w:t>
                  </w:r>
                </w:p>
              </w:tc>
              <w:tc>
                <w:tcPr>
                  <w:tcW w:w="2689" w:type="dxa"/>
                </w:tcPr>
                <w:p>
                  <w:pPr>
                    <w:pStyle w:val="2"/>
                    <w:spacing w:before="0" w:after="0" w:line="240" w:lineRule="auto"/>
                    <w:ind w:right="0"/>
                    <w:jc w:val="center"/>
                    <w:rPr>
                      <w:color w:val="auto"/>
                      <w:sz w:val="21"/>
                      <w:szCs w:val="21"/>
                    </w:rPr>
                  </w:pPr>
                  <w:r>
                    <w:rPr>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tcPr>
                <w:p>
                  <w:pPr>
                    <w:widowControl/>
                    <w:jc w:val="center"/>
                    <w:rPr>
                      <w:color w:val="auto"/>
                      <w:szCs w:val="21"/>
                    </w:rPr>
                  </w:pPr>
                  <w:r>
                    <w:rPr>
                      <w:rFonts w:hint="eastAsia"/>
                      <w:color w:val="auto"/>
                      <w:kern w:val="0"/>
                      <w:szCs w:val="21"/>
                    </w:rPr>
                    <w:t>主体工程</w:t>
                  </w:r>
                </w:p>
              </w:tc>
              <w:tc>
                <w:tcPr>
                  <w:tcW w:w="1118" w:type="dxa"/>
                </w:tcPr>
                <w:p>
                  <w:pPr>
                    <w:widowControl/>
                    <w:jc w:val="center"/>
                    <w:rPr>
                      <w:color w:val="auto"/>
                      <w:szCs w:val="21"/>
                    </w:rPr>
                  </w:pPr>
                  <w:r>
                    <w:rPr>
                      <w:rFonts w:hint="eastAsia"/>
                      <w:color w:val="auto"/>
                      <w:kern w:val="0"/>
                      <w:szCs w:val="21"/>
                    </w:rPr>
                    <w:t>标准厂房</w:t>
                  </w:r>
                </w:p>
              </w:tc>
              <w:tc>
                <w:tcPr>
                  <w:tcW w:w="3191" w:type="dxa"/>
                </w:tcPr>
                <w:p>
                  <w:pPr>
                    <w:widowControl/>
                    <w:jc w:val="center"/>
                    <w:rPr>
                      <w:color w:val="auto"/>
                      <w:szCs w:val="21"/>
                    </w:rPr>
                  </w:pPr>
                  <w:r>
                    <w:rPr>
                      <w:rFonts w:hint="eastAsia"/>
                      <w:color w:val="auto"/>
                    </w:rPr>
                    <w:t>共建设3栋标准厂房，均为一层钢架结构厂房，其中1号厂房占地面积约10530m</w:t>
                  </w:r>
                  <w:r>
                    <w:rPr>
                      <w:rFonts w:hint="eastAsia"/>
                      <w:color w:val="auto"/>
                      <w:vertAlign w:val="superscript"/>
                    </w:rPr>
                    <w:t>2</w:t>
                  </w:r>
                  <w:r>
                    <w:rPr>
                      <w:rFonts w:hint="eastAsia"/>
                      <w:color w:val="auto"/>
                    </w:rPr>
                    <w:t>，层高为10m，1号厂房分为1、2、3、4车间，2号厂房占地面积约3000m</w:t>
                  </w:r>
                  <w:r>
                    <w:rPr>
                      <w:rFonts w:hint="eastAsia"/>
                      <w:color w:val="auto"/>
                      <w:vertAlign w:val="superscript"/>
                    </w:rPr>
                    <w:t>2</w:t>
                  </w:r>
                  <w:r>
                    <w:rPr>
                      <w:rFonts w:hint="eastAsia"/>
                      <w:color w:val="auto"/>
                    </w:rPr>
                    <w:t>，层高为10m，3号厂房占地面积约5128m</w:t>
                  </w:r>
                  <w:r>
                    <w:rPr>
                      <w:rFonts w:hint="eastAsia"/>
                      <w:color w:val="auto"/>
                      <w:vertAlign w:val="superscript"/>
                    </w:rPr>
                    <w:t>2</w:t>
                  </w:r>
                  <w:r>
                    <w:rPr>
                      <w:rFonts w:hint="eastAsia"/>
                      <w:color w:val="auto"/>
                    </w:rPr>
                    <w:t>，厂房高度为12m。</w:t>
                  </w:r>
                </w:p>
              </w:tc>
              <w:tc>
                <w:tcPr>
                  <w:tcW w:w="2689" w:type="dxa"/>
                </w:tcPr>
                <w:p>
                  <w:pPr>
                    <w:widowControl/>
                    <w:jc w:val="center"/>
                    <w:rPr>
                      <w:color w:val="auto"/>
                      <w:szCs w:val="21"/>
                    </w:rPr>
                  </w:pPr>
                  <w:r>
                    <w:rPr>
                      <w:rFonts w:hint="eastAsia"/>
                      <w:color w:val="auto"/>
                      <w:kern w:val="0"/>
                      <w:szCs w:val="21"/>
                    </w:rPr>
                    <w:t>云南胜爵人防工程设备销售有限公司租用1号厂房第3、4车间建设钢门框等生产线，员工人数约30人；其余厂房均为空置；云南鹏腾机械设备制造有限公司在厂内约有20名办公人员。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Merge w:val="restart"/>
                </w:tcPr>
                <w:p>
                  <w:pPr>
                    <w:pStyle w:val="2"/>
                    <w:spacing w:before="0" w:after="0" w:line="240" w:lineRule="auto"/>
                    <w:ind w:right="0"/>
                    <w:rPr>
                      <w:color w:val="auto"/>
                      <w:sz w:val="21"/>
                      <w:szCs w:val="21"/>
                    </w:rPr>
                  </w:pPr>
                  <w:r>
                    <w:rPr>
                      <w:rFonts w:hint="eastAsia"/>
                      <w:color w:val="auto"/>
                      <w:sz w:val="21"/>
                      <w:szCs w:val="21"/>
                    </w:rPr>
                    <w:t>辅助工程</w:t>
                  </w:r>
                </w:p>
              </w:tc>
              <w:tc>
                <w:tcPr>
                  <w:tcW w:w="1118" w:type="dxa"/>
                </w:tcPr>
                <w:p>
                  <w:pPr>
                    <w:widowControl/>
                    <w:jc w:val="center"/>
                    <w:rPr>
                      <w:color w:val="auto"/>
                      <w:szCs w:val="21"/>
                    </w:rPr>
                  </w:pPr>
                  <w:r>
                    <w:rPr>
                      <w:rFonts w:hint="eastAsia"/>
                      <w:color w:val="auto"/>
                      <w:kern w:val="0"/>
                      <w:szCs w:val="21"/>
                    </w:rPr>
                    <w:t>办公楼</w:t>
                  </w:r>
                </w:p>
              </w:tc>
              <w:tc>
                <w:tcPr>
                  <w:tcW w:w="3191" w:type="dxa"/>
                </w:tcPr>
                <w:p>
                  <w:pPr>
                    <w:widowControl/>
                    <w:jc w:val="center"/>
                    <w:rPr>
                      <w:color w:val="auto"/>
                      <w:szCs w:val="21"/>
                    </w:rPr>
                  </w:pPr>
                  <w:r>
                    <w:rPr>
                      <w:rFonts w:hint="eastAsia"/>
                      <w:color w:val="auto"/>
                      <w:kern w:val="0"/>
                      <w:szCs w:val="21"/>
                    </w:rPr>
                    <w:t>共1栋，3层，高约9m，占地面积600m</w:t>
                  </w:r>
                  <w:r>
                    <w:rPr>
                      <w:rFonts w:hint="eastAsia"/>
                      <w:color w:val="auto"/>
                      <w:kern w:val="0"/>
                      <w:szCs w:val="21"/>
                      <w:vertAlign w:val="superscript"/>
                    </w:rPr>
                    <w:t>2</w:t>
                  </w:r>
                  <w:r>
                    <w:rPr>
                      <w:rFonts w:hint="eastAsia"/>
                      <w:color w:val="auto"/>
                      <w:kern w:val="0"/>
                      <w:szCs w:val="21"/>
                    </w:rPr>
                    <w:t>，建筑面积约1800m</w:t>
                  </w:r>
                  <w:r>
                    <w:rPr>
                      <w:rFonts w:hint="eastAsia"/>
                      <w:color w:val="auto"/>
                      <w:kern w:val="0"/>
                      <w:szCs w:val="21"/>
                      <w:vertAlign w:val="superscript"/>
                    </w:rPr>
                    <w:t>2</w:t>
                  </w:r>
                  <w:r>
                    <w:rPr>
                      <w:rFonts w:hint="eastAsia"/>
                      <w:color w:val="auto"/>
                      <w:kern w:val="0"/>
                      <w:szCs w:val="21"/>
                    </w:rPr>
                    <w:t>，主要用于日常办公</w:t>
                  </w:r>
                </w:p>
              </w:tc>
              <w:tc>
                <w:tcPr>
                  <w:tcW w:w="2689" w:type="dxa"/>
                </w:tcPr>
                <w:p>
                  <w:pPr>
                    <w:widowControl/>
                    <w:jc w:val="center"/>
                    <w:rPr>
                      <w:color w:val="auto"/>
                      <w:szCs w:val="21"/>
                    </w:rPr>
                  </w:pPr>
                  <w:r>
                    <w:rPr>
                      <w:rFonts w:hint="eastAsia"/>
                      <w:color w:val="auto"/>
                      <w:kern w:val="0"/>
                      <w:szCs w:val="21"/>
                    </w:rPr>
                    <w:t>云南胜爵人防工程设备销售有限公司租用第二层，其余为云南鹏腾机械设备制造有限公司使用或空置。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Merge w:val="continue"/>
                </w:tcPr>
                <w:p>
                  <w:pPr>
                    <w:pStyle w:val="2"/>
                    <w:spacing w:before="0" w:after="0" w:line="240" w:lineRule="auto"/>
                    <w:ind w:right="0"/>
                    <w:rPr>
                      <w:color w:val="auto"/>
                      <w:sz w:val="21"/>
                      <w:szCs w:val="21"/>
                    </w:rPr>
                  </w:pPr>
                </w:p>
              </w:tc>
              <w:tc>
                <w:tcPr>
                  <w:tcW w:w="1118" w:type="dxa"/>
                </w:tcPr>
                <w:p>
                  <w:pPr>
                    <w:widowControl/>
                    <w:jc w:val="center"/>
                    <w:rPr>
                      <w:color w:val="auto"/>
                      <w:szCs w:val="21"/>
                    </w:rPr>
                  </w:pPr>
                  <w:r>
                    <w:rPr>
                      <w:rFonts w:hint="eastAsia"/>
                      <w:color w:val="auto"/>
                      <w:kern w:val="0"/>
                      <w:szCs w:val="21"/>
                    </w:rPr>
                    <w:t>宿舍楼</w:t>
                  </w:r>
                </w:p>
              </w:tc>
              <w:tc>
                <w:tcPr>
                  <w:tcW w:w="3191" w:type="dxa"/>
                </w:tcPr>
                <w:p>
                  <w:pPr>
                    <w:widowControl/>
                    <w:jc w:val="center"/>
                    <w:rPr>
                      <w:color w:val="auto"/>
                      <w:szCs w:val="21"/>
                    </w:rPr>
                  </w:pPr>
                  <w:r>
                    <w:rPr>
                      <w:rFonts w:hint="eastAsia"/>
                      <w:color w:val="auto"/>
                      <w:kern w:val="0"/>
                      <w:szCs w:val="21"/>
                    </w:rPr>
                    <w:t>共2栋，建筑面积约为3100m</w:t>
                  </w:r>
                  <w:r>
                    <w:rPr>
                      <w:rFonts w:hint="eastAsia"/>
                      <w:color w:val="auto"/>
                      <w:kern w:val="0"/>
                      <w:szCs w:val="21"/>
                      <w:vertAlign w:val="superscript"/>
                    </w:rPr>
                    <w:t>2</w:t>
                  </w:r>
                  <w:r>
                    <w:rPr>
                      <w:rFonts w:hint="eastAsia"/>
                      <w:color w:val="auto"/>
                      <w:kern w:val="0"/>
                      <w:szCs w:val="21"/>
                    </w:rPr>
                    <w:t>，其中1号宿舍楼为4层，高约12m，2号宿舍楼为5层，高约15m，主要用于员工住宿</w:t>
                  </w:r>
                </w:p>
              </w:tc>
              <w:tc>
                <w:tcPr>
                  <w:tcW w:w="2689" w:type="dxa"/>
                </w:tcPr>
                <w:p>
                  <w:pPr>
                    <w:widowControl/>
                    <w:jc w:val="center"/>
                    <w:rPr>
                      <w:color w:val="auto"/>
                      <w:szCs w:val="21"/>
                    </w:rPr>
                  </w:pPr>
                  <w:r>
                    <w:rPr>
                      <w:rFonts w:hint="eastAsia"/>
                      <w:color w:val="auto"/>
                      <w:kern w:val="0"/>
                      <w:szCs w:val="21"/>
                    </w:rPr>
                    <w:t>云南胜爵人防工程设备销售有限公司租用1号宿舍楼的其中一层，本项目租用2号宿舍楼的其中一层，其余为</w:t>
                  </w:r>
                  <w:r>
                    <w:rPr>
                      <w:rFonts w:hint="eastAsia"/>
                      <w:color w:val="auto"/>
                      <w:szCs w:val="21"/>
                    </w:rPr>
                    <w:t>云南鹏腾机械设备制造有限公司使用或空置。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Merge w:val="continue"/>
                </w:tcPr>
                <w:p>
                  <w:pPr>
                    <w:pStyle w:val="2"/>
                    <w:spacing w:before="0" w:after="0" w:line="240" w:lineRule="auto"/>
                    <w:ind w:right="0"/>
                    <w:rPr>
                      <w:color w:val="auto"/>
                      <w:sz w:val="21"/>
                      <w:szCs w:val="21"/>
                    </w:rPr>
                  </w:pPr>
                </w:p>
              </w:tc>
              <w:tc>
                <w:tcPr>
                  <w:tcW w:w="1118" w:type="dxa"/>
                </w:tcPr>
                <w:p>
                  <w:pPr>
                    <w:widowControl/>
                    <w:jc w:val="center"/>
                    <w:rPr>
                      <w:color w:val="auto"/>
                      <w:szCs w:val="21"/>
                    </w:rPr>
                  </w:pPr>
                  <w:r>
                    <w:rPr>
                      <w:rFonts w:hint="eastAsia"/>
                      <w:color w:val="auto"/>
                      <w:kern w:val="0"/>
                      <w:szCs w:val="21"/>
                    </w:rPr>
                    <w:t>食堂</w:t>
                  </w:r>
                </w:p>
              </w:tc>
              <w:tc>
                <w:tcPr>
                  <w:tcW w:w="3191" w:type="dxa"/>
                </w:tcPr>
                <w:p>
                  <w:pPr>
                    <w:widowControl/>
                    <w:jc w:val="center"/>
                    <w:rPr>
                      <w:color w:val="auto"/>
                      <w:szCs w:val="21"/>
                    </w:rPr>
                  </w:pPr>
                  <w:r>
                    <w:rPr>
                      <w:rFonts w:hint="eastAsia" w:cs="宋体"/>
                      <w:color w:val="auto"/>
                      <w:kern w:val="0"/>
                      <w:szCs w:val="21"/>
                    </w:rPr>
                    <w:t>共1栋，1层，高约4m，占地面积400m</w:t>
                  </w:r>
                  <w:r>
                    <w:rPr>
                      <w:rFonts w:hint="eastAsia" w:cs="宋体"/>
                      <w:color w:val="auto"/>
                      <w:kern w:val="0"/>
                      <w:szCs w:val="21"/>
                      <w:vertAlign w:val="superscript"/>
                    </w:rPr>
                    <w:t>2</w:t>
                  </w:r>
                  <w:r>
                    <w:rPr>
                      <w:rFonts w:hint="eastAsia" w:cs="宋体"/>
                      <w:color w:val="auto"/>
                      <w:kern w:val="0"/>
                      <w:szCs w:val="21"/>
                    </w:rPr>
                    <w:t>，用于厂内员工就餐</w:t>
                  </w:r>
                </w:p>
              </w:tc>
              <w:tc>
                <w:tcPr>
                  <w:tcW w:w="2689" w:type="dxa"/>
                  <w:vMerge w:val="restart"/>
                </w:tcPr>
                <w:p>
                  <w:pPr>
                    <w:pStyle w:val="2"/>
                    <w:spacing w:before="0" w:after="0" w:line="240" w:lineRule="auto"/>
                    <w:ind w:right="0"/>
                    <w:rPr>
                      <w:color w:val="auto"/>
                      <w:sz w:val="21"/>
                      <w:szCs w:val="21"/>
                    </w:rPr>
                  </w:pPr>
                  <w:r>
                    <w:rPr>
                      <w:rFonts w:hint="eastAsia"/>
                      <w:color w:val="auto"/>
                      <w:sz w:val="21"/>
                      <w:szCs w:val="21"/>
                    </w:rPr>
                    <w:t>云南胜爵人防工程设备销售有限公司、云南鹏腾机械设备制造有限公司共用。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Merge w:val="continue"/>
                </w:tcPr>
                <w:p>
                  <w:pPr>
                    <w:pStyle w:val="2"/>
                    <w:spacing w:before="0" w:after="0" w:line="240" w:lineRule="auto"/>
                    <w:ind w:right="0"/>
                    <w:rPr>
                      <w:color w:val="auto"/>
                      <w:sz w:val="21"/>
                      <w:szCs w:val="21"/>
                    </w:rPr>
                  </w:pPr>
                </w:p>
              </w:tc>
              <w:tc>
                <w:tcPr>
                  <w:tcW w:w="1118" w:type="dxa"/>
                </w:tcPr>
                <w:p>
                  <w:pPr>
                    <w:widowControl/>
                    <w:jc w:val="center"/>
                    <w:rPr>
                      <w:color w:val="auto"/>
                      <w:szCs w:val="21"/>
                    </w:rPr>
                  </w:pPr>
                  <w:r>
                    <w:rPr>
                      <w:rFonts w:hint="eastAsia"/>
                      <w:color w:val="auto"/>
                      <w:kern w:val="0"/>
                      <w:szCs w:val="21"/>
                    </w:rPr>
                    <w:t>门卫室</w:t>
                  </w:r>
                </w:p>
              </w:tc>
              <w:tc>
                <w:tcPr>
                  <w:tcW w:w="3191" w:type="dxa"/>
                </w:tcPr>
                <w:p>
                  <w:pPr>
                    <w:widowControl/>
                    <w:jc w:val="center"/>
                    <w:rPr>
                      <w:color w:val="auto"/>
                      <w:szCs w:val="21"/>
                    </w:rPr>
                  </w:pPr>
                  <w:r>
                    <w:rPr>
                      <w:rFonts w:hint="eastAsia"/>
                      <w:color w:val="auto"/>
                      <w:kern w:val="0"/>
                      <w:szCs w:val="21"/>
                    </w:rPr>
                    <w:t>1间，建筑面积约10m</w:t>
                  </w:r>
                  <w:r>
                    <w:rPr>
                      <w:rFonts w:hint="eastAsia"/>
                      <w:color w:val="auto"/>
                      <w:kern w:val="0"/>
                      <w:szCs w:val="21"/>
                      <w:vertAlign w:val="superscript"/>
                    </w:rPr>
                    <w:t>2</w:t>
                  </w:r>
                  <w:r>
                    <w:rPr>
                      <w:rFonts w:hint="eastAsia"/>
                      <w:color w:val="auto"/>
                      <w:kern w:val="0"/>
                      <w:szCs w:val="21"/>
                    </w:rPr>
                    <w:t>，位于厂区进口处</w:t>
                  </w:r>
                </w:p>
              </w:tc>
              <w:tc>
                <w:tcPr>
                  <w:tcW w:w="2689" w:type="dxa"/>
                  <w:vMerge w:val="continue"/>
                </w:tcPr>
                <w:p>
                  <w:pPr>
                    <w:pStyle w:val="2"/>
                    <w:spacing w:before="0" w:after="0" w:line="240" w:lineRule="auto"/>
                    <w:ind w:right="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Merge w:val="continue"/>
                </w:tcPr>
                <w:p>
                  <w:pPr>
                    <w:pStyle w:val="2"/>
                    <w:spacing w:before="0" w:after="0" w:line="240" w:lineRule="auto"/>
                    <w:ind w:right="0"/>
                    <w:rPr>
                      <w:color w:val="auto"/>
                      <w:sz w:val="21"/>
                      <w:szCs w:val="21"/>
                    </w:rPr>
                  </w:pPr>
                </w:p>
              </w:tc>
              <w:tc>
                <w:tcPr>
                  <w:tcW w:w="1118" w:type="dxa"/>
                </w:tcPr>
                <w:p>
                  <w:pPr>
                    <w:widowControl/>
                    <w:jc w:val="center"/>
                    <w:rPr>
                      <w:color w:val="auto"/>
                      <w:szCs w:val="21"/>
                    </w:rPr>
                  </w:pPr>
                  <w:r>
                    <w:rPr>
                      <w:rFonts w:hint="eastAsia"/>
                      <w:color w:val="auto"/>
                      <w:kern w:val="0"/>
                      <w:szCs w:val="21"/>
                    </w:rPr>
                    <w:t>公厕</w:t>
                  </w:r>
                </w:p>
              </w:tc>
              <w:tc>
                <w:tcPr>
                  <w:tcW w:w="3191" w:type="dxa"/>
                </w:tcPr>
                <w:p>
                  <w:pPr>
                    <w:widowControl/>
                    <w:jc w:val="center"/>
                    <w:rPr>
                      <w:color w:val="auto"/>
                      <w:szCs w:val="21"/>
                    </w:rPr>
                  </w:pPr>
                  <w:r>
                    <w:rPr>
                      <w:rFonts w:hint="eastAsia"/>
                      <w:color w:val="auto"/>
                      <w:kern w:val="0"/>
                      <w:szCs w:val="21"/>
                    </w:rPr>
                    <w:t>1个，占地面积约15m</w:t>
                  </w:r>
                  <w:r>
                    <w:rPr>
                      <w:rFonts w:hint="eastAsia"/>
                      <w:color w:val="auto"/>
                      <w:kern w:val="0"/>
                      <w:szCs w:val="21"/>
                      <w:vertAlign w:val="superscript"/>
                    </w:rPr>
                    <w:t>2</w:t>
                  </w:r>
                  <w:r>
                    <w:rPr>
                      <w:rFonts w:hint="eastAsia"/>
                      <w:color w:val="auto"/>
                      <w:kern w:val="0"/>
                      <w:szCs w:val="21"/>
                    </w:rPr>
                    <w:t>，用于厂内员工如厕</w:t>
                  </w:r>
                </w:p>
              </w:tc>
              <w:tc>
                <w:tcPr>
                  <w:tcW w:w="2689" w:type="dxa"/>
                  <w:vMerge w:val="continue"/>
                </w:tcPr>
                <w:p>
                  <w:pPr>
                    <w:pStyle w:val="2"/>
                    <w:spacing w:before="0" w:after="0" w:line="240" w:lineRule="auto"/>
                    <w:ind w:right="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Merge w:val="restart"/>
                </w:tcPr>
                <w:p>
                  <w:pPr>
                    <w:pStyle w:val="2"/>
                    <w:spacing w:before="0" w:after="0" w:line="240" w:lineRule="auto"/>
                    <w:ind w:right="0"/>
                    <w:rPr>
                      <w:color w:val="auto"/>
                      <w:sz w:val="21"/>
                      <w:szCs w:val="21"/>
                    </w:rPr>
                  </w:pPr>
                  <w:r>
                    <w:rPr>
                      <w:rFonts w:hint="eastAsia"/>
                      <w:color w:val="auto"/>
                      <w:sz w:val="21"/>
                      <w:szCs w:val="21"/>
                    </w:rPr>
                    <w:t>环保工程</w:t>
                  </w:r>
                </w:p>
              </w:tc>
              <w:tc>
                <w:tcPr>
                  <w:tcW w:w="1118" w:type="dxa"/>
                </w:tcPr>
                <w:p>
                  <w:pPr>
                    <w:widowControl/>
                    <w:jc w:val="center"/>
                    <w:rPr>
                      <w:color w:val="auto"/>
                      <w:szCs w:val="21"/>
                    </w:rPr>
                  </w:pPr>
                  <w:r>
                    <w:rPr>
                      <w:rFonts w:hint="eastAsia"/>
                      <w:color w:val="auto"/>
                      <w:kern w:val="0"/>
                      <w:szCs w:val="21"/>
                    </w:rPr>
                    <w:t>隔油池</w:t>
                  </w:r>
                </w:p>
              </w:tc>
              <w:tc>
                <w:tcPr>
                  <w:tcW w:w="3191" w:type="dxa"/>
                </w:tcPr>
                <w:p>
                  <w:pPr>
                    <w:widowControl/>
                    <w:jc w:val="center"/>
                    <w:rPr>
                      <w:color w:val="auto"/>
                      <w:szCs w:val="21"/>
                    </w:rPr>
                  </w:pPr>
                  <w:r>
                    <w:rPr>
                      <w:rFonts w:hint="eastAsia" w:cs="宋体"/>
                      <w:color w:val="auto"/>
                      <w:kern w:val="0"/>
                      <w:szCs w:val="21"/>
                    </w:rPr>
                    <w:t>位于两栋宿舍楼之间，主要用于食堂污水预处理，容积为0</w:t>
                  </w:r>
                  <w:r>
                    <w:rPr>
                      <w:rFonts w:cs="宋体"/>
                      <w:color w:val="auto"/>
                      <w:kern w:val="0"/>
                      <w:szCs w:val="21"/>
                    </w:rPr>
                    <w:t>.5</w:t>
                  </w:r>
                  <w:r>
                    <w:rPr>
                      <w:rFonts w:hint="eastAsia" w:cs="宋体"/>
                      <w:color w:val="auto"/>
                      <w:kern w:val="0"/>
                      <w:szCs w:val="21"/>
                    </w:rPr>
                    <w:t>m</w:t>
                  </w:r>
                  <w:r>
                    <w:rPr>
                      <w:rFonts w:cs="宋体"/>
                      <w:color w:val="auto"/>
                      <w:kern w:val="0"/>
                      <w:szCs w:val="21"/>
                      <w:vertAlign w:val="superscript"/>
                    </w:rPr>
                    <w:t>3</w:t>
                  </w:r>
                  <w:r>
                    <w:rPr>
                      <w:rFonts w:hint="eastAsia" w:cs="宋体"/>
                      <w:color w:val="auto"/>
                      <w:kern w:val="0"/>
                      <w:szCs w:val="21"/>
                    </w:rPr>
                    <w:t>。</w:t>
                  </w:r>
                </w:p>
              </w:tc>
              <w:tc>
                <w:tcPr>
                  <w:tcW w:w="2689" w:type="dxa"/>
                  <w:vMerge w:val="restart"/>
                </w:tcPr>
                <w:p>
                  <w:pPr>
                    <w:pStyle w:val="2"/>
                    <w:spacing w:before="0" w:after="0" w:line="240" w:lineRule="auto"/>
                    <w:ind w:right="0"/>
                    <w:rPr>
                      <w:color w:val="auto"/>
                      <w:sz w:val="21"/>
                      <w:szCs w:val="21"/>
                    </w:rPr>
                  </w:pPr>
                  <w:r>
                    <w:rPr>
                      <w:rFonts w:hint="eastAsia"/>
                      <w:color w:val="auto"/>
                      <w:sz w:val="21"/>
                      <w:szCs w:val="21"/>
                    </w:rPr>
                    <w:t>云南胜爵人防工程设备销售有限公司、云南鹏腾机械设备制造有限公司共用，污水处理站的运行管理单位为云南鹏腾机械设备制造有限公司。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Merge w:val="continue"/>
                </w:tcPr>
                <w:p>
                  <w:pPr>
                    <w:pStyle w:val="2"/>
                    <w:spacing w:before="0" w:after="0" w:line="240" w:lineRule="auto"/>
                    <w:ind w:right="0"/>
                    <w:rPr>
                      <w:color w:val="auto"/>
                      <w:sz w:val="21"/>
                      <w:szCs w:val="21"/>
                    </w:rPr>
                  </w:pPr>
                </w:p>
              </w:tc>
              <w:tc>
                <w:tcPr>
                  <w:tcW w:w="1118" w:type="dxa"/>
                </w:tcPr>
                <w:p>
                  <w:pPr>
                    <w:widowControl/>
                    <w:jc w:val="center"/>
                    <w:rPr>
                      <w:color w:val="auto"/>
                      <w:szCs w:val="21"/>
                    </w:rPr>
                  </w:pPr>
                  <w:r>
                    <w:rPr>
                      <w:rFonts w:hint="eastAsia"/>
                      <w:color w:val="auto"/>
                      <w:kern w:val="0"/>
                      <w:szCs w:val="21"/>
                    </w:rPr>
                    <w:t>化粪池</w:t>
                  </w:r>
                </w:p>
              </w:tc>
              <w:tc>
                <w:tcPr>
                  <w:tcW w:w="3191" w:type="dxa"/>
                </w:tcPr>
                <w:p>
                  <w:pPr>
                    <w:widowControl/>
                    <w:jc w:val="center"/>
                    <w:rPr>
                      <w:color w:val="auto"/>
                      <w:szCs w:val="21"/>
                    </w:rPr>
                  </w:pPr>
                  <w:r>
                    <w:rPr>
                      <w:rFonts w:hint="eastAsia" w:cs="宋体"/>
                      <w:color w:val="auto"/>
                      <w:kern w:val="0"/>
                      <w:szCs w:val="21"/>
                    </w:rPr>
                    <w:t>位于两栋宿舍楼之间，化粪池容积为</w:t>
                  </w:r>
                  <w:r>
                    <w:rPr>
                      <w:rFonts w:hint="eastAsia" w:cs="宋体"/>
                      <w:color w:val="auto"/>
                      <w:kern w:val="0"/>
                      <w:szCs w:val="21"/>
                      <w:lang w:val="en-US" w:eastAsia="zh-CN"/>
                    </w:rPr>
                    <w:t>3</w:t>
                  </w:r>
                  <w:r>
                    <w:rPr>
                      <w:rFonts w:cs="宋体"/>
                      <w:color w:val="auto"/>
                      <w:kern w:val="0"/>
                      <w:szCs w:val="21"/>
                    </w:rPr>
                    <w:t>0</w:t>
                  </w:r>
                  <w:r>
                    <w:rPr>
                      <w:rFonts w:hint="eastAsia" w:cs="宋体"/>
                      <w:color w:val="auto"/>
                      <w:kern w:val="0"/>
                      <w:szCs w:val="21"/>
                    </w:rPr>
                    <w:t>m</w:t>
                  </w:r>
                  <w:r>
                    <w:rPr>
                      <w:rFonts w:hint="eastAsia" w:cs="宋体"/>
                      <w:color w:val="auto"/>
                      <w:kern w:val="0"/>
                      <w:szCs w:val="21"/>
                      <w:vertAlign w:val="superscript"/>
                    </w:rPr>
                    <w:t>3</w:t>
                  </w:r>
                  <w:r>
                    <w:rPr>
                      <w:rFonts w:hint="eastAsia" w:cs="宋体"/>
                      <w:color w:val="auto"/>
                      <w:kern w:val="0"/>
                      <w:szCs w:val="21"/>
                    </w:rPr>
                    <w:t>，主要用于收集处理两栋宿舍楼产生的生活污水。</w:t>
                  </w:r>
                </w:p>
              </w:tc>
              <w:tc>
                <w:tcPr>
                  <w:tcW w:w="2689" w:type="dxa"/>
                  <w:vMerge w:val="continue"/>
                </w:tcPr>
                <w:p>
                  <w:pPr>
                    <w:pStyle w:val="2"/>
                    <w:spacing w:before="0" w:after="0" w:line="240" w:lineRule="auto"/>
                    <w:ind w:right="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Merge w:val="continue"/>
                </w:tcPr>
                <w:p>
                  <w:pPr>
                    <w:pStyle w:val="2"/>
                    <w:spacing w:before="0" w:after="0" w:line="240" w:lineRule="auto"/>
                    <w:ind w:right="0"/>
                    <w:rPr>
                      <w:color w:val="auto"/>
                      <w:sz w:val="21"/>
                      <w:szCs w:val="21"/>
                    </w:rPr>
                  </w:pPr>
                </w:p>
              </w:tc>
              <w:tc>
                <w:tcPr>
                  <w:tcW w:w="1118" w:type="dxa"/>
                </w:tcPr>
                <w:p>
                  <w:pPr>
                    <w:widowControl/>
                    <w:jc w:val="center"/>
                    <w:rPr>
                      <w:color w:val="auto"/>
                      <w:szCs w:val="21"/>
                    </w:rPr>
                  </w:pPr>
                  <w:r>
                    <w:rPr>
                      <w:rFonts w:hint="eastAsia"/>
                      <w:color w:val="auto"/>
                      <w:kern w:val="0"/>
                      <w:szCs w:val="21"/>
                    </w:rPr>
                    <w:t>一体化污水处理设置</w:t>
                  </w:r>
                </w:p>
              </w:tc>
              <w:tc>
                <w:tcPr>
                  <w:tcW w:w="3191" w:type="dxa"/>
                </w:tcPr>
                <w:p>
                  <w:pPr>
                    <w:widowControl/>
                    <w:jc w:val="center"/>
                    <w:rPr>
                      <w:color w:val="auto"/>
                      <w:szCs w:val="21"/>
                    </w:rPr>
                  </w:pPr>
                  <w:r>
                    <w:rPr>
                      <w:rFonts w:hint="eastAsia" w:cs="宋体"/>
                      <w:color w:val="auto"/>
                      <w:kern w:val="0"/>
                      <w:szCs w:val="21"/>
                    </w:rPr>
                    <w:t>位于两栋宿舍楼之间，污水处理采用MBR工艺，日处理能力</w:t>
                  </w:r>
                  <w:r>
                    <w:rPr>
                      <w:rFonts w:hint="eastAsia" w:cs="宋体"/>
                      <w:color w:val="auto"/>
                      <w:kern w:val="0"/>
                      <w:szCs w:val="21"/>
                      <w:lang w:val="en-US" w:eastAsia="zh-CN"/>
                    </w:rPr>
                    <w:t>30</w:t>
                  </w:r>
                  <w:r>
                    <w:rPr>
                      <w:rFonts w:hint="eastAsia" w:cs="宋体"/>
                      <w:color w:val="auto"/>
                      <w:kern w:val="0"/>
                      <w:szCs w:val="21"/>
                    </w:rPr>
                    <w:t>m</w:t>
                  </w:r>
                  <w:r>
                    <w:rPr>
                      <w:rFonts w:hint="eastAsia" w:cs="宋体"/>
                      <w:color w:val="auto"/>
                      <w:kern w:val="0"/>
                      <w:szCs w:val="21"/>
                      <w:vertAlign w:val="superscript"/>
                    </w:rPr>
                    <w:t>3</w:t>
                  </w:r>
                  <w:r>
                    <w:rPr>
                      <w:rFonts w:hint="eastAsia" w:cs="宋体"/>
                      <w:color w:val="auto"/>
                      <w:kern w:val="0"/>
                      <w:szCs w:val="21"/>
                    </w:rPr>
                    <w:t>/d，主要用于生活污水净化处理。</w:t>
                  </w:r>
                </w:p>
              </w:tc>
              <w:tc>
                <w:tcPr>
                  <w:tcW w:w="2689" w:type="dxa"/>
                  <w:vMerge w:val="continue"/>
                </w:tcPr>
                <w:p>
                  <w:pPr>
                    <w:pStyle w:val="2"/>
                    <w:spacing w:before="0" w:after="0" w:line="240" w:lineRule="auto"/>
                    <w:ind w:right="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4" w:type="dxa"/>
                  <w:vMerge w:val="continue"/>
                </w:tcPr>
                <w:p>
                  <w:pPr>
                    <w:pStyle w:val="2"/>
                    <w:spacing w:before="0" w:after="0" w:line="240" w:lineRule="auto"/>
                    <w:ind w:right="0"/>
                    <w:rPr>
                      <w:color w:val="auto"/>
                      <w:sz w:val="21"/>
                      <w:szCs w:val="21"/>
                    </w:rPr>
                  </w:pPr>
                </w:p>
              </w:tc>
              <w:tc>
                <w:tcPr>
                  <w:tcW w:w="1118" w:type="dxa"/>
                </w:tcPr>
                <w:p>
                  <w:pPr>
                    <w:widowControl/>
                    <w:jc w:val="center"/>
                    <w:rPr>
                      <w:color w:val="auto"/>
                      <w:szCs w:val="21"/>
                    </w:rPr>
                  </w:pPr>
                  <w:r>
                    <w:rPr>
                      <w:rFonts w:hint="eastAsia"/>
                      <w:color w:val="auto"/>
                      <w:kern w:val="0"/>
                      <w:szCs w:val="21"/>
                    </w:rPr>
                    <w:t>蓄水池</w:t>
                  </w:r>
                </w:p>
              </w:tc>
              <w:tc>
                <w:tcPr>
                  <w:tcW w:w="3191" w:type="dxa"/>
                </w:tcPr>
                <w:p>
                  <w:pPr>
                    <w:widowControl/>
                    <w:jc w:val="center"/>
                    <w:rPr>
                      <w:color w:val="auto"/>
                      <w:szCs w:val="21"/>
                    </w:rPr>
                  </w:pPr>
                  <w:r>
                    <w:rPr>
                      <w:rFonts w:hint="eastAsia"/>
                      <w:color w:val="auto"/>
                      <w:szCs w:val="21"/>
                    </w:rPr>
                    <w:t>云南鹏腾机械设备制造有限公司</w:t>
                  </w:r>
                  <w:r>
                    <w:rPr>
                      <w:rFonts w:hint="eastAsia" w:cs="宋体"/>
                      <w:color w:val="auto"/>
                      <w:kern w:val="0"/>
                      <w:szCs w:val="21"/>
                    </w:rPr>
                    <w:t>场地内已建一个容积为</w:t>
                  </w:r>
                  <w:r>
                    <w:rPr>
                      <w:rFonts w:hint="eastAsia" w:cs="宋体"/>
                      <w:color w:val="auto"/>
                      <w:kern w:val="0"/>
                      <w:szCs w:val="21"/>
                      <w:lang w:val="en-US" w:eastAsia="zh-CN"/>
                    </w:rPr>
                    <w:t>40</w:t>
                  </w:r>
                  <w:r>
                    <w:rPr>
                      <w:rFonts w:hint="eastAsia" w:cs="宋体"/>
                      <w:color w:val="auto"/>
                      <w:kern w:val="0"/>
                      <w:szCs w:val="21"/>
                    </w:rPr>
                    <w:t>m</w:t>
                  </w:r>
                  <w:r>
                    <w:rPr>
                      <w:rFonts w:cs="宋体"/>
                      <w:color w:val="auto"/>
                      <w:kern w:val="0"/>
                      <w:szCs w:val="21"/>
                      <w:vertAlign w:val="superscript"/>
                    </w:rPr>
                    <w:t>3</w:t>
                  </w:r>
                  <w:r>
                    <w:rPr>
                      <w:rFonts w:hint="eastAsia" w:cs="宋体"/>
                      <w:color w:val="auto"/>
                      <w:kern w:val="0"/>
                      <w:szCs w:val="21"/>
                    </w:rPr>
                    <w:t>的蓄水池</w:t>
                  </w:r>
                  <w:r>
                    <w:rPr>
                      <w:rFonts w:hint="eastAsia"/>
                      <w:color w:val="auto"/>
                      <w:szCs w:val="21"/>
                    </w:rPr>
                    <w:t>，用于收集雨天经一体化污水处理设施处理后的清水，待晴天回用于绿化。</w:t>
                  </w:r>
                </w:p>
              </w:tc>
              <w:tc>
                <w:tcPr>
                  <w:tcW w:w="2689" w:type="dxa"/>
                  <w:vMerge w:val="continue"/>
                </w:tcPr>
                <w:p>
                  <w:pPr>
                    <w:pStyle w:val="2"/>
                    <w:spacing w:before="0" w:after="0" w:line="240" w:lineRule="auto"/>
                    <w:ind w:right="0"/>
                    <w:rPr>
                      <w:color w:val="auto"/>
                      <w:sz w:val="21"/>
                      <w:szCs w:val="21"/>
                    </w:rPr>
                  </w:pPr>
                </w:p>
              </w:tc>
            </w:tr>
          </w:tbl>
          <w:p>
            <w:pPr>
              <w:pStyle w:val="2"/>
              <w:rPr>
                <w:color w:val="auto"/>
              </w:rPr>
            </w:pPr>
          </w:p>
          <w:p>
            <w:pPr>
              <w:numPr>
                <w:ilvl w:val="0"/>
                <w:numId w:val="2"/>
              </w:numPr>
              <w:adjustRightInd w:val="0"/>
              <w:snapToGrid w:val="0"/>
              <w:spacing w:line="360" w:lineRule="auto"/>
              <w:ind w:left="148" w:firstLine="482"/>
              <w:rPr>
                <w:b/>
                <w:bCs/>
                <w:color w:val="auto"/>
                <w:sz w:val="24"/>
              </w:rPr>
            </w:pPr>
            <w:r>
              <w:rPr>
                <w:rFonts w:hint="eastAsia"/>
                <w:b/>
                <w:bCs/>
                <w:color w:val="auto"/>
                <w:sz w:val="24"/>
              </w:rPr>
              <w:t>项目主要产品及产能</w:t>
            </w:r>
          </w:p>
          <w:p>
            <w:pPr>
              <w:spacing w:line="360" w:lineRule="auto"/>
              <w:ind w:firstLine="480" w:firstLineChars="200"/>
              <w:rPr>
                <w:bCs/>
                <w:color w:val="auto"/>
                <w:kern w:val="0"/>
                <w:sz w:val="24"/>
              </w:rPr>
            </w:pPr>
            <w:r>
              <w:rPr>
                <w:bCs/>
                <w:color w:val="auto"/>
                <w:kern w:val="0"/>
                <w:sz w:val="24"/>
              </w:rPr>
              <w:t>原料收购时已经过废品回收企业初步分拣、抖灰等处理工序，进入项目</w:t>
            </w:r>
            <w:r>
              <w:rPr>
                <w:rFonts w:hint="eastAsia"/>
                <w:bCs/>
                <w:color w:val="auto"/>
                <w:kern w:val="0"/>
                <w:sz w:val="24"/>
              </w:rPr>
              <w:t>原料暂存区</w:t>
            </w:r>
            <w:r>
              <w:rPr>
                <w:bCs/>
                <w:color w:val="auto"/>
                <w:kern w:val="0"/>
                <w:sz w:val="24"/>
              </w:rPr>
              <w:t>的原料经过除铁、清洗等预处理后再进行生产加工。</w:t>
            </w:r>
          </w:p>
          <w:p>
            <w:pPr>
              <w:spacing w:line="360" w:lineRule="auto"/>
              <w:ind w:firstLine="480" w:firstLineChars="200"/>
              <w:rPr>
                <w:color w:val="auto"/>
                <w:sz w:val="24"/>
              </w:rPr>
            </w:pPr>
            <w:r>
              <w:rPr>
                <w:bCs/>
                <w:color w:val="auto"/>
                <w:kern w:val="0"/>
                <w:sz w:val="24"/>
              </w:rPr>
              <w:t>①</w:t>
            </w:r>
            <w:r>
              <w:rPr>
                <w:bCs/>
                <w:color w:val="auto"/>
                <w:kern w:val="0"/>
                <w:sz w:val="24"/>
                <w:lang w:val="en-GB"/>
              </w:rPr>
              <w:t>再生P</w:t>
            </w:r>
            <w:r>
              <w:rPr>
                <w:bCs/>
                <w:color w:val="auto"/>
                <w:kern w:val="0"/>
                <w:sz w:val="24"/>
              </w:rPr>
              <w:t>E</w:t>
            </w:r>
            <w:r>
              <w:rPr>
                <w:bCs/>
                <w:color w:val="auto"/>
                <w:kern w:val="0"/>
                <w:sz w:val="24"/>
                <w:lang w:val="en-GB"/>
              </w:rPr>
              <w:t>塑料颗粒以</w:t>
            </w:r>
            <w:r>
              <w:rPr>
                <w:bCs/>
                <w:color w:val="auto"/>
                <w:kern w:val="0"/>
                <w:sz w:val="24"/>
              </w:rPr>
              <w:t>废弃农用地膜、废编织袋</w:t>
            </w:r>
            <w:r>
              <w:rPr>
                <w:bCs/>
                <w:color w:val="auto"/>
                <w:kern w:val="0"/>
                <w:sz w:val="24"/>
                <w:lang w:val="en-GB"/>
              </w:rPr>
              <w:t>为原料（</w:t>
            </w:r>
            <w:r>
              <w:rPr>
                <w:bCs/>
                <w:color w:val="auto"/>
                <w:kern w:val="0"/>
                <w:sz w:val="24"/>
              </w:rPr>
              <w:t>材料为聚乙烯PE</w:t>
            </w:r>
            <w:r>
              <w:rPr>
                <w:bCs/>
                <w:color w:val="auto"/>
                <w:kern w:val="0"/>
                <w:sz w:val="24"/>
                <w:lang w:val="en-GB"/>
              </w:rPr>
              <w:t>），年处理量约</w:t>
            </w:r>
            <w:r>
              <w:rPr>
                <w:rFonts w:hint="eastAsia"/>
                <w:bCs/>
                <w:color w:val="auto"/>
                <w:kern w:val="0"/>
                <w:sz w:val="24"/>
              </w:rPr>
              <w:t>2560.55</w:t>
            </w:r>
            <w:r>
              <w:rPr>
                <w:bCs/>
                <w:color w:val="auto"/>
                <w:kern w:val="0"/>
                <w:sz w:val="24"/>
                <w:lang w:val="en-GB"/>
              </w:rPr>
              <w:t>t/a，年产</w:t>
            </w:r>
            <w:r>
              <w:rPr>
                <w:rFonts w:hint="eastAsia"/>
                <w:bCs/>
                <w:color w:val="auto"/>
                <w:kern w:val="0"/>
                <w:sz w:val="24"/>
              </w:rPr>
              <w:t>25</w:t>
            </w:r>
            <w:r>
              <w:rPr>
                <w:bCs/>
                <w:color w:val="auto"/>
                <w:kern w:val="0"/>
                <w:sz w:val="24"/>
                <w:lang w:val="en-GB"/>
              </w:rPr>
              <w:t>00t再生P</w:t>
            </w:r>
            <w:r>
              <w:rPr>
                <w:bCs/>
                <w:color w:val="auto"/>
                <w:kern w:val="0"/>
                <w:sz w:val="24"/>
              </w:rPr>
              <w:t>E</w:t>
            </w:r>
            <w:r>
              <w:rPr>
                <w:bCs/>
                <w:color w:val="auto"/>
                <w:kern w:val="0"/>
                <w:sz w:val="24"/>
                <w:lang w:val="en-GB"/>
              </w:rPr>
              <w:t>塑料颗粒</w:t>
            </w:r>
            <w:r>
              <w:rPr>
                <w:bCs/>
                <w:color w:val="auto"/>
                <w:kern w:val="0"/>
                <w:sz w:val="24"/>
              </w:rPr>
              <w:t>。目前农业种植</w:t>
            </w:r>
            <w:r>
              <w:rPr>
                <w:color w:val="auto"/>
                <w:sz w:val="24"/>
              </w:rPr>
              <w:t>使用的多为防虫防病低毒用药，附着在</w:t>
            </w:r>
            <w:r>
              <w:rPr>
                <w:bCs/>
                <w:color w:val="auto"/>
                <w:kern w:val="0"/>
                <w:sz w:val="24"/>
              </w:rPr>
              <w:t>农用</w:t>
            </w:r>
            <w:r>
              <w:rPr>
                <w:color w:val="auto"/>
                <w:sz w:val="24"/>
              </w:rPr>
              <w:t>地膜上的农药经降雨时雨水冲刷后，无农药残留在地膜上。</w:t>
            </w:r>
          </w:p>
          <w:p>
            <w:pPr>
              <w:spacing w:line="360" w:lineRule="auto"/>
              <w:ind w:firstLine="480" w:firstLineChars="200"/>
              <w:rPr>
                <w:bCs/>
                <w:color w:val="auto"/>
                <w:kern w:val="0"/>
                <w:sz w:val="24"/>
              </w:rPr>
            </w:pPr>
            <w:r>
              <w:rPr>
                <w:bCs/>
                <w:color w:val="auto"/>
                <w:kern w:val="0"/>
                <w:sz w:val="24"/>
              </w:rPr>
              <w:t>②</w:t>
            </w:r>
            <w:r>
              <w:rPr>
                <w:bCs/>
                <w:color w:val="auto"/>
                <w:kern w:val="0"/>
                <w:sz w:val="24"/>
                <w:lang w:val="en-GB"/>
              </w:rPr>
              <w:t>再生P</w:t>
            </w:r>
            <w:r>
              <w:rPr>
                <w:bCs/>
                <w:color w:val="auto"/>
                <w:kern w:val="0"/>
                <w:sz w:val="24"/>
              </w:rPr>
              <w:t>P</w:t>
            </w:r>
            <w:r>
              <w:rPr>
                <w:bCs/>
                <w:color w:val="auto"/>
                <w:kern w:val="0"/>
                <w:sz w:val="24"/>
                <w:lang w:val="en-GB"/>
              </w:rPr>
              <w:t>塑料颗粒以</w:t>
            </w:r>
            <w:r>
              <w:rPr>
                <w:bCs/>
                <w:color w:val="auto"/>
                <w:kern w:val="0"/>
                <w:sz w:val="24"/>
              </w:rPr>
              <w:t>一般废旧塑料</w:t>
            </w:r>
            <w:r>
              <w:rPr>
                <w:bCs/>
                <w:color w:val="auto"/>
                <w:kern w:val="0"/>
                <w:sz w:val="24"/>
                <w:lang w:val="en-GB"/>
              </w:rPr>
              <w:t>为原料（</w:t>
            </w:r>
            <w:r>
              <w:rPr>
                <w:bCs/>
                <w:color w:val="auto"/>
                <w:kern w:val="0"/>
                <w:sz w:val="24"/>
              </w:rPr>
              <w:t>材料为聚丙烯PP</w:t>
            </w:r>
            <w:r>
              <w:rPr>
                <w:bCs/>
                <w:color w:val="auto"/>
                <w:kern w:val="0"/>
                <w:sz w:val="24"/>
                <w:lang w:val="en-GB"/>
              </w:rPr>
              <w:t>），年处理量约</w:t>
            </w:r>
            <w:r>
              <w:rPr>
                <w:rFonts w:hint="eastAsia"/>
                <w:bCs/>
                <w:color w:val="auto"/>
                <w:kern w:val="0"/>
                <w:sz w:val="24"/>
              </w:rPr>
              <w:t>2560.55</w:t>
            </w:r>
            <w:r>
              <w:rPr>
                <w:bCs/>
                <w:color w:val="auto"/>
                <w:kern w:val="0"/>
                <w:sz w:val="24"/>
                <w:lang w:val="en-GB"/>
              </w:rPr>
              <w:t>t/a，年产</w:t>
            </w:r>
            <w:r>
              <w:rPr>
                <w:rFonts w:hint="eastAsia"/>
                <w:bCs/>
                <w:color w:val="auto"/>
                <w:kern w:val="0"/>
                <w:sz w:val="24"/>
              </w:rPr>
              <w:t>25</w:t>
            </w:r>
            <w:r>
              <w:rPr>
                <w:bCs/>
                <w:color w:val="auto"/>
                <w:kern w:val="0"/>
                <w:sz w:val="24"/>
                <w:lang w:val="en-GB"/>
              </w:rPr>
              <w:t>00t再生PP塑料颗粒</w:t>
            </w:r>
            <w:r>
              <w:rPr>
                <w:bCs/>
                <w:color w:val="auto"/>
                <w:kern w:val="0"/>
                <w:sz w:val="24"/>
              </w:rPr>
              <w:t>。</w:t>
            </w:r>
          </w:p>
          <w:p>
            <w:pPr>
              <w:spacing w:line="360" w:lineRule="auto"/>
              <w:ind w:firstLine="480" w:firstLineChars="200"/>
              <w:rPr>
                <w:bCs/>
                <w:color w:val="auto"/>
                <w:kern w:val="0"/>
                <w:sz w:val="24"/>
                <w:lang w:val="en-GB"/>
              </w:rPr>
            </w:pPr>
            <w:r>
              <w:rPr>
                <w:bCs/>
                <w:color w:val="auto"/>
                <w:kern w:val="0"/>
                <w:sz w:val="24"/>
                <w:lang w:val="en-GB"/>
              </w:rPr>
              <w:t>建设项目主要产品方案详见</w:t>
            </w:r>
            <w:r>
              <w:rPr>
                <w:bCs/>
                <w:color w:val="auto"/>
                <w:kern w:val="0"/>
                <w:sz w:val="24"/>
              </w:rPr>
              <w:t>下表</w:t>
            </w:r>
            <w:r>
              <w:rPr>
                <w:bCs/>
                <w:color w:val="auto"/>
                <w:kern w:val="0"/>
                <w:sz w:val="24"/>
                <w:lang w:val="en-GB"/>
              </w:rPr>
              <w:t>。</w:t>
            </w:r>
          </w:p>
          <w:p>
            <w:pPr>
              <w:spacing w:line="360" w:lineRule="auto"/>
              <w:jc w:val="center"/>
              <w:rPr>
                <w:b/>
                <w:bCs/>
                <w:color w:val="auto"/>
                <w:sz w:val="24"/>
              </w:rPr>
            </w:pPr>
            <w:r>
              <w:rPr>
                <w:b/>
                <w:bCs/>
                <w:color w:val="auto"/>
                <w:sz w:val="24"/>
              </w:rPr>
              <w:t>表</w:t>
            </w:r>
            <w:r>
              <w:rPr>
                <w:rFonts w:hint="eastAsia"/>
                <w:b/>
                <w:bCs/>
                <w:color w:val="auto"/>
                <w:sz w:val="24"/>
              </w:rPr>
              <w:t>2-3</w:t>
            </w:r>
            <w:r>
              <w:rPr>
                <w:b/>
                <w:bCs/>
                <w:color w:val="auto"/>
                <w:sz w:val="24"/>
              </w:rPr>
              <w:t xml:space="preserve">  项目生产规模及产品方案一览表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86"/>
              <w:gridCol w:w="1008"/>
              <w:gridCol w:w="1008"/>
              <w:gridCol w:w="1008"/>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16" w:type="pct"/>
                  <w:vAlign w:val="center"/>
                </w:tcPr>
                <w:p>
                  <w:pPr>
                    <w:jc w:val="center"/>
                    <w:rPr>
                      <w:bCs/>
                      <w:color w:val="auto"/>
                      <w:szCs w:val="21"/>
                    </w:rPr>
                  </w:pPr>
                  <w:r>
                    <w:rPr>
                      <w:bCs/>
                      <w:color w:val="auto"/>
                      <w:szCs w:val="21"/>
                    </w:rPr>
                    <w:t>产品名称</w:t>
                  </w:r>
                </w:p>
              </w:tc>
              <w:tc>
                <w:tcPr>
                  <w:tcW w:w="895" w:type="pct"/>
                  <w:vAlign w:val="center"/>
                </w:tcPr>
                <w:p>
                  <w:pPr>
                    <w:jc w:val="center"/>
                    <w:rPr>
                      <w:bCs/>
                      <w:color w:val="auto"/>
                      <w:szCs w:val="21"/>
                    </w:rPr>
                  </w:pPr>
                  <w:r>
                    <w:rPr>
                      <w:bCs/>
                      <w:color w:val="auto"/>
                      <w:szCs w:val="21"/>
                    </w:rPr>
                    <w:t>规格</w:t>
                  </w:r>
                </w:p>
              </w:tc>
              <w:tc>
                <w:tcPr>
                  <w:tcW w:w="651" w:type="pct"/>
                  <w:vAlign w:val="center"/>
                </w:tcPr>
                <w:p>
                  <w:pPr>
                    <w:jc w:val="center"/>
                    <w:rPr>
                      <w:bCs/>
                      <w:color w:val="auto"/>
                      <w:szCs w:val="21"/>
                    </w:rPr>
                  </w:pPr>
                  <w:r>
                    <w:rPr>
                      <w:bCs/>
                      <w:color w:val="auto"/>
                      <w:szCs w:val="21"/>
                    </w:rPr>
                    <w:t>生产规模</w:t>
                  </w:r>
                </w:p>
              </w:tc>
              <w:tc>
                <w:tcPr>
                  <w:tcW w:w="651" w:type="pct"/>
                  <w:vAlign w:val="center"/>
                </w:tcPr>
                <w:p>
                  <w:pPr>
                    <w:jc w:val="center"/>
                    <w:rPr>
                      <w:bCs/>
                      <w:color w:val="auto"/>
                      <w:szCs w:val="21"/>
                    </w:rPr>
                  </w:pPr>
                  <w:r>
                    <w:rPr>
                      <w:bCs/>
                      <w:color w:val="auto"/>
                      <w:szCs w:val="21"/>
                    </w:rPr>
                    <w:t>包装方式</w:t>
                  </w:r>
                </w:p>
              </w:tc>
              <w:tc>
                <w:tcPr>
                  <w:tcW w:w="651" w:type="pct"/>
                  <w:vAlign w:val="center"/>
                </w:tcPr>
                <w:p>
                  <w:pPr>
                    <w:jc w:val="center"/>
                    <w:rPr>
                      <w:bCs/>
                      <w:color w:val="auto"/>
                      <w:szCs w:val="21"/>
                    </w:rPr>
                  </w:pPr>
                  <w:r>
                    <w:rPr>
                      <w:bCs/>
                      <w:color w:val="auto"/>
                      <w:szCs w:val="21"/>
                    </w:rPr>
                    <w:t>包装规格</w:t>
                  </w:r>
                </w:p>
              </w:tc>
              <w:tc>
                <w:tcPr>
                  <w:tcW w:w="1036" w:type="pct"/>
                  <w:vAlign w:val="center"/>
                </w:tcPr>
                <w:p>
                  <w:pPr>
                    <w:jc w:val="center"/>
                    <w:rPr>
                      <w:bCs/>
                      <w:color w:val="auto"/>
                      <w:szCs w:val="21"/>
                    </w:rPr>
                  </w:pPr>
                  <w:r>
                    <w:rPr>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6" w:type="pct"/>
                  <w:vAlign w:val="center"/>
                </w:tcPr>
                <w:p>
                  <w:pPr>
                    <w:jc w:val="center"/>
                    <w:rPr>
                      <w:bCs/>
                      <w:color w:val="auto"/>
                      <w:szCs w:val="21"/>
                    </w:rPr>
                  </w:pPr>
                  <w:r>
                    <w:rPr>
                      <w:bCs/>
                      <w:color w:val="auto"/>
                      <w:szCs w:val="21"/>
                    </w:rPr>
                    <w:t>再生PE塑料颗粒</w:t>
                  </w:r>
                </w:p>
              </w:tc>
              <w:tc>
                <w:tcPr>
                  <w:tcW w:w="895" w:type="pct"/>
                  <w:vAlign w:val="center"/>
                </w:tcPr>
                <w:p>
                  <w:pPr>
                    <w:jc w:val="center"/>
                    <w:rPr>
                      <w:bCs/>
                      <w:color w:val="auto"/>
                      <w:szCs w:val="21"/>
                    </w:rPr>
                  </w:pPr>
                  <w:r>
                    <w:rPr>
                      <w:bCs/>
                      <w:color w:val="auto"/>
                      <w:szCs w:val="21"/>
                    </w:rPr>
                    <w:t>Φ3mm×10mm</w:t>
                  </w:r>
                </w:p>
              </w:tc>
              <w:tc>
                <w:tcPr>
                  <w:tcW w:w="651" w:type="pct"/>
                  <w:vAlign w:val="center"/>
                </w:tcPr>
                <w:p>
                  <w:pPr>
                    <w:jc w:val="center"/>
                    <w:rPr>
                      <w:bCs/>
                      <w:color w:val="auto"/>
                      <w:szCs w:val="21"/>
                    </w:rPr>
                  </w:pPr>
                  <w:r>
                    <w:rPr>
                      <w:rFonts w:hint="eastAsia"/>
                      <w:bCs/>
                      <w:color w:val="auto"/>
                      <w:szCs w:val="21"/>
                    </w:rPr>
                    <w:t>25</w:t>
                  </w:r>
                  <w:r>
                    <w:rPr>
                      <w:bCs/>
                      <w:color w:val="auto"/>
                      <w:szCs w:val="21"/>
                    </w:rPr>
                    <w:t>00t/a</w:t>
                  </w:r>
                </w:p>
              </w:tc>
              <w:tc>
                <w:tcPr>
                  <w:tcW w:w="651" w:type="pct"/>
                  <w:vAlign w:val="center"/>
                </w:tcPr>
                <w:p>
                  <w:pPr>
                    <w:jc w:val="center"/>
                    <w:rPr>
                      <w:bCs/>
                      <w:color w:val="auto"/>
                      <w:szCs w:val="21"/>
                    </w:rPr>
                  </w:pPr>
                  <w:r>
                    <w:rPr>
                      <w:bCs/>
                      <w:color w:val="auto"/>
                      <w:szCs w:val="21"/>
                    </w:rPr>
                    <w:t>袋装</w:t>
                  </w:r>
                </w:p>
              </w:tc>
              <w:tc>
                <w:tcPr>
                  <w:tcW w:w="651" w:type="pct"/>
                  <w:vAlign w:val="center"/>
                </w:tcPr>
                <w:p>
                  <w:pPr>
                    <w:jc w:val="center"/>
                    <w:rPr>
                      <w:bCs/>
                      <w:color w:val="auto"/>
                      <w:szCs w:val="21"/>
                    </w:rPr>
                  </w:pPr>
                  <w:r>
                    <w:rPr>
                      <w:bCs/>
                      <w:color w:val="auto"/>
                      <w:szCs w:val="21"/>
                    </w:rPr>
                    <w:t>20kg/袋</w:t>
                  </w:r>
                </w:p>
              </w:tc>
              <w:tc>
                <w:tcPr>
                  <w:tcW w:w="1036" w:type="pct"/>
                  <w:vAlign w:val="center"/>
                </w:tcPr>
                <w:p>
                  <w:pPr>
                    <w:jc w:val="center"/>
                    <w:rPr>
                      <w:bCs/>
                      <w:color w:val="auto"/>
                      <w:szCs w:val="21"/>
                    </w:rPr>
                  </w:pPr>
                  <w:r>
                    <w:rPr>
                      <w:bCs/>
                      <w:color w:val="auto"/>
                      <w:szCs w:val="21"/>
                    </w:rPr>
                    <w:t>外售，主要用于</w:t>
                  </w:r>
                </w:p>
                <w:p>
                  <w:pPr>
                    <w:jc w:val="center"/>
                    <w:rPr>
                      <w:bCs/>
                      <w:color w:val="auto"/>
                      <w:szCs w:val="21"/>
                    </w:rPr>
                  </w:pPr>
                  <w:r>
                    <w:rPr>
                      <w:bCs/>
                      <w:color w:val="auto"/>
                      <w:szCs w:val="21"/>
                    </w:rPr>
                    <w:t>袋制造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908" w:type="dxa"/>
                  <w:vAlign w:val="center"/>
                </w:tcPr>
                <w:p>
                  <w:pPr>
                    <w:jc w:val="center"/>
                    <w:rPr>
                      <w:bCs/>
                      <w:color w:val="auto"/>
                      <w:szCs w:val="21"/>
                    </w:rPr>
                  </w:pPr>
                  <w:r>
                    <w:rPr>
                      <w:bCs/>
                      <w:color w:val="auto"/>
                      <w:szCs w:val="21"/>
                    </w:rPr>
                    <w:t>再生PP塑料颗粒</w:t>
                  </w:r>
                </w:p>
              </w:tc>
              <w:tc>
                <w:tcPr>
                  <w:tcW w:w="1530" w:type="dxa"/>
                  <w:vAlign w:val="center"/>
                </w:tcPr>
                <w:p>
                  <w:pPr>
                    <w:jc w:val="center"/>
                    <w:rPr>
                      <w:bCs/>
                      <w:color w:val="auto"/>
                      <w:szCs w:val="21"/>
                    </w:rPr>
                  </w:pPr>
                  <w:r>
                    <w:rPr>
                      <w:bCs/>
                      <w:color w:val="auto"/>
                      <w:szCs w:val="21"/>
                    </w:rPr>
                    <w:t>Φ3mm×10mm</w:t>
                  </w:r>
                </w:p>
              </w:tc>
              <w:tc>
                <w:tcPr>
                  <w:tcW w:w="1113" w:type="dxa"/>
                  <w:vAlign w:val="center"/>
                </w:tcPr>
                <w:p>
                  <w:pPr>
                    <w:jc w:val="center"/>
                    <w:rPr>
                      <w:bCs/>
                      <w:color w:val="auto"/>
                      <w:szCs w:val="21"/>
                    </w:rPr>
                  </w:pPr>
                  <w:r>
                    <w:rPr>
                      <w:rFonts w:hint="eastAsia"/>
                      <w:bCs/>
                      <w:color w:val="auto"/>
                      <w:szCs w:val="21"/>
                    </w:rPr>
                    <w:t>250</w:t>
                  </w:r>
                  <w:r>
                    <w:rPr>
                      <w:bCs/>
                      <w:color w:val="auto"/>
                      <w:szCs w:val="21"/>
                    </w:rPr>
                    <w:t>0t/a</w:t>
                  </w:r>
                </w:p>
              </w:tc>
              <w:tc>
                <w:tcPr>
                  <w:tcW w:w="1113" w:type="dxa"/>
                  <w:vAlign w:val="center"/>
                </w:tcPr>
                <w:p>
                  <w:pPr>
                    <w:jc w:val="center"/>
                    <w:rPr>
                      <w:bCs/>
                      <w:color w:val="auto"/>
                      <w:szCs w:val="21"/>
                    </w:rPr>
                  </w:pPr>
                  <w:r>
                    <w:rPr>
                      <w:bCs/>
                      <w:color w:val="auto"/>
                      <w:szCs w:val="21"/>
                    </w:rPr>
                    <w:t>袋装</w:t>
                  </w:r>
                </w:p>
              </w:tc>
              <w:tc>
                <w:tcPr>
                  <w:tcW w:w="1113" w:type="dxa"/>
                  <w:vAlign w:val="center"/>
                </w:tcPr>
                <w:p>
                  <w:pPr>
                    <w:jc w:val="center"/>
                    <w:rPr>
                      <w:bCs/>
                      <w:color w:val="auto"/>
                      <w:szCs w:val="21"/>
                    </w:rPr>
                  </w:pPr>
                  <w:r>
                    <w:rPr>
                      <w:bCs/>
                      <w:color w:val="auto"/>
                      <w:szCs w:val="21"/>
                    </w:rPr>
                    <w:t>20kg/袋</w:t>
                  </w:r>
                </w:p>
              </w:tc>
              <w:tc>
                <w:tcPr>
                  <w:tcW w:w="1772" w:type="dxa"/>
                  <w:vAlign w:val="center"/>
                </w:tcPr>
                <w:p>
                  <w:pPr>
                    <w:jc w:val="center"/>
                    <w:rPr>
                      <w:bCs/>
                      <w:color w:val="auto"/>
                      <w:szCs w:val="21"/>
                    </w:rPr>
                  </w:pPr>
                  <w:r>
                    <w:rPr>
                      <w:bCs/>
                      <w:color w:val="auto"/>
                      <w:szCs w:val="21"/>
                    </w:rPr>
                    <w:t>外售，主要用于</w:t>
                  </w:r>
                </w:p>
                <w:p>
                  <w:pPr>
                    <w:jc w:val="center"/>
                    <w:rPr>
                      <w:bCs/>
                      <w:color w:val="auto"/>
                      <w:szCs w:val="21"/>
                    </w:rPr>
                  </w:pPr>
                  <w:r>
                    <w:rPr>
                      <w:bCs/>
                      <w:color w:val="auto"/>
                      <w:szCs w:val="21"/>
                    </w:rPr>
                    <w:t>袋制造</w:t>
                  </w:r>
                </w:p>
              </w:tc>
            </w:tr>
          </w:tbl>
          <w:p>
            <w:pPr>
              <w:spacing w:line="360" w:lineRule="auto"/>
              <w:ind w:firstLine="480" w:firstLineChars="200"/>
              <w:rPr>
                <w:bCs/>
                <w:color w:val="auto"/>
                <w:kern w:val="0"/>
                <w:sz w:val="24"/>
                <w:lang w:val="en-GB"/>
              </w:rPr>
            </w:pPr>
            <w:r>
              <w:rPr>
                <w:rFonts w:hint="eastAsia"/>
                <w:bCs/>
                <w:color w:val="auto"/>
                <w:kern w:val="0"/>
                <w:sz w:val="24"/>
              </w:rPr>
              <w:t>③</w:t>
            </w:r>
            <w:r>
              <w:rPr>
                <w:bCs/>
                <w:color w:val="auto"/>
                <w:kern w:val="0"/>
                <w:sz w:val="24"/>
              </w:rPr>
              <w:t>再生塑料颗粒要求</w:t>
            </w:r>
            <w:r>
              <w:rPr>
                <w:rFonts w:hint="eastAsia"/>
                <w:bCs/>
                <w:color w:val="auto"/>
                <w:kern w:val="0"/>
                <w:sz w:val="24"/>
              </w:rPr>
              <w:t>：</w:t>
            </w:r>
            <w:r>
              <w:rPr>
                <w:bCs/>
                <w:color w:val="auto"/>
                <w:kern w:val="0"/>
                <w:sz w:val="24"/>
                <w:lang w:val="en-GB"/>
              </w:rPr>
              <w:t>建设单位应严格按照《</w:t>
            </w:r>
            <w:r>
              <w:rPr>
                <w:color w:val="auto"/>
                <w:sz w:val="24"/>
              </w:rPr>
              <w:t>《</w:t>
            </w:r>
            <w:r>
              <w:rPr>
                <w:rStyle w:val="36"/>
                <w:rFonts w:hint="eastAsia" w:cs="微软雅黑"/>
                <w:color w:val="auto"/>
                <w:sz w:val="24"/>
                <w:szCs w:val="27"/>
                <w:u w:val="none"/>
                <w:shd w:val="clear" w:color="auto" w:fill="FFFFFF"/>
              </w:rPr>
              <w:t>废塑料污染控制技术规范》（HJ 364-2022）</w:t>
            </w:r>
            <w:r>
              <w:rPr>
                <w:bCs/>
                <w:color w:val="auto"/>
                <w:kern w:val="0"/>
                <w:sz w:val="24"/>
                <w:lang w:val="en-GB"/>
              </w:rPr>
              <w:t>中的相关要求：不再生利用属于医疗废物和危险废物的废塑料，在废塑料再生制品或材料表面标志有再生利用标志，具体要求见GB/T16288；</w:t>
            </w:r>
            <w:r>
              <w:rPr>
                <w:color w:val="auto"/>
                <w:sz w:val="24"/>
              </w:rPr>
              <w:t>再生塑料颗粒在生产过程中不得使用氟氯化碳类化合物作为发泡剂；制造人体接触的再生塑料颗粒时，不得添加有毒有害的化学助剂；宜开发可多次循环再生利用的再生塑料颗粒。</w:t>
            </w:r>
          </w:p>
          <w:p>
            <w:pPr>
              <w:spacing w:line="360" w:lineRule="auto"/>
              <w:ind w:firstLine="480" w:firstLineChars="200"/>
              <w:rPr>
                <w:bCs/>
                <w:color w:val="auto"/>
                <w:kern w:val="0"/>
                <w:sz w:val="24"/>
                <w:lang w:val="en-GB"/>
              </w:rPr>
            </w:pPr>
            <w:r>
              <w:rPr>
                <w:bCs/>
                <w:color w:val="auto"/>
                <w:kern w:val="0"/>
                <w:sz w:val="24"/>
                <w:lang w:val="en-GB"/>
              </w:rPr>
              <w:t>根据《环境标志产品技术要求再生塑料制品》（HJ/T231-2006）要求：塑料边角料及废纺织原料的回收利用后的产品为塑料粒子，可用于生产建筑材料、园艺用料、办公用品、非食品容器及可重复利用的包装箱、娱乐设施和室外家具等塑料制品，不得用于食品包装。</w:t>
            </w:r>
          </w:p>
          <w:p>
            <w:pPr>
              <w:numPr>
                <w:ilvl w:val="0"/>
                <w:numId w:val="2"/>
              </w:numPr>
              <w:adjustRightInd w:val="0"/>
              <w:snapToGrid w:val="0"/>
              <w:spacing w:line="360" w:lineRule="auto"/>
              <w:ind w:left="148" w:firstLine="480"/>
              <w:outlineLvl w:val="0"/>
              <w:rPr>
                <w:b/>
                <w:bCs/>
                <w:color w:val="auto"/>
                <w:sz w:val="24"/>
              </w:rPr>
            </w:pPr>
            <w:r>
              <w:rPr>
                <w:rFonts w:hint="eastAsia"/>
                <w:b/>
                <w:bCs/>
                <w:color w:val="auto"/>
                <w:sz w:val="24"/>
              </w:rPr>
              <w:t>原辅材料及能源消耗</w:t>
            </w:r>
          </w:p>
          <w:p>
            <w:pPr>
              <w:adjustRightInd w:val="0"/>
              <w:snapToGrid w:val="0"/>
              <w:spacing w:line="360" w:lineRule="auto"/>
              <w:ind w:firstLine="482" w:firstLineChars="200"/>
              <w:outlineLvl w:val="0"/>
              <w:rPr>
                <w:b/>
                <w:bCs/>
                <w:color w:val="auto"/>
                <w:sz w:val="24"/>
              </w:rPr>
            </w:pPr>
            <w:r>
              <w:rPr>
                <w:rFonts w:hint="eastAsia"/>
                <w:b/>
                <w:bCs/>
                <w:color w:val="auto"/>
                <w:sz w:val="24"/>
              </w:rPr>
              <w:t>（1）项目原辅材料用量</w:t>
            </w:r>
          </w:p>
          <w:p>
            <w:pPr>
              <w:spacing w:line="360" w:lineRule="auto"/>
              <w:ind w:firstLine="480" w:firstLineChars="200"/>
              <w:rPr>
                <w:bCs/>
                <w:color w:val="auto"/>
                <w:kern w:val="0"/>
                <w:sz w:val="24"/>
              </w:rPr>
            </w:pPr>
            <w:r>
              <w:rPr>
                <w:rFonts w:hint="eastAsia"/>
                <w:bCs/>
                <w:color w:val="auto"/>
                <w:kern w:val="0"/>
                <w:sz w:val="24"/>
              </w:rPr>
              <w:t>本项目主要原、辅材料及能源年用量见表2-4。</w:t>
            </w:r>
          </w:p>
          <w:p>
            <w:pPr>
              <w:spacing w:line="360" w:lineRule="auto"/>
              <w:jc w:val="center"/>
              <w:rPr>
                <w:color w:val="auto"/>
                <w:kern w:val="0"/>
                <w:sz w:val="24"/>
              </w:rPr>
            </w:pPr>
            <w:r>
              <w:rPr>
                <w:b/>
                <w:bCs/>
                <w:color w:val="auto"/>
                <w:sz w:val="24"/>
              </w:rPr>
              <w:t>表</w:t>
            </w:r>
            <w:r>
              <w:rPr>
                <w:rFonts w:hint="eastAsia"/>
                <w:b/>
                <w:bCs/>
                <w:color w:val="auto"/>
                <w:sz w:val="24"/>
              </w:rPr>
              <w:t>2-4</w:t>
            </w:r>
            <w:r>
              <w:rPr>
                <w:b/>
                <w:bCs/>
                <w:color w:val="auto"/>
                <w:sz w:val="24"/>
              </w:rPr>
              <w:t xml:space="preserve">  项目主要原辅料及能源消耗一览表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651"/>
              <w:gridCol w:w="1229"/>
              <w:gridCol w:w="914"/>
              <w:gridCol w:w="2146"/>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7" w:type="pct"/>
                  <w:vAlign w:val="center"/>
                </w:tcPr>
                <w:p>
                  <w:pPr>
                    <w:jc w:val="center"/>
                    <w:rPr>
                      <w:b/>
                      <w:color w:val="auto"/>
                      <w:szCs w:val="21"/>
                    </w:rPr>
                  </w:pPr>
                  <w:r>
                    <w:rPr>
                      <w:b/>
                      <w:color w:val="auto"/>
                      <w:szCs w:val="21"/>
                    </w:rPr>
                    <w:t>类别</w:t>
                  </w:r>
                </w:p>
              </w:tc>
              <w:tc>
                <w:tcPr>
                  <w:tcW w:w="1065" w:type="pct"/>
                  <w:vAlign w:val="center"/>
                </w:tcPr>
                <w:p>
                  <w:pPr>
                    <w:jc w:val="center"/>
                    <w:rPr>
                      <w:b/>
                      <w:color w:val="auto"/>
                      <w:szCs w:val="21"/>
                    </w:rPr>
                  </w:pPr>
                  <w:r>
                    <w:rPr>
                      <w:b/>
                      <w:color w:val="auto"/>
                      <w:szCs w:val="21"/>
                    </w:rPr>
                    <w:t>名称</w:t>
                  </w:r>
                </w:p>
              </w:tc>
              <w:tc>
                <w:tcPr>
                  <w:tcW w:w="794" w:type="pct"/>
                  <w:vAlign w:val="center"/>
                </w:tcPr>
                <w:p>
                  <w:pPr>
                    <w:jc w:val="center"/>
                    <w:rPr>
                      <w:b/>
                      <w:color w:val="auto"/>
                      <w:szCs w:val="21"/>
                    </w:rPr>
                  </w:pPr>
                  <w:r>
                    <w:rPr>
                      <w:b/>
                      <w:color w:val="auto"/>
                      <w:szCs w:val="21"/>
                    </w:rPr>
                    <w:t>年耗量</w:t>
                  </w:r>
                </w:p>
              </w:tc>
              <w:tc>
                <w:tcPr>
                  <w:tcW w:w="590" w:type="pct"/>
                  <w:vAlign w:val="center"/>
                </w:tcPr>
                <w:p>
                  <w:pPr>
                    <w:jc w:val="center"/>
                    <w:rPr>
                      <w:b/>
                      <w:color w:val="auto"/>
                      <w:szCs w:val="21"/>
                    </w:rPr>
                  </w:pPr>
                  <w:r>
                    <w:rPr>
                      <w:rFonts w:hint="eastAsia"/>
                      <w:b/>
                      <w:color w:val="auto"/>
                      <w:szCs w:val="21"/>
                    </w:rPr>
                    <w:t>最大储存量</w:t>
                  </w:r>
                </w:p>
              </w:tc>
              <w:tc>
                <w:tcPr>
                  <w:tcW w:w="1385" w:type="pct"/>
                  <w:vAlign w:val="center"/>
                </w:tcPr>
                <w:p>
                  <w:pPr>
                    <w:jc w:val="center"/>
                    <w:rPr>
                      <w:b/>
                      <w:color w:val="auto"/>
                      <w:szCs w:val="21"/>
                    </w:rPr>
                  </w:pPr>
                  <w:r>
                    <w:rPr>
                      <w:b/>
                      <w:color w:val="auto"/>
                      <w:szCs w:val="21"/>
                    </w:rPr>
                    <w:t>来源</w:t>
                  </w:r>
                </w:p>
              </w:tc>
              <w:tc>
                <w:tcPr>
                  <w:tcW w:w="726" w:type="pct"/>
                  <w:vAlign w:val="center"/>
                </w:tcPr>
                <w:p>
                  <w:pPr>
                    <w:jc w:val="center"/>
                    <w:rPr>
                      <w:b/>
                      <w:color w:val="auto"/>
                      <w:szCs w:val="21"/>
                    </w:rPr>
                  </w:pPr>
                  <w:r>
                    <w:rPr>
                      <w:b/>
                      <w:color w:val="auto"/>
                      <w:szCs w:val="21"/>
                    </w:rPr>
                    <w:t>备注（用途）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7" w:type="pct"/>
                  <w:vMerge w:val="restart"/>
                  <w:vAlign w:val="center"/>
                </w:tcPr>
                <w:p>
                  <w:pPr>
                    <w:jc w:val="center"/>
                    <w:rPr>
                      <w:color w:val="auto"/>
                      <w:szCs w:val="21"/>
                    </w:rPr>
                  </w:pPr>
                  <w:r>
                    <w:rPr>
                      <w:color w:val="auto"/>
                      <w:szCs w:val="21"/>
                    </w:rPr>
                    <w:t>原辅料</w:t>
                  </w:r>
                </w:p>
              </w:tc>
              <w:tc>
                <w:tcPr>
                  <w:tcW w:w="1065" w:type="pct"/>
                  <w:vAlign w:val="center"/>
                </w:tcPr>
                <w:p>
                  <w:pPr>
                    <w:jc w:val="center"/>
                    <w:rPr>
                      <w:color w:val="auto"/>
                      <w:szCs w:val="21"/>
                    </w:rPr>
                  </w:pPr>
                  <w:r>
                    <w:rPr>
                      <w:bCs/>
                      <w:color w:val="auto"/>
                      <w:kern w:val="0"/>
                      <w:szCs w:val="21"/>
                    </w:rPr>
                    <w:t>PE原料（废弃农用地膜、废编织袋等）</w:t>
                  </w:r>
                </w:p>
              </w:tc>
              <w:tc>
                <w:tcPr>
                  <w:tcW w:w="794" w:type="pct"/>
                  <w:vAlign w:val="center"/>
                </w:tcPr>
                <w:p>
                  <w:pPr>
                    <w:jc w:val="center"/>
                    <w:rPr>
                      <w:color w:val="auto"/>
                      <w:szCs w:val="21"/>
                    </w:rPr>
                  </w:pPr>
                  <w:r>
                    <w:rPr>
                      <w:rFonts w:hint="eastAsia"/>
                      <w:color w:val="auto"/>
                      <w:szCs w:val="21"/>
                    </w:rPr>
                    <w:t>2560.55</w:t>
                  </w:r>
                  <w:r>
                    <w:rPr>
                      <w:color w:val="auto"/>
                      <w:szCs w:val="21"/>
                    </w:rPr>
                    <w:t>t</w:t>
                  </w:r>
                </w:p>
              </w:tc>
              <w:tc>
                <w:tcPr>
                  <w:tcW w:w="590" w:type="pct"/>
                  <w:vAlign w:val="center"/>
                </w:tcPr>
                <w:p>
                  <w:pPr>
                    <w:jc w:val="center"/>
                    <w:rPr>
                      <w:color w:val="auto"/>
                      <w:szCs w:val="21"/>
                    </w:rPr>
                  </w:pPr>
                  <w:r>
                    <w:rPr>
                      <w:rFonts w:hint="eastAsia"/>
                      <w:color w:val="auto"/>
                      <w:szCs w:val="21"/>
                    </w:rPr>
                    <w:t>100t</w:t>
                  </w:r>
                </w:p>
              </w:tc>
              <w:tc>
                <w:tcPr>
                  <w:tcW w:w="1385" w:type="pct"/>
                  <w:vAlign w:val="center"/>
                </w:tcPr>
                <w:p>
                  <w:pPr>
                    <w:jc w:val="center"/>
                    <w:rPr>
                      <w:color w:val="auto"/>
                      <w:szCs w:val="21"/>
                    </w:rPr>
                  </w:pPr>
                  <w:r>
                    <w:rPr>
                      <w:color w:val="auto"/>
                      <w:szCs w:val="21"/>
                    </w:rPr>
                    <w:t>外购于本地再生塑料市场或废品回收站</w:t>
                  </w:r>
                </w:p>
              </w:tc>
              <w:tc>
                <w:tcPr>
                  <w:tcW w:w="726" w:type="pct"/>
                  <w:vAlign w:val="center"/>
                </w:tcPr>
                <w:p>
                  <w:pPr>
                    <w:jc w:val="center"/>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7" w:type="pct"/>
                  <w:vMerge w:val="continue"/>
                  <w:vAlign w:val="center"/>
                </w:tcPr>
                <w:p>
                  <w:pPr>
                    <w:jc w:val="center"/>
                    <w:rPr>
                      <w:color w:val="auto"/>
                      <w:szCs w:val="21"/>
                    </w:rPr>
                  </w:pPr>
                </w:p>
              </w:tc>
              <w:tc>
                <w:tcPr>
                  <w:tcW w:w="1065" w:type="pct"/>
                  <w:vAlign w:val="center"/>
                </w:tcPr>
                <w:p>
                  <w:pPr>
                    <w:jc w:val="center"/>
                    <w:rPr>
                      <w:bCs/>
                      <w:color w:val="auto"/>
                      <w:kern w:val="0"/>
                      <w:szCs w:val="21"/>
                    </w:rPr>
                  </w:pPr>
                  <w:r>
                    <w:rPr>
                      <w:bCs/>
                      <w:color w:val="auto"/>
                      <w:kern w:val="0"/>
                      <w:szCs w:val="21"/>
                    </w:rPr>
                    <w:t>PP原料</w:t>
                  </w:r>
                </w:p>
                <w:p>
                  <w:pPr>
                    <w:jc w:val="center"/>
                    <w:rPr>
                      <w:bCs/>
                      <w:color w:val="auto"/>
                      <w:kern w:val="0"/>
                      <w:szCs w:val="21"/>
                    </w:rPr>
                  </w:pPr>
                  <w:r>
                    <w:rPr>
                      <w:bCs/>
                      <w:color w:val="auto"/>
                      <w:kern w:val="0"/>
                      <w:szCs w:val="21"/>
                    </w:rPr>
                    <w:t>（一般废旧塑料）</w:t>
                  </w:r>
                </w:p>
              </w:tc>
              <w:tc>
                <w:tcPr>
                  <w:tcW w:w="794" w:type="pct"/>
                  <w:vAlign w:val="center"/>
                </w:tcPr>
                <w:p>
                  <w:pPr>
                    <w:jc w:val="center"/>
                    <w:rPr>
                      <w:color w:val="auto"/>
                      <w:szCs w:val="21"/>
                    </w:rPr>
                  </w:pPr>
                  <w:r>
                    <w:rPr>
                      <w:rFonts w:hint="eastAsia"/>
                      <w:color w:val="auto"/>
                      <w:szCs w:val="21"/>
                    </w:rPr>
                    <w:t>2560.55</w:t>
                  </w:r>
                  <w:r>
                    <w:rPr>
                      <w:color w:val="auto"/>
                      <w:szCs w:val="21"/>
                    </w:rPr>
                    <w:t>t</w:t>
                  </w:r>
                </w:p>
              </w:tc>
              <w:tc>
                <w:tcPr>
                  <w:tcW w:w="590" w:type="pct"/>
                  <w:vAlign w:val="center"/>
                </w:tcPr>
                <w:p>
                  <w:pPr>
                    <w:jc w:val="center"/>
                    <w:rPr>
                      <w:color w:val="auto"/>
                      <w:szCs w:val="21"/>
                    </w:rPr>
                  </w:pPr>
                  <w:r>
                    <w:rPr>
                      <w:rFonts w:hint="eastAsia"/>
                      <w:color w:val="auto"/>
                      <w:szCs w:val="21"/>
                    </w:rPr>
                    <w:t>100t</w:t>
                  </w:r>
                </w:p>
              </w:tc>
              <w:tc>
                <w:tcPr>
                  <w:tcW w:w="1385" w:type="pct"/>
                  <w:vAlign w:val="center"/>
                </w:tcPr>
                <w:p>
                  <w:pPr>
                    <w:jc w:val="center"/>
                    <w:rPr>
                      <w:color w:val="auto"/>
                      <w:szCs w:val="21"/>
                    </w:rPr>
                  </w:pPr>
                  <w:r>
                    <w:rPr>
                      <w:color w:val="auto"/>
                      <w:szCs w:val="21"/>
                    </w:rPr>
                    <w:t>外购于本地再生塑料市场或废品回收站</w:t>
                  </w:r>
                </w:p>
              </w:tc>
              <w:tc>
                <w:tcPr>
                  <w:tcW w:w="726" w:type="pct"/>
                  <w:vAlign w:val="center"/>
                </w:tcPr>
                <w:p>
                  <w:pPr>
                    <w:jc w:val="center"/>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7" w:type="pct"/>
                  <w:vMerge w:val="continue"/>
                  <w:vAlign w:val="center"/>
                </w:tcPr>
                <w:p>
                  <w:pPr>
                    <w:jc w:val="center"/>
                    <w:rPr>
                      <w:color w:val="auto"/>
                      <w:szCs w:val="21"/>
                    </w:rPr>
                  </w:pPr>
                </w:p>
              </w:tc>
              <w:tc>
                <w:tcPr>
                  <w:tcW w:w="1065" w:type="pct"/>
                  <w:vAlign w:val="center"/>
                </w:tcPr>
                <w:p>
                  <w:pPr>
                    <w:jc w:val="center"/>
                    <w:rPr>
                      <w:color w:val="auto"/>
                      <w:szCs w:val="21"/>
                    </w:rPr>
                  </w:pPr>
                  <w:r>
                    <w:rPr>
                      <w:color w:val="auto"/>
                      <w:szCs w:val="21"/>
                    </w:rPr>
                    <w:t>滤网</w:t>
                  </w:r>
                </w:p>
              </w:tc>
              <w:tc>
                <w:tcPr>
                  <w:tcW w:w="794" w:type="pct"/>
                  <w:vAlign w:val="center"/>
                </w:tcPr>
                <w:p>
                  <w:pPr>
                    <w:jc w:val="center"/>
                    <w:rPr>
                      <w:color w:val="auto"/>
                      <w:szCs w:val="21"/>
                    </w:rPr>
                  </w:pPr>
                  <w:r>
                    <w:rPr>
                      <w:rFonts w:hint="eastAsia"/>
                      <w:color w:val="auto"/>
                      <w:szCs w:val="21"/>
                    </w:rPr>
                    <w:t>144</w:t>
                  </w:r>
                  <w:r>
                    <w:rPr>
                      <w:color w:val="auto"/>
                      <w:szCs w:val="21"/>
                    </w:rPr>
                    <w:t>00片</w:t>
                  </w:r>
                </w:p>
              </w:tc>
              <w:tc>
                <w:tcPr>
                  <w:tcW w:w="590" w:type="pct"/>
                  <w:vAlign w:val="center"/>
                </w:tcPr>
                <w:p>
                  <w:pPr>
                    <w:jc w:val="center"/>
                    <w:rPr>
                      <w:color w:val="auto"/>
                      <w:szCs w:val="21"/>
                    </w:rPr>
                  </w:pPr>
                  <w:r>
                    <w:rPr>
                      <w:rFonts w:hint="eastAsia"/>
                      <w:color w:val="auto"/>
                      <w:szCs w:val="21"/>
                    </w:rPr>
                    <w:t>1440片</w:t>
                  </w:r>
                </w:p>
              </w:tc>
              <w:tc>
                <w:tcPr>
                  <w:tcW w:w="1385" w:type="pct"/>
                  <w:vAlign w:val="center"/>
                </w:tcPr>
                <w:p>
                  <w:pPr>
                    <w:jc w:val="center"/>
                    <w:rPr>
                      <w:color w:val="auto"/>
                      <w:szCs w:val="21"/>
                    </w:rPr>
                  </w:pPr>
                  <w:r>
                    <w:rPr>
                      <w:color w:val="auto"/>
                      <w:szCs w:val="21"/>
                    </w:rPr>
                    <w:t>外购</w:t>
                  </w:r>
                </w:p>
              </w:tc>
              <w:tc>
                <w:tcPr>
                  <w:tcW w:w="726" w:type="pct"/>
                  <w:vAlign w:val="center"/>
                </w:tcPr>
                <w:p>
                  <w:pPr>
                    <w:jc w:val="center"/>
                    <w:rPr>
                      <w:color w:val="auto"/>
                      <w:szCs w:val="21"/>
                    </w:rPr>
                  </w:pPr>
                  <w:r>
                    <w:rPr>
                      <w:color w:val="auto"/>
                      <w:szCs w:val="21"/>
                    </w:rPr>
                    <w:t>生产使用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7" w:type="pct"/>
                  <w:vMerge w:val="continue"/>
                  <w:vAlign w:val="center"/>
                </w:tcPr>
                <w:p>
                  <w:pPr>
                    <w:jc w:val="center"/>
                    <w:rPr>
                      <w:color w:val="auto"/>
                      <w:szCs w:val="21"/>
                    </w:rPr>
                  </w:pPr>
                </w:p>
              </w:tc>
              <w:tc>
                <w:tcPr>
                  <w:tcW w:w="1065" w:type="pct"/>
                  <w:vAlign w:val="center"/>
                </w:tcPr>
                <w:p>
                  <w:pPr>
                    <w:jc w:val="center"/>
                    <w:rPr>
                      <w:color w:val="auto"/>
                      <w:szCs w:val="21"/>
                    </w:rPr>
                  </w:pPr>
                  <w:r>
                    <w:rPr>
                      <w:color w:val="auto"/>
                      <w:szCs w:val="21"/>
                    </w:rPr>
                    <w:t>活性炭</w:t>
                  </w:r>
                </w:p>
              </w:tc>
              <w:tc>
                <w:tcPr>
                  <w:tcW w:w="794" w:type="pct"/>
                  <w:vAlign w:val="center"/>
                </w:tcPr>
                <w:p>
                  <w:pPr>
                    <w:jc w:val="center"/>
                    <w:rPr>
                      <w:color w:val="auto"/>
                      <w:szCs w:val="21"/>
                    </w:rPr>
                  </w:pPr>
                  <w:r>
                    <w:rPr>
                      <w:rFonts w:hint="eastAsia"/>
                      <w:color w:val="auto"/>
                      <w:szCs w:val="21"/>
                    </w:rPr>
                    <w:t>4.4784</w:t>
                  </w:r>
                  <w:r>
                    <w:rPr>
                      <w:color w:val="auto"/>
                      <w:szCs w:val="21"/>
                    </w:rPr>
                    <w:t>t</w:t>
                  </w:r>
                </w:p>
              </w:tc>
              <w:tc>
                <w:tcPr>
                  <w:tcW w:w="590" w:type="pct"/>
                  <w:vAlign w:val="center"/>
                </w:tcPr>
                <w:p>
                  <w:pPr>
                    <w:jc w:val="center"/>
                    <w:rPr>
                      <w:color w:val="auto"/>
                    </w:rPr>
                  </w:pPr>
                  <w:r>
                    <w:rPr>
                      <w:rFonts w:hint="eastAsia"/>
                      <w:color w:val="auto"/>
                    </w:rPr>
                    <w:t>0.622t</w:t>
                  </w:r>
                </w:p>
              </w:tc>
              <w:tc>
                <w:tcPr>
                  <w:tcW w:w="1385" w:type="pct"/>
                  <w:vAlign w:val="center"/>
                </w:tcPr>
                <w:p>
                  <w:pPr>
                    <w:jc w:val="center"/>
                    <w:rPr>
                      <w:color w:val="auto"/>
                      <w:szCs w:val="21"/>
                    </w:rPr>
                  </w:pPr>
                  <w:r>
                    <w:rPr>
                      <w:color w:val="auto"/>
                      <w:szCs w:val="21"/>
                    </w:rPr>
                    <w:t>市场购买</w:t>
                  </w:r>
                </w:p>
              </w:tc>
              <w:tc>
                <w:tcPr>
                  <w:tcW w:w="726" w:type="pct"/>
                  <w:vAlign w:val="center"/>
                </w:tcPr>
                <w:p>
                  <w:pPr>
                    <w:jc w:val="center"/>
                    <w:rPr>
                      <w:color w:val="auto"/>
                      <w:szCs w:val="21"/>
                    </w:rPr>
                  </w:pPr>
                  <w:r>
                    <w:rPr>
                      <w:color w:val="auto"/>
                      <w:szCs w:val="21"/>
                    </w:rPr>
                    <w:t>废气治理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7" w:type="pct"/>
                  <w:vMerge w:val="continue"/>
                  <w:vAlign w:val="center"/>
                </w:tcPr>
                <w:p>
                  <w:pPr>
                    <w:jc w:val="center"/>
                    <w:rPr>
                      <w:color w:val="auto"/>
                      <w:szCs w:val="21"/>
                    </w:rPr>
                  </w:pPr>
                </w:p>
              </w:tc>
              <w:tc>
                <w:tcPr>
                  <w:tcW w:w="1065" w:type="pct"/>
                  <w:vAlign w:val="center"/>
                </w:tcPr>
                <w:p>
                  <w:pPr>
                    <w:jc w:val="center"/>
                    <w:rPr>
                      <w:color w:val="auto"/>
                    </w:rPr>
                  </w:pPr>
                  <w:r>
                    <w:rPr>
                      <w:rFonts w:hint="eastAsia"/>
                      <w:color w:val="auto"/>
                      <w:szCs w:val="21"/>
                    </w:rPr>
                    <w:t>光氧管</w:t>
                  </w:r>
                </w:p>
              </w:tc>
              <w:tc>
                <w:tcPr>
                  <w:tcW w:w="794" w:type="pct"/>
                  <w:vAlign w:val="center"/>
                </w:tcPr>
                <w:p>
                  <w:pPr>
                    <w:jc w:val="center"/>
                    <w:rPr>
                      <w:color w:val="auto"/>
                      <w:szCs w:val="21"/>
                    </w:rPr>
                  </w:pPr>
                  <w:r>
                    <w:rPr>
                      <w:rFonts w:hint="eastAsia"/>
                      <w:color w:val="auto"/>
                      <w:szCs w:val="21"/>
                    </w:rPr>
                    <w:t>0.04t</w:t>
                  </w:r>
                </w:p>
              </w:tc>
              <w:tc>
                <w:tcPr>
                  <w:tcW w:w="590" w:type="pct"/>
                  <w:vAlign w:val="center"/>
                </w:tcPr>
                <w:p>
                  <w:pPr>
                    <w:jc w:val="center"/>
                    <w:rPr>
                      <w:color w:val="auto"/>
                    </w:rPr>
                  </w:pPr>
                  <w:r>
                    <w:rPr>
                      <w:rFonts w:hint="eastAsia"/>
                      <w:color w:val="auto"/>
                    </w:rPr>
                    <w:t>0.02t</w:t>
                  </w:r>
                </w:p>
              </w:tc>
              <w:tc>
                <w:tcPr>
                  <w:tcW w:w="1385" w:type="pct"/>
                  <w:vAlign w:val="center"/>
                </w:tcPr>
                <w:p>
                  <w:pPr>
                    <w:jc w:val="center"/>
                    <w:rPr>
                      <w:color w:val="auto"/>
                      <w:szCs w:val="21"/>
                    </w:rPr>
                  </w:pPr>
                  <w:r>
                    <w:rPr>
                      <w:rFonts w:hint="eastAsia"/>
                      <w:color w:val="auto"/>
                      <w:szCs w:val="21"/>
                    </w:rPr>
                    <w:t>市场购买</w:t>
                  </w:r>
                </w:p>
              </w:tc>
              <w:tc>
                <w:tcPr>
                  <w:tcW w:w="726" w:type="pct"/>
                  <w:vAlign w:val="center"/>
                </w:tcPr>
                <w:p>
                  <w:pPr>
                    <w:jc w:val="center"/>
                    <w:rPr>
                      <w:color w:val="auto"/>
                      <w:szCs w:val="21"/>
                    </w:rPr>
                  </w:pPr>
                  <w:r>
                    <w:rPr>
                      <w:rFonts w:hint="eastAsia"/>
                      <w:color w:val="auto"/>
                      <w:szCs w:val="21"/>
                    </w:rPr>
                    <w:t>废气治理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7" w:type="pct"/>
                  <w:vMerge w:val="restart"/>
                  <w:vAlign w:val="center"/>
                </w:tcPr>
                <w:p>
                  <w:pPr>
                    <w:jc w:val="center"/>
                    <w:rPr>
                      <w:color w:val="auto"/>
                      <w:szCs w:val="21"/>
                    </w:rPr>
                  </w:pPr>
                  <w:r>
                    <w:rPr>
                      <w:color w:val="auto"/>
                      <w:szCs w:val="21"/>
                    </w:rPr>
                    <w:t>能源</w:t>
                  </w:r>
                </w:p>
              </w:tc>
              <w:tc>
                <w:tcPr>
                  <w:tcW w:w="1065" w:type="pct"/>
                  <w:vAlign w:val="center"/>
                </w:tcPr>
                <w:p>
                  <w:pPr>
                    <w:jc w:val="center"/>
                    <w:rPr>
                      <w:color w:val="auto"/>
                      <w:szCs w:val="21"/>
                    </w:rPr>
                  </w:pPr>
                  <w:r>
                    <w:rPr>
                      <w:color w:val="auto"/>
                      <w:szCs w:val="21"/>
                    </w:rPr>
                    <w:t>电</w:t>
                  </w:r>
                </w:p>
              </w:tc>
              <w:tc>
                <w:tcPr>
                  <w:tcW w:w="794" w:type="pct"/>
                  <w:vAlign w:val="center"/>
                </w:tcPr>
                <w:p>
                  <w:pPr>
                    <w:jc w:val="center"/>
                    <w:rPr>
                      <w:color w:val="auto"/>
                      <w:szCs w:val="21"/>
                    </w:rPr>
                  </w:pPr>
                  <w:r>
                    <w:rPr>
                      <w:color w:val="auto"/>
                      <w:szCs w:val="21"/>
                    </w:rPr>
                    <w:t>60万kWh</w:t>
                  </w:r>
                </w:p>
              </w:tc>
              <w:tc>
                <w:tcPr>
                  <w:tcW w:w="590" w:type="pct"/>
                  <w:vAlign w:val="center"/>
                </w:tcPr>
                <w:p>
                  <w:pPr>
                    <w:jc w:val="center"/>
                    <w:rPr>
                      <w:color w:val="auto"/>
                      <w:szCs w:val="21"/>
                    </w:rPr>
                  </w:pPr>
                  <w:r>
                    <w:rPr>
                      <w:rFonts w:hint="eastAsia"/>
                      <w:color w:val="auto"/>
                      <w:szCs w:val="21"/>
                    </w:rPr>
                    <w:t>/</w:t>
                  </w:r>
                </w:p>
              </w:tc>
              <w:tc>
                <w:tcPr>
                  <w:tcW w:w="1385" w:type="pct"/>
                  <w:vAlign w:val="center"/>
                </w:tcPr>
                <w:p>
                  <w:pPr>
                    <w:jc w:val="center"/>
                    <w:rPr>
                      <w:color w:val="auto"/>
                      <w:szCs w:val="21"/>
                    </w:rPr>
                  </w:pPr>
                  <w:r>
                    <w:rPr>
                      <w:color w:val="auto"/>
                      <w:szCs w:val="21"/>
                    </w:rPr>
                    <w:t>市政供电</w:t>
                  </w:r>
                </w:p>
              </w:tc>
              <w:tc>
                <w:tcPr>
                  <w:tcW w:w="726" w:type="pct"/>
                  <w:vAlign w:val="center"/>
                </w:tcPr>
                <w:p>
                  <w:pPr>
                    <w:jc w:val="center"/>
                    <w:rPr>
                      <w:color w:val="auto"/>
                      <w:szCs w:val="21"/>
                    </w:rPr>
                  </w:pPr>
                  <w:r>
                    <w:rPr>
                      <w:color w:val="auto"/>
                      <w:szCs w:val="21"/>
                    </w:rPr>
                    <w:t>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7" w:type="pct"/>
                  <w:vMerge w:val="continue"/>
                  <w:vAlign w:val="center"/>
                </w:tcPr>
                <w:p>
                  <w:pPr>
                    <w:jc w:val="center"/>
                    <w:rPr>
                      <w:color w:val="auto"/>
                      <w:szCs w:val="21"/>
                    </w:rPr>
                  </w:pPr>
                </w:p>
              </w:tc>
              <w:tc>
                <w:tcPr>
                  <w:tcW w:w="1065" w:type="pct"/>
                  <w:vAlign w:val="center"/>
                </w:tcPr>
                <w:p>
                  <w:pPr>
                    <w:jc w:val="center"/>
                    <w:rPr>
                      <w:color w:val="auto"/>
                      <w:szCs w:val="21"/>
                    </w:rPr>
                  </w:pPr>
                  <w:r>
                    <w:rPr>
                      <w:color w:val="auto"/>
                      <w:szCs w:val="21"/>
                    </w:rPr>
                    <w:t>水</w:t>
                  </w:r>
                </w:p>
              </w:tc>
              <w:tc>
                <w:tcPr>
                  <w:tcW w:w="794" w:type="pct"/>
                  <w:vAlign w:val="center"/>
                </w:tcPr>
                <w:p>
                  <w:pPr>
                    <w:jc w:val="center"/>
                    <w:rPr>
                      <w:color w:val="auto"/>
                      <w:szCs w:val="21"/>
                      <w:vertAlign w:val="superscript"/>
                    </w:rPr>
                  </w:pPr>
                  <w:r>
                    <w:rPr>
                      <w:rFonts w:hint="eastAsia"/>
                      <w:color w:val="auto"/>
                      <w:szCs w:val="21"/>
                      <w:lang w:val="en-US" w:eastAsia="zh-CN"/>
                    </w:rPr>
                    <w:t>5024.14</w:t>
                  </w:r>
                  <w:r>
                    <w:rPr>
                      <w:color w:val="auto"/>
                      <w:szCs w:val="21"/>
                    </w:rPr>
                    <w:t>m</w:t>
                  </w:r>
                  <w:r>
                    <w:rPr>
                      <w:color w:val="auto"/>
                      <w:szCs w:val="21"/>
                      <w:vertAlign w:val="superscript"/>
                    </w:rPr>
                    <w:t>3</w:t>
                  </w:r>
                </w:p>
                <w:p>
                  <w:pPr>
                    <w:jc w:val="center"/>
                    <w:rPr>
                      <w:color w:val="auto"/>
                      <w:szCs w:val="21"/>
                    </w:rPr>
                  </w:pPr>
                  <w:r>
                    <w:rPr>
                      <w:color w:val="auto"/>
                      <w:szCs w:val="21"/>
                    </w:rPr>
                    <w:t>（新鲜水）</w:t>
                  </w:r>
                </w:p>
              </w:tc>
              <w:tc>
                <w:tcPr>
                  <w:tcW w:w="590" w:type="pct"/>
                  <w:vAlign w:val="center"/>
                </w:tcPr>
                <w:p>
                  <w:pPr>
                    <w:jc w:val="center"/>
                    <w:rPr>
                      <w:color w:val="auto"/>
                      <w:szCs w:val="21"/>
                    </w:rPr>
                  </w:pPr>
                  <w:r>
                    <w:rPr>
                      <w:rFonts w:hint="eastAsia"/>
                      <w:color w:val="auto"/>
                      <w:szCs w:val="21"/>
                    </w:rPr>
                    <w:t>/</w:t>
                  </w:r>
                </w:p>
              </w:tc>
              <w:tc>
                <w:tcPr>
                  <w:tcW w:w="1385" w:type="pct"/>
                  <w:vAlign w:val="center"/>
                </w:tcPr>
                <w:p>
                  <w:pPr>
                    <w:jc w:val="center"/>
                    <w:rPr>
                      <w:color w:val="auto"/>
                      <w:szCs w:val="21"/>
                    </w:rPr>
                  </w:pPr>
                  <w:r>
                    <w:rPr>
                      <w:color w:val="auto"/>
                      <w:szCs w:val="21"/>
                    </w:rPr>
                    <w:t>市政供水</w:t>
                  </w:r>
                </w:p>
              </w:tc>
              <w:tc>
                <w:tcPr>
                  <w:tcW w:w="726" w:type="pct"/>
                  <w:vAlign w:val="center"/>
                </w:tcPr>
                <w:p>
                  <w:pPr>
                    <w:jc w:val="center"/>
                    <w:rPr>
                      <w:color w:val="auto"/>
                      <w:szCs w:val="21"/>
                    </w:rPr>
                  </w:pPr>
                  <w:r>
                    <w:rPr>
                      <w:color w:val="auto"/>
                      <w:szCs w:val="21"/>
                    </w:rPr>
                    <w:t>供水</w:t>
                  </w:r>
                </w:p>
              </w:tc>
            </w:tr>
          </w:tbl>
          <w:p>
            <w:pPr>
              <w:adjustRightInd w:val="0"/>
              <w:snapToGrid w:val="0"/>
              <w:spacing w:line="360" w:lineRule="auto"/>
              <w:ind w:firstLine="482" w:firstLineChars="200"/>
              <w:outlineLvl w:val="0"/>
              <w:rPr>
                <w:b/>
                <w:bCs/>
                <w:color w:val="auto"/>
                <w:sz w:val="24"/>
              </w:rPr>
            </w:pPr>
            <w:r>
              <w:rPr>
                <w:rFonts w:hint="eastAsia"/>
                <w:b/>
                <w:bCs/>
                <w:color w:val="auto"/>
                <w:sz w:val="24"/>
              </w:rPr>
              <w:t>（2）项目原辅材料理化性质</w:t>
            </w:r>
          </w:p>
          <w:p>
            <w:pPr>
              <w:spacing w:line="360" w:lineRule="auto"/>
              <w:ind w:firstLine="480" w:firstLineChars="200"/>
              <w:rPr>
                <w:color w:val="auto"/>
                <w:kern w:val="0"/>
                <w:sz w:val="24"/>
              </w:rPr>
            </w:pPr>
            <w:r>
              <w:rPr>
                <w:color w:val="auto"/>
                <w:kern w:val="0"/>
                <w:sz w:val="24"/>
              </w:rPr>
              <w:t>①</w:t>
            </w:r>
            <w:r>
              <w:rPr>
                <w:color w:val="auto"/>
                <w:sz w:val="24"/>
              </w:rPr>
              <w:t>聚丙烯（PP）理化特性</w:t>
            </w:r>
          </w:p>
          <w:p>
            <w:pPr>
              <w:spacing w:line="360" w:lineRule="auto"/>
              <w:ind w:firstLine="480" w:firstLineChars="200"/>
              <w:rPr>
                <w:color w:val="auto"/>
                <w:sz w:val="24"/>
              </w:rPr>
            </w:pPr>
            <w:r>
              <w:rPr>
                <w:color w:val="auto"/>
                <w:sz w:val="24"/>
              </w:rPr>
              <w:t>聚丙烯又称PP，分子式（C</w:t>
            </w:r>
            <w:r>
              <w:rPr>
                <w:color w:val="auto"/>
                <w:sz w:val="24"/>
                <w:vertAlign w:val="subscript"/>
              </w:rPr>
              <w:t>3</w:t>
            </w:r>
            <w:r>
              <w:rPr>
                <w:color w:val="auto"/>
                <w:sz w:val="24"/>
              </w:rPr>
              <w:t>H</w:t>
            </w:r>
            <w:r>
              <w:rPr>
                <w:color w:val="auto"/>
                <w:sz w:val="24"/>
                <w:vertAlign w:val="subscript"/>
              </w:rPr>
              <w:t>6</w:t>
            </w:r>
            <w:r>
              <w:rPr>
                <w:color w:val="auto"/>
                <w:sz w:val="24"/>
              </w:rPr>
              <w:t>）n，是由丙烯聚合而制得的一种热塑性树脂。聚丙烯为无毒、无臭、无味的乳白色高结晶的聚合物，熔点约180-200℃，热分解温度约380-400℃，密度只有0.9-0.91g/m</w:t>
            </w:r>
            <w:r>
              <w:rPr>
                <w:color w:val="auto"/>
                <w:sz w:val="24"/>
                <w:vertAlign w:val="superscript"/>
              </w:rPr>
              <w:t>3</w:t>
            </w:r>
            <w:r>
              <w:rPr>
                <w:color w:val="auto"/>
                <w:sz w:val="24"/>
              </w:rPr>
              <w:t>，是目前所有塑料中最轻的品种之一。聚丙烯对水特别稳定，在水中的吸水率仅为0.01%，分子量约为8万到15万。聚丙烯成型性好，但因收缩率大（为1-2.5%），厚壁制品易凹陷，对一些尺寸精度较高零件，还难于达到要求，制品表面光泽好，易于着色。聚丙烯的化学稳定性很好，除能被浓硫酸、浓硝酸侵蚀外，对其它各种化学试剂都比较稳定，防腐蚀效果良好。</w:t>
            </w:r>
          </w:p>
          <w:p>
            <w:pPr>
              <w:spacing w:line="360" w:lineRule="auto"/>
              <w:ind w:firstLine="480" w:firstLineChars="200"/>
              <w:rPr>
                <w:color w:val="auto"/>
                <w:kern w:val="0"/>
                <w:sz w:val="24"/>
              </w:rPr>
            </w:pPr>
            <w:r>
              <w:rPr>
                <w:color w:val="auto"/>
                <w:kern w:val="0"/>
                <w:sz w:val="24"/>
              </w:rPr>
              <w:t>②</w:t>
            </w:r>
            <w:r>
              <w:rPr>
                <w:color w:val="auto"/>
                <w:sz w:val="24"/>
              </w:rPr>
              <w:t>聚乙烯（PE）理化特性</w:t>
            </w:r>
          </w:p>
          <w:p>
            <w:pPr>
              <w:spacing w:line="360" w:lineRule="auto"/>
              <w:ind w:firstLine="480" w:firstLineChars="200"/>
              <w:rPr>
                <w:color w:val="auto"/>
                <w:sz w:val="24"/>
              </w:rPr>
            </w:pPr>
            <w:r>
              <w:rPr>
                <w:color w:val="auto"/>
                <w:sz w:val="24"/>
              </w:rPr>
              <w:t>聚乙烯又称PE，分子式（C</w:t>
            </w:r>
            <w:r>
              <w:rPr>
                <w:color w:val="auto"/>
                <w:sz w:val="24"/>
                <w:vertAlign w:val="subscript"/>
              </w:rPr>
              <w:t>2</w:t>
            </w:r>
            <w:r>
              <w:rPr>
                <w:color w:val="auto"/>
                <w:sz w:val="24"/>
              </w:rPr>
              <w:t>H</w:t>
            </w:r>
            <w:r>
              <w:rPr>
                <w:color w:val="auto"/>
                <w:sz w:val="24"/>
                <w:vertAlign w:val="subscript"/>
              </w:rPr>
              <w:t>4</w:t>
            </w:r>
            <w:r>
              <w:rPr>
                <w:color w:val="auto"/>
                <w:sz w:val="24"/>
              </w:rPr>
              <w:t>）n，为无毒、无臭、无味的白色蜡状半透明聚合物，柔而韧，比水轻，比重为0.94～0.96g/cm</w:t>
            </w:r>
            <w:r>
              <w:rPr>
                <w:color w:val="auto"/>
                <w:sz w:val="24"/>
                <w:vertAlign w:val="superscript"/>
              </w:rPr>
              <w:t>3</w:t>
            </w:r>
            <w:r>
              <w:rPr>
                <w:color w:val="auto"/>
                <w:sz w:val="24"/>
              </w:rPr>
              <w:t>，具有优越的介电性能。透水率低，对有机蒸汽透过率则较大。聚乙烯的透明度随结晶度增加而下降,在一定结晶度下，透明度随分子量增大而提高。高密度聚乙烯熔点范围为132～135℃，低密度聚乙烯熔点较低（112℃）。常温下不溶于任何已知溶剂中。聚乙烯有优异的化学稳定性，除能被硝酸和硫酸侵蚀外，室温下耐盐酸、氢氟 酸、磷酸、甲酸、胺类、氢氧化钠、氢氧化钾等各种化学物质。聚乙烯的化学稳定性很好，适合热塑成型加工的各种工艺。</w:t>
            </w:r>
          </w:p>
          <w:p>
            <w:pPr>
              <w:numPr>
                <w:ilvl w:val="0"/>
                <w:numId w:val="2"/>
              </w:numPr>
              <w:adjustRightInd w:val="0"/>
              <w:snapToGrid w:val="0"/>
              <w:spacing w:line="360" w:lineRule="auto"/>
              <w:ind w:left="148" w:firstLine="482"/>
              <w:outlineLvl w:val="0"/>
              <w:rPr>
                <w:b/>
                <w:bCs/>
                <w:color w:val="auto"/>
                <w:sz w:val="24"/>
              </w:rPr>
            </w:pPr>
            <w:r>
              <w:rPr>
                <w:rFonts w:hint="eastAsia"/>
                <w:b/>
                <w:bCs/>
                <w:color w:val="auto"/>
                <w:sz w:val="24"/>
              </w:rPr>
              <w:t>主要生产设备、设施</w:t>
            </w:r>
          </w:p>
          <w:p>
            <w:pPr>
              <w:spacing w:line="360" w:lineRule="auto"/>
              <w:ind w:firstLine="480" w:firstLineChars="200"/>
              <w:rPr>
                <w:color w:val="auto"/>
                <w:sz w:val="24"/>
              </w:rPr>
            </w:pPr>
            <w:r>
              <w:rPr>
                <w:rFonts w:hint="eastAsia"/>
                <w:color w:val="auto"/>
                <w:sz w:val="24"/>
              </w:rPr>
              <w:t>本项目主要生产设备、设施见下表。</w:t>
            </w:r>
          </w:p>
          <w:p>
            <w:pPr>
              <w:spacing w:line="360" w:lineRule="auto"/>
              <w:jc w:val="center"/>
              <w:rPr>
                <w:b/>
                <w:bCs/>
                <w:color w:val="auto"/>
                <w:sz w:val="24"/>
              </w:rPr>
            </w:pPr>
            <w:r>
              <w:rPr>
                <w:b/>
                <w:bCs/>
                <w:color w:val="auto"/>
                <w:sz w:val="24"/>
              </w:rPr>
              <w:t>表</w:t>
            </w:r>
            <w:r>
              <w:rPr>
                <w:rFonts w:hint="eastAsia"/>
                <w:b/>
                <w:bCs/>
                <w:color w:val="auto"/>
                <w:sz w:val="24"/>
              </w:rPr>
              <w:t>2-5</w:t>
            </w:r>
            <w:r>
              <w:rPr>
                <w:b/>
                <w:bCs/>
                <w:color w:val="auto"/>
                <w:sz w:val="24"/>
              </w:rPr>
              <w:t xml:space="preserve">  项目主要设备一览表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855"/>
              <w:gridCol w:w="1679"/>
              <w:gridCol w:w="1707"/>
              <w:gridCol w:w="124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pct"/>
                  <w:gridSpan w:val="2"/>
                  <w:vAlign w:val="center"/>
                </w:tcPr>
                <w:p>
                  <w:pPr>
                    <w:jc w:val="center"/>
                    <w:rPr>
                      <w:b/>
                      <w:bCs/>
                      <w:color w:val="auto"/>
                      <w:szCs w:val="21"/>
                    </w:rPr>
                  </w:pPr>
                  <w:r>
                    <w:rPr>
                      <w:b/>
                      <w:bCs/>
                      <w:color w:val="auto"/>
                      <w:szCs w:val="21"/>
                    </w:rPr>
                    <w:t>类别</w:t>
                  </w:r>
                </w:p>
              </w:tc>
              <w:tc>
                <w:tcPr>
                  <w:tcW w:w="1084" w:type="pct"/>
                  <w:vAlign w:val="center"/>
                </w:tcPr>
                <w:p>
                  <w:pPr>
                    <w:jc w:val="center"/>
                    <w:rPr>
                      <w:b/>
                      <w:bCs/>
                      <w:color w:val="auto"/>
                      <w:szCs w:val="21"/>
                    </w:rPr>
                  </w:pPr>
                  <w:r>
                    <w:rPr>
                      <w:b/>
                      <w:bCs/>
                      <w:color w:val="auto"/>
                      <w:szCs w:val="21"/>
                    </w:rPr>
                    <w:t>设备名称</w:t>
                  </w:r>
                </w:p>
              </w:tc>
              <w:tc>
                <w:tcPr>
                  <w:tcW w:w="1102" w:type="pct"/>
                  <w:vAlign w:val="center"/>
                </w:tcPr>
                <w:p>
                  <w:pPr>
                    <w:jc w:val="center"/>
                    <w:rPr>
                      <w:b/>
                      <w:bCs/>
                      <w:color w:val="auto"/>
                      <w:szCs w:val="21"/>
                    </w:rPr>
                  </w:pPr>
                  <w:r>
                    <w:rPr>
                      <w:b/>
                      <w:bCs/>
                      <w:color w:val="auto"/>
                      <w:szCs w:val="21"/>
                    </w:rPr>
                    <w:t>型号</w:t>
                  </w:r>
                </w:p>
              </w:tc>
              <w:tc>
                <w:tcPr>
                  <w:tcW w:w="802" w:type="pct"/>
                  <w:vAlign w:val="center"/>
                </w:tcPr>
                <w:p>
                  <w:pPr>
                    <w:jc w:val="center"/>
                    <w:rPr>
                      <w:b/>
                      <w:bCs/>
                      <w:color w:val="auto"/>
                      <w:szCs w:val="21"/>
                    </w:rPr>
                  </w:pPr>
                  <w:r>
                    <w:rPr>
                      <w:b/>
                      <w:bCs/>
                      <w:color w:val="auto"/>
                      <w:szCs w:val="21"/>
                    </w:rPr>
                    <w:t>数量</w:t>
                  </w:r>
                </w:p>
                <w:p>
                  <w:pPr>
                    <w:jc w:val="center"/>
                    <w:rPr>
                      <w:b/>
                      <w:bCs/>
                      <w:color w:val="auto"/>
                      <w:szCs w:val="21"/>
                    </w:rPr>
                  </w:pPr>
                  <w:r>
                    <w:rPr>
                      <w:b/>
                      <w:bCs/>
                      <w:color w:val="auto"/>
                      <w:szCs w:val="21"/>
                    </w:rPr>
                    <w:t>（台/套）</w:t>
                  </w:r>
                </w:p>
              </w:tc>
              <w:tc>
                <w:tcPr>
                  <w:tcW w:w="1043" w:type="pct"/>
                  <w:vAlign w:val="center"/>
                </w:tcPr>
                <w:p>
                  <w:pPr>
                    <w:jc w:val="center"/>
                    <w:rPr>
                      <w:b/>
                      <w:bCs/>
                      <w:color w:val="auto"/>
                      <w:szCs w:val="21"/>
                    </w:rPr>
                  </w:pPr>
                  <w:r>
                    <w:rPr>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15" w:type="pct"/>
                  <w:vMerge w:val="restart"/>
                  <w:vAlign w:val="center"/>
                </w:tcPr>
                <w:p>
                  <w:pPr>
                    <w:jc w:val="center"/>
                    <w:rPr>
                      <w:color w:val="auto"/>
                      <w:szCs w:val="21"/>
                    </w:rPr>
                  </w:pPr>
                  <w:r>
                    <w:rPr>
                      <w:color w:val="auto"/>
                      <w:szCs w:val="21"/>
                    </w:rPr>
                    <w:t>生产</w:t>
                  </w:r>
                </w:p>
                <w:p>
                  <w:pPr>
                    <w:jc w:val="center"/>
                    <w:rPr>
                      <w:color w:val="auto"/>
                      <w:szCs w:val="21"/>
                    </w:rPr>
                  </w:pPr>
                  <w:r>
                    <w:rPr>
                      <w:color w:val="auto"/>
                      <w:szCs w:val="21"/>
                    </w:rPr>
                    <w:t>设备</w:t>
                  </w:r>
                </w:p>
              </w:tc>
              <w:tc>
                <w:tcPr>
                  <w:tcW w:w="552" w:type="pct"/>
                  <w:vMerge w:val="restart"/>
                  <w:vAlign w:val="center"/>
                </w:tcPr>
                <w:p>
                  <w:pPr>
                    <w:jc w:val="center"/>
                    <w:rPr>
                      <w:color w:val="auto"/>
                      <w:szCs w:val="21"/>
                    </w:rPr>
                  </w:pPr>
                  <w:r>
                    <w:rPr>
                      <w:color w:val="auto"/>
                      <w:szCs w:val="21"/>
                    </w:rPr>
                    <w:t>原料</w:t>
                  </w:r>
                </w:p>
                <w:p>
                  <w:pPr>
                    <w:jc w:val="center"/>
                    <w:rPr>
                      <w:color w:val="auto"/>
                      <w:szCs w:val="21"/>
                    </w:rPr>
                  </w:pPr>
                  <w:r>
                    <w:rPr>
                      <w:color w:val="auto"/>
                      <w:szCs w:val="21"/>
                    </w:rPr>
                    <w:t>预处理</w:t>
                  </w:r>
                </w:p>
              </w:tc>
              <w:tc>
                <w:tcPr>
                  <w:tcW w:w="1084" w:type="pct"/>
                  <w:vAlign w:val="center"/>
                </w:tcPr>
                <w:p>
                  <w:pPr>
                    <w:jc w:val="center"/>
                    <w:rPr>
                      <w:color w:val="auto"/>
                      <w:szCs w:val="21"/>
                    </w:rPr>
                  </w:pPr>
                  <w:r>
                    <w:rPr>
                      <w:color w:val="auto"/>
                      <w:szCs w:val="21"/>
                    </w:rPr>
                    <w:t>皮带上料机</w:t>
                  </w:r>
                </w:p>
              </w:tc>
              <w:tc>
                <w:tcPr>
                  <w:tcW w:w="1102" w:type="pct"/>
                  <w:vAlign w:val="center"/>
                </w:tcPr>
                <w:p>
                  <w:pPr>
                    <w:jc w:val="center"/>
                    <w:rPr>
                      <w:color w:val="auto"/>
                      <w:szCs w:val="21"/>
                    </w:rPr>
                  </w:pPr>
                  <w:r>
                    <w:rPr>
                      <w:rFonts w:hint="eastAsia"/>
                      <w:color w:val="auto"/>
                      <w:szCs w:val="21"/>
                    </w:rPr>
                    <w:t>D100型</w:t>
                  </w:r>
                </w:p>
              </w:tc>
              <w:tc>
                <w:tcPr>
                  <w:tcW w:w="802" w:type="pct"/>
                  <w:vAlign w:val="center"/>
                </w:tcPr>
                <w:p>
                  <w:pPr>
                    <w:jc w:val="center"/>
                    <w:rPr>
                      <w:color w:val="auto"/>
                      <w:szCs w:val="21"/>
                    </w:rPr>
                  </w:pPr>
                  <w:r>
                    <w:rPr>
                      <w:rFonts w:hint="eastAsia"/>
                      <w:color w:val="auto"/>
                      <w:szCs w:val="21"/>
                    </w:rPr>
                    <w:t>4</w:t>
                  </w:r>
                </w:p>
              </w:tc>
              <w:tc>
                <w:tcPr>
                  <w:tcW w:w="1043" w:type="pct"/>
                  <w:vAlign w:val="center"/>
                </w:tcPr>
                <w:p>
                  <w:pPr>
                    <w:jc w:val="center"/>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 w:type="pct"/>
                  <w:vMerge w:val="continue"/>
                  <w:vAlign w:val="center"/>
                </w:tcPr>
                <w:p>
                  <w:pPr>
                    <w:jc w:val="center"/>
                    <w:rPr>
                      <w:color w:val="auto"/>
                      <w:szCs w:val="21"/>
                    </w:rPr>
                  </w:pPr>
                </w:p>
              </w:tc>
              <w:tc>
                <w:tcPr>
                  <w:tcW w:w="552" w:type="pct"/>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螺旋上料机</w:t>
                  </w:r>
                </w:p>
              </w:tc>
              <w:tc>
                <w:tcPr>
                  <w:tcW w:w="1102" w:type="pct"/>
                  <w:vAlign w:val="center"/>
                </w:tcPr>
                <w:p>
                  <w:pPr>
                    <w:jc w:val="center"/>
                    <w:rPr>
                      <w:color w:val="auto"/>
                      <w:szCs w:val="21"/>
                    </w:rPr>
                  </w:pPr>
                  <w:r>
                    <w:rPr>
                      <w:rFonts w:hint="eastAsia"/>
                      <w:color w:val="auto"/>
                      <w:szCs w:val="21"/>
                    </w:rPr>
                    <w:t>LS式</w:t>
                  </w:r>
                </w:p>
              </w:tc>
              <w:tc>
                <w:tcPr>
                  <w:tcW w:w="802" w:type="pct"/>
                  <w:vAlign w:val="center"/>
                </w:tcPr>
                <w:p>
                  <w:pPr>
                    <w:jc w:val="center"/>
                    <w:rPr>
                      <w:color w:val="auto"/>
                      <w:szCs w:val="21"/>
                    </w:rPr>
                  </w:pPr>
                  <w:r>
                    <w:rPr>
                      <w:color w:val="auto"/>
                      <w:szCs w:val="21"/>
                    </w:rPr>
                    <w:t>6</w:t>
                  </w:r>
                </w:p>
              </w:tc>
              <w:tc>
                <w:tcPr>
                  <w:tcW w:w="1043"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 w:type="pct"/>
                  <w:vMerge w:val="continue"/>
                  <w:vAlign w:val="center"/>
                </w:tcPr>
                <w:p>
                  <w:pPr>
                    <w:jc w:val="center"/>
                    <w:rPr>
                      <w:color w:val="auto"/>
                      <w:szCs w:val="21"/>
                    </w:rPr>
                  </w:pPr>
                </w:p>
              </w:tc>
              <w:tc>
                <w:tcPr>
                  <w:tcW w:w="552" w:type="pct"/>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螺旋除渣机</w:t>
                  </w:r>
                </w:p>
              </w:tc>
              <w:tc>
                <w:tcPr>
                  <w:tcW w:w="1102" w:type="pct"/>
                  <w:vAlign w:val="center"/>
                </w:tcPr>
                <w:p>
                  <w:pPr>
                    <w:jc w:val="center"/>
                    <w:rPr>
                      <w:color w:val="auto"/>
                      <w:szCs w:val="21"/>
                    </w:rPr>
                  </w:pPr>
                  <w:r>
                    <w:rPr>
                      <w:rFonts w:hint="eastAsia"/>
                      <w:color w:val="auto"/>
                      <w:szCs w:val="21"/>
                    </w:rPr>
                    <w:t>LS315</w:t>
                  </w:r>
                </w:p>
              </w:tc>
              <w:tc>
                <w:tcPr>
                  <w:tcW w:w="802" w:type="pct"/>
                  <w:vAlign w:val="center"/>
                </w:tcPr>
                <w:p>
                  <w:pPr>
                    <w:jc w:val="center"/>
                    <w:rPr>
                      <w:color w:val="auto"/>
                      <w:szCs w:val="21"/>
                    </w:rPr>
                  </w:pPr>
                  <w:r>
                    <w:rPr>
                      <w:rFonts w:hint="eastAsia"/>
                      <w:color w:val="auto"/>
                      <w:szCs w:val="21"/>
                    </w:rPr>
                    <w:t>4</w:t>
                  </w:r>
                </w:p>
              </w:tc>
              <w:tc>
                <w:tcPr>
                  <w:tcW w:w="1043"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 w:type="pct"/>
                  <w:vMerge w:val="continue"/>
                  <w:vAlign w:val="center"/>
                </w:tcPr>
                <w:p>
                  <w:pPr>
                    <w:jc w:val="center"/>
                    <w:rPr>
                      <w:color w:val="auto"/>
                      <w:szCs w:val="21"/>
                    </w:rPr>
                  </w:pPr>
                </w:p>
              </w:tc>
              <w:tc>
                <w:tcPr>
                  <w:tcW w:w="552" w:type="pct"/>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除铁机</w:t>
                  </w:r>
                </w:p>
              </w:tc>
              <w:tc>
                <w:tcPr>
                  <w:tcW w:w="1102" w:type="pct"/>
                  <w:vAlign w:val="center"/>
                </w:tcPr>
                <w:p>
                  <w:pPr>
                    <w:jc w:val="center"/>
                    <w:rPr>
                      <w:color w:val="auto"/>
                      <w:szCs w:val="21"/>
                    </w:rPr>
                  </w:pPr>
                  <w:r>
                    <w:rPr>
                      <w:color w:val="auto"/>
                      <w:szCs w:val="21"/>
                    </w:rPr>
                    <w:t>TA-04-506</w:t>
                  </w:r>
                </w:p>
              </w:tc>
              <w:tc>
                <w:tcPr>
                  <w:tcW w:w="802" w:type="pct"/>
                  <w:vAlign w:val="center"/>
                </w:tcPr>
                <w:p>
                  <w:pPr>
                    <w:jc w:val="center"/>
                    <w:rPr>
                      <w:color w:val="auto"/>
                      <w:szCs w:val="21"/>
                    </w:rPr>
                  </w:pPr>
                  <w:r>
                    <w:rPr>
                      <w:rFonts w:hint="eastAsia"/>
                      <w:color w:val="auto"/>
                      <w:szCs w:val="21"/>
                    </w:rPr>
                    <w:t>4</w:t>
                  </w:r>
                </w:p>
              </w:tc>
              <w:tc>
                <w:tcPr>
                  <w:tcW w:w="1043"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 w:type="pct"/>
                  <w:vMerge w:val="continue"/>
                  <w:vAlign w:val="center"/>
                </w:tcPr>
                <w:p>
                  <w:pPr>
                    <w:jc w:val="center"/>
                    <w:rPr>
                      <w:color w:val="auto"/>
                      <w:szCs w:val="21"/>
                    </w:rPr>
                  </w:pPr>
                </w:p>
              </w:tc>
              <w:tc>
                <w:tcPr>
                  <w:tcW w:w="552" w:type="pct"/>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搅笼自动清洗机</w:t>
                  </w:r>
                </w:p>
              </w:tc>
              <w:tc>
                <w:tcPr>
                  <w:tcW w:w="1102" w:type="pct"/>
                  <w:vAlign w:val="center"/>
                </w:tcPr>
                <w:p>
                  <w:pPr>
                    <w:jc w:val="center"/>
                    <w:rPr>
                      <w:color w:val="auto"/>
                      <w:szCs w:val="21"/>
                    </w:rPr>
                  </w:pPr>
                  <w:r>
                    <w:rPr>
                      <w:color w:val="auto"/>
                      <w:szCs w:val="21"/>
                    </w:rPr>
                    <w:t>LY500*2000</w:t>
                  </w:r>
                </w:p>
              </w:tc>
              <w:tc>
                <w:tcPr>
                  <w:tcW w:w="802" w:type="pct"/>
                  <w:vAlign w:val="center"/>
                </w:tcPr>
                <w:p>
                  <w:pPr>
                    <w:jc w:val="center"/>
                    <w:rPr>
                      <w:color w:val="auto"/>
                      <w:szCs w:val="21"/>
                    </w:rPr>
                  </w:pPr>
                  <w:r>
                    <w:rPr>
                      <w:color w:val="auto"/>
                      <w:szCs w:val="21"/>
                    </w:rPr>
                    <w:t>6</w:t>
                  </w:r>
                </w:p>
              </w:tc>
              <w:tc>
                <w:tcPr>
                  <w:tcW w:w="1043"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 w:type="pct"/>
                  <w:vMerge w:val="continue"/>
                  <w:vAlign w:val="center"/>
                </w:tcPr>
                <w:p>
                  <w:pPr>
                    <w:jc w:val="center"/>
                    <w:rPr>
                      <w:color w:val="auto"/>
                      <w:szCs w:val="21"/>
                    </w:rPr>
                  </w:pPr>
                </w:p>
              </w:tc>
              <w:tc>
                <w:tcPr>
                  <w:tcW w:w="552" w:type="pct"/>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自动捞料机</w:t>
                  </w:r>
                </w:p>
              </w:tc>
              <w:tc>
                <w:tcPr>
                  <w:tcW w:w="1102" w:type="pct"/>
                  <w:vAlign w:val="center"/>
                </w:tcPr>
                <w:p>
                  <w:pPr>
                    <w:jc w:val="center"/>
                    <w:rPr>
                      <w:color w:val="auto"/>
                      <w:szCs w:val="21"/>
                    </w:rPr>
                  </w:pPr>
                  <w:r>
                    <w:rPr>
                      <w:rFonts w:hint="eastAsia"/>
                      <w:color w:val="auto"/>
                      <w:szCs w:val="21"/>
                    </w:rPr>
                    <w:t>RT1400型</w:t>
                  </w:r>
                </w:p>
              </w:tc>
              <w:tc>
                <w:tcPr>
                  <w:tcW w:w="802" w:type="pct"/>
                  <w:vAlign w:val="center"/>
                </w:tcPr>
                <w:p>
                  <w:pPr>
                    <w:jc w:val="center"/>
                    <w:rPr>
                      <w:color w:val="auto"/>
                      <w:szCs w:val="21"/>
                    </w:rPr>
                  </w:pPr>
                  <w:r>
                    <w:rPr>
                      <w:rFonts w:hint="eastAsia"/>
                      <w:color w:val="auto"/>
                      <w:szCs w:val="21"/>
                    </w:rPr>
                    <w:t>4</w:t>
                  </w:r>
                </w:p>
              </w:tc>
              <w:tc>
                <w:tcPr>
                  <w:tcW w:w="1043"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 w:type="pct"/>
                  <w:vMerge w:val="continue"/>
                  <w:vAlign w:val="center"/>
                </w:tcPr>
                <w:p>
                  <w:pPr>
                    <w:jc w:val="center"/>
                    <w:rPr>
                      <w:color w:val="auto"/>
                      <w:szCs w:val="21"/>
                    </w:rPr>
                  </w:pPr>
                </w:p>
              </w:tc>
              <w:tc>
                <w:tcPr>
                  <w:tcW w:w="552" w:type="pct"/>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清洗池</w:t>
                  </w:r>
                </w:p>
              </w:tc>
              <w:tc>
                <w:tcPr>
                  <w:tcW w:w="1102" w:type="pct"/>
                  <w:vAlign w:val="center"/>
                </w:tcPr>
                <w:p>
                  <w:pPr>
                    <w:jc w:val="center"/>
                    <w:rPr>
                      <w:color w:val="auto"/>
                      <w:szCs w:val="21"/>
                    </w:rPr>
                  </w:pPr>
                  <w:r>
                    <w:rPr>
                      <w:color w:val="auto"/>
                      <w:szCs w:val="21"/>
                    </w:rPr>
                    <w:t>2m×6m×2m</w:t>
                  </w:r>
                </w:p>
              </w:tc>
              <w:tc>
                <w:tcPr>
                  <w:tcW w:w="802" w:type="pct"/>
                  <w:vAlign w:val="center"/>
                </w:tcPr>
                <w:p>
                  <w:pPr>
                    <w:jc w:val="center"/>
                    <w:rPr>
                      <w:color w:val="auto"/>
                      <w:szCs w:val="21"/>
                    </w:rPr>
                  </w:pPr>
                  <w:r>
                    <w:rPr>
                      <w:color w:val="auto"/>
                      <w:szCs w:val="21"/>
                    </w:rPr>
                    <w:t>1座（2格）</w:t>
                  </w:r>
                </w:p>
              </w:tc>
              <w:tc>
                <w:tcPr>
                  <w:tcW w:w="1043"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 w:type="pct"/>
                  <w:vMerge w:val="continue"/>
                  <w:vAlign w:val="center"/>
                </w:tcPr>
                <w:p>
                  <w:pPr>
                    <w:jc w:val="center"/>
                    <w:rPr>
                      <w:color w:val="auto"/>
                      <w:szCs w:val="21"/>
                    </w:rPr>
                  </w:pPr>
                </w:p>
              </w:tc>
              <w:tc>
                <w:tcPr>
                  <w:tcW w:w="552" w:type="pct"/>
                  <w:vMerge w:val="continue"/>
                  <w:vAlign w:val="center"/>
                </w:tcPr>
                <w:p>
                  <w:pPr>
                    <w:jc w:val="center"/>
                    <w:rPr>
                      <w:color w:val="auto"/>
                      <w:szCs w:val="21"/>
                    </w:rPr>
                  </w:pPr>
                </w:p>
              </w:tc>
              <w:tc>
                <w:tcPr>
                  <w:tcW w:w="1084" w:type="pct"/>
                  <w:vAlign w:val="center"/>
                </w:tcPr>
                <w:p>
                  <w:pPr>
                    <w:jc w:val="center"/>
                    <w:rPr>
                      <w:color w:val="auto"/>
                      <w:szCs w:val="21"/>
                    </w:rPr>
                  </w:pPr>
                  <w:r>
                    <w:rPr>
                      <w:rFonts w:hint="eastAsia"/>
                      <w:color w:val="auto"/>
                      <w:szCs w:val="21"/>
                    </w:rPr>
                    <w:t>清水回用池</w:t>
                  </w:r>
                </w:p>
              </w:tc>
              <w:tc>
                <w:tcPr>
                  <w:tcW w:w="1102" w:type="pct"/>
                  <w:vAlign w:val="center"/>
                </w:tcPr>
                <w:p>
                  <w:pPr>
                    <w:jc w:val="center"/>
                    <w:rPr>
                      <w:color w:val="auto"/>
                      <w:szCs w:val="21"/>
                    </w:rPr>
                  </w:pPr>
                  <w:r>
                    <w:rPr>
                      <w:color w:val="auto"/>
                      <w:szCs w:val="21"/>
                    </w:rPr>
                    <w:t>2m×6m×2m</w:t>
                  </w:r>
                </w:p>
              </w:tc>
              <w:tc>
                <w:tcPr>
                  <w:tcW w:w="802" w:type="pct"/>
                  <w:vAlign w:val="center"/>
                </w:tcPr>
                <w:p>
                  <w:pPr>
                    <w:jc w:val="center"/>
                    <w:rPr>
                      <w:color w:val="auto"/>
                      <w:szCs w:val="21"/>
                    </w:rPr>
                  </w:pPr>
                  <w:r>
                    <w:rPr>
                      <w:color w:val="auto"/>
                      <w:szCs w:val="21"/>
                    </w:rPr>
                    <w:t>1座</w:t>
                  </w:r>
                </w:p>
              </w:tc>
              <w:tc>
                <w:tcPr>
                  <w:tcW w:w="1043"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 w:type="pct"/>
                  <w:vMerge w:val="continue"/>
                  <w:vAlign w:val="center"/>
                </w:tcPr>
                <w:p>
                  <w:pPr>
                    <w:jc w:val="center"/>
                    <w:rPr>
                      <w:color w:val="auto"/>
                      <w:szCs w:val="21"/>
                    </w:rPr>
                  </w:pPr>
                </w:p>
              </w:tc>
              <w:tc>
                <w:tcPr>
                  <w:tcW w:w="552" w:type="pct"/>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循环水泵</w:t>
                  </w:r>
                </w:p>
              </w:tc>
              <w:tc>
                <w:tcPr>
                  <w:tcW w:w="1102" w:type="pct"/>
                  <w:vAlign w:val="center"/>
                </w:tcPr>
                <w:p>
                  <w:pPr>
                    <w:jc w:val="center"/>
                    <w:rPr>
                      <w:color w:val="auto"/>
                      <w:szCs w:val="21"/>
                    </w:rPr>
                  </w:pPr>
                  <w:r>
                    <w:rPr>
                      <w:color w:val="auto"/>
                      <w:szCs w:val="21"/>
                    </w:rPr>
                    <w:t>/</w:t>
                  </w:r>
                </w:p>
              </w:tc>
              <w:tc>
                <w:tcPr>
                  <w:tcW w:w="802" w:type="pct"/>
                  <w:vAlign w:val="center"/>
                </w:tcPr>
                <w:p>
                  <w:pPr>
                    <w:jc w:val="center"/>
                    <w:rPr>
                      <w:color w:val="auto"/>
                      <w:szCs w:val="21"/>
                    </w:rPr>
                  </w:pPr>
                  <w:r>
                    <w:rPr>
                      <w:rFonts w:hint="eastAsia"/>
                      <w:color w:val="auto"/>
                      <w:szCs w:val="21"/>
                    </w:rPr>
                    <w:t>4</w:t>
                  </w:r>
                </w:p>
              </w:tc>
              <w:tc>
                <w:tcPr>
                  <w:tcW w:w="1043"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 w:type="pct"/>
                  <w:vMerge w:val="continue"/>
                  <w:vAlign w:val="center"/>
                </w:tcPr>
                <w:p>
                  <w:pPr>
                    <w:jc w:val="center"/>
                    <w:rPr>
                      <w:color w:val="auto"/>
                      <w:szCs w:val="21"/>
                    </w:rPr>
                  </w:pPr>
                </w:p>
              </w:tc>
              <w:tc>
                <w:tcPr>
                  <w:tcW w:w="552" w:type="pct"/>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提料甩干机</w:t>
                  </w:r>
                </w:p>
              </w:tc>
              <w:tc>
                <w:tcPr>
                  <w:tcW w:w="1102" w:type="pct"/>
                  <w:vAlign w:val="center"/>
                </w:tcPr>
                <w:p>
                  <w:pPr>
                    <w:jc w:val="center"/>
                    <w:rPr>
                      <w:color w:val="auto"/>
                      <w:szCs w:val="21"/>
                    </w:rPr>
                  </w:pPr>
                  <w:r>
                    <w:rPr>
                      <w:color w:val="auto"/>
                      <w:szCs w:val="21"/>
                    </w:rPr>
                    <w:t>最大生产能力1t/h</w:t>
                  </w:r>
                </w:p>
              </w:tc>
              <w:tc>
                <w:tcPr>
                  <w:tcW w:w="802" w:type="pct"/>
                  <w:vAlign w:val="center"/>
                </w:tcPr>
                <w:p>
                  <w:pPr>
                    <w:jc w:val="center"/>
                    <w:rPr>
                      <w:color w:val="auto"/>
                      <w:szCs w:val="21"/>
                    </w:rPr>
                  </w:pPr>
                  <w:r>
                    <w:rPr>
                      <w:rFonts w:hint="eastAsia"/>
                      <w:color w:val="auto"/>
                      <w:szCs w:val="21"/>
                    </w:rPr>
                    <w:t>4</w:t>
                  </w:r>
                </w:p>
              </w:tc>
              <w:tc>
                <w:tcPr>
                  <w:tcW w:w="1043"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 w:type="pct"/>
                  <w:vMerge w:val="continue"/>
                  <w:vAlign w:val="center"/>
                </w:tcPr>
                <w:p>
                  <w:pPr>
                    <w:jc w:val="center"/>
                    <w:rPr>
                      <w:color w:val="auto"/>
                      <w:szCs w:val="21"/>
                    </w:rPr>
                  </w:pPr>
                </w:p>
              </w:tc>
              <w:tc>
                <w:tcPr>
                  <w:tcW w:w="552" w:type="pct"/>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破碎机</w:t>
                  </w:r>
                </w:p>
              </w:tc>
              <w:tc>
                <w:tcPr>
                  <w:tcW w:w="1102" w:type="pct"/>
                  <w:vAlign w:val="center"/>
                </w:tcPr>
                <w:p>
                  <w:pPr>
                    <w:jc w:val="center"/>
                    <w:rPr>
                      <w:color w:val="auto"/>
                      <w:szCs w:val="21"/>
                    </w:rPr>
                  </w:pPr>
                  <w:r>
                    <w:rPr>
                      <w:color w:val="auto"/>
                      <w:szCs w:val="21"/>
                    </w:rPr>
                    <w:t>L800*2000</w:t>
                  </w:r>
                </w:p>
              </w:tc>
              <w:tc>
                <w:tcPr>
                  <w:tcW w:w="802" w:type="pct"/>
                  <w:vAlign w:val="center"/>
                </w:tcPr>
                <w:p>
                  <w:pPr>
                    <w:jc w:val="center"/>
                    <w:rPr>
                      <w:color w:val="auto"/>
                      <w:szCs w:val="21"/>
                    </w:rPr>
                  </w:pPr>
                  <w:r>
                    <w:rPr>
                      <w:rFonts w:hint="eastAsia"/>
                      <w:color w:val="auto"/>
                      <w:szCs w:val="21"/>
                    </w:rPr>
                    <w:t>4</w:t>
                  </w:r>
                </w:p>
              </w:tc>
              <w:tc>
                <w:tcPr>
                  <w:tcW w:w="1043"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 w:type="pct"/>
                  <w:vMerge w:val="continue"/>
                  <w:vAlign w:val="center"/>
                </w:tcPr>
                <w:p>
                  <w:pPr>
                    <w:jc w:val="center"/>
                    <w:rPr>
                      <w:color w:val="auto"/>
                      <w:szCs w:val="21"/>
                    </w:rPr>
                  </w:pPr>
                </w:p>
              </w:tc>
              <w:tc>
                <w:tcPr>
                  <w:tcW w:w="552" w:type="pct"/>
                  <w:vMerge w:val="restart"/>
                  <w:vAlign w:val="center"/>
                </w:tcPr>
                <w:p>
                  <w:pPr>
                    <w:jc w:val="center"/>
                    <w:rPr>
                      <w:color w:val="auto"/>
                      <w:szCs w:val="21"/>
                    </w:rPr>
                  </w:pPr>
                  <w:r>
                    <w:rPr>
                      <w:color w:val="auto"/>
                      <w:szCs w:val="21"/>
                    </w:rPr>
                    <w:t>塑料颗粒</w:t>
                  </w:r>
                </w:p>
                <w:p>
                  <w:pPr>
                    <w:jc w:val="center"/>
                    <w:rPr>
                      <w:color w:val="auto"/>
                      <w:szCs w:val="21"/>
                    </w:rPr>
                  </w:pPr>
                  <w:r>
                    <w:rPr>
                      <w:color w:val="auto"/>
                      <w:szCs w:val="21"/>
                    </w:rPr>
                    <w:t>生产加工</w:t>
                  </w:r>
                </w:p>
              </w:tc>
              <w:tc>
                <w:tcPr>
                  <w:tcW w:w="1084" w:type="pct"/>
                  <w:vAlign w:val="center"/>
                </w:tcPr>
                <w:p>
                  <w:pPr>
                    <w:jc w:val="center"/>
                    <w:rPr>
                      <w:color w:val="auto"/>
                      <w:szCs w:val="21"/>
                    </w:rPr>
                  </w:pPr>
                  <w:r>
                    <w:rPr>
                      <w:color w:val="auto"/>
                      <w:szCs w:val="21"/>
                    </w:rPr>
                    <w:t>混料机</w:t>
                  </w:r>
                </w:p>
              </w:tc>
              <w:tc>
                <w:tcPr>
                  <w:tcW w:w="1102" w:type="pct"/>
                  <w:vAlign w:val="center"/>
                </w:tcPr>
                <w:p>
                  <w:pPr>
                    <w:jc w:val="center"/>
                    <w:rPr>
                      <w:color w:val="auto"/>
                      <w:szCs w:val="21"/>
                    </w:rPr>
                  </w:pPr>
                  <w:r>
                    <w:rPr>
                      <w:rFonts w:hint="eastAsia"/>
                      <w:color w:val="auto"/>
                      <w:szCs w:val="21"/>
                    </w:rPr>
                    <w:t>LHY-15</w:t>
                  </w:r>
                </w:p>
              </w:tc>
              <w:tc>
                <w:tcPr>
                  <w:tcW w:w="802" w:type="pct"/>
                  <w:vAlign w:val="center"/>
                </w:tcPr>
                <w:p>
                  <w:pPr>
                    <w:jc w:val="center"/>
                    <w:rPr>
                      <w:color w:val="auto"/>
                      <w:szCs w:val="21"/>
                    </w:rPr>
                  </w:pPr>
                  <w:r>
                    <w:rPr>
                      <w:rFonts w:hint="eastAsia"/>
                      <w:color w:val="auto"/>
                      <w:szCs w:val="21"/>
                    </w:rPr>
                    <w:t>4</w:t>
                  </w:r>
                </w:p>
              </w:tc>
              <w:tc>
                <w:tcPr>
                  <w:tcW w:w="1043"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 w:type="pct"/>
                  <w:vMerge w:val="continue"/>
                  <w:vAlign w:val="center"/>
                </w:tcPr>
                <w:p>
                  <w:pPr>
                    <w:jc w:val="center"/>
                    <w:rPr>
                      <w:color w:val="auto"/>
                      <w:szCs w:val="21"/>
                    </w:rPr>
                  </w:pPr>
                </w:p>
              </w:tc>
              <w:tc>
                <w:tcPr>
                  <w:tcW w:w="552" w:type="pct"/>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上料平台</w:t>
                  </w:r>
                </w:p>
              </w:tc>
              <w:tc>
                <w:tcPr>
                  <w:tcW w:w="1102" w:type="pct"/>
                  <w:vAlign w:val="center"/>
                </w:tcPr>
                <w:p>
                  <w:pPr>
                    <w:jc w:val="center"/>
                    <w:rPr>
                      <w:color w:val="auto"/>
                      <w:szCs w:val="21"/>
                    </w:rPr>
                  </w:pPr>
                  <w:r>
                    <w:rPr>
                      <w:rFonts w:hint="eastAsia"/>
                      <w:color w:val="auto"/>
                      <w:szCs w:val="21"/>
                    </w:rPr>
                    <w:t>/</w:t>
                  </w:r>
                </w:p>
              </w:tc>
              <w:tc>
                <w:tcPr>
                  <w:tcW w:w="802" w:type="pct"/>
                  <w:vAlign w:val="center"/>
                </w:tcPr>
                <w:p>
                  <w:pPr>
                    <w:jc w:val="center"/>
                    <w:rPr>
                      <w:color w:val="auto"/>
                      <w:szCs w:val="21"/>
                    </w:rPr>
                  </w:pPr>
                  <w:r>
                    <w:rPr>
                      <w:rFonts w:hint="eastAsia"/>
                      <w:color w:val="auto"/>
                      <w:szCs w:val="21"/>
                    </w:rPr>
                    <w:t>6</w:t>
                  </w:r>
                </w:p>
              </w:tc>
              <w:tc>
                <w:tcPr>
                  <w:tcW w:w="1043"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 w:type="pct"/>
                  <w:vMerge w:val="continue"/>
                  <w:vAlign w:val="center"/>
                </w:tcPr>
                <w:p>
                  <w:pPr>
                    <w:jc w:val="center"/>
                    <w:rPr>
                      <w:color w:val="auto"/>
                      <w:szCs w:val="21"/>
                    </w:rPr>
                  </w:pPr>
                </w:p>
              </w:tc>
              <w:tc>
                <w:tcPr>
                  <w:tcW w:w="552" w:type="pct"/>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熔融机主机</w:t>
                  </w:r>
                </w:p>
              </w:tc>
              <w:tc>
                <w:tcPr>
                  <w:tcW w:w="1102" w:type="pct"/>
                  <w:vMerge w:val="restart"/>
                  <w:vAlign w:val="center"/>
                </w:tcPr>
                <w:p>
                  <w:pPr>
                    <w:jc w:val="center"/>
                    <w:rPr>
                      <w:color w:val="auto"/>
                      <w:szCs w:val="21"/>
                    </w:rPr>
                  </w:pPr>
                  <w:r>
                    <w:rPr>
                      <w:color w:val="auto"/>
                      <w:szCs w:val="21"/>
                    </w:rPr>
                    <w:t>SJ-Φ200mm，最大生产能力</w:t>
                  </w:r>
                  <w:r>
                    <w:rPr>
                      <w:rFonts w:hint="eastAsia"/>
                      <w:color w:val="auto"/>
                      <w:szCs w:val="21"/>
                    </w:rPr>
                    <w:t>3</w:t>
                  </w:r>
                  <w:r>
                    <w:rPr>
                      <w:color w:val="auto"/>
                      <w:szCs w:val="21"/>
                    </w:rPr>
                    <w:t>t/h</w:t>
                  </w:r>
                </w:p>
              </w:tc>
              <w:tc>
                <w:tcPr>
                  <w:tcW w:w="802" w:type="pct"/>
                  <w:vAlign w:val="center"/>
                </w:tcPr>
                <w:p>
                  <w:pPr>
                    <w:jc w:val="center"/>
                    <w:rPr>
                      <w:color w:val="auto"/>
                      <w:szCs w:val="21"/>
                    </w:rPr>
                  </w:pPr>
                  <w:r>
                    <w:rPr>
                      <w:rFonts w:hint="eastAsia"/>
                      <w:color w:val="auto"/>
                      <w:szCs w:val="21"/>
                    </w:rPr>
                    <w:t>6</w:t>
                  </w:r>
                </w:p>
              </w:tc>
              <w:tc>
                <w:tcPr>
                  <w:tcW w:w="1043"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 w:type="pct"/>
                  <w:vMerge w:val="continue"/>
                  <w:vAlign w:val="center"/>
                </w:tcPr>
                <w:p>
                  <w:pPr>
                    <w:jc w:val="center"/>
                    <w:rPr>
                      <w:color w:val="auto"/>
                      <w:szCs w:val="21"/>
                    </w:rPr>
                  </w:pPr>
                </w:p>
              </w:tc>
              <w:tc>
                <w:tcPr>
                  <w:tcW w:w="552" w:type="pct"/>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熔融机副机</w:t>
                  </w:r>
                </w:p>
              </w:tc>
              <w:tc>
                <w:tcPr>
                  <w:tcW w:w="1102" w:type="pct"/>
                  <w:vMerge w:val="continue"/>
                  <w:vAlign w:val="center"/>
                </w:tcPr>
                <w:p>
                  <w:pPr>
                    <w:jc w:val="center"/>
                    <w:rPr>
                      <w:color w:val="auto"/>
                      <w:szCs w:val="21"/>
                    </w:rPr>
                  </w:pPr>
                </w:p>
              </w:tc>
              <w:tc>
                <w:tcPr>
                  <w:tcW w:w="802" w:type="pct"/>
                  <w:vAlign w:val="center"/>
                </w:tcPr>
                <w:p>
                  <w:pPr>
                    <w:jc w:val="center"/>
                    <w:rPr>
                      <w:color w:val="auto"/>
                      <w:szCs w:val="21"/>
                    </w:rPr>
                  </w:pPr>
                  <w:r>
                    <w:rPr>
                      <w:rFonts w:hint="eastAsia"/>
                      <w:color w:val="auto"/>
                      <w:szCs w:val="21"/>
                    </w:rPr>
                    <w:t>6</w:t>
                  </w:r>
                </w:p>
              </w:tc>
              <w:tc>
                <w:tcPr>
                  <w:tcW w:w="1043"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 w:type="pct"/>
                  <w:vMerge w:val="continue"/>
                  <w:vAlign w:val="center"/>
                </w:tcPr>
                <w:p>
                  <w:pPr>
                    <w:jc w:val="center"/>
                    <w:rPr>
                      <w:color w:val="auto"/>
                      <w:szCs w:val="21"/>
                    </w:rPr>
                  </w:pPr>
                </w:p>
              </w:tc>
              <w:tc>
                <w:tcPr>
                  <w:tcW w:w="552" w:type="pct"/>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冷却水池</w:t>
                  </w:r>
                </w:p>
              </w:tc>
              <w:tc>
                <w:tcPr>
                  <w:tcW w:w="1102" w:type="pct"/>
                  <w:vAlign w:val="center"/>
                </w:tcPr>
                <w:p>
                  <w:pPr>
                    <w:jc w:val="center"/>
                    <w:rPr>
                      <w:color w:val="auto"/>
                      <w:szCs w:val="21"/>
                    </w:rPr>
                  </w:pPr>
                  <w:r>
                    <w:rPr>
                      <w:rFonts w:hint="eastAsia"/>
                      <w:color w:val="auto"/>
                      <w:szCs w:val="21"/>
                    </w:rPr>
                    <w:t>4</w:t>
                  </w:r>
                  <w:r>
                    <w:rPr>
                      <w:color w:val="auto"/>
                      <w:szCs w:val="21"/>
                    </w:rPr>
                    <w:t>m×5m×</w:t>
                  </w:r>
                  <w:r>
                    <w:rPr>
                      <w:rFonts w:hint="eastAsia"/>
                      <w:color w:val="auto"/>
                      <w:szCs w:val="21"/>
                    </w:rPr>
                    <w:t>1.1</w:t>
                  </w:r>
                  <w:r>
                    <w:rPr>
                      <w:color w:val="auto"/>
                      <w:szCs w:val="21"/>
                    </w:rPr>
                    <w:t>m</w:t>
                  </w:r>
                </w:p>
              </w:tc>
              <w:tc>
                <w:tcPr>
                  <w:tcW w:w="802" w:type="pct"/>
                  <w:vAlign w:val="center"/>
                </w:tcPr>
                <w:p>
                  <w:pPr>
                    <w:jc w:val="center"/>
                    <w:rPr>
                      <w:color w:val="auto"/>
                      <w:szCs w:val="21"/>
                    </w:rPr>
                  </w:pPr>
                  <w:r>
                    <w:rPr>
                      <w:color w:val="auto"/>
                      <w:szCs w:val="21"/>
                    </w:rPr>
                    <w:t>1座</w:t>
                  </w:r>
                </w:p>
              </w:tc>
              <w:tc>
                <w:tcPr>
                  <w:tcW w:w="1043"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 w:type="pct"/>
                  <w:vMerge w:val="continue"/>
                  <w:vAlign w:val="center"/>
                </w:tcPr>
                <w:p>
                  <w:pPr>
                    <w:jc w:val="center"/>
                    <w:rPr>
                      <w:color w:val="auto"/>
                      <w:szCs w:val="21"/>
                    </w:rPr>
                  </w:pPr>
                </w:p>
              </w:tc>
              <w:tc>
                <w:tcPr>
                  <w:tcW w:w="552" w:type="pct"/>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切粒机</w:t>
                  </w:r>
                </w:p>
              </w:tc>
              <w:tc>
                <w:tcPr>
                  <w:tcW w:w="1102" w:type="pct"/>
                  <w:vAlign w:val="center"/>
                </w:tcPr>
                <w:p>
                  <w:pPr>
                    <w:jc w:val="center"/>
                    <w:rPr>
                      <w:color w:val="auto"/>
                      <w:szCs w:val="21"/>
                    </w:rPr>
                  </w:pPr>
                  <w:r>
                    <w:rPr>
                      <w:color w:val="auto"/>
                      <w:szCs w:val="21"/>
                    </w:rPr>
                    <w:t>245型</w:t>
                  </w:r>
                </w:p>
              </w:tc>
              <w:tc>
                <w:tcPr>
                  <w:tcW w:w="802" w:type="pct"/>
                  <w:vAlign w:val="center"/>
                </w:tcPr>
                <w:p>
                  <w:pPr>
                    <w:jc w:val="center"/>
                    <w:rPr>
                      <w:color w:val="auto"/>
                      <w:szCs w:val="21"/>
                    </w:rPr>
                  </w:pPr>
                  <w:r>
                    <w:rPr>
                      <w:rFonts w:hint="eastAsia"/>
                      <w:color w:val="auto"/>
                      <w:szCs w:val="21"/>
                    </w:rPr>
                    <w:t>6</w:t>
                  </w:r>
                </w:p>
              </w:tc>
              <w:tc>
                <w:tcPr>
                  <w:tcW w:w="1043"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trPr>
              <w:tc>
                <w:tcPr>
                  <w:tcW w:w="415" w:type="pct"/>
                  <w:vMerge w:val="continue"/>
                  <w:vAlign w:val="center"/>
                </w:tcPr>
                <w:p>
                  <w:pPr>
                    <w:jc w:val="center"/>
                    <w:rPr>
                      <w:color w:val="auto"/>
                      <w:szCs w:val="21"/>
                    </w:rPr>
                  </w:pPr>
                </w:p>
              </w:tc>
              <w:tc>
                <w:tcPr>
                  <w:tcW w:w="552" w:type="pct"/>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振动筛</w:t>
                  </w:r>
                </w:p>
              </w:tc>
              <w:tc>
                <w:tcPr>
                  <w:tcW w:w="1102" w:type="pct"/>
                  <w:vAlign w:val="center"/>
                </w:tcPr>
                <w:p>
                  <w:pPr>
                    <w:jc w:val="center"/>
                    <w:rPr>
                      <w:color w:val="auto"/>
                      <w:szCs w:val="21"/>
                    </w:rPr>
                  </w:pPr>
                  <w:r>
                    <w:rPr>
                      <w:rFonts w:hint="eastAsia"/>
                      <w:color w:val="auto"/>
                      <w:szCs w:val="21"/>
                    </w:rPr>
                    <w:t>DZSF型</w:t>
                  </w:r>
                </w:p>
              </w:tc>
              <w:tc>
                <w:tcPr>
                  <w:tcW w:w="802" w:type="pct"/>
                  <w:vAlign w:val="center"/>
                </w:tcPr>
                <w:p>
                  <w:pPr>
                    <w:jc w:val="center"/>
                    <w:rPr>
                      <w:color w:val="auto"/>
                      <w:szCs w:val="21"/>
                    </w:rPr>
                  </w:pPr>
                  <w:r>
                    <w:rPr>
                      <w:rFonts w:hint="eastAsia"/>
                      <w:color w:val="auto"/>
                      <w:szCs w:val="21"/>
                    </w:rPr>
                    <w:t>6</w:t>
                  </w:r>
                </w:p>
              </w:tc>
              <w:tc>
                <w:tcPr>
                  <w:tcW w:w="1043"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415" w:type="pct"/>
                  <w:vMerge w:val="continue"/>
                  <w:vAlign w:val="center"/>
                </w:tcPr>
                <w:p>
                  <w:pPr>
                    <w:jc w:val="center"/>
                    <w:rPr>
                      <w:color w:val="auto"/>
                      <w:szCs w:val="21"/>
                    </w:rPr>
                  </w:pPr>
                </w:p>
              </w:tc>
              <w:tc>
                <w:tcPr>
                  <w:tcW w:w="552" w:type="pct"/>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料仓</w:t>
                  </w:r>
                </w:p>
              </w:tc>
              <w:tc>
                <w:tcPr>
                  <w:tcW w:w="1102" w:type="pct"/>
                  <w:vAlign w:val="center"/>
                </w:tcPr>
                <w:p>
                  <w:pPr>
                    <w:jc w:val="center"/>
                    <w:rPr>
                      <w:color w:val="auto"/>
                      <w:szCs w:val="21"/>
                    </w:rPr>
                  </w:pPr>
                  <w:r>
                    <w:rPr>
                      <w:color w:val="auto"/>
                      <w:szCs w:val="21"/>
                    </w:rPr>
                    <w:t>1t/个</w:t>
                  </w:r>
                </w:p>
              </w:tc>
              <w:tc>
                <w:tcPr>
                  <w:tcW w:w="802" w:type="pct"/>
                  <w:vAlign w:val="center"/>
                </w:tcPr>
                <w:p>
                  <w:pPr>
                    <w:jc w:val="center"/>
                    <w:rPr>
                      <w:color w:val="auto"/>
                      <w:szCs w:val="21"/>
                    </w:rPr>
                  </w:pPr>
                  <w:r>
                    <w:rPr>
                      <w:rFonts w:hint="eastAsia"/>
                      <w:color w:val="auto"/>
                      <w:szCs w:val="21"/>
                    </w:rPr>
                    <w:t>6</w:t>
                  </w:r>
                </w:p>
              </w:tc>
              <w:tc>
                <w:tcPr>
                  <w:tcW w:w="1043" w:type="pct"/>
                  <w:vAlign w:val="center"/>
                </w:tcPr>
                <w:p>
                  <w:pPr>
                    <w:jc w:val="center"/>
                    <w:rPr>
                      <w:color w:val="auto"/>
                      <w:szCs w:val="21"/>
                    </w:rPr>
                  </w:pPr>
                  <w:r>
                    <w:rPr>
                      <w:color w:val="auto"/>
                      <w:szCs w:val="21"/>
                    </w:rPr>
                    <w:t>收集产品，用于后续装袋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pct"/>
                  <w:gridSpan w:val="2"/>
                  <w:vMerge w:val="restart"/>
                  <w:vAlign w:val="center"/>
                </w:tcPr>
                <w:p>
                  <w:pPr>
                    <w:jc w:val="center"/>
                    <w:rPr>
                      <w:color w:val="auto"/>
                      <w:szCs w:val="21"/>
                    </w:rPr>
                  </w:pPr>
                  <w:r>
                    <w:rPr>
                      <w:color w:val="auto"/>
                      <w:szCs w:val="21"/>
                    </w:rPr>
                    <w:t>废气处理</w:t>
                  </w:r>
                </w:p>
              </w:tc>
              <w:tc>
                <w:tcPr>
                  <w:tcW w:w="1084" w:type="pct"/>
                  <w:vAlign w:val="center"/>
                </w:tcPr>
                <w:p>
                  <w:pPr>
                    <w:jc w:val="center"/>
                    <w:rPr>
                      <w:color w:val="auto"/>
                      <w:szCs w:val="21"/>
                    </w:rPr>
                  </w:pPr>
                  <w:r>
                    <w:rPr>
                      <w:color w:val="auto"/>
                      <w:szCs w:val="21"/>
                    </w:rPr>
                    <w:t>水洗装置</w:t>
                  </w:r>
                </w:p>
              </w:tc>
              <w:tc>
                <w:tcPr>
                  <w:tcW w:w="1102" w:type="pct"/>
                  <w:vAlign w:val="center"/>
                </w:tcPr>
                <w:p>
                  <w:pPr>
                    <w:jc w:val="center"/>
                    <w:rPr>
                      <w:color w:val="auto"/>
                      <w:szCs w:val="21"/>
                    </w:rPr>
                  </w:pPr>
                  <w:r>
                    <w:rPr>
                      <w:color w:val="auto"/>
                      <w:szCs w:val="21"/>
                    </w:rPr>
                    <w:t>/</w:t>
                  </w:r>
                </w:p>
              </w:tc>
              <w:tc>
                <w:tcPr>
                  <w:tcW w:w="802" w:type="pct"/>
                  <w:vAlign w:val="center"/>
                </w:tcPr>
                <w:p>
                  <w:pPr>
                    <w:jc w:val="center"/>
                    <w:rPr>
                      <w:color w:val="auto"/>
                      <w:szCs w:val="21"/>
                    </w:rPr>
                  </w:pPr>
                  <w:r>
                    <w:rPr>
                      <w:color w:val="auto"/>
                      <w:szCs w:val="21"/>
                    </w:rPr>
                    <w:t>1</w:t>
                  </w:r>
                </w:p>
              </w:tc>
              <w:tc>
                <w:tcPr>
                  <w:tcW w:w="1043" w:type="pct"/>
                  <w:vMerge w:val="restart"/>
                  <w:vAlign w:val="center"/>
                </w:tcPr>
                <w:p>
                  <w:pPr>
                    <w:jc w:val="center"/>
                    <w:rPr>
                      <w:color w:val="auto"/>
                      <w:szCs w:val="21"/>
                    </w:rPr>
                  </w:pPr>
                  <w:r>
                    <w:rPr>
                      <w:color w:val="auto"/>
                      <w:szCs w:val="21"/>
                    </w:rPr>
                    <w:t>有机废气处理措施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pct"/>
                  <w:gridSpan w:val="2"/>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除湿除雾装置</w:t>
                  </w:r>
                </w:p>
              </w:tc>
              <w:tc>
                <w:tcPr>
                  <w:tcW w:w="1102" w:type="pct"/>
                  <w:vAlign w:val="center"/>
                </w:tcPr>
                <w:p>
                  <w:pPr>
                    <w:jc w:val="center"/>
                    <w:rPr>
                      <w:color w:val="auto"/>
                      <w:szCs w:val="21"/>
                    </w:rPr>
                  </w:pPr>
                  <w:r>
                    <w:rPr>
                      <w:color w:val="auto"/>
                      <w:szCs w:val="21"/>
                    </w:rPr>
                    <w:t>/</w:t>
                  </w:r>
                </w:p>
              </w:tc>
              <w:tc>
                <w:tcPr>
                  <w:tcW w:w="802" w:type="pct"/>
                  <w:vAlign w:val="center"/>
                </w:tcPr>
                <w:p>
                  <w:pPr>
                    <w:jc w:val="center"/>
                    <w:rPr>
                      <w:color w:val="auto"/>
                      <w:szCs w:val="21"/>
                    </w:rPr>
                  </w:pPr>
                  <w:r>
                    <w:rPr>
                      <w:color w:val="auto"/>
                      <w:szCs w:val="21"/>
                    </w:rPr>
                    <w:t>1</w:t>
                  </w:r>
                </w:p>
              </w:tc>
              <w:tc>
                <w:tcPr>
                  <w:tcW w:w="1043"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pct"/>
                  <w:gridSpan w:val="2"/>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活性炭吸附装置</w:t>
                  </w:r>
                </w:p>
              </w:tc>
              <w:tc>
                <w:tcPr>
                  <w:tcW w:w="1102" w:type="pct"/>
                  <w:vAlign w:val="center"/>
                </w:tcPr>
                <w:p>
                  <w:pPr>
                    <w:jc w:val="center"/>
                    <w:rPr>
                      <w:color w:val="auto"/>
                      <w:szCs w:val="21"/>
                    </w:rPr>
                  </w:pPr>
                  <w:r>
                    <w:rPr>
                      <w:color w:val="auto"/>
                      <w:szCs w:val="21"/>
                    </w:rPr>
                    <w:t>/</w:t>
                  </w:r>
                </w:p>
              </w:tc>
              <w:tc>
                <w:tcPr>
                  <w:tcW w:w="802" w:type="pct"/>
                  <w:vAlign w:val="center"/>
                </w:tcPr>
                <w:p>
                  <w:pPr>
                    <w:jc w:val="center"/>
                    <w:rPr>
                      <w:color w:val="auto"/>
                      <w:szCs w:val="21"/>
                    </w:rPr>
                  </w:pPr>
                  <w:r>
                    <w:rPr>
                      <w:color w:val="auto"/>
                      <w:szCs w:val="21"/>
                    </w:rPr>
                    <w:t>1</w:t>
                  </w:r>
                </w:p>
              </w:tc>
              <w:tc>
                <w:tcPr>
                  <w:tcW w:w="1043"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pct"/>
                  <w:gridSpan w:val="2"/>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光氧催化装置</w:t>
                  </w:r>
                </w:p>
              </w:tc>
              <w:tc>
                <w:tcPr>
                  <w:tcW w:w="1102" w:type="pct"/>
                  <w:vAlign w:val="center"/>
                </w:tcPr>
                <w:p>
                  <w:pPr>
                    <w:jc w:val="center"/>
                    <w:rPr>
                      <w:color w:val="auto"/>
                      <w:szCs w:val="21"/>
                    </w:rPr>
                  </w:pPr>
                  <w:r>
                    <w:rPr>
                      <w:color w:val="auto"/>
                      <w:szCs w:val="21"/>
                    </w:rPr>
                    <w:t>/</w:t>
                  </w:r>
                </w:p>
              </w:tc>
              <w:tc>
                <w:tcPr>
                  <w:tcW w:w="802" w:type="pct"/>
                  <w:vAlign w:val="center"/>
                </w:tcPr>
                <w:p>
                  <w:pPr>
                    <w:jc w:val="center"/>
                    <w:rPr>
                      <w:color w:val="auto"/>
                      <w:szCs w:val="21"/>
                    </w:rPr>
                  </w:pPr>
                  <w:r>
                    <w:rPr>
                      <w:color w:val="auto"/>
                      <w:szCs w:val="21"/>
                    </w:rPr>
                    <w:t>1</w:t>
                  </w:r>
                </w:p>
              </w:tc>
              <w:tc>
                <w:tcPr>
                  <w:tcW w:w="1043"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pct"/>
                  <w:gridSpan w:val="2"/>
                  <w:vMerge w:val="continue"/>
                  <w:vAlign w:val="center"/>
                </w:tcPr>
                <w:p>
                  <w:pPr>
                    <w:jc w:val="center"/>
                    <w:rPr>
                      <w:color w:val="auto"/>
                      <w:szCs w:val="21"/>
                    </w:rPr>
                  </w:pPr>
                </w:p>
              </w:tc>
              <w:tc>
                <w:tcPr>
                  <w:tcW w:w="1084" w:type="pct"/>
                  <w:vAlign w:val="center"/>
                </w:tcPr>
                <w:p>
                  <w:pPr>
                    <w:jc w:val="center"/>
                    <w:rPr>
                      <w:color w:val="auto"/>
                      <w:szCs w:val="21"/>
                    </w:rPr>
                  </w:pPr>
                  <w:r>
                    <w:rPr>
                      <w:color w:val="auto"/>
                      <w:szCs w:val="21"/>
                    </w:rPr>
                    <w:t>风机</w:t>
                  </w:r>
                </w:p>
              </w:tc>
              <w:tc>
                <w:tcPr>
                  <w:tcW w:w="1102" w:type="pct"/>
                  <w:vAlign w:val="center"/>
                </w:tcPr>
                <w:p>
                  <w:pPr>
                    <w:jc w:val="center"/>
                    <w:rPr>
                      <w:color w:val="auto"/>
                      <w:szCs w:val="21"/>
                    </w:rPr>
                  </w:pPr>
                  <w:r>
                    <w:rPr>
                      <w:rFonts w:hint="eastAsia"/>
                      <w:color w:val="auto"/>
                      <w:kern w:val="0"/>
                      <w:szCs w:val="21"/>
                    </w:rPr>
                    <w:t>8535.16</w:t>
                  </w:r>
                  <w:r>
                    <w:rPr>
                      <w:color w:val="auto"/>
                      <w:szCs w:val="21"/>
                    </w:rPr>
                    <w:t>m</w:t>
                  </w:r>
                  <w:r>
                    <w:rPr>
                      <w:color w:val="auto"/>
                      <w:szCs w:val="21"/>
                      <w:vertAlign w:val="superscript"/>
                    </w:rPr>
                    <w:t>3</w:t>
                  </w:r>
                  <w:r>
                    <w:rPr>
                      <w:color w:val="auto"/>
                      <w:szCs w:val="21"/>
                    </w:rPr>
                    <w:t>/h</w:t>
                  </w:r>
                </w:p>
              </w:tc>
              <w:tc>
                <w:tcPr>
                  <w:tcW w:w="802" w:type="pct"/>
                  <w:vAlign w:val="center"/>
                </w:tcPr>
                <w:p>
                  <w:pPr>
                    <w:jc w:val="center"/>
                    <w:rPr>
                      <w:color w:val="auto"/>
                      <w:szCs w:val="21"/>
                    </w:rPr>
                  </w:pPr>
                  <w:r>
                    <w:rPr>
                      <w:color w:val="auto"/>
                      <w:szCs w:val="21"/>
                    </w:rPr>
                    <w:t>1</w:t>
                  </w:r>
                </w:p>
              </w:tc>
              <w:tc>
                <w:tcPr>
                  <w:tcW w:w="1043"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pct"/>
                  <w:gridSpan w:val="2"/>
                  <w:vAlign w:val="center"/>
                </w:tcPr>
                <w:p>
                  <w:pPr>
                    <w:jc w:val="center"/>
                    <w:rPr>
                      <w:color w:val="auto"/>
                      <w:szCs w:val="21"/>
                    </w:rPr>
                  </w:pPr>
                  <w:r>
                    <w:rPr>
                      <w:rFonts w:hint="eastAsia"/>
                      <w:color w:val="auto"/>
                      <w:szCs w:val="21"/>
                    </w:rPr>
                    <w:t>废水处理</w:t>
                  </w:r>
                </w:p>
              </w:tc>
              <w:tc>
                <w:tcPr>
                  <w:tcW w:w="1084" w:type="pct"/>
                  <w:vAlign w:val="center"/>
                </w:tcPr>
                <w:p>
                  <w:pPr>
                    <w:jc w:val="center"/>
                    <w:rPr>
                      <w:color w:val="auto"/>
                      <w:szCs w:val="21"/>
                    </w:rPr>
                  </w:pPr>
                  <w:r>
                    <w:rPr>
                      <w:color w:val="auto"/>
                      <w:szCs w:val="21"/>
                    </w:rPr>
                    <w:t>潜污泵</w:t>
                  </w:r>
                </w:p>
              </w:tc>
              <w:tc>
                <w:tcPr>
                  <w:tcW w:w="1102" w:type="pct"/>
                  <w:vAlign w:val="center"/>
                </w:tcPr>
                <w:p>
                  <w:pPr>
                    <w:jc w:val="center"/>
                    <w:rPr>
                      <w:color w:val="auto"/>
                    </w:rPr>
                  </w:pPr>
                  <w:r>
                    <w:rPr>
                      <w:rFonts w:hint="eastAsia"/>
                      <w:color w:val="auto"/>
                    </w:rPr>
                    <w:t>50m</w:t>
                  </w:r>
                  <w:r>
                    <w:rPr>
                      <w:rFonts w:hint="eastAsia"/>
                      <w:color w:val="auto"/>
                      <w:vertAlign w:val="superscript"/>
                    </w:rPr>
                    <w:t>3</w:t>
                  </w:r>
                  <w:r>
                    <w:rPr>
                      <w:rFonts w:hint="eastAsia"/>
                      <w:color w:val="auto"/>
                    </w:rPr>
                    <w:t>/d</w:t>
                  </w:r>
                </w:p>
              </w:tc>
              <w:tc>
                <w:tcPr>
                  <w:tcW w:w="802" w:type="pct"/>
                  <w:vAlign w:val="center"/>
                </w:tcPr>
                <w:p>
                  <w:pPr>
                    <w:jc w:val="center"/>
                    <w:rPr>
                      <w:color w:val="auto"/>
                      <w:szCs w:val="21"/>
                    </w:rPr>
                  </w:pPr>
                  <w:r>
                    <w:rPr>
                      <w:color w:val="auto"/>
                      <w:szCs w:val="21"/>
                    </w:rPr>
                    <w:t>1</w:t>
                  </w:r>
                </w:p>
              </w:tc>
              <w:tc>
                <w:tcPr>
                  <w:tcW w:w="1043" w:type="pct"/>
                  <w:vMerge w:val="continue"/>
                  <w:vAlign w:val="center"/>
                </w:tcPr>
                <w:p>
                  <w:pPr>
                    <w:jc w:val="center"/>
                    <w:rPr>
                      <w:color w:val="auto"/>
                      <w:szCs w:val="21"/>
                    </w:rPr>
                  </w:pPr>
                </w:p>
              </w:tc>
            </w:tr>
          </w:tbl>
          <w:p>
            <w:pPr>
              <w:adjustRightInd w:val="0"/>
              <w:snapToGrid w:val="0"/>
              <w:spacing w:line="360" w:lineRule="auto"/>
              <w:ind w:firstLine="482" w:firstLineChars="200"/>
              <w:outlineLvl w:val="0"/>
              <w:rPr>
                <w:b/>
                <w:bCs/>
                <w:color w:val="auto"/>
                <w:sz w:val="24"/>
              </w:rPr>
            </w:pPr>
            <w:r>
              <w:rPr>
                <w:rFonts w:hint="eastAsia"/>
                <w:b/>
                <w:bCs/>
                <w:color w:val="auto"/>
                <w:sz w:val="24"/>
              </w:rPr>
              <w:t>7、劳动定员及工作制度</w:t>
            </w:r>
          </w:p>
          <w:p>
            <w:pPr>
              <w:spacing w:line="360" w:lineRule="auto"/>
              <w:ind w:firstLine="480" w:firstLineChars="200"/>
              <w:rPr>
                <w:color w:val="auto"/>
                <w:sz w:val="24"/>
              </w:rPr>
            </w:pPr>
            <w:r>
              <w:rPr>
                <w:color w:val="auto"/>
                <w:sz w:val="24"/>
              </w:rPr>
              <w:t>项目全年运营天数为300天，</w:t>
            </w:r>
            <w:r>
              <w:rPr>
                <w:rFonts w:hint="eastAsia"/>
                <w:color w:val="auto"/>
                <w:sz w:val="24"/>
              </w:rPr>
              <w:t>实行一班制</w:t>
            </w:r>
            <w:r>
              <w:rPr>
                <w:color w:val="auto"/>
                <w:sz w:val="24"/>
              </w:rPr>
              <w:t>，每班8小时。</w:t>
            </w:r>
          </w:p>
          <w:p>
            <w:pPr>
              <w:spacing w:line="360" w:lineRule="auto"/>
              <w:ind w:firstLine="480" w:firstLineChars="200"/>
              <w:rPr>
                <w:color w:val="auto"/>
                <w:sz w:val="24"/>
              </w:rPr>
            </w:pPr>
            <w:r>
              <w:rPr>
                <w:color w:val="auto"/>
                <w:sz w:val="24"/>
              </w:rPr>
              <w:t>项目劳动定员10人，</w:t>
            </w:r>
            <w:r>
              <w:rPr>
                <w:rFonts w:hint="eastAsia"/>
                <w:color w:val="auto"/>
                <w:sz w:val="24"/>
              </w:rPr>
              <w:t>项目租用宿舍和依托使用食堂，员工全部在食堂用餐，并全部在租用宿舍内住宿。</w:t>
            </w:r>
          </w:p>
          <w:p>
            <w:pPr>
              <w:adjustRightInd w:val="0"/>
              <w:snapToGrid w:val="0"/>
              <w:spacing w:line="360" w:lineRule="auto"/>
              <w:ind w:firstLine="482" w:firstLineChars="200"/>
              <w:outlineLvl w:val="0"/>
              <w:rPr>
                <w:b/>
                <w:bCs/>
                <w:color w:val="auto"/>
                <w:sz w:val="24"/>
              </w:rPr>
            </w:pPr>
            <w:r>
              <w:rPr>
                <w:rFonts w:hint="eastAsia"/>
                <w:b/>
                <w:bCs/>
                <w:color w:val="auto"/>
                <w:sz w:val="24"/>
              </w:rPr>
              <w:t>8、施工进度计划</w:t>
            </w:r>
          </w:p>
          <w:p>
            <w:pPr>
              <w:spacing w:line="360" w:lineRule="auto"/>
              <w:ind w:firstLine="480" w:firstLineChars="200"/>
              <w:rPr>
                <w:color w:val="auto"/>
                <w:sz w:val="24"/>
              </w:rPr>
            </w:pPr>
            <w:r>
              <w:rPr>
                <w:color w:val="auto"/>
                <w:sz w:val="24"/>
              </w:rPr>
              <w:t>项目计划于202</w:t>
            </w:r>
            <w:r>
              <w:rPr>
                <w:rFonts w:hint="eastAsia"/>
                <w:color w:val="auto"/>
                <w:sz w:val="24"/>
              </w:rPr>
              <w:t>3</w:t>
            </w:r>
            <w:r>
              <w:rPr>
                <w:color w:val="auto"/>
                <w:sz w:val="24"/>
              </w:rPr>
              <w:t>年</w:t>
            </w:r>
            <w:r>
              <w:rPr>
                <w:rFonts w:hint="eastAsia"/>
                <w:color w:val="auto"/>
                <w:sz w:val="24"/>
              </w:rPr>
              <w:t>7</w:t>
            </w:r>
            <w:r>
              <w:rPr>
                <w:color w:val="auto"/>
                <w:sz w:val="24"/>
              </w:rPr>
              <w:t>月施工，202</w:t>
            </w:r>
            <w:r>
              <w:rPr>
                <w:rFonts w:hint="eastAsia"/>
                <w:color w:val="auto"/>
                <w:sz w:val="24"/>
              </w:rPr>
              <w:t>3</w:t>
            </w:r>
            <w:r>
              <w:rPr>
                <w:color w:val="auto"/>
                <w:sz w:val="24"/>
              </w:rPr>
              <w:t>年</w:t>
            </w:r>
            <w:r>
              <w:rPr>
                <w:rFonts w:hint="eastAsia"/>
                <w:color w:val="auto"/>
                <w:sz w:val="24"/>
              </w:rPr>
              <w:t>8</w:t>
            </w:r>
            <w:r>
              <w:rPr>
                <w:color w:val="auto"/>
                <w:sz w:val="24"/>
              </w:rPr>
              <w:t>月结束，共施工</w:t>
            </w:r>
            <w:r>
              <w:rPr>
                <w:rFonts w:hint="eastAsia"/>
                <w:color w:val="auto"/>
                <w:sz w:val="24"/>
              </w:rPr>
              <w:t>1</w:t>
            </w:r>
            <w:r>
              <w:rPr>
                <w:color w:val="auto"/>
                <w:sz w:val="24"/>
              </w:rPr>
              <w:t>个月。根据现场踏勘，</w:t>
            </w:r>
            <w:r>
              <w:rPr>
                <w:rFonts w:hint="eastAsia"/>
                <w:color w:val="auto"/>
                <w:sz w:val="24"/>
              </w:rPr>
              <w:t>项目目前还未开工建设</w:t>
            </w:r>
            <w:r>
              <w:rPr>
                <w:color w:val="auto"/>
                <w:sz w:val="24"/>
              </w:rPr>
              <w:t>。</w:t>
            </w:r>
          </w:p>
          <w:p>
            <w:pPr>
              <w:adjustRightInd w:val="0"/>
              <w:snapToGrid w:val="0"/>
              <w:spacing w:line="360" w:lineRule="auto"/>
              <w:ind w:firstLine="482" w:firstLineChars="200"/>
              <w:outlineLvl w:val="0"/>
              <w:rPr>
                <w:b/>
                <w:bCs/>
                <w:color w:val="auto"/>
                <w:sz w:val="24"/>
              </w:rPr>
            </w:pPr>
            <w:r>
              <w:rPr>
                <w:rFonts w:hint="eastAsia"/>
                <w:b/>
                <w:bCs/>
                <w:color w:val="auto"/>
                <w:sz w:val="24"/>
              </w:rPr>
              <w:t>9、厂区平面布置</w:t>
            </w:r>
          </w:p>
          <w:p>
            <w:pPr>
              <w:autoSpaceDE w:val="0"/>
              <w:autoSpaceDN w:val="0"/>
              <w:spacing w:line="360" w:lineRule="auto"/>
              <w:ind w:firstLine="480" w:firstLineChars="200"/>
              <w:rPr>
                <w:color w:val="auto"/>
                <w:sz w:val="24"/>
              </w:rPr>
            </w:pPr>
            <w:r>
              <w:rPr>
                <w:color w:val="auto"/>
                <w:sz w:val="24"/>
              </w:rPr>
              <w:t>本项目位于云南鹏腾机械设备制造有限公司</w:t>
            </w:r>
            <w:r>
              <w:rPr>
                <w:rFonts w:hint="eastAsia"/>
                <w:color w:val="auto"/>
                <w:sz w:val="24"/>
              </w:rPr>
              <w:t>1号厂房11跨</w:t>
            </w:r>
            <w:r>
              <w:rPr>
                <w:color w:val="auto"/>
                <w:sz w:val="24"/>
              </w:rPr>
              <w:t>，生产场地出入口为厂房的西南侧出入口，云南鹏腾机械设备制造有限公司主要出入口位于紧邻园区道路，方便运输。</w:t>
            </w:r>
          </w:p>
          <w:p>
            <w:pPr>
              <w:autoSpaceDE w:val="0"/>
              <w:autoSpaceDN w:val="0"/>
              <w:spacing w:line="360" w:lineRule="auto"/>
              <w:ind w:firstLine="480" w:firstLineChars="200"/>
              <w:rPr>
                <w:color w:val="auto"/>
                <w:sz w:val="24"/>
              </w:rPr>
            </w:pPr>
            <w:r>
              <w:rPr>
                <w:color w:val="auto"/>
                <w:sz w:val="24"/>
              </w:rPr>
              <w:t>按照生产工艺流程：项目新建原料</w:t>
            </w:r>
            <w:r>
              <w:rPr>
                <w:rFonts w:hint="eastAsia"/>
                <w:color w:val="auto"/>
                <w:sz w:val="24"/>
              </w:rPr>
              <w:t>暂存区</w:t>
            </w:r>
            <w:r>
              <w:rPr>
                <w:color w:val="auto"/>
                <w:sz w:val="24"/>
              </w:rPr>
              <w:t>设置在</w:t>
            </w:r>
            <w:r>
              <w:rPr>
                <w:rFonts w:hint="eastAsia"/>
                <w:color w:val="auto"/>
                <w:sz w:val="24"/>
              </w:rPr>
              <w:t>租用厂房的</w:t>
            </w:r>
            <w:r>
              <w:rPr>
                <w:color w:val="auto"/>
                <w:sz w:val="24"/>
              </w:rPr>
              <w:t>东</w:t>
            </w:r>
            <w:r>
              <w:rPr>
                <w:rFonts w:hint="eastAsia"/>
                <w:color w:val="auto"/>
                <w:sz w:val="24"/>
              </w:rPr>
              <w:t>南</w:t>
            </w:r>
            <w:r>
              <w:rPr>
                <w:color w:val="auto"/>
                <w:sz w:val="24"/>
              </w:rPr>
              <w:t>侧；预处理原料暂存</w:t>
            </w:r>
            <w:r>
              <w:rPr>
                <w:rFonts w:hint="eastAsia"/>
                <w:color w:val="auto"/>
                <w:sz w:val="24"/>
              </w:rPr>
              <w:t>区</w:t>
            </w:r>
            <w:r>
              <w:rPr>
                <w:color w:val="auto"/>
                <w:sz w:val="24"/>
              </w:rPr>
              <w:t>设置在</w:t>
            </w:r>
            <w:r>
              <w:rPr>
                <w:rFonts w:hint="eastAsia"/>
                <w:color w:val="auto"/>
                <w:sz w:val="24"/>
              </w:rPr>
              <w:t>租用厂房的东</w:t>
            </w:r>
            <w:r>
              <w:rPr>
                <w:color w:val="auto"/>
                <w:sz w:val="24"/>
              </w:rPr>
              <w:t>北侧，与原料</w:t>
            </w:r>
            <w:r>
              <w:rPr>
                <w:rFonts w:hint="eastAsia"/>
                <w:color w:val="auto"/>
                <w:sz w:val="24"/>
              </w:rPr>
              <w:t>暂存区</w:t>
            </w:r>
            <w:r>
              <w:rPr>
                <w:color w:val="auto"/>
                <w:sz w:val="24"/>
              </w:rPr>
              <w:t>在同一侧，原料经预处理后暂存于预处理原料暂存</w:t>
            </w:r>
            <w:r>
              <w:rPr>
                <w:rFonts w:hint="eastAsia"/>
                <w:color w:val="auto"/>
                <w:sz w:val="24"/>
              </w:rPr>
              <w:t>区</w:t>
            </w:r>
            <w:r>
              <w:rPr>
                <w:color w:val="auto"/>
                <w:sz w:val="24"/>
              </w:rPr>
              <w:t>，运距较短，便于生产；生产车间设置于</w:t>
            </w:r>
            <w:r>
              <w:rPr>
                <w:rFonts w:hint="eastAsia"/>
                <w:color w:val="auto"/>
                <w:sz w:val="24"/>
              </w:rPr>
              <w:t>租用厂房的</w:t>
            </w:r>
            <w:r>
              <w:rPr>
                <w:color w:val="auto"/>
                <w:sz w:val="24"/>
              </w:rPr>
              <w:t>西</w:t>
            </w:r>
            <w:r>
              <w:rPr>
                <w:rFonts w:hint="eastAsia"/>
                <w:color w:val="auto"/>
                <w:sz w:val="24"/>
              </w:rPr>
              <w:t>北</w:t>
            </w:r>
            <w:r>
              <w:rPr>
                <w:color w:val="auto"/>
                <w:sz w:val="24"/>
              </w:rPr>
              <w:t>侧，设置有上料区、生产加工区，与预处理原料暂存库仅相隔一个过道，运距较短，便于生产；生产场地的南侧设置有成品暂存区，生产出的塑料颗粒进入成品暂存区进行包装，成品暂存区紧邻厂房</w:t>
            </w:r>
            <w:r>
              <w:rPr>
                <w:rFonts w:hint="eastAsia"/>
                <w:color w:val="auto"/>
                <w:sz w:val="24"/>
              </w:rPr>
              <w:t>西</w:t>
            </w:r>
            <w:r>
              <w:rPr>
                <w:color w:val="auto"/>
                <w:sz w:val="24"/>
              </w:rPr>
              <w:t>南侧出入口，便于物流运输。</w:t>
            </w:r>
          </w:p>
          <w:p>
            <w:pPr>
              <w:autoSpaceDE w:val="0"/>
              <w:autoSpaceDN w:val="0"/>
              <w:spacing w:line="360" w:lineRule="auto"/>
              <w:ind w:firstLine="480" w:firstLineChars="200"/>
              <w:rPr>
                <w:color w:val="auto"/>
                <w:sz w:val="24"/>
              </w:rPr>
            </w:pPr>
            <w:r>
              <w:rPr>
                <w:color w:val="auto"/>
                <w:sz w:val="24"/>
              </w:rPr>
              <w:t>废气处理设施布置在厂房西</w:t>
            </w:r>
            <w:r>
              <w:rPr>
                <w:rFonts w:hint="eastAsia"/>
                <w:color w:val="auto"/>
                <w:sz w:val="24"/>
              </w:rPr>
              <w:t>北</w:t>
            </w:r>
            <w:r>
              <w:rPr>
                <w:color w:val="auto"/>
                <w:sz w:val="24"/>
              </w:rPr>
              <w:t>侧，靠近生产车间，便于废气的收集和处理；废水处理设施布置在厂房东</w:t>
            </w:r>
            <w:r>
              <w:rPr>
                <w:rFonts w:hint="eastAsia"/>
                <w:color w:val="auto"/>
                <w:sz w:val="24"/>
              </w:rPr>
              <w:t>南</w:t>
            </w:r>
            <w:r>
              <w:rPr>
                <w:color w:val="auto"/>
                <w:sz w:val="24"/>
              </w:rPr>
              <w:t>侧，靠近原料</w:t>
            </w:r>
            <w:r>
              <w:rPr>
                <w:rFonts w:hint="eastAsia"/>
                <w:color w:val="auto"/>
                <w:sz w:val="24"/>
              </w:rPr>
              <w:t>暂存区</w:t>
            </w:r>
            <w:r>
              <w:rPr>
                <w:color w:val="auto"/>
                <w:sz w:val="24"/>
              </w:rPr>
              <w:t>，便于收集原料清洗废水。生活区位于标准厂房西南侧150m处，依托云南鹏腾机械设备制造有限公司宿舍楼，位于项目生产区上风向。</w:t>
            </w:r>
          </w:p>
          <w:p>
            <w:pPr>
              <w:autoSpaceDE w:val="0"/>
              <w:autoSpaceDN w:val="0"/>
              <w:spacing w:line="360" w:lineRule="auto"/>
              <w:ind w:firstLine="480" w:firstLineChars="200"/>
              <w:rPr>
                <w:color w:val="auto"/>
                <w:sz w:val="24"/>
              </w:rPr>
            </w:pPr>
            <w:r>
              <w:rPr>
                <w:color w:val="auto"/>
                <w:sz w:val="24"/>
              </w:rPr>
              <w:t>由总平面布置图可以看出，本项目在工艺布局上尽量缩短生产线的非生产间隔，设备之间有足够的安全距离，办公区和生活区留有足够的距离且生活区位于生产区上风向。项目总图布置功能分区明确、工艺紧凑、物流顺畅，并充分考虑了环保、安全、消防等方面因素，评价认为，本项目总体布局基本合理、可行。项目总平面布置见附图</w:t>
            </w:r>
            <w:r>
              <w:rPr>
                <w:rFonts w:hint="eastAsia"/>
                <w:color w:val="auto"/>
                <w:sz w:val="24"/>
              </w:rPr>
              <w:t>3</w:t>
            </w:r>
            <w:r>
              <w:rPr>
                <w:color w:val="auto"/>
                <w:sz w:val="24"/>
              </w:rPr>
              <w:t>。</w:t>
            </w:r>
          </w:p>
          <w:p>
            <w:pPr>
              <w:adjustRightInd w:val="0"/>
              <w:snapToGrid w:val="0"/>
              <w:spacing w:line="360" w:lineRule="auto"/>
              <w:ind w:firstLine="482" w:firstLineChars="200"/>
              <w:outlineLvl w:val="0"/>
              <w:rPr>
                <w:b/>
                <w:bCs/>
                <w:color w:val="auto"/>
                <w:sz w:val="24"/>
              </w:rPr>
            </w:pPr>
            <w:r>
              <w:rPr>
                <w:rFonts w:hint="eastAsia"/>
                <w:b/>
                <w:bCs/>
                <w:color w:val="auto"/>
                <w:sz w:val="24"/>
              </w:rPr>
              <w:t>10、环保投资</w:t>
            </w:r>
          </w:p>
          <w:p>
            <w:pPr>
              <w:autoSpaceDE w:val="0"/>
              <w:autoSpaceDN w:val="0"/>
              <w:spacing w:line="360" w:lineRule="auto"/>
              <w:ind w:firstLine="480" w:firstLineChars="200"/>
              <w:rPr>
                <w:color w:val="auto"/>
                <w:sz w:val="24"/>
              </w:rPr>
            </w:pPr>
            <w:r>
              <w:rPr>
                <w:color w:val="auto"/>
                <w:sz w:val="24"/>
              </w:rPr>
              <w:t>本项目总投资为2000万元，其中环保投资为</w:t>
            </w:r>
            <w:r>
              <w:rPr>
                <w:rFonts w:hint="eastAsia"/>
                <w:color w:val="auto"/>
                <w:sz w:val="24"/>
              </w:rPr>
              <w:t>94.6</w:t>
            </w:r>
            <w:r>
              <w:rPr>
                <w:color w:val="auto"/>
                <w:sz w:val="24"/>
              </w:rPr>
              <w:t>万元，占总投资的4.</w:t>
            </w:r>
            <w:r>
              <w:rPr>
                <w:rFonts w:hint="eastAsia"/>
                <w:color w:val="auto"/>
                <w:sz w:val="24"/>
              </w:rPr>
              <w:t>73</w:t>
            </w:r>
            <w:r>
              <w:rPr>
                <w:color w:val="auto"/>
                <w:sz w:val="24"/>
              </w:rPr>
              <w:t>%。</w:t>
            </w:r>
            <w:r>
              <w:rPr>
                <w:rFonts w:hint="eastAsia"/>
                <w:color w:val="auto"/>
                <w:sz w:val="24"/>
              </w:rPr>
              <w:t>项目环保投资见下表</w:t>
            </w:r>
            <w:r>
              <w:rPr>
                <w:color w:val="auto"/>
                <w:sz w:val="24"/>
              </w:rPr>
              <w:t>。</w:t>
            </w:r>
          </w:p>
          <w:p>
            <w:pPr>
              <w:pStyle w:val="2"/>
              <w:jc w:val="center"/>
              <w:rPr>
                <w:b/>
                <w:bCs/>
                <w:color w:val="auto"/>
              </w:rPr>
            </w:pPr>
            <w:r>
              <w:rPr>
                <w:rFonts w:hint="eastAsia"/>
                <w:b/>
                <w:bCs/>
                <w:color w:val="auto"/>
                <w:sz w:val="24"/>
              </w:rPr>
              <w:t>表2-6  项目环保投资一览表</w:t>
            </w:r>
          </w:p>
          <w:tbl>
            <w:tblPr>
              <w:tblStyle w:val="31"/>
              <w:tblW w:w="7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389"/>
              <w:gridCol w:w="689"/>
              <w:gridCol w:w="3613"/>
              <w:gridCol w:w="682"/>
              <w:gridCol w:w="873"/>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1484" w:type="dxa"/>
                  <w:gridSpan w:val="3"/>
                </w:tcPr>
                <w:p>
                  <w:pPr>
                    <w:jc w:val="center"/>
                    <w:rPr>
                      <w:b/>
                      <w:bCs/>
                      <w:color w:val="auto"/>
                    </w:rPr>
                  </w:pPr>
                  <w:r>
                    <w:rPr>
                      <w:rFonts w:hint="eastAsia"/>
                      <w:b/>
                      <w:bCs/>
                      <w:color w:val="auto"/>
                    </w:rPr>
                    <w:t>类别</w:t>
                  </w:r>
                </w:p>
              </w:tc>
              <w:tc>
                <w:tcPr>
                  <w:tcW w:w="3613" w:type="dxa"/>
                </w:tcPr>
                <w:p>
                  <w:pPr>
                    <w:jc w:val="center"/>
                    <w:rPr>
                      <w:b/>
                      <w:bCs/>
                      <w:color w:val="auto"/>
                    </w:rPr>
                  </w:pPr>
                  <w:r>
                    <w:rPr>
                      <w:rFonts w:hint="eastAsia"/>
                      <w:b/>
                      <w:bCs/>
                      <w:color w:val="auto"/>
                    </w:rPr>
                    <w:t>环保设施名称</w:t>
                  </w:r>
                </w:p>
              </w:tc>
              <w:tc>
                <w:tcPr>
                  <w:tcW w:w="682" w:type="dxa"/>
                </w:tcPr>
                <w:p>
                  <w:pPr>
                    <w:jc w:val="center"/>
                    <w:rPr>
                      <w:b/>
                      <w:bCs/>
                      <w:color w:val="auto"/>
                    </w:rPr>
                  </w:pPr>
                  <w:r>
                    <w:rPr>
                      <w:rFonts w:hint="eastAsia"/>
                      <w:b/>
                      <w:bCs/>
                      <w:color w:val="auto"/>
                    </w:rPr>
                    <w:t>数量</w:t>
                  </w:r>
                </w:p>
              </w:tc>
              <w:tc>
                <w:tcPr>
                  <w:tcW w:w="873" w:type="dxa"/>
                </w:tcPr>
                <w:p>
                  <w:pPr>
                    <w:jc w:val="center"/>
                    <w:rPr>
                      <w:b/>
                      <w:bCs/>
                      <w:color w:val="auto"/>
                    </w:rPr>
                  </w:pPr>
                  <w:r>
                    <w:rPr>
                      <w:rFonts w:hint="eastAsia"/>
                      <w:b/>
                      <w:bCs/>
                      <w:color w:val="auto"/>
                    </w:rPr>
                    <w:t>投资概算（万元）</w:t>
                  </w:r>
                </w:p>
              </w:tc>
              <w:tc>
                <w:tcPr>
                  <w:tcW w:w="1100" w:type="dxa"/>
                </w:tcPr>
                <w:p>
                  <w:pPr>
                    <w:jc w:val="center"/>
                    <w:rPr>
                      <w:b/>
                      <w:bCs/>
                      <w:color w:val="auto"/>
                    </w:rPr>
                  </w:pPr>
                  <w:r>
                    <w:rPr>
                      <w:rFonts w:hint="eastAsia"/>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restart"/>
                </w:tcPr>
                <w:p>
                  <w:pPr>
                    <w:rPr>
                      <w:color w:val="auto"/>
                    </w:rPr>
                  </w:pPr>
                  <w:r>
                    <w:rPr>
                      <w:rFonts w:hint="eastAsia"/>
                      <w:color w:val="auto"/>
                    </w:rPr>
                    <w:t>施工期</w:t>
                  </w:r>
                </w:p>
              </w:tc>
              <w:tc>
                <w:tcPr>
                  <w:tcW w:w="1078" w:type="dxa"/>
                  <w:gridSpan w:val="2"/>
                </w:tcPr>
                <w:p>
                  <w:pPr>
                    <w:rPr>
                      <w:color w:val="auto"/>
                    </w:rPr>
                  </w:pPr>
                  <w:r>
                    <w:rPr>
                      <w:rFonts w:hint="eastAsia"/>
                      <w:color w:val="auto"/>
                    </w:rPr>
                    <w:t>废气</w:t>
                  </w:r>
                </w:p>
              </w:tc>
              <w:tc>
                <w:tcPr>
                  <w:tcW w:w="3613" w:type="dxa"/>
                  <w:vAlign w:val="center"/>
                </w:tcPr>
                <w:p>
                  <w:pPr>
                    <w:adjustRightInd w:val="0"/>
                    <w:snapToGrid w:val="0"/>
                    <w:jc w:val="center"/>
                    <w:rPr>
                      <w:color w:val="auto"/>
                    </w:rPr>
                  </w:pPr>
                  <w:r>
                    <w:rPr>
                      <w:color w:val="auto"/>
                      <w:szCs w:val="21"/>
                    </w:rPr>
                    <w:t>篷布覆盖、密闭、洒水降尘设施</w:t>
                  </w:r>
                </w:p>
              </w:tc>
              <w:tc>
                <w:tcPr>
                  <w:tcW w:w="682" w:type="dxa"/>
                  <w:vAlign w:val="center"/>
                </w:tcPr>
                <w:p>
                  <w:pPr>
                    <w:adjustRightInd w:val="0"/>
                    <w:snapToGrid w:val="0"/>
                    <w:jc w:val="center"/>
                    <w:rPr>
                      <w:color w:val="auto"/>
                    </w:rPr>
                  </w:pPr>
                  <w:r>
                    <w:rPr>
                      <w:bCs/>
                      <w:color w:val="auto"/>
                      <w:szCs w:val="21"/>
                    </w:rPr>
                    <w:t>/</w:t>
                  </w:r>
                </w:p>
              </w:tc>
              <w:tc>
                <w:tcPr>
                  <w:tcW w:w="873" w:type="dxa"/>
                  <w:vAlign w:val="center"/>
                </w:tcPr>
                <w:p>
                  <w:pPr>
                    <w:adjustRightInd w:val="0"/>
                    <w:snapToGrid w:val="0"/>
                    <w:jc w:val="center"/>
                    <w:rPr>
                      <w:color w:val="auto"/>
                    </w:rPr>
                  </w:pPr>
                  <w:r>
                    <w:rPr>
                      <w:bCs/>
                      <w:color w:val="auto"/>
                      <w:szCs w:val="21"/>
                    </w:rPr>
                    <w:t>1.</w:t>
                  </w:r>
                  <w:r>
                    <w:rPr>
                      <w:rFonts w:hint="eastAsia"/>
                      <w:bCs/>
                      <w:color w:val="auto"/>
                      <w:szCs w:val="21"/>
                    </w:rPr>
                    <w:t>5</w:t>
                  </w:r>
                </w:p>
              </w:tc>
              <w:tc>
                <w:tcPr>
                  <w:tcW w:w="1100" w:type="dxa"/>
                  <w:vAlign w:val="center"/>
                </w:tcPr>
                <w:p>
                  <w:pPr>
                    <w:adjustRightInd w:val="0"/>
                    <w:snapToGrid w:val="0"/>
                    <w:jc w:val="center"/>
                    <w:rPr>
                      <w:color w:val="auto"/>
                    </w:rPr>
                  </w:pPr>
                  <w:r>
                    <w:rPr>
                      <w:bCs/>
                      <w:color w:val="auto"/>
                      <w:szCs w:val="21"/>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06" w:type="dxa"/>
                  <w:vMerge w:val="continue"/>
                </w:tcPr>
                <w:p>
                  <w:pPr>
                    <w:rPr>
                      <w:color w:val="auto"/>
                    </w:rPr>
                  </w:pPr>
                </w:p>
              </w:tc>
              <w:tc>
                <w:tcPr>
                  <w:tcW w:w="1078" w:type="dxa"/>
                  <w:gridSpan w:val="2"/>
                  <w:vMerge w:val="restart"/>
                </w:tcPr>
                <w:p>
                  <w:pPr>
                    <w:rPr>
                      <w:color w:val="auto"/>
                    </w:rPr>
                  </w:pPr>
                  <w:r>
                    <w:rPr>
                      <w:rFonts w:hint="eastAsia"/>
                      <w:color w:val="auto"/>
                    </w:rPr>
                    <w:t>废水</w:t>
                  </w:r>
                </w:p>
              </w:tc>
              <w:tc>
                <w:tcPr>
                  <w:tcW w:w="3613" w:type="dxa"/>
                  <w:vAlign w:val="center"/>
                </w:tcPr>
                <w:p>
                  <w:pPr>
                    <w:adjustRightInd w:val="0"/>
                    <w:snapToGrid w:val="0"/>
                    <w:jc w:val="center"/>
                    <w:rPr>
                      <w:color w:val="auto"/>
                    </w:rPr>
                  </w:pPr>
                  <w:r>
                    <w:rPr>
                      <w:rFonts w:hint="eastAsia"/>
                      <w:color w:val="auto"/>
                      <w:szCs w:val="21"/>
                    </w:rPr>
                    <w:t>施工废水：</w:t>
                  </w:r>
                  <w:r>
                    <w:rPr>
                      <w:color w:val="auto"/>
                      <w:szCs w:val="21"/>
                    </w:rPr>
                    <w:t>1个容积</w:t>
                  </w:r>
                  <w:r>
                    <w:rPr>
                      <w:rFonts w:hint="eastAsia"/>
                      <w:color w:val="auto"/>
                      <w:szCs w:val="21"/>
                    </w:rPr>
                    <w:t>0.5</w:t>
                  </w:r>
                  <w:r>
                    <w:rPr>
                      <w:color w:val="auto"/>
                      <w:szCs w:val="21"/>
                    </w:rPr>
                    <w:t>m</w:t>
                  </w:r>
                  <w:r>
                    <w:rPr>
                      <w:color w:val="auto"/>
                      <w:szCs w:val="21"/>
                      <w:vertAlign w:val="superscript"/>
                    </w:rPr>
                    <w:t>3</w:t>
                  </w:r>
                  <w:r>
                    <w:rPr>
                      <w:color w:val="auto"/>
                      <w:szCs w:val="21"/>
                    </w:rPr>
                    <w:t>的临时沉淀池</w:t>
                  </w:r>
                </w:p>
              </w:tc>
              <w:tc>
                <w:tcPr>
                  <w:tcW w:w="682" w:type="dxa"/>
                  <w:vAlign w:val="center"/>
                </w:tcPr>
                <w:p>
                  <w:pPr>
                    <w:adjustRightInd w:val="0"/>
                    <w:snapToGrid w:val="0"/>
                    <w:jc w:val="center"/>
                    <w:rPr>
                      <w:color w:val="auto"/>
                    </w:rPr>
                  </w:pPr>
                  <w:r>
                    <w:rPr>
                      <w:color w:val="auto"/>
                      <w:szCs w:val="21"/>
                    </w:rPr>
                    <w:t>1个</w:t>
                  </w:r>
                </w:p>
              </w:tc>
              <w:tc>
                <w:tcPr>
                  <w:tcW w:w="873" w:type="dxa"/>
                  <w:vAlign w:val="center"/>
                </w:tcPr>
                <w:p>
                  <w:pPr>
                    <w:adjustRightInd w:val="0"/>
                    <w:snapToGrid w:val="0"/>
                    <w:jc w:val="center"/>
                    <w:rPr>
                      <w:color w:val="auto"/>
                    </w:rPr>
                  </w:pPr>
                  <w:r>
                    <w:rPr>
                      <w:rFonts w:hint="eastAsia"/>
                      <w:bCs/>
                      <w:color w:val="auto"/>
                      <w:szCs w:val="21"/>
                    </w:rPr>
                    <w:t>0.5</w:t>
                  </w:r>
                </w:p>
              </w:tc>
              <w:tc>
                <w:tcPr>
                  <w:tcW w:w="1100" w:type="dxa"/>
                  <w:vAlign w:val="center"/>
                </w:tcPr>
                <w:p>
                  <w:pPr>
                    <w:adjustRightInd w:val="0"/>
                    <w:snapToGrid w:val="0"/>
                    <w:jc w:val="center"/>
                    <w:rPr>
                      <w:color w:val="auto"/>
                    </w:rPr>
                  </w:pPr>
                  <w:r>
                    <w:rPr>
                      <w:bCs/>
                      <w:color w:val="auto"/>
                      <w:szCs w:val="21"/>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trPr>
              <w:tc>
                <w:tcPr>
                  <w:tcW w:w="406" w:type="dxa"/>
                  <w:vMerge w:val="continue"/>
                </w:tcPr>
                <w:p>
                  <w:pPr>
                    <w:rPr>
                      <w:color w:val="auto"/>
                    </w:rPr>
                  </w:pPr>
                </w:p>
              </w:tc>
              <w:tc>
                <w:tcPr>
                  <w:tcW w:w="1078" w:type="dxa"/>
                  <w:gridSpan w:val="2"/>
                  <w:vMerge w:val="continue"/>
                </w:tcPr>
                <w:p>
                  <w:pPr>
                    <w:rPr>
                      <w:color w:val="auto"/>
                    </w:rPr>
                  </w:pPr>
                </w:p>
              </w:tc>
              <w:tc>
                <w:tcPr>
                  <w:tcW w:w="3613" w:type="dxa"/>
                  <w:vAlign w:val="center"/>
                </w:tcPr>
                <w:p>
                  <w:pPr>
                    <w:adjustRightInd w:val="0"/>
                    <w:snapToGrid w:val="0"/>
                    <w:jc w:val="center"/>
                    <w:rPr>
                      <w:color w:val="auto"/>
                    </w:rPr>
                  </w:pPr>
                  <w:r>
                    <w:rPr>
                      <w:rFonts w:hint="eastAsia"/>
                      <w:color w:val="auto"/>
                      <w:szCs w:val="21"/>
                    </w:rPr>
                    <w:t>生活废水：依托</w:t>
                  </w:r>
                  <w:r>
                    <w:rPr>
                      <w:color w:val="auto"/>
                      <w:szCs w:val="21"/>
                      <w:lang w:val="zh-CN"/>
                    </w:rPr>
                    <w:t>现有装置区生活污水一起经处理达标后回用于厂区绿化</w:t>
                  </w:r>
                </w:p>
              </w:tc>
              <w:tc>
                <w:tcPr>
                  <w:tcW w:w="682" w:type="dxa"/>
                  <w:vAlign w:val="center"/>
                </w:tcPr>
                <w:p>
                  <w:pPr>
                    <w:adjustRightInd w:val="0"/>
                    <w:snapToGrid w:val="0"/>
                    <w:jc w:val="center"/>
                    <w:rPr>
                      <w:color w:val="auto"/>
                    </w:rPr>
                  </w:pPr>
                  <w:r>
                    <w:rPr>
                      <w:rFonts w:hint="eastAsia"/>
                      <w:color w:val="auto"/>
                      <w:szCs w:val="21"/>
                    </w:rPr>
                    <w:t>/</w:t>
                  </w:r>
                </w:p>
              </w:tc>
              <w:tc>
                <w:tcPr>
                  <w:tcW w:w="873" w:type="dxa"/>
                  <w:vAlign w:val="center"/>
                </w:tcPr>
                <w:p>
                  <w:pPr>
                    <w:adjustRightInd w:val="0"/>
                    <w:snapToGrid w:val="0"/>
                    <w:jc w:val="center"/>
                    <w:rPr>
                      <w:color w:val="auto"/>
                    </w:rPr>
                  </w:pPr>
                  <w:r>
                    <w:rPr>
                      <w:rFonts w:hint="eastAsia"/>
                      <w:bCs/>
                      <w:color w:val="auto"/>
                      <w:szCs w:val="21"/>
                    </w:rPr>
                    <w:t>/</w:t>
                  </w:r>
                </w:p>
              </w:tc>
              <w:tc>
                <w:tcPr>
                  <w:tcW w:w="1100" w:type="dxa"/>
                  <w:vAlign w:val="center"/>
                </w:tcPr>
                <w:p>
                  <w:pPr>
                    <w:adjustRightInd w:val="0"/>
                    <w:snapToGrid w:val="0"/>
                    <w:jc w:val="center"/>
                    <w:rPr>
                      <w:color w:val="auto"/>
                    </w:rPr>
                  </w:pPr>
                  <w:r>
                    <w:rPr>
                      <w:rFonts w:hint="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1078" w:type="dxa"/>
                  <w:gridSpan w:val="2"/>
                </w:tcPr>
                <w:p>
                  <w:pPr>
                    <w:rPr>
                      <w:color w:val="auto"/>
                    </w:rPr>
                  </w:pPr>
                  <w:r>
                    <w:rPr>
                      <w:rFonts w:hint="eastAsia"/>
                      <w:color w:val="auto"/>
                    </w:rPr>
                    <w:t>噪声</w:t>
                  </w:r>
                </w:p>
              </w:tc>
              <w:tc>
                <w:tcPr>
                  <w:tcW w:w="3613" w:type="dxa"/>
                  <w:vAlign w:val="center"/>
                </w:tcPr>
                <w:p>
                  <w:pPr>
                    <w:adjustRightInd w:val="0"/>
                    <w:snapToGrid w:val="0"/>
                    <w:jc w:val="center"/>
                    <w:rPr>
                      <w:color w:val="auto"/>
                    </w:rPr>
                  </w:pPr>
                  <w:r>
                    <w:rPr>
                      <w:color w:val="auto"/>
                      <w:szCs w:val="21"/>
                    </w:rPr>
                    <w:t>减速、禁鸣标识</w:t>
                  </w:r>
                </w:p>
              </w:tc>
              <w:tc>
                <w:tcPr>
                  <w:tcW w:w="682" w:type="dxa"/>
                  <w:vAlign w:val="center"/>
                </w:tcPr>
                <w:p>
                  <w:pPr>
                    <w:adjustRightInd w:val="0"/>
                    <w:snapToGrid w:val="0"/>
                    <w:jc w:val="center"/>
                    <w:rPr>
                      <w:color w:val="auto"/>
                    </w:rPr>
                  </w:pPr>
                  <w:r>
                    <w:rPr>
                      <w:bCs/>
                      <w:color w:val="auto"/>
                      <w:szCs w:val="21"/>
                    </w:rPr>
                    <w:t>/</w:t>
                  </w:r>
                </w:p>
              </w:tc>
              <w:tc>
                <w:tcPr>
                  <w:tcW w:w="873" w:type="dxa"/>
                  <w:vAlign w:val="center"/>
                </w:tcPr>
                <w:p>
                  <w:pPr>
                    <w:adjustRightInd w:val="0"/>
                    <w:snapToGrid w:val="0"/>
                    <w:jc w:val="center"/>
                    <w:rPr>
                      <w:color w:val="auto"/>
                    </w:rPr>
                  </w:pPr>
                  <w:r>
                    <w:rPr>
                      <w:bCs/>
                      <w:color w:val="auto"/>
                      <w:szCs w:val="21"/>
                    </w:rPr>
                    <w:t>0.</w:t>
                  </w:r>
                  <w:r>
                    <w:rPr>
                      <w:rFonts w:hint="eastAsia"/>
                      <w:bCs/>
                      <w:color w:val="auto"/>
                      <w:szCs w:val="21"/>
                    </w:rPr>
                    <w:t>1</w:t>
                  </w:r>
                </w:p>
              </w:tc>
              <w:tc>
                <w:tcPr>
                  <w:tcW w:w="1100" w:type="dxa"/>
                  <w:vAlign w:val="center"/>
                </w:tcPr>
                <w:p>
                  <w:pPr>
                    <w:adjustRightInd w:val="0"/>
                    <w:snapToGrid w:val="0"/>
                    <w:jc w:val="center"/>
                    <w:rPr>
                      <w:color w:val="auto"/>
                    </w:rPr>
                  </w:pPr>
                  <w:r>
                    <w:rPr>
                      <w:bCs/>
                      <w:color w:val="auto"/>
                      <w:szCs w:val="21"/>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1078" w:type="dxa"/>
                  <w:gridSpan w:val="2"/>
                </w:tcPr>
                <w:p>
                  <w:pPr>
                    <w:rPr>
                      <w:color w:val="auto"/>
                    </w:rPr>
                  </w:pPr>
                  <w:r>
                    <w:rPr>
                      <w:rFonts w:hint="eastAsia"/>
                      <w:color w:val="auto"/>
                    </w:rPr>
                    <w:t>固废</w:t>
                  </w:r>
                </w:p>
              </w:tc>
              <w:tc>
                <w:tcPr>
                  <w:tcW w:w="3613" w:type="dxa"/>
                  <w:vAlign w:val="center"/>
                </w:tcPr>
                <w:p>
                  <w:pPr>
                    <w:adjustRightInd w:val="0"/>
                    <w:snapToGrid w:val="0"/>
                    <w:jc w:val="center"/>
                    <w:rPr>
                      <w:color w:val="auto"/>
                    </w:rPr>
                  </w:pPr>
                  <w:r>
                    <w:rPr>
                      <w:color w:val="auto"/>
                      <w:szCs w:val="21"/>
                    </w:rPr>
                    <w:t>不可利用部分建筑垃圾委托有资质的建筑垃圾承运企业运输至建筑垃圾消纳处置场，禁止随意处置和堆放</w:t>
                  </w:r>
                </w:p>
              </w:tc>
              <w:tc>
                <w:tcPr>
                  <w:tcW w:w="682" w:type="dxa"/>
                  <w:vAlign w:val="center"/>
                </w:tcPr>
                <w:p>
                  <w:pPr>
                    <w:adjustRightInd w:val="0"/>
                    <w:snapToGrid w:val="0"/>
                    <w:jc w:val="center"/>
                    <w:rPr>
                      <w:color w:val="auto"/>
                    </w:rPr>
                  </w:pPr>
                  <w:r>
                    <w:rPr>
                      <w:bCs/>
                      <w:color w:val="auto"/>
                      <w:szCs w:val="21"/>
                    </w:rPr>
                    <w:t>/</w:t>
                  </w:r>
                </w:p>
              </w:tc>
              <w:tc>
                <w:tcPr>
                  <w:tcW w:w="873" w:type="dxa"/>
                  <w:vAlign w:val="center"/>
                </w:tcPr>
                <w:p>
                  <w:pPr>
                    <w:adjustRightInd w:val="0"/>
                    <w:snapToGrid w:val="0"/>
                    <w:jc w:val="center"/>
                    <w:rPr>
                      <w:color w:val="auto"/>
                    </w:rPr>
                  </w:pPr>
                  <w:r>
                    <w:rPr>
                      <w:bCs/>
                      <w:color w:val="auto"/>
                      <w:szCs w:val="21"/>
                    </w:rPr>
                    <w:t>4</w:t>
                  </w:r>
                  <w:r>
                    <w:rPr>
                      <w:rFonts w:hint="eastAsia"/>
                      <w:bCs/>
                      <w:color w:val="auto"/>
                      <w:szCs w:val="21"/>
                    </w:rPr>
                    <w:t>.5</w:t>
                  </w:r>
                </w:p>
              </w:tc>
              <w:tc>
                <w:tcPr>
                  <w:tcW w:w="1100" w:type="dxa"/>
                  <w:vAlign w:val="center"/>
                </w:tcPr>
                <w:p>
                  <w:pPr>
                    <w:adjustRightInd w:val="0"/>
                    <w:snapToGrid w:val="0"/>
                    <w:jc w:val="center"/>
                    <w:rPr>
                      <w:color w:val="auto"/>
                    </w:rPr>
                  </w:pPr>
                  <w:r>
                    <w:rPr>
                      <w:bCs/>
                      <w:color w:val="auto"/>
                      <w:szCs w:val="21"/>
                    </w:rPr>
                    <w:t>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406" w:type="dxa"/>
                  <w:vMerge w:val="restart"/>
                </w:tcPr>
                <w:p>
                  <w:pPr>
                    <w:rPr>
                      <w:color w:val="auto"/>
                    </w:rPr>
                  </w:pPr>
                  <w:r>
                    <w:rPr>
                      <w:rFonts w:hint="eastAsia"/>
                      <w:color w:val="auto"/>
                    </w:rPr>
                    <w:t>运营期</w:t>
                  </w:r>
                </w:p>
              </w:tc>
              <w:tc>
                <w:tcPr>
                  <w:tcW w:w="389" w:type="dxa"/>
                  <w:vMerge w:val="restart"/>
                </w:tcPr>
                <w:p>
                  <w:pPr>
                    <w:rPr>
                      <w:color w:val="auto"/>
                    </w:rPr>
                  </w:pPr>
                  <w:r>
                    <w:rPr>
                      <w:rFonts w:hint="eastAsia"/>
                      <w:color w:val="auto"/>
                    </w:rPr>
                    <w:t>废气</w:t>
                  </w:r>
                </w:p>
              </w:tc>
              <w:tc>
                <w:tcPr>
                  <w:tcW w:w="689" w:type="dxa"/>
                </w:tcPr>
                <w:p>
                  <w:pPr>
                    <w:rPr>
                      <w:color w:val="auto"/>
                    </w:rPr>
                  </w:pPr>
                  <w:r>
                    <w:rPr>
                      <w:rFonts w:hint="eastAsia"/>
                      <w:color w:val="auto"/>
                    </w:rPr>
                    <w:t>熔融废气</w:t>
                  </w:r>
                </w:p>
              </w:tc>
              <w:tc>
                <w:tcPr>
                  <w:tcW w:w="3613" w:type="dxa"/>
                  <w:vAlign w:val="center"/>
                </w:tcPr>
                <w:p>
                  <w:pPr>
                    <w:adjustRightInd w:val="0"/>
                    <w:snapToGrid w:val="0"/>
                    <w:jc w:val="center"/>
                    <w:rPr>
                      <w:color w:val="auto"/>
                    </w:rPr>
                  </w:pPr>
                  <w:r>
                    <w:rPr>
                      <w:bCs/>
                      <w:color w:val="auto"/>
                      <w:szCs w:val="21"/>
                    </w:rPr>
                    <w:t>集气罩（主机热熔排气孔、主机至副机进料口、副机挤出口处，共3个）</w:t>
                  </w:r>
                </w:p>
              </w:tc>
              <w:tc>
                <w:tcPr>
                  <w:tcW w:w="682" w:type="dxa"/>
                  <w:vAlign w:val="center"/>
                </w:tcPr>
                <w:p>
                  <w:pPr>
                    <w:adjustRightInd w:val="0"/>
                    <w:snapToGrid w:val="0"/>
                    <w:jc w:val="center"/>
                    <w:rPr>
                      <w:color w:val="auto"/>
                    </w:rPr>
                  </w:pPr>
                  <w:r>
                    <w:rPr>
                      <w:rFonts w:hint="eastAsia"/>
                      <w:bCs/>
                      <w:color w:val="auto"/>
                      <w:szCs w:val="21"/>
                    </w:rPr>
                    <w:t>18</w:t>
                  </w:r>
                  <w:r>
                    <w:rPr>
                      <w:bCs/>
                      <w:color w:val="auto"/>
                      <w:szCs w:val="21"/>
                    </w:rPr>
                    <w:t>个</w:t>
                  </w:r>
                </w:p>
              </w:tc>
              <w:tc>
                <w:tcPr>
                  <w:tcW w:w="873" w:type="dxa"/>
                  <w:vAlign w:val="center"/>
                </w:tcPr>
                <w:p>
                  <w:pPr>
                    <w:adjustRightInd w:val="0"/>
                    <w:snapToGrid w:val="0"/>
                    <w:jc w:val="center"/>
                    <w:rPr>
                      <w:color w:val="auto"/>
                    </w:rPr>
                  </w:pPr>
                  <w:r>
                    <w:rPr>
                      <w:rFonts w:hint="eastAsia"/>
                      <w:bCs/>
                      <w:color w:val="auto"/>
                      <w:szCs w:val="21"/>
                    </w:rPr>
                    <w:t>3.5</w:t>
                  </w:r>
                </w:p>
              </w:tc>
              <w:tc>
                <w:tcPr>
                  <w:tcW w:w="1100" w:type="dxa"/>
                  <w:vAlign w:val="center"/>
                </w:tcPr>
                <w:p>
                  <w:pPr>
                    <w:adjustRightInd w:val="0"/>
                    <w:snapToGrid w:val="0"/>
                    <w:jc w:val="center"/>
                    <w:rPr>
                      <w:color w:val="auto"/>
                    </w:rPr>
                  </w:pPr>
                  <w:r>
                    <w:rPr>
                      <w:rStyle w:val="37"/>
                      <w:rFonts w:hint="eastAsia"/>
                      <w:color w:val="auto"/>
                      <w:kern w:val="0"/>
                    </w:rPr>
                    <w:t>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Merge w:val="continue"/>
                </w:tcPr>
                <w:p>
                  <w:pPr>
                    <w:rPr>
                      <w:color w:val="auto"/>
                    </w:rPr>
                  </w:pPr>
                </w:p>
              </w:tc>
              <w:tc>
                <w:tcPr>
                  <w:tcW w:w="689" w:type="dxa"/>
                </w:tcPr>
                <w:p>
                  <w:pPr>
                    <w:rPr>
                      <w:color w:val="auto"/>
                    </w:rPr>
                  </w:pPr>
                  <w:r>
                    <w:rPr>
                      <w:rFonts w:hint="eastAsia"/>
                      <w:color w:val="auto"/>
                    </w:rPr>
                    <w:t>有组织废气</w:t>
                  </w:r>
                </w:p>
              </w:tc>
              <w:tc>
                <w:tcPr>
                  <w:tcW w:w="3613" w:type="dxa"/>
                  <w:vAlign w:val="center"/>
                </w:tcPr>
                <w:p>
                  <w:pPr>
                    <w:adjustRightInd w:val="0"/>
                    <w:snapToGrid w:val="0"/>
                    <w:jc w:val="center"/>
                    <w:rPr>
                      <w:color w:val="auto"/>
                    </w:rPr>
                  </w:pPr>
                  <w:r>
                    <w:rPr>
                      <w:bCs/>
                      <w:color w:val="auto"/>
                      <w:szCs w:val="21"/>
                    </w:rPr>
                    <w:t>水洗装置+除湿除雾装置+</w:t>
                  </w:r>
                  <w:r>
                    <w:rPr>
                      <w:rFonts w:hint="eastAsia"/>
                      <w:bCs/>
                      <w:color w:val="auto"/>
                      <w:szCs w:val="21"/>
                      <w:lang w:val="en-US" w:eastAsia="zh-CN"/>
                    </w:rPr>
                    <w:t>一级</w:t>
                  </w:r>
                  <w:r>
                    <w:rPr>
                      <w:bCs/>
                      <w:color w:val="auto"/>
                      <w:szCs w:val="21"/>
                    </w:rPr>
                    <w:t>活性炭吸附装置</w:t>
                  </w:r>
                  <w:r>
                    <w:rPr>
                      <w:rFonts w:hint="eastAsia"/>
                      <w:bCs/>
                      <w:color w:val="auto"/>
                      <w:szCs w:val="21"/>
                    </w:rPr>
                    <w:t>+光氧催化装置</w:t>
                  </w:r>
                  <w:r>
                    <w:rPr>
                      <w:bCs/>
                      <w:color w:val="auto"/>
                      <w:szCs w:val="21"/>
                    </w:rPr>
                    <w:t>+</w:t>
                  </w:r>
                  <w:r>
                    <w:rPr>
                      <w:rFonts w:hint="eastAsia"/>
                      <w:bCs/>
                      <w:color w:val="auto"/>
                      <w:szCs w:val="21"/>
                    </w:rPr>
                    <w:t>20</w:t>
                  </w:r>
                  <w:r>
                    <w:rPr>
                      <w:bCs/>
                      <w:color w:val="auto"/>
                      <w:szCs w:val="21"/>
                    </w:rPr>
                    <w:t>m高排气筒</w:t>
                  </w:r>
                </w:p>
              </w:tc>
              <w:tc>
                <w:tcPr>
                  <w:tcW w:w="682" w:type="dxa"/>
                  <w:vAlign w:val="center"/>
                </w:tcPr>
                <w:p>
                  <w:pPr>
                    <w:adjustRightInd w:val="0"/>
                    <w:snapToGrid w:val="0"/>
                    <w:jc w:val="center"/>
                    <w:rPr>
                      <w:color w:val="auto"/>
                    </w:rPr>
                  </w:pPr>
                  <w:r>
                    <w:rPr>
                      <w:bCs/>
                      <w:color w:val="auto"/>
                      <w:szCs w:val="21"/>
                    </w:rPr>
                    <w:t>1套</w:t>
                  </w:r>
                </w:p>
              </w:tc>
              <w:tc>
                <w:tcPr>
                  <w:tcW w:w="873" w:type="dxa"/>
                  <w:vAlign w:val="center"/>
                </w:tcPr>
                <w:p>
                  <w:pPr>
                    <w:adjustRightInd w:val="0"/>
                    <w:snapToGrid w:val="0"/>
                    <w:jc w:val="center"/>
                    <w:rPr>
                      <w:color w:val="auto"/>
                    </w:rPr>
                  </w:pPr>
                  <w:r>
                    <w:rPr>
                      <w:rFonts w:hint="eastAsia"/>
                      <w:bCs/>
                      <w:color w:val="auto"/>
                      <w:szCs w:val="21"/>
                    </w:rPr>
                    <w:t>15</w:t>
                  </w:r>
                </w:p>
              </w:tc>
              <w:tc>
                <w:tcPr>
                  <w:tcW w:w="1100" w:type="dxa"/>
                  <w:vAlign w:val="center"/>
                </w:tcPr>
                <w:p>
                  <w:pPr>
                    <w:adjustRightInd w:val="0"/>
                    <w:snapToGrid w:val="0"/>
                    <w:jc w:val="center"/>
                    <w:rPr>
                      <w:color w:val="auto"/>
                    </w:rPr>
                  </w:pPr>
                  <w:r>
                    <w:rPr>
                      <w:bCs/>
                      <w:color w:val="auto"/>
                      <w:szCs w:val="21"/>
                    </w:rPr>
                    <w:t>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Merge w:val="continue"/>
                </w:tcPr>
                <w:p>
                  <w:pPr>
                    <w:rPr>
                      <w:color w:val="auto"/>
                    </w:rPr>
                  </w:pPr>
                </w:p>
              </w:tc>
              <w:tc>
                <w:tcPr>
                  <w:tcW w:w="689" w:type="dxa"/>
                </w:tcPr>
                <w:p>
                  <w:pPr>
                    <w:rPr>
                      <w:color w:val="auto"/>
                    </w:rPr>
                  </w:pPr>
                  <w:r>
                    <w:rPr>
                      <w:rFonts w:hint="eastAsia"/>
                      <w:color w:val="auto"/>
                    </w:rPr>
                    <w:t>无组织废气</w:t>
                  </w:r>
                </w:p>
              </w:tc>
              <w:tc>
                <w:tcPr>
                  <w:tcW w:w="3613" w:type="dxa"/>
                  <w:vAlign w:val="center"/>
                </w:tcPr>
                <w:p>
                  <w:pPr>
                    <w:adjustRightInd w:val="0"/>
                    <w:snapToGrid w:val="0"/>
                    <w:jc w:val="center"/>
                    <w:rPr>
                      <w:color w:val="auto"/>
                    </w:rPr>
                  </w:pPr>
                  <w:r>
                    <w:rPr>
                      <w:bCs/>
                      <w:color w:val="auto"/>
                      <w:szCs w:val="21"/>
                    </w:rPr>
                    <w:t>配套机械通风换气</w:t>
                  </w:r>
                </w:p>
              </w:tc>
              <w:tc>
                <w:tcPr>
                  <w:tcW w:w="682" w:type="dxa"/>
                  <w:vAlign w:val="center"/>
                </w:tcPr>
                <w:p>
                  <w:pPr>
                    <w:adjustRightInd w:val="0"/>
                    <w:snapToGrid w:val="0"/>
                    <w:jc w:val="center"/>
                    <w:rPr>
                      <w:color w:val="auto"/>
                    </w:rPr>
                  </w:pPr>
                  <w:r>
                    <w:rPr>
                      <w:bCs/>
                      <w:color w:val="auto"/>
                      <w:szCs w:val="21"/>
                    </w:rPr>
                    <w:t>/</w:t>
                  </w:r>
                </w:p>
              </w:tc>
              <w:tc>
                <w:tcPr>
                  <w:tcW w:w="873" w:type="dxa"/>
                  <w:vAlign w:val="center"/>
                </w:tcPr>
                <w:p>
                  <w:pPr>
                    <w:adjustRightInd w:val="0"/>
                    <w:snapToGrid w:val="0"/>
                    <w:jc w:val="center"/>
                    <w:rPr>
                      <w:color w:val="auto"/>
                    </w:rPr>
                  </w:pPr>
                  <w:r>
                    <w:rPr>
                      <w:rFonts w:hint="eastAsia"/>
                      <w:bCs/>
                      <w:color w:val="auto"/>
                      <w:szCs w:val="21"/>
                    </w:rPr>
                    <w:t>1.5</w:t>
                  </w:r>
                </w:p>
              </w:tc>
              <w:tc>
                <w:tcPr>
                  <w:tcW w:w="1100" w:type="dxa"/>
                  <w:vAlign w:val="center"/>
                </w:tcPr>
                <w:p>
                  <w:pPr>
                    <w:adjustRightInd w:val="0"/>
                    <w:snapToGrid w:val="0"/>
                    <w:jc w:val="center"/>
                    <w:rPr>
                      <w:color w:val="auto"/>
                    </w:rPr>
                  </w:pPr>
                  <w:r>
                    <w:rPr>
                      <w:bCs/>
                      <w:color w:val="auto"/>
                      <w:szCs w:val="21"/>
                    </w:rPr>
                    <w:t>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Merge w:val="continue"/>
                </w:tcPr>
                <w:p>
                  <w:pPr>
                    <w:rPr>
                      <w:color w:val="auto"/>
                    </w:rPr>
                  </w:pPr>
                </w:p>
              </w:tc>
              <w:tc>
                <w:tcPr>
                  <w:tcW w:w="689" w:type="dxa"/>
                </w:tcPr>
                <w:p>
                  <w:pPr>
                    <w:rPr>
                      <w:color w:val="auto"/>
                    </w:rPr>
                  </w:pPr>
                  <w:r>
                    <w:rPr>
                      <w:rFonts w:hint="eastAsia"/>
                      <w:color w:val="auto"/>
                    </w:rPr>
                    <w:t>食堂油烟</w:t>
                  </w:r>
                </w:p>
              </w:tc>
              <w:tc>
                <w:tcPr>
                  <w:tcW w:w="3613" w:type="dxa"/>
                  <w:vAlign w:val="center"/>
                </w:tcPr>
                <w:p>
                  <w:pPr>
                    <w:adjustRightInd w:val="0"/>
                    <w:snapToGrid w:val="0"/>
                    <w:jc w:val="center"/>
                    <w:rPr>
                      <w:bCs/>
                      <w:color w:val="auto"/>
                      <w:szCs w:val="21"/>
                    </w:rPr>
                  </w:pPr>
                  <w:r>
                    <w:rPr>
                      <w:color w:val="auto"/>
                      <w:szCs w:val="21"/>
                    </w:rPr>
                    <w:t>依托</w:t>
                  </w:r>
                  <w:r>
                    <w:rPr>
                      <w:rFonts w:hint="eastAsia"/>
                      <w:color w:val="auto"/>
                      <w:szCs w:val="21"/>
                    </w:rPr>
                    <w:t>云南鹏腾机械设备制造有限公司厂区内已建好的</w:t>
                  </w:r>
                  <w:r>
                    <w:rPr>
                      <w:color w:val="auto"/>
                      <w:szCs w:val="21"/>
                    </w:rPr>
                    <w:t>油烟处理设备。</w:t>
                  </w:r>
                </w:p>
              </w:tc>
              <w:tc>
                <w:tcPr>
                  <w:tcW w:w="682" w:type="dxa"/>
                  <w:vAlign w:val="center"/>
                </w:tcPr>
                <w:p>
                  <w:pPr>
                    <w:adjustRightInd w:val="0"/>
                    <w:snapToGrid w:val="0"/>
                    <w:jc w:val="center"/>
                    <w:rPr>
                      <w:bCs/>
                      <w:color w:val="auto"/>
                      <w:szCs w:val="21"/>
                    </w:rPr>
                  </w:pPr>
                  <w:r>
                    <w:rPr>
                      <w:rFonts w:hint="eastAsia"/>
                      <w:bCs/>
                      <w:color w:val="auto"/>
                      <w:szCs w:val="21"/>
                    </w:rPr>
                    <w:t>1台</w:t>
                  </w:r>
                </w:p>
              </w:tc>
              <w:tc>
                <w:tcPr>
                  <w:tcW w:w="873" w:type="dxa"/>
                  <w:vAlign w:val="center"/>
                </w:tcPr>
                <w:p>
                  <w:pPr>
                    <w:adjustRightInd w:val="0"/>
                    <w:snapToGrid w:val="0"/>
                    <w:jc w:val="center"/>
                    <w:rPr>
                      <w:bCs/>
                      <w:color w:val="auto"/>
                      <w:szCs w:val="21"/>
                    </w:rPr>
                  </w:pPr>
                  <w:r>
                    <w:rPr>
                      <w:rFonts w:hint="eastAsia"/>
                      <w:bCs/>
                      <w:color w:val="auto"/>
                      <w:szCs w:val="21"/>
                    </w:rPr>
                    <w:t>/</w:t>
                  </w:r>
                </w:p>
              </w:tc>
              <w:tc>
                <w:tcPr>
                  <w:tcW w:w="1100" w:type="dxa"/>
                  <w:vAlign w:val="center"/>
                </w:tcPr>
                <w:p>
                  <w:pPr>
                    <w:adjustRightInd w:val="0"/>
                    <w:snapToGrid w:val="0"/>
                    <w:jc w:val="center"/>
                    <w:rPr>
                      <w:bCs/>
                      <w:color w:val="auto"/>
                      <w:szCs w:val="21"/>
                    </w:rPr>
                  </w:pPr>
                  <w:r>
                    <w:rPr>
                      <w:rFonts w:hint="eastAsia"/>
                      <w:bCs/>
                      <w:color w:val="auto"/>
                      <w:szCs w:val="21"/>
                    </w:rPr>
                    <w:t>依托已建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Merge w:val="restart"/>
                </w:tcPr>
                <w:p>
                  <w:pPr>
                    <w:rPr>
                      <w:color w:val="auto"/>
                    </w:rPr>
                  </w:pPr>
                  <w:r>
                    <w:rPr>
                      <w:rFonts w:hint="eastAsia"/>
                      <w:color w:val="auto"/>
                    </w:rPr>
                    <w:t>废水</w:t>
                  </w:r>
                </w:p>
              </w:tc>
              <w:tc>
                <w:tcPr>
                  <w:tcW w:w="689" w:type="dxa"/>
                  <w:vAlign w:val="center"/>
                </w:tcPr>
                <w:p>
                  <w:pPr>
                    <w:adjustRightInd w:val="0"/>
                    <w:snapToGrid w:val="0"/>
                    <w:jc w:val="center"/>
                    <w:rPr>
                      <w:color w:val="auto"/>
                    </w:rPr>
                  </w:pPr>
                  <w:r>
                    <w:rPr>
                      <w:color w:val="auto"/>
                      <w:szCs w:val="21"/>
                    </w:rPr>
                    <w:t>雨水</w:t>
                  </w:r>
                </w:p>
              </w:tc>
              <w:tc>
                <w:tcPr>
                  <w:tcW w:w="3613" w:type="dxa"/>
                  <w:vAlign w:val="center"/>
                </w:tcPr>
                <w:p>
                  <w:pPr>
                    <w:adjustRightInd w:val="0"/>
                    <w:snapToGrid w:val="0"/>
                    <w:jc w:val="center"/>
                    <w:rPr>
                      <w:color w:val="auto"/>
                    </w:rPr>
                  </w:pPr>
                  <w:r>
                    <w:rPr>
                      <w:color w:val="auto"/>
                      <w:szCs w:val="21"/>
                    </w:rPr>
                    <w:t>雨污分流系统</w:t>
                  </w:r>
                </w:p>
              </w:tc>
              <w:tc>
                <w:tcPr>
                  <w:tcW w:w="682" w:type="dxa"/>
                  <w:vAlign w:val="center"/>
                </w:tcPr>
                <w:p>
                  <w:pPr>
                    <w:adjustRightInd w:val="0"/>
                    <w:snapToGrid w:val="0"/>
                    <w:jc w:val="center"/>
                    <w:rPr>
                      <w:color w:val="auto"/>
                    </w:rPr>
                  </w:pPr>
                  <w:r>
                    <w:rPr>
                      <w:bCs/>
                      <w:color w:val="auto"/>
                      <w:szCs w:val="21"/>
                    </w:rPr>
                    <w:t>1套</w:t>
                  </w:r>
                </w:p>
              </w:tc>
              <w:tc>
                <w:tcPr>
                  <w:tcW w:w="873" w:type="dxa"/>
                  <w:vAlign w:val="center"/>
                </w:tcPr>
                <w:p>
                  <w:pPr>
                    <w:adjustRightInd w:val="0"/>
                    <w:snapToGrid w:val="0"/>
                    <w:jc w:val="center"/>
                    <w:rPr>
                      <w:color w:val="auto"/>
                    </w:rPr>
                  </w:pPr>
                  <w:r>
                    <w:rPr>
                      <w:bCs/>
                      <w:color w:val="auto"/>
                      <w:szCs w:val="21"/>
                    </w:rPr>
                    <w:t>/</w:t>
                  </w:r>
                </w:p>
              </w:tc>
              <w:tc>
                <w:tcPr>
                  <w:tcW w:w="1100" w:type="dxa"/>
                  <w:vAlign w:val="center"/>
                </w:tcPr>
                <w:p>
                  <w:pPr>
                    <w:adjustRightInd w:val="0"/>
                    <w:snapToGrid w:val="0"/>
                    <w:jc w:val="center"/>
                    <w:rPr>
                      <w:color w:val="auto"/>
                    </w:rPr>
                  </w:pPr>
                  <w:r>
                    <w:rPr>
                      <w:bCs/>
                      <w:color w:val="auto"/>
                      <w:szCs w:val="21"/>
                    </w:rPr>
                    <w:t>依托已建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Merge w:val="continue"/>
                </w:tcPr>
                <w:p>
                  <w:pPr>
                    <w:rPr>
                      <w:color w:val="auto"/>
                    </w:rPr>
                  </w:pPr>
                </w:p>
              </w:tc>
              <w:tc>
                <w:tcPr>
                  <w:tcW w:w="689" w:type="dxa"/>
                  <w:vMerge w:val="restart"/>
                  <w:vAlign w:val="center"/>
                </w:tcPr>
                <w:p>
                  <w:pPr>
                    <w:adjustRightInd w:val="0"/>
                    <w:snapToGrid w:val="0"/>
                    <w:jc w:val="center"/>
                    <w:rPr>
                      <w:color w:val="auto"/>
                    </w:rPr>
                  </w:pPr>
                  <w:r>
                    <w:rPr>
                      <w:color w:val="auto"/>
                      <w:szCs w:val="21"/>
                    </w:rPr>
                    <w:t>生产废水</w:t>
                  </w:r>
                </w:p>
              </w:tc>
              <w:tc>
                <w:tcPr>
                  <w:tcW w:w="3613" w:type="dxa"/>
                  <w:vAlign w:val="center"/>
                </w:tcPr>
                <w:p>
                  <w:pPr>
                    <w:adjustRightInd w:val="0"/>
                    <w:snapToGrid w:val="0"/>
                    <w:jc w:val="center"/>
                    <w:rPr>
                      <w:color w:val="auto"/>
                    </w:rPr>
                  </w:pPr>
                  <w:r>
                    <w:rPr>
                      <w:color w:val="auto"/>
                      <w:szCs w:val="21"/>
                    </w:rPr>
                    <w:t>1套处理规模为</w:t>
                  </w:r>
                  <w:r>
                    <w:rPr>
                      <w:rFonts w:hint="eastAsia"/>
                      <w:color w:val="auto"/>
                      <w:szCs w:val="21"/>
                    </w:rPr>
                    <w:t>50</w:t>
                  </w:r>
                  <w:r>
                    <w:rPr>
                      <w:color w:val="auto"/>
                      <w:szCs w:val="21"/>
                    </w:rPr>
                    <w:t>m</w:t>
                  </w:r>
                  <w:r>
                    <w:rPr>
                      <w:color w:val="auto"/>
                      <w:szCs w:val="21"/>
                      <w:vertAlign w:val="superscript"/>
                    </w:rPr>
                    <w:t>3</w:t>
                  </w:r>
                  <w:r>
                    <w:rPr>
                      <w:color w:val="auto"/>
                      <w:szCs w:val="21"/>
                    </w:rPr>
                    <w:t>/d的（</w:t>
                  </w:r>
                  <w:r>
                    <w:rPr>
                      <w:rFonts w:hint="eastAsia"/>
                      <w:color w:val="auto"/>
                      <w:szCs w:val="21"/>
                    </w:rPr>
                    <w:t>格栅+隔油+水解</w:t>
                  </w:r>
                  <w:r>
                    <w:rPr>
                      <w:color w:val="auto"/>
                      <w:szCs w:val="21"/>
                    </w:rPr>
                    <w:t>+</w:t>
                  </w:r>
                  <w:r>
                    <w:rPr>
                      <w:rFonts w:hint="eastAsia"/>
                      <w:color w:val="auto"/>
                      <w:szCs w:val="21"/>
                    </w:rPr>
                    <w:t>生物接触氧化法</w:t>
                  </w:r>
                  <w:r>
                    <w:rPr>
                      <w:color w:val="auto"/>
                      <w:szCs w:val="21"/>
                    </w:rPr>
                    <w:t>）生产废水处理装置</w:t>
                  </w:r>
                  <w:r>
                    <w:rPr>
                      <w:color w:val="auto"/>
                      <w:szCs w:val="21"/>
                      <w:lang w:val="zh-CN"/>
                    </w:rPr>
                    <w:t>。</w:t>
                  </w:r>
                </w:p>
              </w:tc>
              <w:tc>
                <w:tcPr>
                  <w:tcW w:w="682" w:type="dxa"/>
                  <w:vAlign w:val="center"/>
                </w:tcPr>
                <w:p>
                  <w:pPr>
                    <w:adjustRightInd w:val="0"/>
                    <w:snapToGrid w:val="0"/>
                    <w:jc w:val="center"/>
                    <w:rPr>
                      <w:color w:val="auto"/>
                    </w:rPr>
                  </w:pPr>
                  <w:r>
                    <w:rPr>
                      <w:bCs/>
                      <w:color w:val="auto"/>
                      <w:szCs w:val="21"/>
                    </w:rPr>
                    <w:t>1个</w:t>
                  </w:r>
                </w:p>
              </w:tc>
              <w:tc>
                <w:tcPr>
                  <w:tcW w:w="873" w:type="dxa"/>
                  <w:vAlign w:val="center"/>
                </w:tcPr>
                <w:p>
                  <w:pPr>
                    <w:adjustRightInd w:val="0"/>
                    <w:snapToGrid w:val="0"/>
                    <w:jc w:val="center"/>
                    <w:rPr>
                      <w:color w:val="auto"/>
                    </w:rPr>
                  </w:pPr>
                  <w:r>
                    <w:rPr>
                      <w:rFonts w:hint="eastAsia"/>
                      <w:bCs/>
                      <w:color w:val="auto"/>
                      <w:szCs w:val="21"/>
                    </w:rPr>
                    <w:t>2</w:t>
                  </w:r>
                  <w:r>
                    <w:rPr>
                      <w:bCs/>
                      <w:color w:val="auto"/>
                      <w:szCs w:val="21"/>
                    </w:rPr>
                    <w:t>5</w:t>
                  </w:r>
                </w:p>
              </w:tc>
              <w:tc>
                <w:tcPr>
                  <w:tcW w:w="1100" w:type="dxa"/>
                  <w:vAlign w:val="center"/>
                </w:tcPr>
                <w:p>
                  <w:pPr>
                    <w:adjustRightInd w:val="0"/>
                    <w:snapToGrid w:val="0"/>
                    <w:jc w:val="center"/>
                    <w:rPr>
                      <w:color w:val="auto"/>
                    </w:rPr>
                  </w:pPr>
                  <w:r>
                    <w:rPr>
                      <w:rFonts w:hint="eastAsia"/>
                      <w:bCs/>
                      <w:color w:val="auto"/>
                      <w:szCs w:val="21"/>
                    </w:rPr>
                    <w:t>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Merge w:val="continue"/>
                </w:tcPr>
                <w:p>
                  <w:pPr>
                    <w:rPr>
                      <w:color w:val="auto"/>
                    </w:rPr>
                  </w:pPr>
                </w:p>
              </w:tc>
              <w:tc>
                <w:tcPr>
                  <w:tcW w:w="689" w:type="dxa"/>
                  <w:vMerge w:val="continue"/>
                  <w:vAlign w:val="center"/>
                </w:tcPr>
                <w:p>
                  <w:pPr>
                    <w:adjustRightInd w:val="0"/>
                    <w:snapToGrid w:val="0"/>
                    <w:jc w:val="center"/>
                    <w:rPr>
                      <w:color w:val="auto"/>
                    </w:rPr>
                  </w:pPr>
                </w:p>
              </w:tc>
              <w:tc>
                <w:tcPr>
                  <w:tcW w:w="3613" w:type="dxa"/>
                  <w:vAlign w:val="center"/>
                </w:tcPr>
                <w:p>
                  <w:pPr>
                    <w:adjustRightInd w:val="0"/>
                    <w:snapToGrid w:val="0"/>
                    <w:jc w:val="center"/>
                    <w:rPr>
                      <w:color w:val="auto"/>
                    </w:rPr>
                  </w:pPr>
                  <w:r>
                    <w:rPr>
                      <w:rFonts w:hint="eastAsia"/>
                      <w:color w:val="auto"/>
                      <w:szCs w:val="21"/>
                    </w:rPr>
                    <w:t>容积24</w:t>
                  </w:r>
                  <w:r>
                    <w:rPr>
                      <w:color w:val="auto"/>
                      <w:szCs w:val="21"/>
                    </w:rPr>
                    <w:t>m</w:t>
                  </w:r>
                  <w:r>
                    <w:rPr>
                      <w:color w:val="auto"/>
                      <w:szCs w:val="21"/>
                      <w:vertAlign w:val="superscript"/>
                    </w:rPr>
                    <w:t>3</w:t>
                  </w:r>
                  <w:r>
                    <w:rPr>
                      <w:rFonts w:hint="eastAsia"/>
                      <w:color w:val="auto"/>
                      <w:szCs w:val="21"/>
                    </w:rPr>
                    <w:t>清水回用池</w:t>
                  </w:r>
                </w:p>
              </w:tc>
              <w:tc>
                <w:tcPr>
                  <w:tcW w:w="682" w:type="dxa"/>
                  <w:vAlign w:val="center"/>
                </w:tcPr>
                <w:p>
                  <w:pPr>
                    <w:adjustRightInd w:val="0"/>
                    <w:snapToGrid w:val="0"/>
                    <w:jc w:val="center"/>
                    <w:rPr>
                      <w:color w:val="auto"/>
                    </w:rPr>
                  </w:pPr>
                  <w:r>
                    <w:rPr>
                      <w:bCs/>
                      <w:color w:val="auto"/>
                      <w:szCs w:val="21"/>
                    </w:rPr>
                    <w:t>1个</w:t>
                  </w:r>
                </w:p>
              </w:tc>
              <w:tc>
                <w:tcPr>
                  <w:tcW w:w="873" w:type="dxa"/>
                  <w:vAlign w:val="center"/>
                </w:tcPr>
                <w:p>
                  <w:pPr>
                    <w:adjustRightInd w:val="0"/>
                    <w:snapToGrid w:val="0"/>
                    <w:jc w:val="center"/>
                    <w:rPr>
                      <w:color w:val="auto"/>
                    </w:rPr>
                  </w:pPr>
                  <w:r>
                    <w:rPr>
                      <w:rFonts w:hint="eastAsia"/>
                      <w:bCs/>
                      <w:color w:val="auto"/>
                      <w:szCs w:val="21"/>
                    </w:rPr>
                    <w:t>2</w:t>
                  </w:r>
                </w:p>
              </w:tc>
              <w:tc>
                <w:tcPr>
                  <w:tcW w:w="1100" w:type="dxa"/>
                  <w:vAlign w:val="center"/>
                </w:tcPr>
                <w:p>
                  <w:pPr>
                    <w:adjustRightInd w:val="0"/>
                    <w:snapToGrid w:val="0"/>
                    <w:jc w:val="center"/>
                    <w:rPr>
                      <w:color w:val="auto"/>
                    </w:rPr>
                  </w:pPr>
                  <w:r>
                    <w:rPr>
                      <w:rFonts w:hint="eastAsia"/>
                      <w:bCs/>
                      <w:color w:val="auto"/>
                      <w:szCs w:val="21"/>
                    </w:rPr>
                    <w:t>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Merge w:val="continue"/>
                </w:tcPr>
                <w:p>
                  <w:pPr>
                    <w:rPr>
                      <w:color w:val="auto"/>
                    </w:rPr>
                  </w:pPr>
                </w:p>
              </w:tc>
              <w:tc>
                <w:tcPr>
                  <w:tcW w:w="689" w:type="dxa"/>
                  <w:vMerge w:val="continue"/>
                  <w:vAlign w:val="center"/>
                </w:tcPr>
                <w:p>
                  <w:pPr>
                    <w:adjustRightInd w:val="0"/>
                    <w:snapToGrid w:val="0"/>
                    <w:jc w:val="center"/>
                    <w:rPr>
                      <w:color w:val="auto"/>
                    </w:rPr>
                  </w:pPr>
                </w:p>
              </w:tc>
              <w:tc>
                <w:tcPr>
                  <w:tcW w:w="3613" w:type="dxa"/>
                  <w:vAlign w:val="center"/>
                </w:tcPr>
                <w:p>
                  <w:pPr>
                    <w:adjustRightInd w:val="0"/>
                    <w:snapToGrid w:val="0"/>
                    <w:jc w:val="center"/>
                    <w:rPr>
                      <w:color w:val="auto"/>
                    </w:rPr>
                  </w:pPr>
                  <w:r>
                    <w:rPr>
                      <w:color w:val="auto"/>
                      <w:szCs w:val="21"/>
                    </w:rPr>
                    <w:t>容积2</w:t>
                  </w:r>
                  <w:r>
                    <w:rPr>
                      <w:rFonts w:hint="eastAsia"/>
                      <w:color w:val="auto"/>
                      <w:szCs w:val="21"/>
                    </w:rPr>
                    <w:t>2</w:t>
                  </w:r>
                  <w:r>
                    <w:rPr>
                      <w:color w:val="auto"/>
                      <w:szCs w:val="21"/>
                    </w:rPr>
                    <w:t>m</w:t>
                  </w:r>
                  <w:r>
                    <w:rPr>
                      <w:color w:val="auto"/>
                      <w:szCs w:val="21"/>
                      <w:vertAlign w:val="superscript"/>
                    </w:rPr>
                    <w:t>3</w:t>
                  </w:r>
                  <w:r>
                    <w:rPr>
                      <w:color w:val="auto"/>
                      <w:szCs w:val="21"/>
                    </w:rPr>
                    <w:t>的冷却水池</w:t>
                  </w:r>
                </w:p>
              </w:tc>
              <w:tc>
                <w:tcPr>
                  <w:tcW w:w="682" w:type="dxa"/>
                  <w:vAlign w:val="center"/>
                </w:tcPr>
                <w:p>
                  <w:pPr>
                    <w:adjustRightInd w:val="0"/>
                    <w:snapToGrid w:val="0"/>
                    <w:jc w:val="center"/>
                    <w:rPr>
                      <w:color w:val="auto"/>
                    </w:rPr>
                  </w:pPr>
                  <w:r>
                    <w:rPr>
                      <w:bCs/>
                      <w:color w:val="auto"/>
                      <w:szCs w:val="21"/>
                    </w:rPr>
                    <w:t>1个</w:t>
                  </w:r>
                </w:p>
              </w:tc>
              <w:tc>
                <w:tcPr>
                  <w:tcW w:w="873" w:type="dxa"/>
                  <w:vAlign w:val="center"/>
                </w:tcPr>
                <w:p>
                  <w:pPr>
                    <w:adjustRightInd w:val="0"/>
                    <w:snapToGrid w:val="0"/>
                    <w:jc w:val="center"/>
                    <w:rPr>
                      <w:color w:val="auto"/>
                    </w:rPr>
                  </w:pPr>
                  <w:r>
                    <w:rPr>
                      <w:bCs/>
                      <w:color w:val="auto"/>
                      <w:szCs w:val="21"/>
                    </w:rPr>
                    <w:t>2</w:t>
                  </w:r>
                </w:p>
              </w:tc>
              <w:tc>
                <w:tcPr>
                  <w:tcW w:w="1100" w:type="dxa"/>
                  <w:vAlign w:val="center"/>
                </w:tcPr>
                <w:p>
                  <w:pPr>
                    <w:adjustRightInd w:val="0"/>
                    <w:snapToGrid w:val="0"/>
                    <w:jc w:val="center"/>
                    <w:rPr>
                      <w:color w:val="auto"/>
                    </w:rPr>
                  </w:pPr>
                  <w:r>
                    <w:rPr>
                      <w:rFonts w:hint="eastAsia"/>
                      <w:bCs/>
                      <w:color w:val="auto"/>
                      <w:szCs w:val="21"/>
                    </w:rPr>
                    <w:t>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Merge w:val="continue"/>
                </w:tcPr>
                <w:p>
                  <w:pPr>
                    <w:rPr>
                      <w:color w:val="auto"/>
                    </w:rPr>
                  </w:pPr>
                </w:p>
              </w:tc>
              <w:tc>
                <w:tcPr>
                  <w:tcW w:w="689" w:type="dxa"/>
                  <w:vMerge w:val="continue"/>
                  <w:vAlign w:val="center"/>
                </w:tcPr>
                <w:p>
                  <w:pPr>
                    <w:adjustRightInd w:val="0"/>
                    <w:snapToGrid w:val="0"/>
                    <w:jc w:val="center"/>
                    <w:rPr>
                      <w:color w:val="auto"/>
                    </w:rPr>
                  </w:pPr>
                </w:p>
              </w:tc>
              <w:tc>
                <w:tcPr>
                  <w:tcW w:w="3613" w:type="dxa"/>
                  <w:vAlign w:val="center"/>
                </w:tcPr>
                <w:p>
                  <w:pPr>
                    <w:adjustRightInd w:val="0"/>
                    <w:snapToGrid w:val="0"/>
                    <w:jc w:val="center"/>
                    <w:rPr>
                      <w:color w:val="auto"/>
                    </w:rPr>
                  </w:pPr>
                  <w:r>
                    <w:rPr>
                      <w:color w:val="auto"/>
                      <w:szCs w:val="21"/>
                    </w:rPr>
                    <w:t>容积24m</w:t>
                  </w:r>
                  <w:r>
                    <w:rPr>
                      <w:color w:val="auto"/>
                      <w:szCs w:val="21"/>
                      <w:vertAlign w:val="superscript"/>
                    </w:rPr>
                    <w:t>3</w:t>
                  </w:r>
                  <w:r>
                    <w:rPr>
                      <w:color w:val="auto"/>
                      <w:szCs w:val="21"/>
                    </w:rPr>
                    <w:t>的清洗池</w:t>
                  </w:r>
                </w:p>
              </w:tc>
              <w:tc>
                <w:tcPr>
                  <w:tcW w:w="682" w:type="dxa"/>
                  <w:vAlign w:val="center"/>
                </w:tcPr>
                <w:p>
                  <w:pPr>
                    <w:adjustRightInd w:val="0"/>
                    <w:snapToGrid w:val="0"/>
                    <w:jc w:val="center"/>
                    <w:rPr>
                      <w:color w:val="auto"/>
                    </w:rPr>
                  </w:pPr>
                  <w:r>
                    <w:rPr>
                      <w:bCs/>
                      <w:color w:val="auto"/>
                      <w:szCs w:val="21"/>
                    </w:rPr>
                    <w:t>1个</w:t>
                  </w:r>
                </w:p>
              </w:tc>
              <w:tc>
                <w:tcPr>
                  <w:tcW w:w="873" w:type="dxa"/>
                  <w:vAlign w:val="center"/>
                </w:tcPr>
                <w:p>
                  <w:pPr>
                    <w:adjustRightInd w:val="0"/>
                    <w:snapToGrid w:val="0"/>
                    <w:jc w:val="center"/>
                    <w:rPr>
                      <w:color w:val="auto"/>
                    </w:rPr>
                  </w:pPr>
                  <w:r>
                    <w:rPr>
                      <w:bCs/>
                      <w:color w:val="auto"/>
                      <w:szCs w:val="21"/>
                    </w:rPr>
                    <w:t>2</w:t>
                  </w:r>
                </w:p>
              </w:tc>
              <w:tc>
                <w:tcPr>
                  <w:tcW w:w="1100" w:type="dxa"/>
                  <w:vAlign w:val="center"/>
                </w:tcPr>
                <w:p>
                  <w:pPr>
                    <w:adjustRightInd w:val="0"/>
                    <w:snapToGrid w:val="0"/>
                    <w:jc w:val="center"/>
                    <w:rPr>
                      <w:color w:val="auto"/>
                    </w:rPr>
                  </w:pPr>
                  <w:r>
                    <w:rPr>
                      <w:rFonts w:hint="eastAsia"/>
                      <w:bCs/>
                      <w:color w:val="auto"/>
                      <w:szCs w:val="21"/>
                    </w:rPr>
                    <w:t>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Merge w:val="continue"/>
                </w:tcPr>
                <w:p>
                  <w:pPr>
                    <w:rPr>
                      <w:color w:val="auto"/>
                    </w:rPr>
                  </w:pPr>
                </w:p>
              </w:tc>
              <w:tc>
                <w:tcPr>
                  <w:tcW w:w="689" w:type="dxa"/>
                  <w:vAlign w:val="center"/>
                </w:tcPr>
                <w:p>
                  <w:pPr>
                    <w:adjustRightInd w:val="0"/>
                    <w:snapToGrid w:val="0"/>
                    <w:jc w:val="center"/>
                    <w:rPr>
                      <w:color w:val="auto"/>
                    </w:rPr>
                  </w:pPr>
                  <w:r>
                    <w:rPr>
                      <w:color w:val="auto"/>
                      <w:szCs w:val="21"/>
                    </w:rPr>
                    <w:t>事故水池</w:t>
                  </w:r>
                </w:p>
              </w:tc>
              <w:tc>
                <w:tcPr>
                  <w:tcW w:w="3613" w:type="dxa"/>
                  <w:vAlign w:val="center"/>
                </w:tcPr>
                <w:p>
                  <w:pPr>
                    <w:adjustRightInd w:val="0"/>
                    <w:snapToGrid w:val="0"/>
                    <w:jc w:val="center"/>
                    <w:rPr>
                      <w:color w:val="auto"/>
                    </w:rPr>
                  </w:pPr>
                  <w:r>
                    <w:rPr>
                      <w:color w:val="auto"/>
                      <w:szCs w:val="21"/>
                    </w:rPr>
                    <w:t>1个容积30m</w:t>
                  </w:r>
                  <w:r>
                    <w:rPr>
                      <w:color w:val="auto"/>
                      <w:szCs w:val="21"/>
                      <w:vertAlign w:val="superscript"/>
                    </w:rPr>
                    <w:t>3</w:t>
                  </w:r>
                  <w:r>
                    <w:rPr>
                      <w:color w:val="auto"/>
                      <w:szCs w:val="21"/>
                    </w:rPr>
                    <w:t>的事故池，事故水池平时保持空置</w:t>
                  </w:r>
                </w:p>
              </w:tc>
              <w:tc>
                <w:tcPr>
                  <w:tcW w:w="682" w:type="dxa"/>
                  <w:vAlign w:val="center"/>
                </w:tcPr>
                <w:p>
                  <w:pPr>
                    <w:adjustRightInd w:val="0"/>
                    <w:snapToGrid w:val="0"/>
                    <w:jc w:val="center"/>
                    <w:rPr>
                      <w:color w:val="auto"/>
                    </w:rPr>
                  </w:pPr>
                  <w:r>
                    <w:rPr>
                      <w:color w:val="auto"/>
                      <w:szCs w:val="21"/>
                    </w:rPr>
                    <w:t>1个</w:t>
                  </w:r>
                </w:p>
              </w:tc>
              <w:tc>
                <w:tcPr>
                  <w:tcW w:w="873" w:type="dxa"/>
                  <w:vAlign w:val="center"/>
                </w:tcPr>
                <w:p>
                  <w:pPr>
                    <w:adjustRightInd w:val="0"/>
                    <w:snapToGrid w:val="0"/>
                    <w:jc w:val="center"/>
                    <w:rPr>
                      <w:color w:val="auto"/>
                    </w:rPr>
                  </w:pPr>
                  <w:r>
                    <w:rPr>
                      <w:bCs/>
                      <w:color w:val="auto"/>
                      <w:szCs w:val="21"/>
                    </w:rPr>
                    <w:t>3</w:t>
                  </w:r>
                </w:p>
              </w:tc>
              <w:tc>
                <w:tcPr>
                  <w:tcW w:w="1100" w:type="dxa"/>
                  <w:vAlign w:val="center"/>
                </w:tcPr>
                <w:p>
                  <w:pPr>
                    <w:adjustRightInd w:val="0"/>
                    <w:snapToGrid w:val="0"/>
                    <w:jc w:val="center"/>
                    <w:rPr>
                      <w:color w:val="auto"/>
                    </w:rPr>
                  </w:pPr>
                  <w:r>
                    <w:rPr>
                      <w:bCs/>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Merge w:val="continue"/>
                </w:tcPr>
                <w:p>
                  <w:pPr>
                    <w:rPr>
                      <w:color w:val="auto"/>
                    </w:rPr>
                  </w:pPr>
                </w:p>
              </w:tc>
              <w:tc>
                <w:tcPr>
                  <w:tcW w:w="689" w:type="dxa"/>
                  <w:vAlign w:val="center"/>
                </w:tcPr>
                <w:p>
                  <w:pPr>
                    <w:adjustRightInd w:val="0"/>
                    <w:snapToGrid w:val="0"/>
                    <w:jc w:val="center"/>
                    <w:rPr>
                      <w:color w:val="auto"/>
                    </w:rPr>
                  </w:pPr>
                  <w:r>
                    <w:rPr>
                      <w:color w:val="auto"/>
                      <w:szCs w:val="21"/>
                    </w:rPr>
                    <w:t>生活污水处理</w:t>
                  </w:r>
                </w:p>
              </w:tc>
              <w:tc>
                <w:tcPr>
                  <w:tcW w:w="3613" w:type="dxa"/>
                  <w:vAlign w:val="center"/>
                </w:tcPr>
                <w:p>
                  <w:pPr>
                    <w:adjustRightInd w:val="0"/>
                    <w:snapToGrid w:val="0"/>
                    <w:jc w:val="center"/>
                    <w:rPr>
                      <w:color w:val="auto"/>
                    </w:rPr>
                  </w:pPr>
                  <w:r>
                    <w:rPr>
                      <w:color w:val="auto"/>
                      <w:kern w:val="0"/>
                      <w:szCs w:val="21"/>
                    </w:rPr>
                    <w:t>1个0.5m</w:t>
                  </w:r>
                  <w:r>
                    <w:rPr>
                      <w:color w:val="auto"/>
                      <w:kern w:val="0"/>
                      <w:szCs w:val="21"/>
                      <w:vertAlign w:val="superscript"/>
                    </w:rPr>
                    <w:t>3</w:t>
                  </w:r>
                  <w:r>
                    <w:rPr>
                      <w:color w:val="auto"/>
                    </w:rPr>
                    <w:t>隔油池+</w:t>
                  </w:r>
                  <w:r>
                    <w:rPr>
                      <w:rFonts w:hint="eastAsia"/>
                      <w:color w:val="auto"/>
                      <w:kern w:val="0"/>
                      <w:szCs w:val="21"/>
                      <w:lang w:val="en-US" w:eastAsia="zh-CN"/>
                    </w:rPr>
                    <w:t>3</w:t>
                  </w:r>
                  <w:r>
                    <w:rPr>
                      <w:color w:val="auto"/>
                      <w:kern w:val="0"/>
                      <w:szCs w:val="21"/>
                    </w:rPr>
                    <w:t>0m</w:t>
                  </w:r>
                  <w:r>
                    <w:rPr>
                      <w:color w:val="auto"/>
                      <w:kern w:val="0"/>
                      <w:szCs w:val="21"/>
                      <w:vertAlign w:val="superscript"/>
                    </w:rPr>
                    <w:t>3</w:t>
                  </w:r>
                  <w:r>
                    <w:rPr>
                      <w:color w:val="auto"/>
                    </w:rPr>
                    <w:t>化粪池+</w:t>
                  </w:r>
                  <w:r>
                    <w:rPr>
                      <w:rFonts w:hint="eastAsia"/>
                      <w:color w:val="auto"/>
                      <w:kern w:val="0"/>
                      <w:szCs w:val="21"/>
                      <w:lang w:val="en-US" w:eastAsia="zh-CN"/>
                    </w:rPr>
                    <w:t>30</w:t>
                  </w:r>
                  <w:r>
                    <w:rPr>
                      <w:color w:val="auto"/>
                      <w:kern w:val="0"/>
                      <w:szCs w:val="21"/>
                    </w:rPr>
                    <w:t>m</w:t>
                  </w:r>
                  <w:r>
                    <w:rPr>
                      <w:color w:val="auto"/>
                      <w:kern w:val="0"/>
                      <w:szCs w:val="21"/>
                      <w:vertAlign w:val="superscript"/>
                    </w:rPr>
                    <w:t>3</w:t>
                  </w:r>
                  <w:r>
                    <w:rPr>
                      <w:color w:val="auto"/>
                      <w:kern w:val="0"/>
                      <w:szCs w:val="21"/>
                    </w:rPr>
                    <w:t>/d</w:t>
                  </w:r>
                  <w:r>
                    <w:rPr>
                      <w:rFonts w:hint="eastAsia"/>
                      <w:color w:val="auto"/>
                      <w:kern w:val="0"/>
                      <w:szCs w:val="21"/>
                      <w:lang w:val="en-US" w:eastAsia="zh-CN"/>
                    </w:rPr>
                    <w:t>生活</w:t>
                  </w:r>
                  <w:r>
                    <w:rPr>
                      <w:color w:val="auto"/>
                    </w:rPr>
                    <w:t>污水处理设施</w:t>
                  </w:r>
                </w:p>
              </w:tc>
              <w:tc>
                <w:tcPr>
                  <w:tcW w:w="682" w:type="dxa"/>
                  <w:vAlign w:val="center"/>
                </w:tcPr>
                <w:p>
                  <w:pPr>
                    <w:adjustRightInd w:val="0"/>
                    <w:snapToGrid w:val="0"/>
                    <w:jc w:val="center"/>
                    <w:rPr>
                      <w:color w:val="auto"/>
                    </w:rPr>
                  </w:pPr>
                  <w:r>
                    <w:rPr>
                      <w:color w:val="auto"/>
                      <w:szCs w:val="21"/>
                    </w:rPr>
                    <w:t>1套</w:t>
                  </w:r>
                </w:p>
              </w:tc>
              <w:tc>
                <w:tcPr>
                  <w:tcW w:w="873" w:type="dxa"/>
                  <w:vAlign w:val="center"/>
                </w:tcPr>
                <w:p>
                  <w:pPr>
                    <w:adjustRightInd w:val="0"/>
                    <w:snapToGrid w:val="0"/>
                    <w:jc w:val="center"/>
                    <w:rPr>
                      <w:color w:val="auto"/>
                    </w:rPr>
                  </w:pPr>
                  <w:r>
                    <w:rPr>
                      <w:bCs/>
                      <w:color w:val="auto"/>
                      <w:szCs w:val="21"/>
                    </w:rPr>
                    <w:t>/</w:t>
                  </w:r>
                </w:p>
              </w:tc>
              <w:tc>
                <w:tcPr>
                  <w:tcW w:w="1100" w:type="dxa"/>
                  <w:vAlign w:val="center"/>
                </w:tcPr>
                <w:p>
                  <w:pPr>
                    <w:adjustRightInd w:val="0"/>
                    <w:snapToGrid w:val="0"/>
                    <w:jc w:val="center"/>
                    <w:rPr>
                      <w:color w:val="auto"/>
                    </w:rPr>
                  </w:pPr>
                  <w:r>
                    <w:rPr>
                      <w:bCs/>
                      <w:color w:val="auto"/>
                      <w:szCs w:val="21"/>
                    </w:rPr>
                    <w:t>依托已建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Align w:val="center"/>
                </w:tcPr>
                <w:p>
                  <w:pPr>
                    <w:adjustRightInd w:val="0"/>
                    <w:snapToGrid w:val="0"/>
                    <w:jc w:val="center"/>
                    <w:rPr>
                      <w:color w:val="auto"/>
                    </w:rPr>
                  </w:pPr>
                  <w:r>
                    <w:rPr>
                      <w:bCs/>
                      <w:color w:val="auto"/>
                      <w:szCs w:val="21"/>
                    </w:rPr>
                    <w:t>噪声</w:t>
                  </w:r>
                </w:p>
              </w:tc>
              <w:tc>
                <w:tcPr>
                  <w:tcW w:w="689" w:type="dxa"/>
                  <w:vAlign w:val="center"/>
                </w:tcPr>
                <w:p>
                  <w:pPr>
                    <w:adjustRightInd w:val="0"/>
                    <w:snapToGrid w:val="0"/>
                    <w:jc w:val="center"/>
                    <w:rPr>
                      <w:color w:val="auto"/>
                    </w:rPr>
                  </w:pPr>
                  <w:r>
                    <w:rPr>
                      <w:color w:val="auto"/>
                      <w:szCs w:val="21"/>
                    </w:rPr>
                    <w:t>噪声防治</w:t>
                  </w:r>
                </w:p>
              </w:tc>
              <w:tc>
                <w:tcPr>
                  <w:tcW w:w="3613" w:type="dxa"/>
                  <w:vAlign w:val="center"/>
                </w:tcPr>
                <w:p>
                  <w:pPr>
                    <w:adjustRightInd w:val="0"/>
                    <w:snapToGrid w:val="0"/>
                    <w:jc w:val="center"/>
                    <w:rPr>
                      <w:color w:val="auto"/>
                    </w:rPr>
                  </w:pPr>
                  <w:r>
                    <w:rPr>
                      <w:color w:val="auto"/>
                      <w:szCs w:val="21"/>
                    </w:rPr>
                    <w:t>消声、减震、隔声</w:t>
                  </w:r>
                </w:p>
              </w:tc>
              <w:tc>
                <w:tcPr>
                  <w:tcW w:w="682" w:type="dxa"/>
                  <w:vAlign w:val="center"/>
                </w:tcPr>
                <w:p>
                  <w:pPr>
                    <w:adjustRightInd w:val="0"/>
                    <w:snapToGrid w:val="0"/>
                    <w:jc w:val="center"/>
                    <w:rPr>
                      <w:color w:val="auto"/>
                    </w:rPr>
                  </w:pPr>
                  <w:r>
                    <w:rPr>
                      <w:bCs/>
                      <w:color w:val="auto"/>
                      <w:szCs w:val="21"/>
                    </w:rPr>
                    <w:t>/</w:t>
                  </w:r>
                </w:p>
              </w:tc>
              <w:tc>
                <w:tcPr>
                  <w:tcW w:w="873" w:type="dxa"/>
                  <w:vAlign w:val="center"/>
                </w:tcPr>
                <w:p>
                  <w:pPr>
                    <w:adjustRightInd w:val="0"/>
                    <w:snapToGrid w:val="0"/>
                    <w:jc w:val="center"/>
                    <w:rPr>
                      <w:color w:val="auto"/>
                    </w:rPr>
                  </w:pPr>
                  <w:r>
                    <w:rPr>
                      <w:bCs/>
                      <w:color w:val="auto"/>
                      <w:szCs w:val="21"/>
                    </w:rPr>
                    <w:t>3</w:t>
                  </w:r>
                </w:p>
              </w:tc>
              <w:tc>
                <w:tcPr>
                  <w:tcW w:w="1100" w:type="dxa"/>
                  <w:vAlign w:val="center"/>
                </w:tcPr>
                <w:p>
                  <w:pPr>
                    <w:adjustRightInd w:val="0"/>
                    <w:snapToGrid w:val="0"/>
                    <w:jc w:val="center"/>
                    <w:rPr>
                      <w:color w:val="auto"/>
                    </w:rPr>
                  </w:pPr>
                  <w:r>
                    <w:rPr>
                      <w:bCs/>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Merge w:val="restart"/>
                  <w:vAlign w:val="center"/>
                </w:tcPr>
                <w:p>
                  <w:pPr>
                    <w:adjustRightInd w:val="0"/>
                    <w:snapToGrid w:val="0"/>
                    <w:jc w:val="center"/>
                    <w:rPr>
                      <w:bCs/>
                      <w:color w:val="auto"/>
                      <w:szCs w:val="21"/>
                    </w:rPr>
                  </w:pPr>
                  <w:r>
                    <w:rPr>
                      <w:rFonts w:hint="eastAsia"/>
                      <w:bCs/>
                      <w:color w:val="auto"/>
                      <w:szCs w:val="21"/>
                    </w:rPr>
                    <w:t>固废</w:t>
                  </w:r>
                </w:p>
              </w:tc>
              <w:tc>
                <w:tcPr>
                  <w:tcW w:w="689" w:type="dxa"/>
                  <w:vAlign w:val="center"/>
                </w:tcPr>
                <w:p>
                  <w:pPr>
                    <w:adjustRightInd w:val="0"/>
                    <w:snapToGrid w:val="0"/>
                    <w:jc w:val="center"/>
                    <w:rPr>
                      <w:color w:val="auto"/>
                      <w:szCs w:val="21"/>
                    </w:rPr>
                  </w:pPr>
                  <w:r>
                    <w:rPr>
                      <w:color w:val="auto"/>
                      <w:kern w:val="0"/>
                      <w:szCs w:val="21"/>
                    </w:rPr>
                    <w:t>生活垃圾</w:t>
                  </w:r>
                </w:p>
              </w:tc>
              <w:tc>
                <w:tcPr>
                  <w:tcW w:w="3613" w:type="dxa"/>
                  <w:vAlign w:val="center"/>
                </w:tcPr>
                <w:p>
                  <w:pPr>
                    <w:pStyle w:val="8"/>
                    <w:adjustRightInd w:val="0"/>
                    <w:snapToGrid w:val="0"/>
                    <w:ind w:firstLine="0" w:firstLineChars="0"/>
                    <w:jc w:val="center"/>
                    <w:rPr>
                      <w:color w:val="auto"/>
                      <w:szCs w:val="21"/>
                    </w:rPr>
                  </w:pPr>
                  <w:r>
                    <w:rPr>
                      <w:color w:val="auto"/>
                      <w:sz w:val="21"/>
                      <w:szCs w:val="21"/>
                    </w:rPr>
                    <w:t>生活垃圾收集桶、环卫部门清运、处置</w:t>
                  </w:r>
                </w:p>
              </w:tc>
              <w:tc>
                <w:tcPr>
                  <w:tcW w:w="682" w:type="dxa"/>
                  <w:vAlign w:val="center"/>
                </w:tcPr>
                <w:p>
                  <w:pPr>
                    <w:adjustRightInd w:val="0"/>
                    <w:snapToGrid w:val="0"/>
                    <w:jc w:val="center"/>
                    <w:rPr>
                      <w:bCs/>
                      <w:color w:val="auto"/>
                      <w:szCs w:val="21"/>
                    </w:rPr>
                  </w:pPr>
                  <w:r>
                    <w:rPr>
                      <w:bCs/>
                      <w:color w:val="auto"/>
                      <w:szCs w:val="21"/>
                    </w:rPr>
                    <w:t>/</w:t>
                  </w:r>
                </w:p>
              </w:tc>
              <w:tc>
                <w:tcPr>
                  <w:tcW w:w="873" w:type="dxa"/>
                  <w:vAlign w:val="center"/>
                </w:tcPr>
                <w:p>
                  <w:pPr>
                    <w:adjustRightInd w:val="0"/>
                    <w:snapToGrid w:val="0"/>
                    <w:jc w:val="center"/>
                    <w:rPr>
                      <w:bCs/>
                      <w:color w:val="auto"/>
                      <w:szCs w:val="21"/>
                    </w:rPr>
                  </w:pPr>
                  <w:r>
                    <w:rPr>
                      <w:bCs/>
                      <w:color w:val="auto"/>
                      <w:szCs w:val="21"/>
                    </w:rPr>
                    <w:t>0.5</w:t>
                  </w:r>
                </w:p>
              </w:tc>
              <w:tc>
                <w:tcPr>
                  <w:tcW w:w="1100" w:type="dxa"/>
                  <w:vAlign w:val="center"/>
                </w:tcPr>
                <w:p>
                  <w:pPr>
                    <w:adjustRightInd w:val="0"/>
                    <w:snapToGrid w:val="0"/>
                    <w:jc w:val="center"/>
                    <w:rPr>
                      <w:bCs/>
                      <w:color w:val="auto"/>
                      <w:szCs w:val="21"/>
                    </w:rPr>
                  </w:pPr>
                  <w:r>
                    <w:rPr>
                      <w:bCs/>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Merge w:val="continue"/>
                  <w:vAlign w:val="center"/>
                </w:tcPr>
                <w:p>
                  <w:pPr>
                    <w:adjustRightInd w:val="0"/>
                    <w:snapToGrid w:val="0"/>
                    <w:jc w:val="center"/>
                    <w:rPr>
                      <w:bCs/>
                      <w:color w:val="auto"/>
                      <w:szCs w:val="21"/>
                    </w:rPr>
                  </w:pPr>
                </w:p>
              </w:tc>
              <w:tc>
                <w:tcPr>
                  <w:tcW w:w="689" w:type="dxa"/>
                  <w:vAlign w:val="center"/>
                </w:tcPr>
                <w:p>
                  <w:pPr>
                    <w:adjustRightInd w:val="0"/>
                    <w:snapToGrid w:val="0"/>
                    <w:jc w:val="center"/>
                    <w:rPr>
                      <w:color w:val="auto"/>
                      <w:szCs w:val="21"/>
                    </w:rPr>
                  </w:pPr>
                  <w:r>
                    <w:rPr>
                      <w:color w:val="auto"/>
                      <w:kern w:val="0"/>
                      <w:szCs w:val="21"/>
                    </w:rPr>
                    <w:t>一般固废暂存间</w:t>
                  </w:r>
                </w:p>
              </w:tc>
              <w:tc>
                <w:tcPr>
                  <w:tcW w:w="3613" w:type="dxa"/>
                  <w:vAlign w:val="center"/>
                </w:tcPr>
                <w:p>
                  <w:pPr>
                    <w:pStyle w:val="8"/>
                    <w:adjustRightInd w:val="0"/>
                    <w:snapToGrid w:val="0"/>
                    <w:ind w:firstLine="0" w:firstLineChars="0"/>
                    <w:jc w:val="center"/>
                    <w:rPr>
                      <w:color w:val="auto"/>
                      <w:szCs w:val="21"/>
                    </w:rPr>
                  </w:pPr>
                  <w:r>
                    <w:rPr>
                      <w:color w:val="auto"/>
                      <w:sz w:val="21"/>
                      <w:szCs w:val="21"/>
                    </w:rPr>
                    <w:t>设置一个10m</w:t>
                  </w:r>
                  <w:r>
                    <w:rPr>
                      <w:color w:val="auto"/>
                      <w:sz w:val="21"/>
                      <w:szCs w:val="21"/>
                      <w:vertAlign w:val="superscript"/>
                    </w:rPr>
                    <w:t>2</w:t>
                  </w:r>
                  <w:r>
                    <w:rPr>
                      <w:color w:val="auto"/>
                      <w:sz w:val="21"/>
                      <w:szCs w:val="21"/>
                    </w:rPr>
                    <w:t>的一般固废堆存区</w:t>
                  </w:r>
                </w:p>
              </w:tc>
              <w:tc>
                <w:tcPr>
                  <w:tcW w:w="682" w:type="dxa"/>
                  <w:vAlign w:val="center"/>
                </w:tcPr>
                <w:p>
                  <w:pPr>
                    <w:adjustRightInd w:val="0"/>
                    <w:snapToGrid w:val="0"/>
                    <w:jc w:val="center"/>
                    <w:rPr>
                      <w:bCs/>
                      <w:color w:val="auto"/>
                      <w:szCs w:val="21"/>
                    </w:rPr>
                  </w:pPr>
                  <w:r>
                    <w:rPr>
                      <w:bCs/>
                      <w:color w:val="auto"/>
                      <w:szCs w:val="21"/>
                    </w:rPr>
                    <w:t>/</w:t>
                  </w:r>
                </w:p>
              </w:tc>
              <w:tc>
                <w:tcPr>
                  <w:tcW w:w="873" w:type="dxa"/>
                  <w:vAlign w:val="center"/>
                </w:tcPr>
                <w:p>
                  <w:pPr>
                    <w:adjustRightInd w:val="0"/>
                    <w:snapToGrid w:val="0"/>
                    <w:jc w:val="center"/>
                    <w:rPr>
                      <w:bCs/>
                      <w:color w:val="auto"/>
                      <w:szCs w:val="21"/>
                    </w:rPr>
                  </w:pPr>
                  <w:r>
                    <w:rPr>
                      <w:bCs/>
                      <w:color w:val="auto"/>
                      <w:szCs w:val="21"/>
                    </w:rPr>
                    <w:t>0.5</w:t>
                  </w:r>
                </w:p>
              </w:tc>
              <w:tc>
                <w:tcPr>
                  <w:tcW w:w="1100" w:type="dxa"/>
                  <w:vAlign w:val="center"/>
                </w:tcPr>
                <w:p>
                  <w:pPr>
                    <w:adjustRightInd w:val="0"/>
                    <w:snapToGrid w:val="0"/>
                    <w:jc w:val="center"/>
                    <w:rPr>
                      <w:bCs/>
                      <w:color w:val="auto"/>
                      <w:szCs w:val="21"/>
                    </w:rPr>
                  </w:pPr>
                  <w:r>
                    <w:rPr>
                      <w:bCs/>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Merge w:val="continue"/>
                  <w:vAlign w:val="center"/>
                </w:tcPr>
                <w:p>
                  <w:pPr>
                    <w:adjustRightInd w:val="0"/>
                    <w:snapToGrid w:val="0"/>
                    <w:jc w:val="center"/>
                    <w:rPr>
                      <w:bCs/>
                      <w:color w:val="auto"/>
                      <w:szCs w:val="21"/>
                    </w:rPr>
                  </w:pPr>
                </w:p>
              </w:tc>
              <w:tc>
                <w:tcPr>
                  <w:tcW w:w="689" w:type="dxa"/>
                  <w:vAlign w:val="center"/>
                </w:tcPr>
                <w:p>
                  <w:pPr>
                    <w:adjustRightInd w:val="0"/>
                    <w:snapToGrid w:val="0"/>
                    <w:jc w:val="center"/>
                    <w:rPr>
                      <w:color w:val="auto"/>
                      <w:szCs w:val="21"/>
                    </w:rPr>
                  </w:pPr>
                  <w:r>
                    <w:rPr>
                      <w:color w:val="auto"/>
                      <w:kern w:val="0"/>
                      <w:szCs w:val="21"/>
                    </w:rPr>
                    <w:t>危险废物</w:t>
                  </w:r>
                </w:p>
              </w:tc>
              <w:tc>
                <w:tcPr>
                  <w:tcW w:w="3613" w:type="dxa"/>
                  <w:vAlign w:val="center"/>
                </w:tcPr>
                <w:p>
                  <w:pPr>
                    <w:pStyle w:val="8"/>
                    <w:adjustRightInd w:val="0"/>
                    <w:snapToGrid w:val="0"/>
                    <w:ind w:firstLine="0" w:firstLineChars="0"/>
                    <w:jc w:val="center"/>
                    <w:rPr>
                      <w:color w:val="auto"/>
                      <w:szCs w:val="21"/>
                    </w:rPr>
                  </w:pPr>
                  <w:r>
                    <w:rPr>
                      <w:color w:val="auto"/>
                      <w:sz w:val="21"/>
                      <w:szCs w:val="21"/>
                    </w:rPr>
                    <w:t>委托有资质的单位处理。</w:t>
                  </w:r>
                </w:p>
              </w:tc>
              <w:tc>
                <w:tcPr>
                  <w:tcW w:w="682" w:type="dxa"/>
                  <w:vAlign w:val="center"/>
                </w:tcPr>
                <w:p>
                  <w:pPr>
                    <w:adjustRightInd w:val="0"/>
                    <w:snapToGrid w:val="0"/>
                    <w:jc w:val="center"/>
                    <w:rPr>
                      <w:bCs/>
                      <w:color w:val="auto"/>
                      <w:szCs w:val="21"/>
                    </w:rPr>
                  </w:pPr>
                  <w:r>
                    <w:rPr>
                      <w:bCs/>
                      <w:color w:val="auto"/>
                      <w:szCs w:val="21"/>
                    </w:rPr>
                    <w:t>/</w:t>
                  </w:r>
                </w:p>
              </w:tc>
              <w:tc>
                <w:tcPr>
                  <w:tcW w:w="873" w:type="dxa"/>
                  <w:vAlign w:val="center"/>
                </w:tcPr>
                <w:p>
                  <w:pPr>
                    <w:adjustRightInd w:val="0"/>
                    <w:snapToGrid w:val="0"/>
                    <w:jc w:val="center"/>
                    <w:rPr>
                      <w:bCs/>
                      <w:color w:val="auto"/>
                      <w:szCs w:val="21"/>
                    </w:rPr>
                  </w:pPr>
                  <w:r>
                    <w:rPr>
                      <w:bCs/>
                      <w:color w:val="auto"/>
                      <w:szCs w:val="21"/>
                    </w:rPr>
                    <w:t>6</w:t>
                  </w:r>
                </w:p>
              </w:tc>
              <w:tc>
                <w:tcPr>
                  <w:tcW w:w="1100" w:type="dxa"/>
                  <w:vAlign w:val="center"/>
                </w:tcPr>
                <w:p>
                  <w:pPr>
                    <w:adjustRightInd w:val="0"/>
                    <w:snapToGrid w:val="0"/>
                    <w:jc w:val="center"/>
                    <w:rPr>
                      <w:bCs/>
                      <w:color w:val="auto"/>
                      <w:szCs w:val="21"/>
                    </w:rPr>
                  </w:pPr>
                  <w:r>
                    <w:rPr>
                      <w:bCs/>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Merge w:val="continue"/>
                  <w:vAlign w:val="center"/>
                </w:tcPr>
                <w:p>
                  <w:pPr>
                    <w:adjustRightInd w:val="0"/>
                    <w:snapToGrid w:val="0"/>
                    <w:jc w:val="center"/>
                    <w:rPr>
                      <w:bCs/>
                      <w:color w:val="auto"/>
                      <w:szCs w:val="21"/>
                    </w:rPr>
                  </w:pPr>
                </w:p>
              </w:tc>
              <w:tc>
                <w:tcPr>
                  <w:tcW w:w="689" w:type="dxa"/>
                  <w:vAlign w:val="center"/>
                </w:tcPr>
                <w:p>
                  <w:pPr>
                    <w:adjustRightInd w:val="0"/>
                    <w:snapToGrid w:val="0"/>
                    <w:jc w:val="center"/>
                    <w:rPr>
                      <w:color w:val="auto"/>
                      <w:szCs w:val="21"/>
                    </w:rPr>
                  </w:pPr>
                  <w:r>
                    <w:rPr>
                      <w:color w:val="auto"/>
                      <w:kern w:val="0"/>
                      <w:szCs w:val="21"/>
                    </w:rPr>
                    <w:t>危废处置</w:t>
                  </w:r>
                </w:p>
              </w:tc>
              <w:tc>
                <w:tcPr>
                  <w:tcW w:w="3613" w:type="dxa"/>
                  <w:vAlign w:val="center"/>
                </w:tcPr>
                <w:p>
                  <w:pPr>
                    <w:pStyle w:val="8"/>
                    <w:adjustRightInd w:val="0"/>
                    <w:snapToGrid w:val="0"/>
                    <w:ind w:firstLine="0" w:firstLineChars="0"/>
                    <w:jc w:val="center"/>
                    <w:rPr>
                      <w:color w:val="auto"/>
                      <w:szCs w:val="21"/>
                    </w:rPr>
                  </w:pPr>
                  <w:r>
                    <w:rPr>
                      <w:color w:val="auto"/>
                      <w:sz w:val="21"/>
                      <w:szCs w:val="21"/>
                    </w:rPr>
                    <w:t>危废收集容器、1间10m</w:t>
                  </w:r>
                  <w:r>
                    <w:rPr>
                      <w:color w:val="auto"/>
                      <w:sz w:val="21"/>
                      <w:szCs w:val="21"/>
                      <w:vertAlign w:val="superscript"/>
                    </w:rPr>
                    <w:t>2</w:t>
                  </w:r>
                  <w:r>
                    <w:rPr>
                      <w:color w:val="auto"/>
                      <w:sz w:val="21"/>
                      <w:szCs w:val="21"/>
                    </w:rPr>
                    <w:t>的危废暂存间。</w:t>
                  </w:r>
                </w:p>
              </w:tc>
              <w:tc>
                <w:tcPr>
                  <w:tcW w:w="682" w:type="dxa"/>
                  <w:vAlign w:val="center"/>
                </w:tcPr>
                <w:p>
                  <w:pPr>
                    <w:adjustRightInd w:val="0"/>
                    <w:snapToGrid w:val="0"/>
                    <w:jc w:val="center"/>
                    <w:rPr>
                      <w:bCs/>
                      <w:color w:val="auto"/>
                      <w:szCs w:val="21"/>
                    </w:rPr>
                  </w:pPr>
                  <w:r>
                    <w:rPr>
                      <w:bCs/>
                      <w:color w:val="auto"/>
                      <w:szCs w:val="21"/>
                    </w:rPr>
                    <w:t>/</w:t>
                  </w:r>
                </w:p>
              </w:tc>
              <w:tc>
                <w:tcPr>
                  <w:tcW w:w="873" w:type="dxa"/>
                  <w:vAlign w:val="center"/>
                </w:tcPr>
                <w:p>
                  <w:pPr>
                    <w:adjustRightInd w:val="0"/>
                    <w:snapToGrid w:val="0"/>
                    <w:jc w:val="center"/>
                    <w:rPr>
                      <w:bCs/>
                      <w:color w:val="auto"/>
                      <w:szCs w:val="21"/>
                    </w:rPr>
                  </w:pPr>
                  <w:r>
                    <w:rPr>
                      <w:bCs/>
                      <w:color w:val="auto"/>
                      <w:szCs w:val="21"/>
                    </w:rPr>
                    <w:t>2</w:t>
                  </w:r>
                </w:p>
              </w:tc>
              <w:tc>
                <w:tcPr>
                  <w:tcW w:w="1100" w:type="dxa"/>
                  <w:vAlign w:val="center"/>
                </w:tcPr>
                <w:p>
                  <w:pPr>
                    <w:adjustRightInd w:val="0"/>
                    <w:snapToGrid w:val="0"/>
                    <w:jc w:val="center"/>
                    <w:rPr>
                      <w:bCs/>
                      <w:color w:val="auto"/>
                      <w:szCs w:val="21"/>
                    </w:rPr>
                  </w:pPr>
                  <w:r>
                    <w:rPr>
                      <w:bCs/>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Align w:val="center"/>
                </w:tcPr>
                <w:p>
                  <w:pPr>
                    <w:adjustRightInd w:val="0"/>
                    <w:snapToGrid w:val="0"/>
                    <w:jc w:val="center"/>
                    <w:rPr>
                      <w:bCs/>
                      <w:color w:val="auto"/>
                      <w:szCs w:val="21"/>
                    </w:rPr>
                  </w:pPr>
                  <w:r>
                    <w:rPr>
                      <w:rFonts w:hint="eastAsia"/>
                      <w:bCs/>
                      <w:color w:val="auto"/>
                      <w:szCs w:val="21"/>
                    </w:rPr>
                    <w:t>地下水</w:t>
                  </w:r>
                </w:p>
              </w:tc>
              <w:tc>
                <w:tcPr>
                  <w:tcW w:w="689" w:type="dxa"/>
                  <w:vAlign w:val="center"/>
                </w:tcPr>
                <w:p>
                  <w:pPr>
                    <w:pStyle w:val="8"/>
                    <w:adjustRightInd w:val="0"/>
                    <w:snapToGrid w:val="0"/>
                    <w:ind w:firstLine="0" w:firstLineChars="0"/>
                    <w:jc w:val="center"/>
                    <w:rPr>
                      <w:color w:val="auto"/>
                      <w:szCs w:val="21"/>
                    </w:rPr>
                  </w:pPr>
                  <w:r>
                    <w:rPr>
                      <w:color w:val="auto"/>
                      <w:sz w:val="21"/>
                      <w:szCs w:val="21"/>
                    </w:rPr>
                    <w:t>分区防渗</w:t>
                  </w:r>
                </w:p>
              </w:tc>
              <w:tc>
                <w:tcPr>
                  <w:tcW w:w="3613" w:type="dxa"/>
                  <w:vAlign w:val="center"/>
                </w:tcPr>
                <w:p>
                  <w:pPr>
                    <w:adjustRightInd w:val="0"/>
                    <w:snapToGrid w:val="0"/>
                    <w:textAlignment w:val="baseline"/>
                    <w:rPr>
                      <w:color w:val="auto"/>
                      <w:szCs w:val="21"/>
                    </w:rPr>
                  </w:pPr>
                  <w:r>
                    <w:rPr>
                      <w:rStyle w:val="37"/>
                      <w:rFonts w:hint="eastAsia"/>
                      <w:color w:val="auto"/>
                      <w:kern w:val="0"/>
                    </w:rPr>
                    <w:t>危废暂存间拟采用</w:t>
                  </w:r>
                  <w:r>
                    <w:rPr>
                      <w:color w:val="auto"/>
                      <w:szCs w:val="21"/>
                    </w:rPr>
                    <w:t>在现有的水泥硬化基础上新增2.0mmHDPE膜进行防渗</w:t>
                  </w:r>
                  <w:r>
                    <w:rPr>
                      <w:rFonts w:hint="eastAsia"/>
                      <w:color w:val="auto"/>
                      <w:szCs w:val="21"/>
                    </w:rPr>
                    <w:t>；除</w:t>
                  </w:r>
                  <w:r>
                    <w:rPr>
                      <w:color w:val="auto"/>
                      <w:szCs w:val="21"/>
                    </w:rPr>
                    <w:t>地面防渗外，还应对围堰区进行防渗</w:t>
                  </w:r>
                  <w:r>
                    <w:rPr>
                      <w:rFonts w:hint="eastAsia"/>
                      <w:color w:val="auto"/>
                      <w:szCs w:val="21"/>
                    </w:rPr>
                    <w:t>。</w:t>
                  </w:r>
                </w:p>
                <w:p>
                  <w:pPr>
                    <w:adjustRightInd w:val="0"/>
                    <w:snapToGrid w:val="0"/>
                    <w:textAlignment w:val="baseline"/>
                    <w:rPr>
                      <w:color w:val="auto"/>
                      <w:szCs w:val="21"/>
                    </w:rPr>
                  </w:pPr>
                  <w:r>
                    <w:rPr>
                      <w:rFonts w:hint="eastAsia"/>
                      <w:color w:val="auto"/>
                      <w:szCs w:val="21"/>
                    </w:rPr>
                    <w:t>污水处理设施各盛水构筑物</w:t>
                  </w:r>
                  <w:r>
                    <w:rPr>
                      <w:color w:val="auto"/>
                      <w:szCs w:val="21"/>
                    </w:rPr>
                    <w:t>（清水</w:t>
                  </w:r>
                  <w:r>
                    <w:rPr>
                      <w:rFonts w:hint="eastAsia"/>
                      <w:color w:val="auto"/>
                      <w:szCs w:val="21"/>
                    </w:rPr>
                    <w:t>回用</w:t>
                  </w:r>
                  <w:r>
                    <w:rPr>
                      <w:color w:val="auto"/>
                      <w:szCs w:val="21"/>
                    </w:rPr>
                    <w:t>池、</w:t>
                  </w:r>
                  <w:r>
                    <w:rPr>
                      <w:rFonts w:hint="eastAsia"/>
                      <w:color w:val="auto"/>
                      <w:szCs w:val="21"/>
                    </w:rPr>
                    <w:t>隔油池、水解池</w:t>
                  </w:r>
                  <w:r>
                    <w:rPr>
                      <w:color w:val="auto"/>
                      <w:szCs w:val="21"/>
                    </w:rPr>
                    <w:t>、</w:t>
                  </w:r>
                  <w:r>
                    <w:rPr>
                      <w:rFonts w:hint="eastAsia"/>
                      <w:color w:val="auto"/>
                      <w:szCs w:val="21"/>
                    </w:rPr>
                    <w:t>生物接触氧化池、</w:t>
                  </w:r>
                  <w:r>
                    <w:rPr>
                      <w:color w:val="auto"/>
                      <w:szCs w:val="21"/>
                    </w:rPr>
                    <w:t>污泥池）、排污管道</w:t>
                  </w:r>
                  <w:r>
                    <w:rPr>
                      <w:rFonts w:hint="eastAsia"/>
                      <w:color w:val="auto"/>
                      <w:szCs w:val="21"/>
                    </w:rPr>
                    <w:t>、事故池为一般防渗区，</w:t>
                  </w:r>
                  <w:r>
                    <w:rPr>
                      <w:bCs/>
                      <w:snapToGrid w:val="0"/>
                      <w:color w:val="auto"/>
                      <w:szCs w:val="21"/>
                    </w:rPr>
                    <w:t>拟采用</w:t>
                  </w:r>
                  <w:r>
                    <w:rPr>
                      <w:rFonts w:hint="eastAsia"/>
                      <w:bCs/>
                      <w:snapToGrid w:val="0"/>
                      <w:color w:val="auto"/>
                      <w:szCs w:val="21"/>
                    </w:rPr>
                    <w:t>“</w:t>
                  </w:r>
                  <w:r>
                    <w:rPr>
                      <w:bCs/>
                      <w:snapToGrid w:val="0"/>
                      <w:color w:val="auto"/>
                      <w:szCs w:val="21"/>
                    </w:rPr>
                    <w:t>结构厚度不应小于250mm，混凝土的抗渗等级不应低于P8</w:t>
                  </w:r>
                  <w:r>
                    <w:rPr>
                      <w:rFonts w:hint="eastAsia"/>
                      <w:bCs/>
                      <w:snapToGrid w:val="0"/>
                      <w:color w:val="auto"/>
                      <w:szCs w:val="21"/>
                    </w:rPr>
                    <w:t>”</w:t>
                  </w:r>
                  <w:r>
                    <w:rPr>
                      <w:color w:val="auto"/>
                      <w:szCs w:val="21"/>
                    </w:rPr>
                    <w:t>进行防渗</w:t>
                  </w:r>
                  <w:r>
                    <w:rPr>
                      <w:rFonts w:hint="eastAsia"/>
                      <w:color w:val="auto"/>
                      <w:szCs w:val="21"/>
                    </w:rPr>
                    <w:t>。</w:t>
                  </w:r>
                </w:p>
                <w:p>
                  <w:pPr>
                    <w:adjustRightInd w:val="0"/>
                    <w:snapToGrid w:val="0"/>
                    <w:textAlignment w:val="baseline"/>
                    <w:rPr>
                      <w:color w:val="auto"/>
                      <w:szCs w:val="21"/>
                    </w:rPr>
                  </w:pPr>
                  <w:r>
                    <w:rPr>
                      <w:rFonts w:hint="eastAsia"/>
                      <w:color w:val="auto"/>
                      <w:szCs w:val="21"/>
                    </w:rPr>
                    <w:t>生产厂房、原料堆场、一般固废暂存间、厂区地面为简单防渗区，</w:t>
                  </w:r>
                  <w:r>
                    <w:rPr>
                      <w:color w:val="auto"/>
                      <w:szCs w:val="21"/>
                    </w:rPr>
                    <w:t>应全部硬化处理且保证无破损现象</w:t>
                  </w:r>
                  <w:r>
                    <w:rPr>
                      <w:rFonts w:hint="eastAsia"/>
                      <w:color w:val="auto"/>
                      <w:szCs w:val="21"/>
                    </w:rPr>
                    <w:t>。</w:t>
                  </w:r>
                </w:p>
              </w:tc>
              <w:tc>
                <w:tcPr>
                  <w:tcW w:w="682" w:type="dxa"/>
                  <w:vAlign w:val="center"/>
                </w:tcPr>
                <w:p>
                  <w:pPr>
                    <w:adjustRightInd w:val="0"/>
                    <w:snapToGrid w:val="0"/>
                    <w:jc w:val="center"/>
                    <w:rPr>
                      <w:bCs/>
                      <w:color w:val="auto"/>
                      <w:szCs w:val="21"/>
                    </w:rPr>
                  </w:pPr>
                  <w:r>
                    <w:rPr>
                      <w:bCs/>
                      <w:color w:val="auto"/>
                      <w:szCs w:val="21"/>
                    </w:rPr>
                    <w:t>/</w:t>
                  </w:r>
                </w:p>
              </w:tc>
              <w:tc>
                <w:tcPr>
                  <w:tcW w:w="873" w:type="dxa"/>
                  <w:vAlign w:val="center"/>
                </w:tcPr>
                <w:p>
                  <w:pPr>
                    <w:adjustRightInd w:val="0"/>
                    <w:snapToGrid w:val="0"/>
                    <w:jc w:val="center"/>
                    <w:rPr>
                      <w:bCs/>
                      <w:color w:val="auto"/>
                      <w:szCs w:val="21"/>
                    </w:rPr>
                  </w:pPr>
                  <w:r>
                    <w:rPr>
                      <w:rFonts w:hint="eastAsia"/>
                      <w:bCs/>
                      <w:color w:val="auto"/>
                      <w:szCs w:val="21"/>
                    </w:rPr>
                    <w:t>10</w:t>
                  </w:r>
                </w:p>
              </w:tc>
              <w:tc>
                <w:tcPr>
                  <w:tcW w:w="1100" w:type="dxa"/>
                  <w:vAlign w:val="center"/>
                </w:tcPr>
                <w:p>
                  <w:pPr>
                    <w:adjustRightInd w:val="0"/>
                    <w:snapToGrid w:val="0"/>
                    <w:jc w:val="center"/>
                    <w:rPr>
                      <w:bCs/>
                      <w:color w:val="auto"/>
                      <w:szCs w:val="21"/>
                    </w:rPr>
                  </w:pPr>
                  <w:r>
                    <w:rPr>
                      <w:bCs/>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Merge w:val="restart"/>
                  <w:vAlign w:val="center"/>
                </w:tcPr>
                <w:p>
                  <w:pPr>
                    <w:adjustRightInd w:val="0"/>
                    <w:snapToGrid w:val="0"/>
                    <w:jc w:val="center"/>
                    <w:rPr>
                      <w:color w:val="auto"/>
                    </w:rPr>
                  </w:pPr>
                  <w:r>
                    <w:rPr>
                      <w:bCs/>
                      <w:color w:val="auto"/>
                      <w:szCs w:val="21"/>
                    </w:rPr>
                    <w:t>环境风险</w:t>
                  </w:r>
                </w:p>
              </w:tc>
              <w:tc>
                <w:tcPr>
                  <w:tcW w:w="4302" w:type="dxa"/>
                  <w:gridSpan w:val="2"/>
                  <w:vAlign w:val="center"/>
                </w:tcPr>
                <w:p>
                  <w:pPr>
                    <w:pStyle w:val="8"/>
                    <w:adjustRightInd w:val="0"/>
                    <w:snapToGrid w:val="0"/>
                    <w:ind w:firstLine="0" w:firstLineChars="0"/>
                    <w:jc w:val="center"/>
                    <w:rPr>
                      <w:color w:val="auto"/>
                    </w:rPr>
                  </w:pPr>
                  <w:r>
                    <w:rPr>
                      <w:color w:val="auto"/>
                      <w:sz w:val="21"/>
                      <w:szCs w:val="21"/>
                      <w:lang w:val="zh-CN"/>
                    </w:rPr>
                    <w:t>生产车间设明显的警示标志以及应急物品</w:t>
                  </w:r>
                </w:p>
              </w:tc>
              <w:tc>
                <w:tcPr>
                  <w:tcW w:w="682" w:type="dxa"/>
                  <w:vAlign w:val="center"/>
                </w:tcPr>
                <w:p>
                  <w:pPr>
                    <w:adjustRightInd w:val="0"/>
                    <w:snapToGrid w:val="0"/>
                    <w:jc w:val="center"/>
                    <w:rPr>
                      <w:color w:val="auto"/>
                    </w:rPr>
                  </w:pPr>
                  <w:r>
                    <w:rPr>
                      <w:bCs/>
                      <w:color w:val="auto"/>
                      <w:szCs w:val="21"/>
                    </w:rPr>
                    <w:t>/</w:t>
                  </w:r>
                </w:p>
              </w:tc>
              <w:tc>
                <w:tcPr>
                  <w:tcW w:w="873" w:type="dxa"/>
                  <w:vAlign w:val="center"/>
                </w:tcPr>
                <w:p>
                  <w:pPr>
                    <w:adjustRightInd w:val="0"/>
                    <w:snapToGrid w:val="0"/>
                    <w:jc w:val="center"/>
                    <w:rPr>
                      <w:color w:val="auto"/>
                    </w:rPr>
                  </w:pPr>
                  <w:r>
                    <w:rPr>
                      <w:bCs/>
                      <w:color w:val="auto"/>
                      <w:szCs w:val="21"/>
                    </w:rPr>
                    <w:t>0.2</w:t>
                  </w:r>
                </w:p>
              </w:tc>
              <w:tc>
                <w:tcPr>
                  <w:tcW w:w="1100" w:type="dxa"/>
                  <w:vAlign w:val="center"/>
                </w:tcPr>
                <w:p>
                  <w:pPr>
                    <w:adjustRightInd w:val="0"/>
                    <w:snapToGrid w:val="0"/>
                    <w:jc w:val="center"/>
                    <w:rPr>
                      <w:color w:val="auto"/>
                    </w:rPr>
                  </w:pPr>
                  <w:r>
                    <w:rPr>
                      <w:bCs/>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389" w:type="dxa"/>
                  <w:vMerge w:val="continue"/>
                  <w:vAlign w:val="center"/>
                </w:tcPr>
                <w:p>
                  <w:pPr>
                    <w:adjustRightInd w:val="0"/>
                    <w:snapToGrid w:val="0"/>
                    <w:jc w:val="center"/>
                    <w:rPr>
                      <w:color w:val="auto"/>
                    </w:rPr>
                  </w:pPr>
                </w:p>
              </w:tc>
              <w:tc>
                <w:tcPr>
                  <w:tcW w:w="4302" w:type="dxa"/>
                  <w:gridSpan w:val="2"/>
                  <w:vAlign w:val="center"/>
                </w:tcPr>
                <w:p>
                  <w:pPr>
                    <w:pStyle w:val="8"/>
                    <w:adjustRightInd w:val="0"/>
                    <w:snapToGrid w:val="0"/>
                    <w:ind w:firstLine="0" w:firstLineChars="0"/>
                    <w:jc w:val="center"/>
                    <w:rPr>
                      <w:color w:val="auto"/>
                      <w:kern w:val="2"/>
                      <w:sz w:val="21"/>
                    </w:rPr>
                  </w:pPr>
                  <w:r>
                    <w:rPr>
                      <w:color w:val="auto"/>
                      <w:sz w:val="21"/>
                      <w:szCs w:val="21"/>
                      <w:lang w:val="zh-CN"/>
                    </w:rPr>
                    <w:t>制定突发环境事件应急预案</w:t>
                  </w:r>
                </w:p>
              </w:tc>
              <w:tc>
                <w:tcPr>
                  <w:tcW w:w="682" w:type="dxa"/>
                  <w:vAlign w:val="center"/>
                </w:tcPr>
                <w:p>
                  <w:pPr>
                    <w:adjustRightInd w:val="0"/>
                    <w:snapToGrid w:val="0"/>
                    <w:jc w:val="center"/>
                    <w:rPr>
                      <w:color w:val="auto"/>
                    </w:rPr>
                  </w:pPr>
                  <w:r>
                    <w:rPr>
                      <w:bCs/>
                      <w:color w:val="auto"/>
                      <w:szCs w:val="21"/>
                    </w:rPr>
                    <w:t>/</w:t>
                  </w:r>
                </w:p>
              </w:tc>
              <w:tc>
                <w:tcPr>
                  <w:tcW w:w="873" w:type="dxa"/>
                  <w:vAlign w:val="center"/>
                </w:tcPr>
                <w:p>
                  <w:pPr>
                    <w:adjustRightInd w:val="0"/>
                    <w:snapToGrid w:val="0"/>
                    <w:jc w:val="center"/>
                    <w:rPr>
                      <w:color w:val="auto"/>
                    </w:rPr>
                  </w:pPr>
                  <w:r>
                    <w:rPr>
                      <w:bCs/>
                      <w:color w:val="auto"/>
                      <w:szCs w:val="21"/>
                    </w:rPr>
                    <w:t>1.8</w:t>
                  </w:r>
                </w:p>
              </w:tc>
              <w:tc>
                <w:tcPr>
                  <w:tcW w:w="1100" w:type="dxa"/>
                  <w:vAlign w:val="center"/>
                </w:tcPr>
                <w:p>
                  <w:pPr>
                    <w:adjustRightInd w:val="0"/>
                    <w:snapToGrid w:val="0"/>
                    <w:jc w:val="center"/>
                    <w:rPr>
                      <w:color w:val="auto"/>
                    </w:rPr>
                  </w:pPr>
                  <w:r>
                    <w:rPr>
                      <w:bCs/>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1078" w:type="dxa"/>
                  <w:gridSpan w:val="2"/>
                  <w:vMerge w:val="restart"/>
                  <w:vAlign w:val="center"/>
                </w:tcPr>
                <w:p>
                  <w:pPr>
                    <w:adjustRightInd w:val="0"/>
                    <w:snapToGrid w:val="0"/>
                    <w:jc w:val="center"/>
                    <w:rPr>
                      <w:color w:val="auto"/>
                    </w:rPr>
                  </w:pPr>
                  <w:r>
                    <w:rPr>
                      <w:bCs/>
                      <w:color w:val="auto"/>
                      <w:szCs w:val="21"/>
                    </w:rPr>
                    <w:t>其他</w:t>
                  </w:r>
                </w:p>
              </w:tc>
              <w:tc>
                <w:tcPr>
                  <w:tcW w:w="3613" w:type="dxa"/>
                  <w:vAlign w:val="center"/>
                </w:tcPr>
                <w:p>
                  <w:pPr>
                    <w:adjustRightInd w:val="0"/>
                    <w:snapToGrid w:val="0"/>
                    <w:jc w:val="center"/>
                    <w:textAlignment w:val="baseline"/>
                    <w:rPr>
                      <w:color w:val="auto"/>
                    </w:rPr>
                  </w:pPr>
                  <w:r>
                    <w:rPr>
                      <w:color w:val="auto"/>
                      <w:szCs w:val="21"/>
                    </w:rPr>
                    <w:t>环保标识设置</w:t>
                  </w:r>
                </w:p>
              </w:tc>
              <w:tc>
                <w:tcPr>
                  <w:tcW w:w="682" w:type="dxa"/>
                  <w:vAlign w:val="center"/>
                </w:tcPr>
                <w:p>
                  <w:pPr>
                    <w:adjustRightInd w:val="0"/>
                    <w:snapToGrid w:val="0"/>
                    <w:jc w:val="center"/>
                    <w:rPr>
                      <w:color w:val="auto"/>
                    </w:rPr>
                  </w:pPr>
                  <w:r>
                    <w:rPr>
                      <w:bCs/>
                      <w:color w:val="auto"/>
                      <w:szCs w:val="21"/>
                    </w:rPr>
                    <w:t>数个</w:t>
                  </w:r>
                </w:p>
              </w:tc>
              <w:tc>
                <w:tcPr>
                  <w:tcW w:w="873" w:type="dxa"/>
                  <w:vAlign w:val="center"/>
                </w:tcPr>
                <w:p>
                  <w:pPr>
                    <w:adjustRightInd w:val="0"/>
                    <w:snapToGrid w:val="0"/>
                    <w:jc w:val="center"/>
                    <w:rPr>
                      <w:color w:val="auto"/>
                    </w:rPr>
                  </w:pPr>
                  <w:r>
                    <w:rPr>
                      <w:bCs/>
                      <w:color w:val="auto"/>
                      <w:szCs w:val="21"/>
                    </w:rPr>
                    <w:t>1</w:t>
                  </w:r>
                </w:p>
              </w:tc>
              <w:tc>
                <w:tcPr>
                  <w:tcW w:w="1100" w:type="dxa"/>
                  <w:vAlign w:val="center"/>
                </w:tcPr>
                <w:p>
                  <w:pPr>
                    <w:adjustRightInd w:val="0"/>
                    <w:snapToGrid w:val="0"/>
                    <w:jc w:val="center"/>
                    <w:rPr>
                      <w:color w:val="auto"/>
                    </w:rPr>
                  </w:pPr>
                  <w:r>
                    <w:rPr>
                      <w:bCs/>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1078" w:type="dxa"/>
                  <w:gridSpan w:val="2"/>
                  <w:vMerge w:val="continue"/>
                  <w:vAlign w:val="center"/>
                </w:tcPr>
                <w:p>
                  <w:pPr>
                    <w:adjustRightInd w:val="0"/>
                    <w:snapToGrid w:val="0"/>
                    <w:jc w:val="center"/>
                    <w:rPr>
                      <w:color w:val="auto"/>
                    </w:rPr>
                  </w:pPr>
                </w:p>
              </w:tc>
              <w:tc>
                <w:tcPr>
                  <w:tcW w:w="3613" w:type="dxa"/>
                  <w:vAlign w:val="center"/>
                </w:tcPr>
                <w:p>
                  <w:pPr>
                    <w:adjustRightInd w:val="0"/>
                    <w:snapToGrid w:val="0"/>
                    <w:jc w:val="center"/>
                    <w:textAlignment w:val="baseline"/>
                    <w:rPr>
                      <w:color w:val="auto"/>
                    </w:rPr>
                  </w:pPr>
                  <w:r>
                    <w:rPr>
                      <w:color w:val="auto"/>
                      <w:szCs w:val="21"/>
                    </w:rPr>
                    <w:t>规范化排口</w:t>
                  </w:r>
                </w:p>
              </w:tc>
              <w:tc>
                <w:tcPr>
                  <w:tcW w:w="682" w:type="dxa"/>
                  <w:vAlign w:val="center"/>
                </w:tcPr>
                <w:p>
                  <w:pPr>
                    <w:adjustRightInd w:val="0"/>
                    <w:snapToGrid w:val="0"/>
                    <w:jc w:val="center"/>
                    <w:rPr>
                      <w:color w:val="auto"/>
                    </w:rPr>
                  </w:pPr>
                  <w:r>
                    <w:rPr>
                      <w:bCs/>
                      <w:color w:val="auto"/>
                      <w:szCs w:val="21"/>
                    </w:rPr>
                    <w:t>/</w:t>
                  </w:r>
                </w:p>
              </w:tc>
              <w:tc>
                <w:tcPr>
                  <w:tcW w:w="873" w:type="dxa"/>
                  <w:vAlign w:val="center"/>
                </w:tcPr>
                <w:p>
                  <w:pPr>
                    <w:adjustRightInd w:val="0"/>
                    <w:snapToGrid w:val="0"/>
                    <w:jc w:val="center"/>
                    <w:rPr>
                      <w:color w:val="auto"/>
                    </w:rPr>
                  </w:pPr>
                  <w:r>
                    <w:rPr>
                      <w:bCs/>
                      <w:color w:val="auto"/>
                      <w:szCs w:val="21"/>
                    </w:rPr>
                    <w:t>1</w:t>
                  </w:r>
                </w:p>
              </w:tc>
              <w:tc>
                <w:tcPr>
                  <w:tcW w:w="1100" w:type="dxa"/>
                  <w:vAlign w:val="center"/>
                </w:tcPr>
                <w:p>
                  <w:pPr>
                    <w:adjustRightInd w:val="0"/>
                    <w:snapToGrid w:val="0"/>
                    <w:jc w:val="center"/>
                    <w:rPr>
                      <w:color w:val="auto"/>
                    </w:rPr>
                  </w:pPr>
                  <w:r>
                    <w:rPr>
                      <w:bCs/>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 w:type="dxa"/>
                  <w:vMerge w:val="continue"/>
                </w:tcPr>
                <w:p>
                  <w:pPr>
                    <w:rPr>
                      <w:color w:val="auto"/>
                    </w:rPr>
                  </w:pPr>
                </w:p>
              </w:tc>
              <w:tc>
                <w:tcPr>
                  <w:tcW w:w="1078" w:type="dxa"/>
                  <w:gridSpan w:val="2"/>
                  <w:vMerge w:val="continue"/>
                  <w:vAlign w:val="center"/>
                </w:tcPr>
                <w:p>
                  <w:pPr>
                    <w:adjustRightInd w:val="0"/>
                    <w:snapToGrid w:val="0"/>
                    <w:jc w:val="center"/>
                    <w:rPr>
                      <w:color w:val="auto"/>
                    </w:rPr>
                  </w:pPr>
                </w:p>
              </w:tc>
              <w:tc>
                <w:tcPr>
                  <w:tcW w:w="3613" w:type="dxa"/>
                  <w:vAlign w:val="center"/>
                </w:tcPr>
                <w:p>
                  <w:pPr>
                    <w:adjustRightInd w:val="0"/>
                    <w:snapToGrid w:val="0"/>
                    <w:jc w:val="center"/>
                    <w:textAlignment w:val="baseline"/>
                    <w:rPr>
                      <w:color w:val="auto"/>
                    </w:rPr>
                  </w:pPr>
                  <w:r>
                    <w:rPr>
                      <w:color w:val="auto"/>
                      <w:szCs w:val="21"/>
                    </w:rPr>
                    <w:t>环保监理及管理</w:t>
                  </w:r>
                </w:p>
              </w:tc>
              <w:tc>
                <w:tcPr>
                  <w:tcW w:w="682" w:type="dxa"/>
                  <w:vAlign w:val="center"/>
                </w:tcPr>
                <w:p>
                  <w:pPr>
                    <w:adjustRightInd w:val="0"/>
                    <w:snapToGrid w:val="0"/>
                    <w:jc w:val="center"/>
                    <w:rPr>
                      <w:color w:val="auto"/>
                    </w:rPr>
                  </w:pPr>
                  <w:r>
                    <w:rPr>
                      <w:bCs/>
                      <w:color w:val="auto"/>
                      <w:szCs w:val="21"/>
                    </w:rPr>
                    <w:t>/</w:t>
                  </w:r>
                </w:p>
              </w:tc>
              <w:tc>
                <w:tcPr>
                  <w:tcW w:w="873" w:type="dxa"/>
                  <w:vAlign w:val="center"/>
                </w:tcPr>
                <w:p>
                  <w:pPr>
                    <w:adjustRightInd w:val="0"/>
                    <w:snapToGrid w:val="0"/>
                    <w:jc w:val="center"/>
                    <w:rPr>
                      <w:color w:val="auto"/>
                    </w:rPr>
                  </w:pPr>
                  <w:r>
                    <w:rPr>
                      <w:bCs/>
                      <w:color w:val="auto"/>
                      <w:szCs w:val="21"/>
                    </w:rPr>
                    <w:t>8</w:t>
                  </w:r>
                </w:p>
              </w:tc>
              <w:tc>
                <w:tcPr>
                  <w:tcW w:w="1100" w:type="dxa"/>
                  <w:vAlign w:val="center"/>
                </w:tcPr>
                <w:p>
                  <w:pPr>
                    <w:adjustRightInd w:val="0"/>
                    <w:snapToGrid w:val="0"/>
                    <w:jc w:val="center"/>
                    <w:rPr>
                      <w:color w:val="auto"/>
                    </w:rPr>
                  </w:pPr>
                  <w:r>
                    <w:rPr>
                      <w:bCs/>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79" w:type="dxa"/>
                  <w:gridSpan w:val="5"/>
                  <w:vAlign w:val="center"/>
                </w:tcPr>
                <w:p>
                  <w:pPr>
                    <w:adjustRightInd w:val="0"/>
                    <w:snapToGrid w:val="0"/>
                    <w:jc w:val="center"/>
                    <w:rPr>
                      <w:color w:val="auto"/>
                    </w:rPr>
                  </w:pPr>
                  <w:r>
                    <w:rPr>
                      <w:bCs/>
                      <w:color w:val="auto"/>
                      <w:szCs w:val="21"/>
                    </w:rPr>
                    <w:t>总计</w:t>
                  </w:r>
                </w:p>
              </w:tc>
              <w:tc>
                <w:tcPr>
                  <w:tcW w:w="873" w:type="dxa"/>
                  <w:vAlign w:val="center"/>
                </w:tcPr>
                <w:p>
                  <w:pPr>
                    <w:adjustRightInd w:val="0"/>
                    <w:snapToGrid w:val="0"/>
                    <w:jc w:val="center"/>
                    <w:rPr>
                      <w:color w:val="auto"/>
                    </w:rPr>
                  </w:pPr>
                  <w:r>
                    <w:rPr>
                      <w:rFonts w:hint="eastAsia"/>
                      <w:bCs/>
                      <w:color w:val="auto"/>
                      <w:szCs w:val="21"/>
                    </w:rPr>
                    <w:t>94.6</w:t>
                  </w:r>
                </w:p>
              </w:tc>
              <w:tc>
                <w:tcPr>
                  <w:tcW w:w="1100" w:type="dxa"/>
                  <w:vAlign w:val="center"/>
                </w:tcPr>
                <w:p>
                  <w:pPr>
                    <w:adjustRightInd w:val="0"/>
                    <w:snapToGrid w:val="0"/>
                    <w:jc w:val="center"/>
                    <w:rPr>
                      <w:color w:val="auto"/>
                    </w:rPr>
                  </w:pPr>
                  <w:r>
                    <w:rPr>
                      <w:bCs/>
                      <w:color w:val="auto"/>
                      <w:szCs w:val="21"/>
                    </w:rPr>
                    <w:t>/</w:t>
                  </w:r>
                </w:p>
              </w:tc>
            </w:tr>
          </w:tbl>
          <w:p>
            <w:pPr>
              <w:rPr>
                <w:color w:val="auto"/>
              </w:rPr>
            </w:pPr>
          </w:p>
          <w:p>
            <w:pPr>
              <w:adjustRightInd w:val="0"/>
              <w:snapToGrid w:val="0"/>
              <w:spacing w:line="360" w:lineRule="auto"/>
              <w:ind w:firstLine="482" w:firstLineChars="200"/>
              <w:outlineLvl w:val="0"/>
              <w:rPr>
                <w:b/>
                <w:bCs/>
                <w:color w:val="auto"/>
                <w:sz w:val="24"/>
              </w:rPr>
            </w:pPr>
            <w:r>
              <w:rPr>
                <w:rFonts w:hint="eastAsia"/>
                <w:b/>
                <w:bCs/>
                <w:color w:val="auto"/>
                <w:sz w:val="24"/>
              </w:rPr>
              <w:t>11、水平衡</w:t>
            </w:r>
          </w:p>
          <w:p>
            <w:pPr>
              <w:spacing w:line="360" w:lineRule="auto"/>
              <w:ind w:firstLine="480" w:firstLineChars="200"/>
              <w:rPr>
                <w:color w:val="auto"/>
                <w:sz w:val="24"/>
              </w:rPr>
            </w:pPr>
            <w:r>
              <w:rPr>
                <w:color w:val="auto"/>
                <w:sz w:val="24"/>
              </w:rPr>
              <w:t>项目用水包括生产用水和生活用水，均由园区供水管网供给。生产用水包括湿法破碎+清洗用水</w:t>
            </w:r>
            <w:r>
              <w:rPr>
                <w:color w:val="auto"/>
                <w:sz w:val="24"/>
                <w:szCs w:val="20"/>
              </w:rPr>
              <w:t>、冷却用水、</w:t>
            </w:r>
            <w:r>
              <w:rPr>
                <w:color w:val="auto"/>
                <w:sz w:val="24"/>
              </w:rPr>
              <w:t>废气处理装置用水和车间地面清洗用水。</w:t>
            </w:r>
          </w:p>
          <w:p>
            <w:pPr>
              <w:spacing w:line="360" w:lineRule="auto"/>
              <w:ind w:firstLine="480" w:firstLineChars="200"/>
              <w:rPr>
                <w:color w:val="auto"/>
                <w:sz w:val="24"/>
              </w:rPr>
            </w:pPr>
            <w:r>
              <w:rPr>
                <w:rFonts w:hint="eastAsia"/>
                <w:color w:val="auto"/>
                <w:sz w:val="24"/>
              </w:rPr>
              <w:t>①</w:t>
            </w:r>
            <w:bookmarkStart w:id="17" w:name="_Hlk75824360"/>
            <w:r>
              <w:rPr>
                <w:color w:val="auto"/>
                <w:sz w:val="24"/>
              </w:rPr>
              <w:t>清洗</w:t>
            </w:r>
            <w:bookmarkEnd w:id="17"/>
            <w:r>
              <w:rPr>
                <w:color w:val="auto"/>
                <w:sz w:val="24"/>
              </w:rPr>
              <w:t>用水</w:t>
            </w:r>
          </w:p>
          <w:p>
            <w:pPr>
              <w:spacing w:line="360" w:lineRule="auto"/>
              <w:ind w:firstLine="480" w:firstLineChars="200"/>
              <w:rPr>
                <w:color w:val="auto"/>
                <w:kern w:val="0"/>
                <w:sz w:val="24"/>
              </w:rPr>
            </w:pPr>
            <w:r>
              <w:rPr>
                <w:color w:val="auto"/>
                <w:kern w:val="0"/>
                <w:sz w:val="24"/>
              </w:rPr>
              <w:t>本项目废旧塑料主要为</w:t>
            </w:r>
            <w:r>
              <w:rPr>
                <w:bCs/>
                <w:color w:val="auto"/>
                <w:kern w:val="0"/>
                <w:sz w:val="24"/>
              </w:rPr>
              <w:t>PE原料、PP原料</w:t>
            </w:r>
            <w:r>
              <w:rPr>
                <w:color w:val="auto"/>
                <w:kern w:val="0"/>
                <w:sz w:val="24"/>
              </w:rPr>
              <w:t>，根据</w:t>
            </w:r>
            <w:r>
              <w:rPr>
                <w:rFonts w:hint="eastAsia"/>
                <w:color w:val="auto"/>
                <w:sz w:val="24"/>
              </w:rPr>
              <w:t>《排放源统计调查产排污核算方法和系数手册》“42废弃资源综合利用行业系数手册”中</w:t>
            </w:r>
            <w:r>
              <w:rPr>
                <w:color w:val="auto"/>
                <w:kern w:val="0"/>
                <w:sz w:val="24"/>
              </w:rPr>
              <w:t>4220非金属废料和碎屑加工处理行业系数表</w:t>
            </w:r>
            <w:r>
              <w:rPr>
                <w:rFonts w:hint="eastAsia"/>
                <w:color w:val="auto"/>
                <w:kern w:val="0"/>
                <w:sz w:val="24"/>
              </w:rPr>
              <w:t>“</w:t>
            </w:r>
            <w:r>
              <w:rPr>
                <w:rFonts w:hint="eastAsia"/>
                <w:color w:val="auto"/>
                <w:sz w:val="24"/>
              </w:rPr>
              <w:t>清洗或湿法破碎+清洗所有规模</w:t>
            </w:r>
            <w:r>
              <w:rPr>
                <w:rFonts w:hint="eastAsia"/>
                <w:color w:val="auto"/>
                <w:kern w:val="0"/>
                <w:sz w:val="24"/>
              </w:rPr>
              <w:t>”</w:t>
            </w:r>
            <w:r>
              <w:rPr>
                <w:color w:val="auto"/>
                <w:kern w:val="0"/>
                <w:sz w:val="24"/>
              </w:rPr>
              <w:t>，使用PE原料/PP原料生产再生塑料粒子，清洗或湿法破碎+清洗，所有规模等级下工业废水量为1.0吨/吨-原料，项目年清洗</w:t>
            </w:r>
            <w:r>
              <w:rPr>
                <w:rFonts w:hint="eastAsia"/>
                <w:color w:val="auto"/>
                <w:kern w:val="0"/>
                <w:sz w:val="24"/>
              </w:rPr>
              <w:t>塑料</w:t>
            </w:r>
            <w:r>
              <w:rPr>
                <w:rFonts w:hint="eastAsia"/>
                <w:bCs/>
                <w:color w:val="auto"/>
                <w:kern w:val="0"/>
                <w:sz w:val="24"/>
              </w:rPr>
              <w:t>5121.1</w:t>
            </w:r>
            <w:r>
              <w:rPr>
                <w:color w:val="auto"/>
                <w:kern w:val="0"/>
                <w:sz w:val="24"/>
              </w:rPr>
              <w:t>t，则原料清洗</w:t>
            </w:r>
            <w:r>
              <w:rPr>
                <w:rFonts w:hint="eastAsia"/>
                <w:color w:val="auto"/>
                <w:kern w:val="0"/>
                <w:sz w:val="24"/>
              </w:rPr>
              <w:t>废</w:t>
            </w:r>
            <w:r>
              <w:rPr>
                <w:color w:val="auto"/>
                <w:kern w:val="0"/>
                <w:sz w:val="24"/>
              </w:rPr>
              <w:t>水量共计为</w:t>
            </w:r>
            <w:r>
              <w:rPr>
                <w:rFonts w:hint="eastAsia"/>
                <w:color w:val="auto"/>
                <w:kern w:val="0"/>
                <w:sz w:val="24"/>
              </w:rPr>
              <w:t>5121.1</w:t>
            </w:r>
            <w:r>
              <w:rPr>
                <w:color w:val="auto"/>
                <w:kern w:val="0"/>
                <w:sz w:val="24"/>
              </w:rPr>
              <w:t>m</w:t>
            </w:r>
            <w:r>
              <w:rPr>
                <w:color w:val="auto"/>
                <w:kern w:val="0"/>
                <w:sz w:val="24"/>
                <w:vertAlign w:val="superscript"/>
              </w:rPr>
              <w:t>3</w:t>
            </w:r>
            <w:r>
              <w:rPr>
                <w:color w:val="auto"/>
                <w:kern w:val="0"/>
                <w:sz w:val="24"/>
              </w:rPr>
              <w:t>/a，</w:t>
            </w:r>
            <w:r>
              <w:rPr>
                <w:rFonts w:hint="eastAsia"/>
                <w:color w:val="auto"/>
                <w:kern w:val="0"/>
                <w:sz w:val="24"/>
              </w:rPr>
              <w:t>17.07</w:t>
            </w:r>
            <w:r>
              <w:rPr>
                <w:color w:val="auto"/>
                <w:kern w:val="0"/>
                <w:sz w:val="24"/>
              </w:rPr>
              <w:t>m</w:t>
            </w:r>
            <w:r>
              <w:rPr>
                <w:color w:val="auto"/>
                <w:kern w:val="0"/>
                <w:sz w:val="24"/>
                <w:vertAlign w:val="superscript"/>
              </w:rPr>
              <w:t>3</w:t>
            </w:r>
            <w:r>
              <w:rPr>
                <w:color w:val="auto"/>
                <w:kern w:val="0"/>
                <w:sz w:val="24"/>
              </w:rPr>
              <w:t>/d。</w:t>
            </w:r>
            <w:r>
              <w:rPr>
                <w:color w:val="auto"/>
                <w:sz w:val="24"/>
              </w:rPr>
              <w:t>清洗废水经截排水沟收集至</w:t>
            </w:r>
            <w:r>
              <w:rPr>
                <w:rFonts w:hint="eastAsia"/>
                <w:color w:val="auto"/>
                <w:sz w:val="24"/>
              </w:rPr>
              <w:t>清洗池</w:t>
            </w:r>
            <w:r>
              <w:rPr>
                <w:color w:val="auto"/>
                <w:sz w:val="24"/>
              </w:rPr>
              <w:t>后，再经污水处理设施处理达</w:t>
            </w:r>
            <w:r>
              <w:rPr>
                <w:color w:val="auto"/>
                <w:kern w:val="0"/>
                <w:sz w:val="24"/>
              </w:rPr>
              <w:t>《城市污水再生利用 工业用水水质》（GB/T19923-2005）中洗涤用水、冷却用水较严水质标准后，排入</w:t>
            </w:r>
            <w:r>
              <w:rPr>
                <w:color w:val="auto"/>
                <w:sz w:val="24"/>
              </w:rPr>
              <w:t>清水</w:t>
            </w:r>
            <w:r>
              <w:rPr>
                <w:rFonts w:hint="eastAsia"/>
                <w:color w:val="auto"/>
                <w:sz w:val="24"/>
              </w:rPr>
              <w:t>回用</w:t>
            </w:r>
            <w:r>
              <w:rPr>
                <w:color w:val="auto"/>
                <w:sz w:val="24"/>
              </w:rPr>
              <w:t>池回用于原料清洗，不外排。</w:t>
            </w:r>
          </w:p>
          <w:p>
            <w:pPr>
              <w:widowControl/>
              <w:adjustRightInd w:val="0"/>
              <w:snapToGrid w:val="0"/>
              <w:spacing w:line="360" w:lineRule="auto"/>
              <w:ind w:firstLine="480" w:firstLineChars="200"/>
              <w:jc w:val="left"/>
              <w:rPr>
                <w:color w:val="auto"/>
                <w:sz w:val="24"/>
              </w:rPr>
            </w:pPr>
            <w:r>
              <w:rPr>
                <w:rFonts w:hint="eastAsia" w:cs="宋体"/>
                <w:color w:val="auto"/>
                <w:kern w:val="0"/>
                <w:sz w:val="24"/>
                <w:lang w:bidi="ar"/>
              </w:rPr>
              <w:t>工艺过程水分损失源自蒸发损失、物料附着及污泥等环节，按用水量的10</w:t>
            </w:r>
            <w:r>
              <w:rPr>
                <w:color w:val="auto"/>
                <w:kern w:val="0"/>
                <w:sz w:val="24"/>
                <w:lang w:bidi="ar"/>
              </w:rPr>
              <w:t>%</w:t>
            </w:r>
            <w:r>
              <w:rPr>
                <w:rFonts w:hint="eastAsia" w:cs="宋体"/>
                <w:color w:val="auto"/>
                <w:kern w:val="0"/>
                <w:sz w:val="24"/>
                <w:lang w:bidi="ar"/>
              </w:rPr>
              <w:t>考虑，则可计算出</w:t>
            </w:r>
            <w:r>
              <w:rPr>
                <w:color w:val="auto"/>
                <w:kern w:val="0"/>
                <w:sz w:val="24"/>
              </w:rPr>
              <w:t>湿法破碎+清洗</w:t>
            </w:r>
            <w:r>
              <w:rPr>
                <w:rFonts w:hint="eastAsia" w:cs="宋体"/>
                <w:color w:val="auto"/>
                <w:kern w:val="0"/>
                <w:sz w:val="24"/>
                <w:lang w:bidi="ar"/>
              </w:rPr>
              <w:t>用水量为</w:t>
            </w:r>
            <w:r>
              <w:rPr>
                <w:rFonts w:hint="eastAsia"/>
                <w:color w:val="auto"/>
                <w:kern w:val="0"/>
                <w:sz w:val="24"/>
                <w:lang w:bidi="ar"/>
              </w:rPr>
              <w:t>5690.1</w:t>
            </w:r>
            <w:r>
              <w:rPr>
                <w:color w:val="auto"/>
                <w:kern w:val="0"/>
                <w:sz w:val="24"/>
                <w:lang w:bidi="ar"/>
              </w:rPr>
              <w:t>t/a</w:t>
            </w:r>
            <w:r>
              <w:rPr>
                <w:rFonts w:hint="eastAsia" w:cs="宋体"/>
                <w:color w:val="auto"/>
                <w:kern w:val="0"/>
                <w:sz w:val="24"/>
                <w:lang w:bidi="ar"/>
              </w:rPr>
              <w:t>，</w:t>
            </w:r>
            <w:r>
              <w:rPr>
                <w:rFonts w:hint="eastAsia"/>
                <w:color w:val="auto"/>
                <w:kern w:val="0"/>
                <w:sz w:val="24"/>
                <w:lang w:bidi="ar"/>
              </w:rPr>
              <w:t>18.96</w:t>
            </w:r>
            <w:r>
              <w:rPr>
                <w:color w:val="auto"/>
                <w:kern w:val="0"/>
                <w:sz w:val="24"/>
                <w:lang w:bidi="ar"/>
              </w:rPr>
              <w:t>m</w:t>
            </w:r>
            <w:r>
              <w:rPr>
                <w:color w:val="auto"/>
                <w:kern w:val="0"/>
                <w:sz w:val="24"/>
                <w:szCs w:val="15"/>
                <w:vertAlign w:val="superscript"/>
                <w:lang w:bidi="ar"/>
              </w:rPr>
              <w:t>3</w:t>
            </w:r>
            <w:r>
              <w:rPr>
                <w:color w:val="auto"/>
                <w:kern w:val="0"/>
                <w:sz w:val="24"/>
                <w:lang w:bidi="ar"/>
              </w:rPr>
              <w:t>/d</w:t>
            </w:r>
            <w:r>
              <w:rPr>
                <w:rFonts w:hint="eastAsia" w:cs="宋体"/>
                <w:color w:val="auto"/>
                <w:kern w:val="0"/>
                <w:sz w:val="24"/>
                <w:lang w:bidi="ar"/>
              </w:rPr>
              <w:t>；废水经污水处理站处理后循环使用，工艺损失水分由新鲜水及回用水补充，补充量为</w:t>
            </w:r>
            <w:r>
              <w:rPr>
                <w:rFonts w:hint="eastAsia"/>
                <w:color w:val="auto"/>
                <w:kern w:val="0"/>
                <w:sz w:val="24"/>
                <w:lang w:bidi="ar"/>
              </w:rPr>
              <w:t>569</w:t>
            </w:r>
            <w:r>
              <w:rPr>
                <w:color w:val="auto"/>
                <w:kern w:val="0"/>
                <w:sz w:val="24"/>
                <w:lang w:bidi="ar"/>
              </w:rPr>
              <w:t>t/a</w:t>
            </w:r>
            <w:r>
              <w:rPr>
                <w:rFonts w:hint="eastAsia" w:cs="宋体"/>
                <w:color w:val="auto"/>
                <w:kern w:val="0"/>
                <w:sz w:val="24"/>
                <w:lang w:bidi="ar"/>
              </w:rPr>
              <w:t>，</w:t>
            </w:r>
            <w:r>
              <w:rPr>
                <w:rFonts w:hint="eastAsia"/>
                <w:color w:val="auto"/>
                <w:kern w:val="0"/>
                <w:sz w:val="24"/>
                <w:lang w:bidi="ar"/>
              </w:rPr>
              <w:t>1.89</w:t>
            </w:r>
            <w:r>
              <w:rPr>
                <w:color w:val="auto"/>
                <w:kern w:val="0"/>
                <w:sz w:val="24"/>
                <w:lang w:bidi="ar"/>
              </w:rPr>
              <w:t>m</w:t>
            </w:r>
            <w:r>
              <w:rPr>
                <w:color w:val="auto"/>
                <w:kern w:val="0"/>
                <w:sz w:val="24"/>
                <w:szCs w:val="15"/>
                <w:vertAlign w:val="superscript"/>
                <w:lang w:bidi="ar"/>
              </w:rPr>
              <w:t>3</w:t>
            </w:r>
            <w:r>
              <w:rPr>
                <w:color w:val="auto"/>
                <w:kern w:val="0"/>
                <w:sz w:val="24"/>
                <w:lang w:bidi="ar"/>
              </w:rPr>
              <w:t>/d</w:t>
            </w:r>
            <w:r>
              <w:rPr>
                <w:rFonts w:hint="eastAsia"/>
                <w:color w:val="auto"/>
                <w:kern w:val="0"/>
                <w:sz w:val="24"/>
              </w:rPr>
              <w:t>。</w:t>
            </w:r>
          </w:p>
          <w:p>
            <w:pPr>
              <w:spacing w:line="360" w:lineRule="auto"/>
              <w:ind w:firstLine="480" w:firstLineChars="200"/>
              <w:rPr>
                <w:color w:val="auto"/>
                <w:sz w:val="24"/>
              </w:rPr>
            </w:pPr>
            <w:r>
              <w:rPr>
                <w:rFonts w:hint="eastAsia"/>
                <w:color w:val="auto"/>
                <w:sz w:val="24"/>
              </w:rPr>
              <w:t>②</w:t>
            </w:r>
            <w:r>
              <w:rPr>
                <w:color w:val="auto"/>
                <w:sz w:val="24"/>
              </w:rPr>
              <w:t>冷却用水</w:t>
            </w:r>
          </w:p>
          <w:p>
            <w:pPr>
              <w:pStyle w:val="88"/>
              <w:ind w:firstLine="480"/>
              <w:rPr>
                <w:rFonts w:ascii="Times New Roman" w:hAnsi="Times New Roman"/>
                <w:color w:val="auto"/>
              </w:rPr>
            </w:pPr>
            <w:r>
              <w:rPr>
                <w:rFonts w:ascii="Times New Roman" w:hAnsi="Times New Roman"/>
                <w:color w:val="auto"/>
              </w:rPr>
              <w:t>根据建设单位提供的资料可知，原料经熔融挤出工序后需要对条状再生塑料产品在冷却</w:t>
            </w:r>
            <w:r>
              <w:rPr>
                <w:rFonts w:hint="eastAsia" w:ascii="Times New Roman" w:hAnsi="Times New Roman"/>
                <w:color w:val="auto"/>
              </w:rPr>
              <w:t>水槽</w:t>
            </w:r>
            <w:r>
              <w:rPr>
                <w:rFonts w:ascii="Times New Roman" w:hAnsi="Times New Roman"/>
                <w:color w:val="auto"/>
              </w:rPr>
              <w:t>进行冷却，使用清水进行冷却，在此温度下再生塑料与水不会发生化学反应，因此该部分塑料在冷却过程中因接触高温而发生蒸发，补充水以水蒸气形式散发至空气中。根据能量守恒原则计算该工艺冷却用水量，计算依据公式如下：</w:t>
            </w:r>
          </w:p>
          <w:p>
            <w:pPr>
              <w:pStyle w:val="88"/>
              <w:ind w:firstLine="480"/>
              <w:rPr>
                <w:rFonts w:ascii="Times New Roman" w:hAnsi="Times New Roman"/>
                <w:color w:val="auto"/>
              </w:rPr>
            </w:pPr>
            <m:oMathPara>
              <m:oMath>
                <m:sSub>
                  <m:sSubPr>
                    <m:ctrlPr>
                      <w:rPr>
                        <w:rFonts w:ascii="Cambria Math" w:hAnsi="Cambria Math"/>
                        <w:color w:val="auto"/>
                      </w:rPr>
                    </m:ctrlPr>
                  </m:sSubPr>
                  <m:e>
                    <m:r>
                      <m:rPr/>
                      <w:rPr>
                        <w:rFonts w:ascii="Cambria Math" w:hAnsi="Cambria Math"/>
                        <w:color w:val="auto"/>
                      </w:rPr>
                      <m:t>Q</m:t>
                    </m:r>
                    <m:ctrlPr>
                      <w:rPr>
                        <w:rFonts w:ascii="Cambria Math" w:hAnsi="Cambria Math"/>
                        <w:color w:val="auto"/>
                      </w:rPr>
                    </m:ctrlPr>
                  </m:e>
                  <m:sub>
                    <m:r>
                      <m:rPr/>
                      <w:rPr>
                        <w:rFonts w:ascii="Cambria Math" w:hAnsi="Cambria Math"/>
                        <w:color w:val="auto"/>
                      </w:rPr>
                      <m:t>放</m:t>
                    </m:r>
                    <m:ctrlPr>
                      <w:rPr>
                        <w:rFonts w:ascii="Cambria Math" w:hAnsi="Cambria Math"/>
                        <w:color w:val="auto"/>
                      </w:rPr>
                    </m:ctrlPr>
                  </m:sub>
                </m:sSub>
                <m:r>
                  <m:rPr/>
                  <w:rPr>
                    <w:rFonts w:ascii="Cambria Math" w:hAnsi="Cambria Math"/>
                    <w:color w:val="auto"/>
                  </w:rPr>
                  <m:t>=m∙c</m:t>
                </m:r>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t</m:t>
                        </m:r>
                        <m:ctrlPr>
                          <w:rPr>
                            <w:rFonts w:ascii="Cambria Math" w:hAnsi="Cambria Math"/>
                            <w:i/>
                            <w:color w:val="auto"/>
                          </w:rPr>
                        </m:ctrlPr>
                      </m:e>
                      <m:sub>
                        <m:r>
                          <m:rPr/>
                          <w:rPr>
                            <w:rFonts w:ascii="Cambria Math" w:hAnsi="Cambria Math"/>
                            <w:color w:val="auto"/>
                          </w:rPr>
                          <m:t>0</m:t>
                        </m:r>
                        <m:ctrlPr>
                          <w:rPr>
                            <w:rFonts w:ascii="Cambria Math" w:hAnsi="Cambria Math"/>
                            <w:i/>
                            <w:color w:val="auto"/>
                          </w:rPr>
                        </m:ctrlPr>
                      </m:sub>
                    </m:sSub>
                    <m:r>
                      <m:rPr/>
                      <w:rPr>
                        <w:rFonts w:ascii="Cambria Math" w:hAnsi="Cambria Math"/>
                        <w:color w:val="auto"/>
                      </w:rPr>
                      <m:t>−t</m:t>
                    </m:r>
                    <m:ctrlPr>
                      <w:rPr>
                        <w:rFonts w:ascii="Cambria Math" w:hAnsi="Cambria Math"/>
                        <w:i/>
                        <w:color w:val="auto"/>
                      </w:rPr>
                    </m:ctrlPr>
                  </m:e>
                </m:d>
              </m:oMath>
            </m:oMathPara>
          </w:p>
          <w:p>
            <w:pPr>
              <w:pStyle w:val="88"/>
              <w:ind w:firstLine="480"/>
              <w:rPr>
                <w:rFonts w:ascii="Times New Roman" w:hAnsi="Times New Roman"/>
                <w:color w:val="auto"/>
              </w:rPr>
            </w:pPr>
            <w:r>
              <w:rPr>
                <w:rFonts w:ascii="Times New Roman" w:hAnsi="Times New Roman"/>
                <w:color w:val="auto"/>
              </w:rPr>
              <w:t>式中：Q</w:t>
            </w:r>
            <w:r>
              <w:rPr>
                <w:rFonts w:ascii="Times New Roman" w:hAnsi="Times New Roman"/>
                <w:color w:val="auto"/>
                <w:vertAlign w:val="subscript"/>
              </w:rPr>
              <w:t>放</w:t>
            </w:r>
            <w:r>
              <w:rPr>
                <w:rFonts w:ascii="Times New Roman" w:hAnsi="Times New Roman"/>
                <w:color w:val="auto"/>
              </w:rPr>
              <w:t>—物料放出的热量，kJ；</w:t>
            </w:r>
          </w:p>
          <w:p>
            <w:pPr>
              <w:pStyle w:val="88"/>
              <w:ind w:firstLine="1200" w:firstLineChars="500"/>
              <w:rPr>
                <w:rFonts w:ascii="Times New Roman" w:hAnsi="Times New Roman"/>
                <w:color w:val="auto"/>
              </w:rPr>
            </w:pPr>
            <w:r>
              <w:rPr>
                <w:rFonts w:ascii="Times New Roman" w:hAnsi="Times New Roman"/>
                <w:color w:val="auto"/>
              </w:rPr>
              <w:t>m—物料量，kg</w:t>
            </w:r>
          </w:p>
          <w:p>
            <w:pPr>
              <w:pStyle w:val="88"/>
              <w:ind w:firstLine="1200" w:firstLineChars="500"/>
              <w:rPr>
                <w:rFonts w:ascii="Times New Roman" w:hAnsi="Times New Roman"/>
                <w:color w:val="auto"/>
              </w:rPr>
            </w:pPr>
            <w:r>
              <w:rPr>
                <w:rFonts w:ascii="Times New Roman" w:hAnsi="Times New Roman"/>
                <w:color w:val="auto"/>
              </w:rPr>
              <w:t>C—比热容，kJ/kg.℃；</w:t>
            </w:r>
          </w:p>
          <w:p>
            <w:pPr>
              <w:pStyle w:val="88"/>
              <w:ind w:firstLine="1200" w:firstLineChars="500"/>
              <w:rPr>
                <w:rFonts w:ascii="Times New Roman" w:hAnsi="Times New Roman"/>
                <w:color w:val="auto"/>
              </w:rPr>
            </w:pPr>
            <w:r>
              <w:rPr>
                <w:rFonts w:ascii="Times New Roman" w:hAnsi="Times New Roman"/>
                <w:color w:val="auto"/>
              </w:rPr>
              <w:t>t</w:t>
            </w:r>
            <w:r>
              <w:rPr>
                <w:rFonts w:ascii="Times New Roman" w:hAnsi="Times New Roman"/>
                <w:color w:val="auto"/>
                <w:vertAlign w:val="subscript"/>
              </w:rPr>
              <w:t>0</w:t>
            </w:r>
            <w:r>
              <w:rPr>
                <w:rFonts w:ascii="Times New Roman" w:hAnsi="Times New Roman"/>
                <w:color w:val="auto"/>
              </w:rPr>
              <w:t>—初始温度，℃；</w:t>
            </w:r>
          </w:p>
          <w:p>
            <w:pPr>
              <w:pStyle w:val="88"/>
              <w:ind w:firstLine="1200" w:firstLineChars="500"/>
              <w:rPr>
                <w:rFonts w:ascii="Times New Roman" w:hAnsi="Times New Roman"/>
                <w:color w:val="auto"/>
              </w:rPr>
            </w:pPr>
            <w:r>
              <w:rPr>
                <w:rFonts w:ascii="Times New Roman" w:hAnsi="Times New Roman"/>
                <w:color w:val="auto"/>
              </w:rPr>
              <w:t>t—末温，℃。</w:t>
            </w:r>
          </w:p>
          <w:p>
            <w:pPr>
              <w:pStyle w:val="88"/>
              <w:ind w:firstLine="0" w:firstLineChars="0"/>
              <w:jc w:val="center"/>
              <w:rPr>
                <w:rFonts w:ascii="Times New Roman" w:hAnsi="Times New Roman"/>
                <w:color w:val="auto"/>
              </w:rPr>
            </w:pPr>
            <w:r>
              <w:rPr>
                <w:rFonts w:ascii="Times New Roman" w:hAnsi="Times New Roman"/>
                <w:color w:val="auto"/>
              </w:rPr>
              <w:t>Q</w:t>
            </w:r>
            <w:r>
              <w:rPr>
                <w:rFonts w:ascii="Times New Roman" w:hAnsi="Times New Roman"/>
                <w:i/>
                <w:color w:val="auto"/>
                <w:vertAlign w:val="subscript"/>
              </w:rPr>
              <w:t>吸</w:t>
            </w:r>
            <w:r>
              <w:rPr>
                <w:rFonts w:ascii="Times New Roman" w:hAnsi="Times New Roman"/>
                <w:color w:val="auto"/>
              </w:rPr>
              <w:t>=m</w:t>
            </w:r>
            <w:r>
              <w:rPr>
                <w:rFonts w:ascii="Times New Roman" w:hAnsi="Times New Roman"/>
                <w:color w:val="auto"/>
                <w:vertAlign w:val="subscript"/>
              </w:rPr>
              <w:t>1</w:t>
            </w:r>
            <w:r>
              <w:rPr>
                <w:rFonts w:ascii="Times New Roman" w:hAnsi="Times New Roman"/>
                <w:color w:val="auto"/>
              </w:rPr>
              <w:t>∙t</w:t>
            </w:r>
            <w:r>
              <w:rPr>
                <w:rFonts w:ascii="Times New Roman" w:hAnsi="Times New Roman"/>
                <w:color w:val="auto"/>
                <w:vertAlign w:val="subscript"/>
              </w:rPr>
              <w:t>1</w:t>
            </w:r>
            <w:r>
              <w:rPr>
                <w:rFonts w:ascii="Times New Roman" w:hAnsi="Times New Roman"/>
                <w:color w:val="auto"/>
              </w:rPr>
              <w:t>∙C</w:t>
            </w:r>
            <w:r>
              <w:rPr>
                <w:rFonts w:ascii="Times New Roman" w:hAnsi="Times New Roman"/>
                <w:color w:val="auto"/>
                <w:vertAlign w:val="subscript"/>
              </w:rPr>
              <w:t>1</w:t>
            </w:r>
            <w:r>
              <w:rPr>
                <w:rFonts w:ascii="Times New Roman" w:hAnsi="Times New Roman"/>
                <w:color w:val="auto"/>
              </w:rPr>
              <w:t>−m</w:t>
            </w:r>
            <w:r>
              <w:rPr>
                <w:rFonts w:ascii="Times New Roman" w:hAnsi="Times New Roman"/>
                <w:color w:val="auto"/>
                <w:vertAlign w:val="subscript"/>
              </w:rPr>
              <w:t>2</w:t>
            </w:r>
            <w:r>
              <w:rPr>
                <w:rFonts w:ascii="Times New Roman" w:hAnsi="Times New Roman"/>
                <w:color w:val="auto"/>
              </w:rPr>
              <w:t>∙C</w:t>
            </w:r>
            <w:r>
              <w:rPr>
                <w:rFonts w:ascii="Times New Roman" w:hAnsi="Times New Roman"/>
                <w:color w:val="auto"/>
                <w:vertAlign w:val="subscript"/>
              </w:rPr>
              <w:t>2</w:t>
            </w:r>
            <w:r>
              <w:rPr>
                <w:rFonts w:ascii="Times New Roman" w:hAnsi="Times New Roman"/>
                <w:color w:val="auto"/>
              </w:rPr>
              <w:t>∙t</w:t>
            </w:r>
            <w:r>
              <w:rPr>
                <w:rFonts w:ascii="Times New Roman" w:hAnsi="Times New Roman"/>
                <w:color w:val="auto"/>
                <w:vertAlign w:val="subscript"/>
              </w:rPr>
              <w:t>2</w:t>
            </w:r>
          </w:p>
          <w:p>
            <w:pPr>
              <w:pStyle w:val="88"/>
              <w:ind w:firstLine="480"/>
              <w:rPr>
                <w:rFonts w:ascii="Times New Roman" w:hAnsi="Times New Roman"/>
                <w:color w:val="auto"/>
              </w:rPr>
            </w:pPr>
            <w:r>
              <w:rPr>
                <w:rFonts w:ascii="Times New Roman" w:hAnsi="Times New Roman"/>
                <w:color w:val="auto"/>
              </w:rPr>
              <w:t>式中：Q</w:t>
            </w:r>
            <w:r>
              <w:rPr>
                <w:rFonts w:ascii="Times New Roman" w:hAnsi="Times New Roman"/>
                <w:color w:val="auto"/>
                <w:vertAlign w:val="subscript"/>
              </w:rPr>
              <w:t>吸</w:t>
            </w:r>
            <w:r>
              <w:rPr>
                <w:rFonts w:ascii="Times New Roman" w:hAnsi="Times New Roman"/>
                <w:color w:val="auto"/>
              </w:rPr>
              <w:t>—水吸收出的热量，kJ；</w:t>
            </w:r>
          </w:p>
          <w:p>
            <w:pPr>
              <w:pStyle w:val="88"/>
              <w:ind w:firstLine="1200" w:firstLineChars="500"/>
              <w:rPr>
                <w:rFonts w:ascii="Times New Roman" w:hAnsi="Times New Roman"/>
                <w:color w:val="auto"/>
              </w:rPr>
            </w:pPr>
            <w:r>
              <w:rPr>
                <w:rFonts w:ascii="Times New Roman" w:hAnsi="Times New Roman"/>
                <w:color w:val="auto"/>
              </w:rPr>
              <w:t>m</w:t>
            </w:r>
            <w:r>
              <w:rPr>
                <w:rFonts w:ascii="Times New Roman" w:hAnsi="Times New Roman"/>
                <w:color w:val="auto"/>
                <w:vertAlign w:val="subscript"/>
              </w:rPr>
              <w:t>1</w:t>
            </w:r>
            <w:r>
              <w:rPr>
                <w:rFonts w:ascii="Times New Roman" w:hAnsi="Times New Roman"/>
                <w:color w:val="auto"/>
              </w:rPr>
              <w:t>—蒸发损失后冷却水量，kg；</w:t>
            </w:r>
          </w:p>
          <w:p>
            <w:pPr>
              <w:pStyle w:val="88"/>
              <w:ind w:firstLine="1200" w:firstLineChars="500"/>
              <w:rPr>
                <w:rFonts w:ascii="Times New Roman" w:hAnsi="Times New Roman"/>
                <w:color w:val="auto"/>
              </w:rPr>
            </w:pPr>
            <w:r>
              <w:rPr>
                <w:rFonts w:ascii="Times New Roman" w:hAnsi="Times New Roman"/>
                <w:color w:val="auto"/>
              </w:rPr>
              <w:t>m</w:t>
            </w:r>
            <w:r>
              <w:rPr>
                <w:rFonts w:ascii="Times New Roman" w:hAnsi="Times New Roman"/>
                <w:color w:val="auto"/>
                <w:vertAlign w:val="subscript"/>
              </w:rPr>
              <w:t>2</w:t>
            </w:r>
            <w:r>
              <w:rPr>
                <w:rFonts w:ascii="Times New Roman" w:hAnsi="Times New Roman"/>
                <w:color w:val="auto"/>
              </w:rPr>
              <w:t>—起始冷却水量，kg；</w:t>
            </w:r>
          </w:p>
          <w:p>
            <w:pPr>
              <w:pStyle w:val="88"/>
              <w:ind w:firstLine="1200" w:firstLineChars="500"/>
              <w:rPr>
                <w:rFonts w:ascii="Times New Roman" w:hAnsi="Times New Roman"/>
                <w:color w:val="auto"/>
              </w:rPr>
            </w:pPr>
            <w:r>
              <w:rPr>
                <w:rFonts w:ascii="Times New Roman" w:hAnsi="Times New Roman"/>
                <w:color w:val="auto"/>
              </w:rPr>
              <w:t>C</w:t>
            </w:r>
            <w:r>
              <w:rPr>
                <w:rFonts w:ascii="Times New Roman" w:hAnsi="Times New Roman"/>
                <w:color w:val="auto"/>
                <w:vertAlign w:val="subscript"/>
              </w:rPr>
              <w:t>1</w:t>
            </w:r>
            <w:r>
              <w:rPr>
                <w:rFonts w:ascii="Times New Roman" w:hAnsi="Times New Roman"/>
                <w:color w:val="auto"/>
              </w:rPr>
              <w:t>—末温时水的比热容，kJ/kg.℃；</w:t>
            </w:r>
          </w:p>
          <w:p>
            <w:pPr>
              <w:pStyle w:val="88"/>
              <w:ind w:firstLine="1200" w:firstLineChars="500"/>
              <w:rPr>
                <w:rFonts w:ascii="Times New Roman" w:hAnsi="Times New Roman"/>
                <w:color w:val="auto"/>
              </w:rPr>
            </w:pPr>
            <w:r>
              <w:rPr>
                <w:rFonts w:ascii="Times New Roman" w:hAnsi="Times New Roman"/>
                <w:color w:val="auto"/>
              </w:rPr>
              <w:t>C</w:t>
            </w:r>
            <w:r>
              <w:rPr>
                <w:rFonts w:ascii="Times New Roman" w:hAnsi="Times New Roman"/>
                <w:color w:val="auto"/>
                <w:vertAlign w:val="subscript"/>
              </w:rPr>
              <w:t>2</w:t>
            </w:r>
            <w:r>
              <w:rPr>
                <w:rFonts w:ascii="Times New Roman" w:hAnsi="Times New Roman"/>
                <w:color w:val="auto"/>
              </w:rPr>
              <w:t>—初始温度时水的比热容，kJ/kg.℃；</w:t>
            </w:r>
          </w:p>
          <w:p>
            <w:pPr>
              <w:pStyle w:val="88"/>
              <w:ind w:firstLine="1200" w:firstLineChars="500"/>
              <w:rPr>
                <w:rFonts w:ascii="Times New Roman" w:hAnsi="Times New Roman"/>
                <w:color w:val="auto"/>
              </w:rPr>
            </w:pPr>
            <w:r>
              <w:rPr>
                <w:rFonts w:ascii="Times New Roman" w:hAnsi="Times New Roman"/>
                <w:color w:val="auto"/>
              </w:rPr>
              <w:t>t</w:t>
            </w:r>
            <w:r>
              <w:rPr>
                <w:rFonts w:ascii="Times New Roman" w:hAnsi="Times New Roman"/>
                <w:color w:val="auto"/>
                <w:vertAlign w:val="subscript"/>
              </w:rPr>
              <w:t>1</w:t>
            </w:r>
            <w:r>
              <w:rPr>
                <w:rFonts w:ascii="Times New Roman" w:hAnsi="Times New Roman"/>
                <w:color w:val="auto"/>
              </w:rPr>
              <w:t>—末温，℃；</w:t>
            </w:r>
          </w:p>
          <w:p>
            <w:pPr>
              <w:pStyle w:val="88"/>
              <w:ind w:firstLine="1200" w:firstLineChars="500"/>
              <w:rPr>
                <w:rFonts w:ascii="Times New Roman" w:hAnsi="Times New Roman"/>
                <w:color w:val="auto"/>
              </w:rPr>
            </w:pPr>
            <w:r>
              <w:rPr>
                <w:rFonts w:ascii="Times New Roman" w:hAnsi="Times New Roman"/>
                <w:color w:val="auto"/>
              </w:rPr>
              <w:t>t</w:t>
            </w:r>
            <w:r>
              <w:rPr>
                <w:rFonts w:ascii="Times New Roman" w:hAnsi="Times New Roman"/>
                <w:color w:val="auto"/>
                <w:vertAlign w:val="subscript"/>
              </w:rPr>
              <w:t>2</w:t>
            </w:r>
            <w:r>
              <w:rPr>
                <w:rFonts w:ascii="Times New Roman" w:hAnsi="Times New Roman"/>
                <w:color w:val="auto"/>
              </w:rPr>
              <w:t>—初始温度，℃。</w:t>
            </w:r>
          </w:p>
          <w:p>
            <w:pPr>
              <w:pStyle w:val="88"/>
              <w:ind w:firstLine="480"/>
              <w:rPr>
                <w:rFonts w:ascii="Times New Roman" w:hAnsi="Times New Roman"/>
                <w:color w:val="auto"/>
              </w:rPr>
            </w:pPr>
            <w:r>
              <w:rPr>
                <w:rFonts w:ascii="Times New Roman" w:hAnsi="Times New Roman"/>
                <w:color w:val="auto"/>
              </w:rPr>
              <w:t>根据建设单位提供资料可知：</w:t>
            </w:r>
          </w:p>
          <w:p>
            <w:pPr>
              <w:pStyle w:val="88"/>
              <w:ind w:firstLine="480"/>
              <w:rPr>
                <w:rFonts w:ascii="Times New Roman" w:hAnsi="Times New Roman"/>
                <w:color w:val="auto"/>
              </w:rPr>
            </w:pPr>
            <w:r>
              <w:rPr>
                <w:rFonts w:ascii="Times New Roman" w:hAnsi="Times New Roman"/>
                <w:color w:val="auto"/>
              </w:rPr>
              <w:t>1）项目生产</w:t>
            </w:r>
            <w:r>
              <w:rPr>
                <w:rFonts w:ascii="Times New Roman" w:hAnsi="Times New Roman"/>
                <w:bCs/>
                <w:color w:val="auto"/>
                <w:lang w:val="en-GB"/>
              </w:rPr>
              <w:t>再生P</w:t>
            </w:r>
            <w:r>
              <w:rPr>
                <w:rFonts w:ascii="Times New Roman" w:hAnsi="Times New Roman"/>
                <w:bCs/>
                <w:color w:val="auto"/>
              </w:rPr>
              <w:t>E</w:t>
            </w:r>
            <w:r>
              <w:rPr>
                <w:rFonts w:ascii="Times New Roman" w:hAnsi="Times New Roman"/>
                <w:bCs/>
                <w:color w:val="auto"/>
                <w:lang w:val="en-GB"/>
              </w:rPr>
              <w:t>塑料颗粒</w:t>
            </w:r>
            <w:r>
              <w:rPr>
                <w:rFonts w:ascii="Times New Roman" w:hAnsi="Times New Roman"/>
                <w:color w:val="auto"/>
              </w:rPr>
              <w:t>（</w:t>
            </w:r>
            <w:r>
              <w:rPr>
                <w:rFonts w:hint="eastAsia" w:ascii="Times New Roman" w:hAnsi="Times New Roman"/>
                <w:color w:val="auto"/>
              </w:rPr>
              <w:t>2500</w:t>
            </w:r>
            <w:r>
              <w:rPr>
                <w:rFonts w:ascii="Times New Roman" w:hAnsi="Times New Roman"/>
                <w:color w:val="auto"/>
              </w:rPr>
              <w:t>t/a）、</w:t>
            </w:r>
            <w:r>
              <w:rPr>
                <w:rFonts w:ascii="Times New Roman" w:hAnsi="Times New Roman"/>
                <w:bCs/>
                <w:color w:val="auto"/>
                <w:lang w:val="en-GB"/>
              </w:rPr>
              <w:t>再生P</w:t>
            </w:r>
            <w:r>
              <w:rPr>
                <w:rFonts w:ascii="Times New Roman" w:hAnsi="Times New Roman"/>
                <w:bCs/>
                <w:color w:val="auto"/>
              </w:rPr>
              <w:t>P</w:t>
            </w:r>
            <w:r>
              <w:rPr>
                <w:rFonts w:ascii="Times New Roman" w:hAnsi="Times New Roman"/>
                <w:bCs/>
                <w:color w:val="auto"/>
                <w:lang w:val="en-GB"/>
              </w:rPr>
              <w:t>塑料颗粒</w:t>
            </w:r>
            <w:r>
              <w:rPr>
                <w:rFonts w:ascii="Times New Roman" w:hAnsi="Times New Roman"/>
                <w:color w:val="auto"/>
              </w:rPr>
              <w:t>（</w:t>
            </w:r>
            <w:r>
              <w:rPr>
                <w:rFonts w:hint="eastAsia" w:ascii="Times New Roman" w:hAnsi="Times New Roman"/>
                <w:color w:val="auto"/>
              </w:rPr>
              <w:t>2500</w:t>
            </w:r>
            <w:r>
              <w:rPr>
                <w:rFonts w:ascii="Times New Roman" w:hAnsi="Times New Roman"/>
                <w:color w:val="auto"/>
              </w:rPr>
              <w:t>t/a），熔融加工最高温度以PE原料</w:t>
            </w:r>
            <w:r>
              <w:rPr>
                <w:rFonts w:ascii="Times New Roman" w:hAnsi="Times New Roman"/>
                <w:bCs/>
                <w:color w:val="auto"/>
              </w:rPr>
              <w:t>、PP原料</w:t>
            </w:r>
            <w:r>
              <w:rPr>
                <w:rFonts w:ascii="Times New Roman" w:hAnsi="Times New Roman"/>
                <w:color w:val="auto"/>
              </w:rPr>
              <w:t>的熔融加工最高温度为计算依据，即200℃（473T），经水冷却后物料温度可达40℃（313T）。根据塑料热导率和比热容可知，本项目</w:t>
            </w:r>
            <w:r>
              <w:rPr>
                <w:rFonts w:hint="eastAsia" w:ascii="Times New Roman" w:hAnsi="Times New Roman"/>
                <w:color w:val="auto"/>
              </w:rPr>
              <w:t>聚丙烯的比热容为1.883kJ/kg·K，聚乙烯的比热容为2.301kJ/kg·K，项目加工过程以热量最高值计算，则本项目物料比热容以2301J/kg·K计。</w:t>
            </w:r>
          </w:p>
          <w:p>
            <w:pPr>
              <w:pStyle w:val="88"/>
              <w:ind w:firstLine="480"/>
              <w:rPr>
                <w:rFonts w:ascii="Times New Roman" w:hAnsi="Times New Roman"/>
                <w:color w:val="auto"/>
              </w:rPr>
            </w:pPr>
            <w:r>
              <w:rPr>
                <w:rFonts w:ascii="Times New Roman" w:hAnsi="Times New Roman"/>
                <w:color w:val="auto"/>
              </w:rPr>
              <w:t>2）水在不同温度下的比热容不一样，冷却前冷却水温为20℃，比热容为4.183kJ/kg.℃；冷却后水温为40℃，比热容为4.174kJ/kg.℃。</w:t>
            </w:r>
          </w:p>
          <w:p>
            <w:pPr>
              <w:pStyle w:val="88"/>
              <w:ind w:firstLine="480"/>
              <w:rPr>
                <w:color w:val="auto"/>
              </w:rPr>
            </w:pPr>
            <w:r>
              <w:rPr>
                <w:rFonts w:ascii="Times New Roman" w:hAnsi="Times New Roman"/>
                <w:color w:val="auto"/>
              </w:rPr>
              <w:t>冷却水在冷却过程中的蒸发损失量约为5%，经计算冷却水用量为</w:t>
            </w:r>
            <w:r>
              <w:rPr>
                <w:rFonts w:hint="eastAsia" w:ascii="Times New Roman" w:hAnsi="Times New Roman"/>
                <w:color w:val="auto"/>
              </w:rPr>
              <w:t>81.87</w:t>
            </w:r>
            <w:r>
              <w:rPr>
                <w:rFonts w:ascii="Times New Roman" w:hAnsi="Times New Roman"/>
                <w:color w:val="auto"/>
              </w:rPr>
              <w:t>m</w:t>
            </w:r>
            <w:r>
              <w:rPr>
                <w:rFonts w:ascii="Times New Roman" w:hAnsi="Times New Roman"/>
                <w:color w:val="auto"/>
                <w:vertAlign w:val="superscript"/>
              </w:rPr>
              <w:t>3</w:t>
            </w:r>
            <w:r>
              <w:rPr>
                <w:rFonts w:ascii="Times New Roman" w:hAnsi="Times New Roman"/>
                <w:color w:val="auto"/>
              </w:rPr>
              <w:t>/d。蒸发损失量为</w:t>
            </w:r>
            <w:r>
              <w:rPr>
                <w:rFonts w:hint="eastAsia" w:ascii="Times New Roman" w:hAnsi="Times New Roman"/>
                <w:color w:val="auto"/>
              </w:rPr>
              <w:t>4.09</w:t>
            </w:r>
            <w:r>
              <w:rPr>
                <w:rFonts w:ascii="Times New Roman" w:hAnsi="Times New Roman"/>
                <w:color w:val="auto"/>
              </w:rPr>
              <w:t>m</w:t>
            </w:r>
            <w:r>
              <w:rPr>
                <w:rFonts w:ascii="Times New Roman" w:hAnsi="Times New Roman"/>
                <w:color w:val="auto"/>
                <w:vertAlign w:val="superscript"/>
              </w:rPr>
              <w:t>3</w:t>
            </w:r>
            <w:r>
              <w:rPr>
                <w:rFonts w:ascii="Times New Roman" w:hAnsi="Times New Roman"/>
                <w:color w:val="auto"/>
              </w:rPr>
              <w:t>/d，循环冷却水为</w:t>
            </w:r>
            <w:r>
              <w:rPr>
                <w:rFonts w:hint="eastAsia" w:ascii="Times New Roman" w:hAnsi="Times New Roman"/>
                <w:color w:val="auto"/>
              </w:rPr>
              <w:t>77.78</w:t>
            </w:r>
            <w:r>
              <w:rPr>
                <w:rFonts w:ascii="Times New Roman" w:hAnsi="Times New Roman"/>
                <w:color w:val="auto"/>
              </w:rPr>
              <w:t>m</w:t>
            </w:r>
            <w:r>
              <w:rPr>
                <w:rFonts w:ascii="Times New Roman" w:hAnsi="Times New Roman"/>
                <w:color w:val="auto"/>
                <w:vertAlign w:val="superscript"/>
              </w:rPr>
              <w:t>3</w:t>
            </w:r>
            <w:r>
              <w:rPr>
                <w:rFonts w:ascii="Times New Roman" w:hAnsi="Times New Roman"/>
                <w:color w:val="auto"/>
              </w:rPr>
              <w:t>/d，冷却水通过冷却</w:t>
            </w:r>
            <w:r>
              <w:rPr>
                <w:rFonts w:hint="eastAsia" w:ascii="Times New Roman" w:hAnsi="Times New Roman"/>
                <w:color w:val="auto"/>
              </w:rPr>
              <w:t>水池</w:t>
            </w:r>
            <w:r>
              <w:rPr>
                <w:rFonts w:ascii="Times New Roman" w:hAnsi="Times New Roman"/>
                <w:color w:val="auto"/>
              </w:rPr>
              <w:t>收集后，全部循环使用不外排。每天补充新鲜水</w:t>
            </w:r>
            <w:r>
              <w:rPr>
                <w:rFonts w:hint="eastAsia" w:ascii="Times New Roman" w:hAnsi="Times New Roman"/>
                <w:color w:val="auto"/>
              </w:rPr>
              <w:t>4.09</w:t>
            </w:r>
            <w:r>
              <w:rPr>
                <w:rFonts w:ascii="Times New Roman" w:hAnsi="Times New Roman"/>
                <w:color w:val="auto"/>
              </w:rPr>
              <w:t>m</w:t>
            </w:r>
            <w:r>
              <w:rPr>
                <w:rFonts w:ascii="Times New Roman" w:hAnsi="Times New Roman"/>
                <w:color w:val="auto"/>
                <w:vertAlign w:val="superscript"/>
              </w:rPr>
              <w:t>3</w:t>
            </w:r>
            <w:r>
              <w:rPr>
                <w:rFonts w:ascii="Times New Roman" w:hAnsi="Times New Roman"/>
                <w:color w:val="auto"/>
              </w:rPr>
              <w:t>/d</w:t>
            </w:r>
            <w:r>
              <w:rPr>
                <w:rFonts w:hint="eastAsia" w:ascii="Times New Roman" w:hAnsi="Times New Roman"/>
                <w:color w:val="auto"/>
              </w:rPr>
              <w:t>，1227m</w:t>
            </w:r>
            <w:r>
              <w:rPr>
                <w:rFonts w:hint="eastAsia" w:ascii="Times New Roman" w:hAnsi="Times New Roman"/>
                <w:color w:val="auto"/>
                <w:vertAlign w:val="superscript"/>
              </w:rPr>
              <w:t>3</w:t>
            </w:r>
            <w:r>
              <w:rPr>
                <w:rFonts w:hint="eastAsia" w:ascii="Times New Roman" w:hAnsi="Times New Roman"/>
                <w:color w:val="auto"/>
              </w:rPr>
              <w:t>/a</w:t>
            </w:r>
            <w:r>
              <w:rPr>
                <w:rFonts w:ascii="Times New Roman" w:hAnsi="Times New Roman"/>
                <w:color w:val="auto"/>
              </w:rPr>
              <w:t>。</w:t>
            </w:r>
          </w:p>
          <w:p>
            <w:pPr>
              <w:spacing w:line="360" w:lineRule="auto"/>
              <w:ind w:firstLine="480" w:firstLineChars="200"/>
              <w:rPr>
                <w:color w:val="auto"/>
                <w:sz w:val="24"/>
              </w:rPr>
            </w:pPr>
            <w:r>
              <w:rPr>
                <w:rFonts w:hint="eastAsia"/>
                <w:color w:val="auto"/>
                <w:sz w:val="24"/>
              </w:rPr>
              <w:t>③</w:t>
            </w:r>
            <w:r>
              <w:rPr>
                <w:color w:val="auto"/>
                <w:sz w:val="24"/>
              </w:rPr>
              <w:t>废气处理系统用水</w:t>
            </w:r>
          </w:p>
          <w:p>
            <w:pPr>
              <w:pStyle w:val="88"/>
              <w:ind w:firstLine="480"/>
              <w:rPr>
                <w:rFonts w:ascii="Times New Roman" w:hAnsi="Times New Roman"/>
                <w:color w:val="auto"/>
              </w:rPr>
            </w:pPr>
            <w:r>
              <w:rPr>
                <w:rFonts w:ascii="Times New Roman" w:hAnsi="Times New Roman"/>
                <w:color w:val="auto"/>
              </w:rPr>
              <w:t>项目熔融挤出工序产生的废气经收集后，统一进入废气处理设施，先采用水洗装置进行处理。水洗装置由三个罐体组成，为一体化装置，介质选用清水，一次总装水量为0.6m</w:t>
            </w:r>
            <w:r>
              <w:rPr>
                <w:rFonts w:ascii="Times New Roman" w:hAnsi="Times New Roman"/>
                <w:color w:val="auto"/>
                <w:vertAlign w:val="superscript"/>
              </w:rPr>
              <w:t>3</w:t>
            </w:r>
            <w:r>
              <w:rPr>
                <w:rFonts w:ascii="Times New Roman" w:hAnsi="Times New Roman"/>
                <w:color w:val="auto"/>
              </w:rPr>
              <w:t>，运作方式为废气由风管从第一个水罐顶引入罐底，由罐顶排出，再由风管从第二个水罐顶引入罐底，由罐顶排出，进而通过风管引入第三个水罐中，废气经过三次水洗，使气液两相充分接触后，达到对废气</w:t>
            </w:r>
            <w:r>
              <w:rPr>
                <w:rFonts w:hint="eastAsia" w:ascii="Times New Roman" w:hAnsi="Times New Roman"/>
                <w:color w:val="auto"/>
              </w:rPr>
              <w:t>降尘</w:t>
            </w:r>
            <w:r>
              <w:rPr>
                <w:rFonts w:ascii="Times New Roman" w:hAnsi="Times New Roman"/>
                <w:color w:val="auto"/>
              </w:rPr>
              <w:t>作用，由罐顶排出，进入除雾除湿装置进行干燥处理，达到冷凝除尘效果。</w:t>
            </w:r>
          </w:p>
          <w:p>
            <w:pPr>
              <w:spacing w:line="360" w:lineRule="auto"/>
              <w:ind w:firstLine="480" w:firstLineChars="200"/>
              <w:rPr>
                <w:color w:val="auto"/>
                <w:sz w:val="24"/>
              </w:rPr>
            </w:pPr>
            <w:r>
              <w:rPr>
                <w:color w:val="auto"/>
                <w:sz w:val="24"/>
              </w:rPr>
              <w:t>废气水洗装置水罐总装水量为0.6m</w:t>
            </w:r>
            <w:r>
              <w:rPr>
                <w:color w:val="auto"/>
                <w:sz w:val="24"/>
                <w:vertAlign w:val="superscript"/>
              </w:rPr>
              <w:t>3</w:t>
            </w:r>
            <w:r>
              <w:rPr>
                <w:color w:val="auto"/>
                <w:sz w:val="24"/>
              </w:rPr>
              <w:t>，水罐内水2天更换一次，水洗过程损失水量按20%计算，则损失水量为0.12m</w:t>
            </w:r>
            <w:r>
              <w:rPr>
                <w:color w:val="auto"/>
                <w:sz w:val="24"/>
                <w:vertAlign w:val="superscript"/>
              </w:rPr>
              <w:t>3</w:t>
            </w:r>
            <w:r>
              <w:rPr>
                <w:color w:val="auto"/>
                <w:sz w:val="24"/>
              </w:rPr>
              <w:t>/次、0.06m</w:t>
            </w:r>
            <w:r>
              <w:rPr>
                <w:color w:val="auto"/>
                <w:sz w:val="24"/>
                <w:vertAlign w:val="superscript"/>
              </w:rPr>
              <w:t>3</w:t>
            </w:r>
            <w:r>
              <w:rPr>
                <w:color w:val="auto"/>
                <w:sz w:val="24"/>
              </w:rPr>
              <w:t>/d，18m</w:t>
            </w:r>
            <w:r>
              <w:rPr>
                <w:color w:val="auto"/>
                <w:sz w:val="24"/>
                <w:vertAlign w:val="superscript"/>
              </w:rPr>
              <w:t>3</w:t>
            </w:r>
            <w:r>
              <w:rPr>
                <w:color w:val="auto"/>
                <w:sz w:val="24"/>
              </w:rPr>
              <w:t>/a。因此，废气水洗装置更换水量为0.48m</w:t>
            </w:r>
            <w:r>
              <w:rPr>
                <w:color w:val="auto"/>
                <w:sz w:val="24"/>
                <w:vertAlign w:val="superscript"/>
              </w:rPr>
              <w:t>3</w:t>
            </w:r>
            <w:r>
              <w:rPr>
                <w:color w:val="auto"/>
                <w:sz w:val="24"/>
              </w:rPr>
              <w:t>/次、0.24m</w:t>
            </w:r>
            <w:r>
              <w:rPr>
                <w:color w:val="auto"/>
                <w:sz w:val="24"/>
                <w:vertAlign w:val="superscript"/>
              </w:rPr>
              <w:t>3</w:t>
            </w:r>
            <w:r>
              <w:rPr>
                <w:color w:val="auto"/>
                <w:sz w:val="24"/>
              </w:rPr>
              <w:t>/d、72m</w:t>
            </w:r>
            <w:r>
              <w:rPr>
                <w:color w:val="auto"/>
                <w:sz w:val="24"/>
                <w:vertAlign w:val="superscript"/>
              </w:rPr>
              <w:t>3</w:t>
            </w:r>
            <w:r>
              <w:rPr>
                <w:color w:val="auto"/>
                <w:sz w:val="24"/>
              </w:rPr>
              <w:t>/a；排放的</w:t>
            </w:r>
            <w:r>
              <w:rPr>
                <w:rFonts w:hint="eastAsia"/>
                <w:color w:val="auto"/>
                <w:sz w:val="24"/>
              </w:rPr>
              <w:t>水洗</w:t>
            </w:r>
            <w:r>
              <w:rPr>
                <w:color w:val="auto"/>
                <w:sz w:val="24"/>
              </w:rPr>
              <w:t>装置废水经污水处理站处理后回用于项目生产。则废气处理系统补水量为0.6m</w:t>
            </w:r>
            <w:r>
              <w:rPr>
                <w:color w:val="auto"/>
                <w:sz w:val="24"/>
                <w:vertAlign w:val="superscript"/>
              </w:rPr>
              <w:t>3</w:t>
            </w:r>
            <w:r>
              <w:rPr>
                <w:color w:val="auto"/>
                <w:sz w:val="24"/>
              </w:rPr>
              <w:t>/次（0.3m</w:t>
            </w:r>
            <w:r>
              <w:rPr>
                <w:color w:val="auto"/>
                <w:sz w:val="24"/>
                <w:vertAlign w:val="superscript"/>
              </w:rPr>
              <w:t>3</w:t>
            </w:r>
            <w:r>
              <w:rPr>
                <w:color w:val="auto"/>
                <w:sz w:val="24"/>
              </w:rPr>
              <w:t>/d），90m</w:t>
            </w:r>
            <w:r>
              <w:rPr>
                <w:color w:val="auto"/>
                <w:sz w:val="24"/>
                <w:vertAlign w:val="superscript"/>
              </w:rPr>
              <w:t>3</w:t>
            </w:r>
            <w:r>
              <w:rPr>
                <w:color w:val="auto"/>
                <w:sz w:val="24"/>
              </w:rPr>
              <w:t>/a。</w:t>
            </w:r>
          </w:p>
          <w:p>
            <w:pPr>
              <w:spacing w:line="360" w:lineRule="auto"/>
              <w:ind w:firstLine="480" w:firstLineChars="200"/>
              <w:rPr>
                <w:color w:val="auto"/>
                <w:sz w:val="24"/>
              </w:rPr>
            </w:pPr>
            <w:r>
              <w:rPr>
                <w:rFonts w:hint="eastAsia"/>
                <w:color w:val="auto"/>
                <w:sz w:val="24"/>
              </w:rPr>
              <w:t>④</w:t>
            </w:r>
            <w:r>
              <w:rPr>
                <w:color w:val="auto"/>
                <w:sz w:val="24"/>
              </w:rPr>
              <w:t>车间地面清洗用水</w:t>
            </w:r>
          </w:p>
          <w:p>
            <w:pPr>
              <w:spacing w:line="360" w:lineRule="auto"/>
              <w:ind w:firstLine="480" w:firstLineChars="200"/>
              <w:rPr>
                <w:color w:val="auto"/>
                <w:sz w:val="24"/>
              </w:rPr>
            </w:pPr>
            <w:r>
              <w:rPr>
                <w:color w:val="auto"/>
                <w:sz w:val="24"/>
              </w:rPr>
              <w:t>生产车间占地面积约1600m</w:t>
            </w:r>
            <w:r>
              <w:rPr>
                <w:color w:val="auto"/>
                <w:sz w:val="24"/>
                <w:vertAlign w:val="superscript"/>
              </w:rPr>
              <w:t>2</w:t>
            </w:r>
            <w:r>
              <w:rPr>
                <w:color w:val="auto"/>
                <w:sz w:val="24"/>
              </w:rPr>
              <w:t>，其中：可清洗面积约为600m</w:t>
            </w:r>
            <w:r>
              <w:rPr>
                <w:color w:val="auto"/>
                <w:sz w:val="24"/>
                <w:vertAlign w:val="superscript"/>
              </w:rPr>
              <w:t>2</w:t>
            </w:r>
            <w:r>
              <w:rPr>
                <w:color w:val="auto"/>
                <w:sz w:val="24"/>
              </w:rPr>
              <w:t>，车间地面清洗用水量按2L/m</w:t>
            </w:r>
            <w:r>
              <w:rPr>
                <w:color w:val="auto"/>
                <w:sz w:val="24"/>
                <w:vertAlign w:val="superscript"/>
              </w:rPr>
              <w:t>2</w:t>
            </w:r>
            <w:r>
              <w:rPr>
                <w:color w:val="auto"/>
                <w:sz w:val="24"/>
              </w:rPr>
              <w:t>.次，每5天清洗一次，则用水量为1.2m</w:t>
            </w:r>
            <w:r>
              <w:rPr>
                <w:color w:val="auto"/>
                <w:sz w:val="24"/>
                <w:vertAlign w:val="superscript"/>
              </w:rPr>
              <w:t>3</w:t>
            </w:r>
            <w:r>
              <w:rPr>
                <w:color w:val="auto"/>
                <w:sz w:val="24"/>
              </w:rPr>
              <w:t>/次、0.24m</w:t>
            </w:r>
            <w:r>
              <w:rPr>
                <w:color w:val="auto"/>
                <w:sz w:val="24"/>
                <w:vertAlign w:val="superscript"/>
              </w:rPr>
              <w:t>3</w:t>
            </w:r>
            <w:r>
              <w:rPr>
                <w:color w:val="auto"/>
                <w:sz w:val="24"/>
              </w:rPr>
              <w:t>/d，每年清洗60次，则车间地面清洗用水总用水量为72m</w:t>
            </w:r>
            <w:r>
              <w:rPr>
                <w:color w:val="auto"/>
                <w:sz w:val="24"/>
                <w:vertAlign w:val="superscript"/>
              </w:rPr>
              <w:t>3</w:t>
            </w:r>
            <w:r>
              <w:rPr>
                <w:color w:val="auto"/>
                <w:sz w:val="24"/>
              </w:rPr>
              <w:t>/a，采用新鲜水。废水产生量约为用水量的90%，则车间清洗废水产生量为为1.08m</w:t>
            </w:r>
            <w:r>
              <w:rPr>
                <w:color w:val="auto"/>
                <w:sz w:val="24"/>
                <w:vertAlign w:val="superscript"/>
              </w:rPr>
              <w:t>3</w:t>
            </w:r>
            <w:r>
              <w:rPr>
                <w:color w:val="auto"/>
                <w:sz w:val="24"/>
              </w:rPr>
              <w:t>/次、0.22m</w:t>
            </w:r>
            <w:r>
              <w:rPr>
                <w:color w:val="auto"/>
                <w:sz w:val="24"/>
                <w:vertAlign w:val="superscript"/>
              </w:rPr>
              <w:t>3</w:t>
            </w:r>
            <w:r>
              <w:rPr>
                <w:color w:val="auto"/>
                <w:sz w:val="24"/>
              </w:rPr>
              <w:t>/d，通过车间内设置的排水沟</w:t>
            </w:r>
            <w:r>
              <w:rPr>
                <w:color w:val="auto"/>
                <w:sz w:val="24"/>
                <w:szCs w:val="20"/>
              </w:rPr>
              <w:t>汇入污水处理设施处理后</w:t>
            </w:r>
            <w:r>
              <w:rPr>
                <w:color w:val="auto"/>
                <w:sz w:val="24"/>
              </w:rPr>
              <w:t>回用于生产线，不外排。</w:t>
            </w:r>
          </w:p>
          <w:p>
            <w:pPr>
              <w:spacing w:line="360" w:lineRule="auto"/>
              <w:ind w:firstLine="480" w:firstLineChars="200"/>
              <w:rPr>
                <w:color w:val="auto"/>
                <w:sz w:val="24"/>
              </w:rPr>
            </w:pPr>
            <w:r>
              <w:rPr>
                <w:rFonts w:hint="eastAsia"/>
                <w:color w:val="auto"/>
                <w:sz w:val="24"/>
              </w:rPr>
              <w:t>⑤</w:t>
            </w:r>
            <w:r>
              <w:rPr>
                <w:color w:val="auto"/>
                <w:sz w:val="24"/>
              </w:rPr>
              <w:t>生活用水</w:t>
            </w:r>
          </w:p>
          <w:p>
            <w:pPr>
              <w:spacing w:line="360" w:lineRule="auto"/>
              <w:ind w:firstLine="480" w:firstLineChars="200"/>
              <w:rPr>
                <w:color w:val="auto"/>
                <w:sz w:val="24"/>
              </w:rPr>
            </w:pPr>
            <w:r>
              <w:rPr>
                <w:color w:val="auto"/>
                <w:sz w:val="24"/>
              </w:rPr>
              <w:t>项目劳动定员10人，其中：管理人员2人，员工8人，厂房内不设职工宿舍和食堂，租赁寻甸特色产业园区羊街片区云南鹏腾机械设备制造有限公司宿舍楼作为员工生活使用</w:t>
            </w:r>
            <w:r>
              <w:rPr>
                <w:rFonts w:hint="eastAsia"/>
                <w:color w:val="auto"/>
                <w:sz w:val="24"/>
              </w:rPr>
              <w:t>，并依托云南鹏腾机械设备制造有限公司现有食堂</w:t>
            </w:r>
            <w:r>
              <w:rPr>
                <w:color w:val="auto"/>
                <w:sz w:val="24"/>
              </w:rPr>
              <w:t>。</w:t>
            </w:r>
          </w:p>
          <w:p>
            <w:pPr>
              <w:spacing w:line="360" w:lineRule="auto"/>
              <w:ind w:firstLine="540" w:firstLineChars="225"/>
              <w:rPr>
                <w:color w:val="auto"/>
                <w:sz w:val="24"/>
              </w:rPr>
            </w:pPr>
            <w:r>
              <w:rPr>
                <w:color w:val="auto"/>
                <w:sz w:val="24"/>
              </w:rPr>
              <w:t>本项目生活用水为住宿人员的盥洗水和</w:t>
            </w:r>
            <w:r>
              <w:rPr>
                <w:rFonts w:hint="eastAsia"/>
                <w:color w:val="auto"/>
                <w:sz w:val="24"/>
              </w:rPr>
              <w:t>食堂用水</w:t>
            </w:r>
            <w:r>
              <w:rPr>
                <w:color w:val="auto"/>
                <w:sz w:val="24"/>
              </w:rPr>
              <w:t>。</w:t>
            </w:r>
            <w:r>
              <w:rPr>
                <w:rFonts w:hint="eastAsia"/>
                <w:color w:val="auto"/>
                <w:sz w:val="24"/>
              </w:rPr>
              <w:t>工作人员均在租用宿舍及依托食堂内食宿，</w:t>
            </w:r>
            <w:r>
              <w:rPr>
                <w:color w:val="auto"/>
                <w:sz w:val="24"/>
              </w:rPr>
              <w:t>根据《云南地方标准 用水定额》（DB53/T168-2019），在项目区住宿人员用水量按1</w:t>
            </w:r>
            <w:r>
              <w:rPr>
                <w:rFonts w:hint="eastAsia"/>
                <w:color w:val="auto"/>
                <w:sz w:val="24"/>
              </w:rPr>
              <w:t>1</w:t>
            </w:r>
            <w:r>
              <w:rPr>
                <w:color w:val="auto"/>
                <w:sz w:val="24"/>
              </w:rPr>
              <w:t>0L/人.d计，则员工生活用水量为</w:t>
            </w:r>
            <w:r>
              <w:rPr>
                <w:rFonts w:hint="eastAsia"/>
                <w:color w:val="auto"/>
                <w:sz w:val="24"/>
              </w:rPr>
              <w:t>1.1</w:t>
            </w:r>
            <w:r>
              <w:rPr>
                <w:color w:val="auto"/>
                <w:sz w:val="24"/>
              </w:rPr>
              <w:t>m</w:t>
            </w:r>
            <w:r>
              <w:rPr>
                <w:color w:val="auto"/>
                <w:sz w:val="24"/>
                <w:vertAlign w:val="superscript"/>
              </w:rPr>
              <w:t>3</w:t>
            </w:r>
            <w:r>
              <w:rPr>
                <w:color w:val="auto"/>
                <w:sz w:val="24"/>
              </w:rPr>
              <w:t>/d、</w:t>
            </w:r>
            <w:r>
              <w:rPr>
                <w:rFonts w:hint="eastAsia"/>
                <w:color w:val="auto"/>
                <w:sz w:val="24"/>
              </w:rPr>
              <w:t>330</w:t>
            </w:r>
            <w:r>
              <w:rPr>
                <w:color w:val="auto"/>
                <w:sz w:val="24"/>
              </w:rPr>
              <w:t>m</w:t>
            </w:r>
            <w:r>
              <w:rPr>
                <w:color w:val="auto"/>
                <w:sz w:val="24"/>
                <w:vertAlign w:val="superscript"/>
              </w:rPr>
              <w:t>3</w:t>
            </w:r>
            <w:r>
              <w:rPr>
                <w:color w:val="auto"/>
                <w:sz w:val="24"/>
              </w:rPr>
              <w:t>/a</w:t>
            </w:r>
            <w:r>
              <w:rPr>
                <w:rFonts w:hint="eastAsia"/>
                <w:color w:val="auto"/>
                <w:sz w:val="24"/>
              </w:rPr>
              <w:t>；食堂用水量按照10L/（人·餐）计算，则食堂用水量为0.1m</w:t>
            </w:r>
            <w:r>
              <w:rPr>
                <w:rFonts w:hint="eastAsia"/>
                <w:color w:val="auto"/>
                <w:sz w:val="24"/>
                <w:vertAlign w:val="superscript"/>
              </w:rPr>
              <w:t>3</w:t>
            </w:r>
            <w:r>
              <w:rPr>
                <w:rFonts w:hint="eastAsia"/>
                <w:color w:val="auto"/>
                <w:sz w:val="24"/>
              </w:rPr>
              <w:t>/d，30m</w:t>
            </w:r>
            <w:r>
              <w:rPr>
                <w:rFonts w:hint="eastAsia"/>
                <w:color w:val="auto"/>
                <w:sz w:val="24"/>
                <w:vertAlign w:val="superscript"/>
              </w:rPr>
              <w:t>3</w:t>
            </w:r>
            <w:r>
              <w:rPr>
                <w:rFonts w:hint="eastAsia"/>
                <w:color w:val="auto"/>
                <w:sz w:val="24"/>
              </w:rPr>
              <w:t>/a</w:t>
            </w:r>
            <w:r>
              <w:rPr>
                <w:color w:val="auto"/>
                <w:sz w:val="24"/>
              </w:rPr>
              <w:t>。</w:t>
            </w:r>
            <w:r>
              <w:rPr>
                <w:rFonts w:hint="eastAsia"/>
                <w:color w:val="auto"/>
                <w:sz w:val="24"/>
              </w:rPr>
              <w:t>废水产生量以用水量的80%计，</w:t>
            </w:r>
            <w:r>
              <w:rPr>
                <w:color w:val="auto"/>
                <w:sz w:val="24"/>
              </w:rPr>
              <w:t>则员工生活污水</w:t>
            </w:r>
            <w:r>
              <w:rPr>
                <w:rFonts w:hint="eastAsia"/>
                <w:color w:val="auto"/>
                <w:sz w:val="24"/>
              </w:rPr>
              <w:t>产生</w:t>
            </w:r>
            <w:r>
              <w:rPr>
                <w:color w:val="auto"/>
                <w:sz w:val="24"/>
              </w:rPr>
              <w:t>量为</w:t>
            </w:r>
            <w:r>
              <w:rPr>
                <w:rFonts w:hint="eastAsia"/>
                <w:color w:val="auto"/>
                <w:sz w:val="24"/>
              </w:rPr>
              <w:t>0.88</w:t>
            </w:r>
            <w:r>
              <w:rPr>
                <w:color w:val="auto"/>
                <w:sz w:val="24"/>
              </w:rPr>
              <w:t>m</w:t>
            </w:r>
            <w:r>
              <w:rPr>
                <w:color w:val="auto"/>
                <w:sz w:val="24"/>
                <w:vertAlign w:val="superscript"/>
              </w:rPr>
              <w:t>3</w:t>
            </w:r>
            <w:r>
              <w:rPr>
                <w:color w:val="auto"/>
                <w:sz w:val="24"/>
              </w:rPr>
              <w:t>/d</w:t>
            </w:r>
            <w:r>
              <w:rPr>
                <w:rFonts w:hint="eastAsia"/>
                <w:color w:val="auto"/>
                <w:sz w:val="24"/>
              </w:rPr>
              <w:t>，食堂废水产生量为0.08m</w:t>
            </w:r>
            <w:r>
              <w:rPr>
                <w:rFonts w:hint="eastAsia"/>
                <w:color w:val="auto"/>
                <w:sz w:val="24"/>
                <w:vertAlign w:val="superscript"/>
              </w:rPr>
              <w:t>3</w:t>
            </w:r>
            <w:r>
              <w:rPr>
                <w:rFonts w:hint="eastAsia"/>
                <w:color w:val="auto"/>
                <w:sz w:val="24"/>
              </w:rPr>
              <w:t>/d</w:t>
            </w:r>
            <w:r>
              <w:rPr>
                <w:color w:val="auto"/>
                <w:sz w:val="24"/>
              </w:rPr>
              <w:t>。</w:t>
            </w:r>
            <w:r>
              <w:rPr>
                <w:rFonts w:hint="eastAsia"/>
                <w:color w:val="auto"/>
                <w:sz w:val="24"/>
              </w:rPr>
              <w:t>食堂废水经云南鹏腾机械设备有限公司场地内已建0.5m</w:t>
            </w:r>
            <w:r>
              <w:rPr>
                <w:rFonts w:hint="eastAsia"/>
                <w:color w:val="auto"/>
                <w:sz w:val="24"/>
                <w:vertAlign w:val="superscript"/>
              </w:rPr>
              <w:t>3</w:t>
            </w:r>
            <w:r>
              <w:rPr>
                <w:rFonts w:hint="eastAsia"/>
                <w:color w:val="auto"/>
                <w:sz w:val="24"/>
              </w:rPr>
              <w:t>的隔油池预处理后，与其他生活污水一同进入化粪池进行处理，经化粪池处理后进入厂区内一体化污水处理站处理，</w:t>
            </w:r>
            <w:r>
              <w:rPr>
                <w:color w:val="auto"/>
                <w:sz w:val="24"/>
              </w:rPr>
              <w:t>处理达到GB/T18920-</w:t>
            </w:r>
            <w:r>
              <w:rPr>
                <w:rFonts w:hint="eastAsia"/>
                <w:color w:val="auto"/>
                <w:sz w:val="24"/>
              </w:rPr>
              <w:t>2020</w:t>
            </w:r>
            <w:r>
              <w:rPr>
                <w:color w:val="auto"/>
                <w:sz w:val="24"/>
              </w:rPr>
              <w:t>《城市污水再生利用</w:t>
            </w:r>
            <w:r>
              <w:rPr>
                <w:rFonts w:hint="eastAsia"/>
                <w:color w:val="auto"/>
                <w:sz w:val="24"/>
              </w:rPr>
              <w:t xml:space="preserve"> </w:t>
            </w:r>
            <w:r>
              <w:rPr>
                <w:color w:val="auto"/>
                <w:sz w:val="24"/>
              </w:rPr>
              <w:t>城市杂用水水质》标准后，</w:t>
            </w:r>
            <w:r>
              <w:rPr>
                <w:rFonts w:hint="eastAsia"/>
                <w:color w:val="auto"/>
                <w:sz w:val="24"/>
              </w:rPr>
              <w:t>暂存于蓄水池</w:t>
            </w:r>
            <w:r>
              <w:rPr>
                <w:color w:val="auto"/>
                <w:sz w:val="24"/>
              </w:rPr>
              <w:t>回用于绿化，不外排。</w:t>
            </w:r>
          </w:p>
          <w:p>
            <w:pPr>
              <w:spacing w:line="360" w:lineRule="auto"/>
              <w:ind w:firstLine="480" w:firstLineChars="200"/>
              <w:rPr>
                <w:color w:val="auto"/>
                <w:sz w:val="24"/>
              </w:rPr>
            </w:pPr>
            <w:r>
              <w:rPr>
                <w:rFonts w:hint="eastAsia"/>
                <w:color w:val="auto"/>
                <w:sz w:val="24"/>
              </w:rPr>
              <w:t>⑥绿化用水</w:t>
            </w:r>
          </w:p>
          <w:p>
            <w:pPr>
              <w:adjustRightInd w:val="0"/>
              <w:snapToGrid w:val="0"/>
              <w:spacing w:line="360" w:lineRule="auto"/>
              <w:ind w:firstLine="480" w:firstLineChars="200"/>
              <w:rPr>
                <w:color w:val="auto"/>
              </w:rPr>
            </w:pPr>
            <w:r>
              <w:rPr>
                <w:rFonts w:hint="eastAsia"/>
                <w:color w:val="auto"/>
                <w:sz w:val="24"/>
              </w:rPr>
              <w:t>云南鹏腾机械设备制造有限公司场地内</w:t>
            </w:r>
            <w:r>
              <w:rPr>
                <w:color w:val="auto"/>
                <w:sz w:val="24"/>
              </w:rPr>
              <w:t>绿化面积约为4105m</w:t>
            </w:r>
            <w:r>
              <w:rPr>
                <w:color w:val="auto"/>
                <w:sz w:val="24"/>
                <w:vertAlign w:val="superscript"/>
              </w:rPr>
              <w:t>2</w:t>
            </w:r>
            <w:r>
              <w:rPr>
                <w:color w:val="auto"/>
                <w:sz w:val="24"/>
              </w:rPr>
              <w:t>，按DB53/T168-2019《云南省地方标准用水定额》规定的</w:t>
            </w:r>
            <w:r>
              <w:rPr>
                <w:rFonts w:hint="eastAsia"/>
                <w:color w:val="auto"/>
                <w:sz w:val="24"/>
              </w:rPr>
              <w:t>园林绿化</w:t>
            </w:r>
            <w:r>
              <w:rPr>
                <w:color w:val="auto"/>
                <w:sz w:val="24"/>
              </w:rPr>
              <w:t>用水定额</w:t>
            </w:r>
            <w:r>
              <w:rPr>
                <w:rFonts w:hint="eastAsia"/>
                <w:color w:val="auto"/>
                <w:sz w:val="24"/>
              </w:rPr>
              <w:t>3</w:t>
            </w:r>
            <w:r>
              <w:rPr>
                <w:color w:val="auto"/>
                <w:sz w:val="24"/>
              </w:rPr>
              <w:t>.0L/m</w:t>
            </w:r>
            <w:r>
              <w:rPr>
                <w:color w:val="auto"/>
                <w:sz w:val="24"/>
                <w:vertAlign w:val="superscript"/>
              </w:rPr>
              <w:t>2</w:t>
            </w:r>
            <w:r>
              <w:rPr>
                <w:color w:val="auto"/>
                <w:sz w:val="24"/>
              </w:rPr>
              <w:t>·次计算，</w:t>
            </w:r>
            <w:r>
              <w:rPr>
                <w:rFonts w:hint="eastAsia"/>
                <w:color w:val="auto"/>
                <w:sz w:val="24"/>
              </w:rPr>
              <w:t>根据寻甸县多年气象资料，寻甸县非雨天按209天计，雨天按156天计</w:t>
            </w:r>
            <w:r>
              <w:rPr>
                <w:color w:val="auto"/>
                <w:sz w:val="24"/>
              </w:rPr>
              <w:t>，则项目绿化用水量为12.32m</w:t>
            </w:r>
            <w:r>
              <w:rPr>
                <w:color w:val="auto"/>
                <w:sz w:val="24"/>
                <w:vertAlign w:val="superscript"/>
              </w:rPr>
              <w:t>3</w:t>
            </w:r>
            <w:r>
              <w:rPr>
                <w:color w:val="auto"/>
                <w:sz w:val="24"/>
              </w:rPr>
              <w:t>/d，2573.84t/a。</w:t>
            </w:r>
            <w:r>
              <w:rPr>
                <w:rFonts w:hint="eastAsia"/>
                <w:color w:val="auto"/>
                <w:sz w:val="24"/>
              </w:rPr>
              <w:t>绿化用水全部自然蒸发，不外排。</w:t>
            </w:r>
          </w:p>
          <w:p>
            <w:pPr>
              <w:spacing w:line="360" w:lineRule="auto"/>
              <w:ind w:firstLine="480" w:firstLineChars="200"/>
              <w:rPr>
                <w:color w:val="auto"/>
                <w:sz w:val="24"/>
              </w:rPr>
            </w:pPr>
            <w:r>
              <w:rPr>
                <w:color w:val="auto"/>
                <w:sz w:val="24"/>
              </w:rPr>
              <w:t>项目水平衡见表</w:t>
            </w:r>
            <w:r>
              <w:rPr>
                <w:rFonts w:hint="eastAsia"/>
                <w:color w:val="auto"/>
                <w:sz w:val="24"/>
              </w:rPr>
              <w:t>2-7</w:t>
            </w:r>
            <w:r>
              <w:rPr>
                <w:color w:val="auto"/>
                <w:sz w:val="24"/>
              </w:rPr>
              <w:t>。项目水平衡图见图</w:t>
            </w:r>
            <w:r>
              <w:rPr>
                <w:rFonts w:hint="eastAsia"/>
                <w:color w:val="auto"/>
                <w:sz w:val="24"/>
              </w:rPr>
              <w:t>2-1、2-2</w:t>
            </w:r>
            <w:r>
              <w:rPr>
                <w:color w:val="auto"/>
                <w:sz w:val="24"/>
              </w:rPr>
              <w:t>。</w:t>
            </w:r>
          </w:p>
          <w:p>
            <w:pPr>
              <w:spacing w:line="360" w:lineRule="auto"/>
              <w:jc w:val="center"/>
              <w:rPr>
                <w:b/>
                <w:bCs/>
                <w:color w:val="auto"/>
                <w:sz w:val="24"/>
              </w:rPr>
            </w:pPr>
            <w:r>
              <w:rPr>
                <w:b/>
                <w:bCs/>
                <w:color w:val="auto"/>
                <w:sz w:val="24"/>
              </w:rPr>
              <w:t>表</w:t>
            </w:r>
            <w:r>
              <w:rPr>
                <w:rFonts w:hint="eastAsia"/>
                <w:b/>
                <w:bCs/>
                <w:color w:val="auto"/>
                <w:sz w:val="24"/>
              </w:rPr>
              <w:t>2-7</w:t>
            </w:r>
            <w:r>
              <w:rPr>
                <w:b/>
                <w:bCs/>
                <w:color w:val="auto"/>
                <w:sz w:val="24"/>
              </w:rPr>
              <w:t xml:space="preserve">  项目水平衡表</w:t>
            </w:r>
          </w:p>
          <w:tbl>
            <w:tblPr>
              <w:tblStyle w:val="30"/>
              <w:tblW w:w="7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15"/>
              <w:gridCol w:w="724"/>
              <w:gridCol w:w="746"/>
              <w:gridCol w:w="870"/>
              <w:gridCol w:w="637"/>
              <w:gridCol w:w="706"/>
              <w:gridCol w:w="676"/>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9" w:hRule="atLeast"/>
                <w:jc w:val="center"/>
              </w:trPr>
              <w:tc>
                <w:tcPr>
                  <w:tcW w:w="550" w:type="pct"/>
                  <w:vMerge w:val="restart"/>
                  <w:vAlign w:val="center"/>
                </w:tcPr>
                <w:p>
                  <w:pPr>
                    <w:jc w:val="center"/>
                    <w:rPr>
                      <w:b/>
                      <w:color w:val="auto"/>
                      <w:szCs w:val="21"/>
                    </w:rPr>
                  </w:pPr>
                  <w:r>
                    <w:rPr>
                      <w:b/>
                      <w:color w:val="auto"/>
                      <w:szCs w:val="21"/>
                    </w:rPr>
                    <w:t>用水环节</w:t>
                  </w:r>
                </w:p>
              </w:tc>
              <w:tc>
                <w:tcPr>
                  <w:tcW w:w="921" w:type="pct"/>
                  <w:gridSpan w:val="2"/>
                  <w:vAlign w:val="center"/>
                </w:tcPr>
                <w:p>
                  <w:pPr>
                    <w:jc w:val="center"/>
                    <w:rPr>
                      <w:b/>
                      <w:color w:val="auto"/>
                      <w:szCs w:val="21"/>
                    </w:rPr>
                  </w:pPr>
                  <w:r>
                    <w:rPr>
                      <w:b/>
                      <w:color w:val="auto"/>
                      <w:szCs w:val="21"/>
                    </w:rPr>
                    <w:t>用水量</w:t>
                  </w:r>
                  <w:r>
                    <w:rPr>
                      <w:b/>
                      <w:bCs/>
                      <w:color w:val="auto"/>
                      <w:szCs w:val="21"/>
                    </w:rPr>
                    <w:t>m</w:t>
                  </w:r>
                  <w:r>
                    <w:rPr>
                      <w:b/>
                      <w:bCs/>
                      <w:color w:val="auto"/>
                      <w:szCs w:val="21"/>
                      <w:vertAlign w:val="superscript"/>
                    </w:rPr>
                    <w:t>3</w:t>
                  </w:r>
                  <w:r>
                    <w:rPr>
                      <w:b/>
                      <w:bCs/>
                      <w:color w:val="auto"/>
                      <w:szCs w:val="21"/>
                    </w:rPr>
                    <w:t>/d</w:t>
                  </w:r>
                </w:p>
              </w:tc>
              <w:tc>
                <w:tcPr>
                  <w:tcW w:w="1034" w:type="pct"/>
                  <w:gridSpan w:val="2"/>
                  <w:vAlign w:val="center"/>
                </w:tcPr>
                <w:p>
                  <w:pPr>
                    <w:jc w:val="center"/>
                    <w:rPr>
                      <w:b/>
                      <w:color w:val="auto"/>
                      <w:szCs w:val="21"/>
                    </w:rPr>
                  </w:pPr>
                  <w:r>
                    <w:rPr>
                      <w:b/>
                      <w:color w:val="auto"/>
                      <w:szCs w:val="21"/>
                    </w:rPr>
                    <w:t>用水量</w:t>
                  </w:r>
                  <w:r>
                    <w:rPr>
                      <w:b/>
                      <w:bCs/>
                      <w:color w:val="auto"/>
                      <w:szCs w:val="21"/>
                    </w:rPr>
                    <w:t>m</w:t>
                  </w:r>
                  <w:r>
                    <w:rPr>
                      <w:b/>
                      <w:bCs/>
                      <w:color w:val="auto"/>
                      <w:szCs w:val="21"/>
                      <w:vertAlign w:val="superscript"/>
                    </w:rPr>
                    <w:t>3</w:t>
                  </w:r>
                  <w:r>
                    <w:rPr>
                      <w:b/>
                      <w:bCs/>
                      <w:color w:val="auto"/>
                      <w:szCs w:val="21"/>
                    </w:rPr>
                    <w:t>/a</w:t>
                  </w:r>
                </w:p>
              </w:tc>
              <w:tc>
                <w:tcPr>
                  <w:tcW w:w="407" w:type="pct"/>
                  <w:vMerge w:val="restart"/>
                  <w:vAlign w:val="center"/>
                </w:tcPr>
                <w:p>
                  <w:pPr>
                    <w:jc w:val="center"/>
                    <w:rPr>
                      <w:b/>
                      <w:color w:val="auto"/>
                      <w:szCs w:val="21"/>
                    </w:rPr>
                  </w:pPr>
                  <w:r>
                    <w:rPr>
                      <w:b/>
                      <w:color w:val="auto"/>
                      <w:szCs w:val="21"/>
                    </w:rPr>
                    <w:t>损耗量</w:t>
                  </w:r>
                  <w:r>
                    <w:rPr>
                      <w:b/>
                      <w:bCs/>
                      <w:color w:val="auto"/>
                      <w:szCs w:val="21"/>
                    </w:rPr>
                    <w:t>m</w:t>
                  </w:r>
                  <w:r>
                    <w:rPr>
                      <w:b/>
                      <w:bCs/>
                      <w:color w:val="auto"/>
                      <w:szCs w:val="21"/>
                      <w:vertAlign w:val="superscript"/>
                    </w:rPr>
                    <w:t>3</w:t>
                  </w:r>
                  <w:r>
                    <w:rPr>
                      <w:b/>
                      <w:bCs/>
                      <w:color w:val="auto"/>
                      <w:szCs w:val="21"/>
                    </w:rPr>
                    <w:t>/d</w:t>
                  </w:r>
                </w:p>
              </w:tc>
              <w:tc>
                <w:tcPr>
                  <w:tcW w:w="884" w:type="pct"/>
                  <w:gridSpan w:val="2"/>
                  <w:vAlign w:val="center"/>
                </w:tcPr>
                <w:p>
                  <w:pPr>
                    <w:jc w:val="center"/>
                    <w:rPr>
                      <w:b/>
                      <w:color w:val="auto"/>
                      <w:szCs w:val="21"/>
                    </w:rPr>
                  </w:pPr>
                  <w:r>
                    <w:rPr>
                      <w:b/>
                      <w:color w:val="auto"/>
                      <w:szCs w:val="21"/>
                    </w:rPr>
                    <w:t>污水产生量</w:t>
                  </w:r>
                </w:p>
              </w:tc>
              <w:tc>
                <w:tcPr>
                  <w:tcW w:w="1200" w:type="pct"/>
                  <w:vMerge w:val="restart"/>
                  <w:vAlign w:val="center"/>
                </w:tcPr>
                <w:p>
                  <w:pPr>
                    <w:jc w:val="center"/>
                    <w:rPr>
                      <w:b/>
                      <w:color w:val="auto"/>
                      <w:szCs w:val="21"/>
                    </w:rPr>
                  </w:pPr>
                  <w:r>
                    <w:rPr>
                      <w:b/>
                      <w:color w:val="auto"/>
                      <w:szCs w:val="21"/>
                    </w:rPr>
                    <w:t>废水去向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0" w:type="pct"/>
                  <w:vMerge w:val="continue"/>
                  <w:vAlign w:val="center"/>
                </w:tcPr>
                <w:p>
                  <w:pPr>
                    <w:jc w:val="center"/>
                    <w:rPr>
                      <w:color w:val="auto"/>
                      <w:szCs w:val="21"/>
                    </w:rPr>
                  </w:pPr>
                </w:p>
              </w:tc>
              <w:tc>
                <w:tcPr>
                  <w:tcW w:w="457" w:type="pct"/>
                  <w:vAlign w:val="center"/>
                </w:tcPr>
                <w:p>
                  <w:pPr>
                    <w:jc w:val="center"/>
                    <w:rPr>
                      <w:b/>
                      <w:color w:val="auto"/>
                      <w:szCs w:val="21"/>
                    </w:rPr>
                  </w:pPr>
                  <w:r>
                    <w:rPr>
                      <w:b/>
                      <w:color w:val="auto"/>
                      <w:szCs w:val="21"/>
                    </w:rPr>
                    <w:t>新鲜水</w:t>
                  </w:r>
                </w:p>
              </w:tc>
              <w:tc>
                <w:tcPr>
                  <w:tcW w:w="463" w:type="pct"/>
                  <w:vAlign w:val="center"/>
                </w:tcPr>
                <w:p>
                  <w:pPr>
                    <w:jc w:val="center"/>
                    <w:rPr>
                      <w:b/>
                      <w:color w:val="auto"/>
                      <w:szCs w:val="21"/>
                    </w:rPr>
                  </w:pPr>
                  <w:r>
                    <w:rPr>
                      <w:b/>
                      <w:color w:val="auto"/>
                      <w:szCs w:val="21"/>
                    </w:rPr>
                    <w:t>回用水</w:t>
                  </w:r>
                </w:p>
              </w:tc>
              <w:tc>
                <w:tcPr>
                  <w:tcW w:w="477" w:type="pct"/>
                  <w:vAlign w:val="center"/>
                </w:tcPr>
                <w:p>
                  <w:pPr>
                    <w:jc w:val="center"/>
                    <w:rPr>
                      <w:b/>
                      <w:color w:val="auto"/>
                      <w:szCs w:val="21"/>
                    </w:rPr>
                  </w:pPr>
                  <w:r>
                    <w:rPr>
                      <w:b/>
                      <w:color w:val="auto"/>
                      <w:szCs w:val="21"/>
                    </w:rPr>
                    <w:t>新鲜水</w:t>
                  </w:r>
                </w:p>
              </w:tc>
              <w:tc>
                <w:tcPr>
                  <w:tcW w:w="557" w:type="pct"/>
                  <w:vAlign w:val="center"/>
                </w:tcPr>
                <w:p>
                  <w:pPr>
                    <w:jc w:val="center"/>
                    <w:rPr>
                      <w:b/>
                      <w:color w:val="auto"/>
                      <w:szCs w:val="21"/>
                    </w:rPr>
                  </w:pPr>
                  <w:r>
                    <w:rPr>
                      <w:b/>
                      <w:color w:val="auto"/>
                      <w:szCs w:val="21"/>
                    </w:rPr>
                    <w:t>回用水</w:t>
                  </w:r>
                </w:p>
              </w:tc>
              <w:tc>
                <w:tcPr>
                  <w:tcW w:w="407" w:type="pct"/>
                  <w:vMerge w:val="continue"/>
                  <w:vAlign w:val="center"/>
                </w:tcPr>
                <w:p>
                  <w:pPr>
                    <w:jc w:val="center"/>
                    <w:rPr>
                      <w:b/>
                      <w:color w:val="auto"/>
                      <w:szCs w:val="21"/>
                    </w:rPr>
                  </w:pPr>
                </w:p>
              </w:tc>
              <w:tc>
                <w:tcPr>
                  <w:tcW w:w="452" w:type="pct"/>
                  <w:vAlign w:val="center"/>
                </w:tcPr>
                <w:p>
                  <w:pPr>
                    <w:jc w:val="center"/>
                    <w:rPr>
                      <w:b/>
                      <w:color w:val="auto"/>
                      <w:szCs w:val="21"/>
                    </w:rPr>
                  </w:pPr>
                  <w:r>
                    <w:rPr>
                      <w:b/>
                      <w:bCs/>
                      <w:color w:val="auto"/>
                      <w:szCs w:val="21"/>
                    </w:rPr>
                    <w:t>日产生量m</w:t>
                  </w:r>
                  <w:r>
                    <w:rPr>
                      <w:b/>
                      <w:bCs/>
                      <w:color w:val="auto"/>
                      <w:szCs w:val="21"/>
                      <w:vertAlign w:val="superscript"/>
                    </w:rPr>
                    <w:t>3</w:t>
                  </w:r>
                  <w:r>
                    <w:rPr>
                      <w:b/>
                      <w:bCs/>
                      <w:color w:val="auto"/>
                      <w:szCs w:val="21"/>
                    </w:rPr>
                    <w:t>/d</w:t>
                  </w:r>
                </w:p>
              </w:tc>
              <w:tc>
                <w:tcPr>
                  <w:tcW w:w="432" w:type="pct"/>
                  <w:vAlign w:val="center"/>
                </w:tcPr>
                <w:p>
                  <w:pPr>
                    <w:jc w:val="center"/>
                    <w:rPr>
                      <w:b/>
                      <w:color w:val="auto"/>
                      <w:szCs w:val="21"/>
                    </w:rPr>
                  </w:pPr>
                  <w:r>
                    <w:rPr>
                      <w:b/>
                      <w:bCs/>
                      <w:color w:val="auto"/>
                      <w:szCs w:val="21"/>
                    </w:rPr>
                    <w:t>年产生量m</w:t>
                  </w:r>
                  <w:r>
                    <w:rPr>
                      <w:b/>
                      <w:bCs/>
                      <w:color w:val="auto"/>
                      <w:szCs w:val="21"/>
                      <w:vertAlign w:val="superscript"/>
                    </w:rPr>
                    <w:t>3</w:t>
                  </w:r>
                  <w:r>
                    <w:rPr>
                      <w:b/>
                      <w:bCs/>
                      <w:color w:val="auto"/>
                      <w:szCs w:val="21"/>
                    </w:rPr>
                    <w:t>/a</w:t>
                  </w:r>
                </w:p>
              </w:tc>
              <w:tc>
                <w:tcPr>
                  <w:tcW w:w="1200"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550" w:type="pct"/>
                  <w:vAlign w:val="center"/>
                </w:tcPr>
                <w:p>
                  <w:pPr>
                    <w:jc w:val="center"/>
                    <w:rPr>
                      <w:color w:val="auto"/>
                      <w:szCs w:val="21"/>
                    </w:rPr>
                  </w:pPr>
                  <w:r>
                    <w:rPr>
                      <w:rFonts w:hint="eastAsia"/>
                      <w:color w:val="auto"/>
                      <w:szCs w:val="21"/>
                    </w:rPr>
                    <w:t>湿法破碎+</w:t>
                  </w:r>
                  <w:r>
                    <w:rPr>
                      <w:color w:val="auto"/>
                      <w:szCs w:val="21"/>
                    </w:rPr>
                    <w:t>清洗用水</w:t>
                  </w:r>
                </w:p>
              </w:tc>
              <w:tc>
                <w:tcPr>
                  <w:tcW w:w="457" w:type="pct"/>
                  <w:vAlign w:val="center"/>
                </w:tcPr>
                <w:p>
                  <w:pPr>
                    <w:jc w:val="center"/>
                    <w:rPr>
                      <w:color w:val="auto"/>
                      <w:szCs w:val="21"/>
                    </w:rPr>
                  </w:pPr>
                  <w:r>
                    <w:rPr>
                      <w:rFonts w:hint="eastAsia"/>
                      <w:color w:val="auto"/>
                      <w:szCs w:val="21"/>
                    </w:rPr>
                    <w:t>1.43</w:t>
                  </w:r>
                </w:p>
              </w:tc>
              <w:tc>
                <w:tcPr>
                  <w:tcW w:w="463" w:type="pct"/>
                  <w:vAlign w:val="center"/>
                </w:tcPr>
                <w:p>
                  <w:pPr>
                    <w:jc w:val="center"/>
                    <w:rPr>
                      <w:color w:val="auto"/>
                      <w:szCs w:val="21"/>
                    </w:rPr>
                  </w:pPr>
                  <w:r>
                    <w:rPr>
                      <w:rFonts w:hint="eastAsia"/>
                      <w:color w:val="auto"/>
                      <w:szCs w:val="21"/>
                    </w:rPr>
                    <w:t>17.53</w:t>
                  </w:r>
                </w:p>
              </w:tc>
              <w:tc>
                <w:tcPr>
                  <w:tcW w:w="477" w:type="pct"/>
                  <w:vAlign w:val="center"/>
                </w:tcPr>
                <w:p>
                  <w:pPr>
                    <w:jc w:val="center"/>
                    <w:rPr>
                      <w:color w:val="auto"/>
                      <w:szCs w:val="21"/>
                    </w:rPr>
                  </w:pPr>
                  <w:r>
                    <w:rPr>
                      <w:rFonts w:hint="eastAsia"/>
                      <w:color w:val="auto"/>
                      <w:szCs w:val="21"/>
                    </w:rPr>
                    <w:t>429</w:t>
                  </w:r>
                </w:p>
              </w:tc>
              <w:tc>
                <w:tcPr>
                  <w:tcW w:w="557" w:type="pct"/>
                  <w:vAlign w:val="center"/>
                </w:tcPr>
                <w:p>
                  <w:pPr>
                    <w:jc w:val="center"/>
                    <w:rPr>
                      <w:color w:val="auto"/>
                      <w:szCs w:val="21"/>
                    </w:rPr>
                  </w:pPr>
                  <w:r>
                    <w:rPr>
                      <w:rFonts w:hint="eastAsia"/>
                      <w:color w:val="auto"/>
                      <w:szCs w:val="21"/>
                    </w:rPr>
                    <w:t>5259</w:t>
                  </w:r>
                </w:p>
              </w:tc>
              <w:tc>
                <w:tcPr>
                  <w:tcW w:w="407" w:type="pct"/>
                  <w:vAlign w:val="center"/>
                </w:tcPr>
                <w:p>
                  <w:pPr>
                    <w:jc w:val="center"/>
                    <w:rPr>
                      <w:color w:val="auto"/>
                      <w:szCs w:val="21"/>
                    </w:rPr>
                  </w:pPr>
                  <w:r>
                    <w:rPr>
                      <w:rFonts w:hint="eastAsia"/>
                      <w:color w:val="auto"/>
                      <w:szCs w:val="21"/>
                    </w:rPr>
                    <w:t>1.89</w:t>
                  </w:r>
                </w:p>
              </w:tc>
              <w:tc>
                <w:tcPr>
                  <w:tcW w:w="452" w:type="pct"/>
                  <w:vAlign w:val="center"/>
                </w:tcPr>
                <w:p>
                  <w:pPr>
                    <w:jc w:val="center"/>
                    <w:rPr>
                      <w:color w:val="auto"/>
                      <w:szCs w:val="21"/>
                    </w:rPr>
                  </w:pPr>
                  <w:r>
                    <w:rPr>
                      <w:rFonts w:hint="eastAsia"/>
                      <w:color w:val="auto"/>
                      <w:szCs w:val="21"/>
                    </w:rPr>
                    <w:t>17.07</w:t>
                  </w:r>
                </w:p>
              </w:tc>
              <w:tc>
                <w:tcPr>
                  <w:tcW w:w="432" w:type="pct"/>
                  <w:vAlign w:val="center"/>
                </w:tcPr>
                <w:p>
                  <w:pPr>
                    <w:jc w:val="center"/>
                    <w:rPr>
                      <w:color w:val="auto"/>
                      <w:szCs w:val="21"/>
                    </w:rPr>
                  </w:pPr>
                  <w:r>
                    <w:rPr>
                      <w:rFonts w:hint="eastAsia"/>
                      <w:color w:val="auto"/>
                      <w:szCs w:val="21"/>
                    </w:rPr>
                    <w:t>5121</w:t>
                  </w:r>
                </w:p>
              </w:tc>
              <w:tc>
                <w:tcPr>
                  <w:tcW w:w="1200" w:type="pct"/>
                  <w:vAlign w:val="center"/>
                </w:tcPr>
                <w:p>
                  <w:pPr>
                    <w:jc w:val="center"/>
                    <w:rPr>
                      <w:color w:val="auto"/>
                      <w:szCs w:val="21"/>
                    </w:rPr>
                  </w:pPr>
                  <w:r>
                    <w:rPr>
                      <w:color w:val="auto"/>
                      <w:szCs w:val="21"/>
                    </w:rPr>
                    <w:t>通过截排水沟收集进入</w:t>
                  </w:r>
                  <w:r>
                    <w:rPr>
                      <w:rFonts w:hint="eastAsia"/>
                      <w:color w:val="auto"/>
                      <w:szCs w:val="21"/>
                    </w:rPr>
                    <w:t>污水处理站</w:t>
                  </w:r>
                  <w:r>
                    <w:rPr>
                      <w:color w:val="auto"/>
                      <w:szCs w:val="21"/>
                    </w:rPr>
                    <w:t>处理后全部</w:t>
                  </w:r>
                  <w:r>
                    <w:rPr>
                      <w:rFonts w:hint="eastAsia"/>
                      <w:color w:val="auto"/>
                      <w:szCs w:val="21"/>
                    </w:rPr>
                    <w:t>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550" w:type="pct"/>
                  <w:vAlign w:val="center"/>
                </w:tcPr>
                <w:p>
                  <w:pPr>
                    <w:jc w:val="center"/>
                    <w:rPr>
                      <w:color w:val="auto"/>
                      <w:szCs w:val="21"/>
                    </w:rPr>
                  </w:pPr>
                  <w:r>
                    <w:rPr>
                      <w:color w:val="auto"/>
                      <w:szCs w:val="21"/>
                    </w:rPr>
                    <w:t>冷却用水</w:t>
                  </w:r>
                </w:p>
              </w:tc>
              <w:tc>
                <w:tcPr>
                  <w:tcW w:w="457" w:type="pct"/>
                  <w:vAlign w:val="center"/>
                </w:tcPr>
                <w:p>
                  <w:pPr>
                    <w:jc w:val="center"/>
                    <w:rPr>
                      <w:color w:val="auto"/>
                      <w:szCs w:val="21"/>
                    </w:rPr>
                  </w:pPr>
                  <w:r>
                    <w:rPr>
                      <w:rFonts w:hint="eastAsia"/>
                      <w:color w:val="auto"/>
                      <w:szCs w:val="21"/>
                    </w:rPr>
                    <w:t>4.09</w:t>
                  </w:r>
                </w:p>
              </w:tc>
              <w:tc>
                <w:tcPr>
                  <w:tcW w:w="463" w:type="pct"/>
                  <w:vAlign w:val="center"/>
                </w:tcPr>
                <w:p>
                  <w:pPr>
                    <w:jc w:val="center"/>
                    <w:rPr>
                      <w:color w:val="auto"/>
                      <w:szCs w:val="21"/>
                    </w:rPr>
                  </w:pPr>
                  <w:r>
                    <w:rPr>
                      <w:rFonts w:hint="eastAsia"/>
                      <w:color w:val="auto"/>
                      <w:szCs w:val="21"/>
                    </w:rPr>
                    <w:t>77.78</w:t>
                  </w:r>
                </w:p>
              </w:tc>
              <w:tc>
                <w:tcPr>
                  <w:tcW w:w="477" w:type="pct"/>
                  <w:vAlign w:val="center"/>
                </w:tcPr>
                <w:p>
                  <w:pPr>
                    <w:widowControl/>
                    <w:jc w:val="center"/>
                    <w:textAlignment w:val="center"/>
                    <w:rPr>
                      <w:color w:val="auto"/>
                      <w:szCs w:val="21"/>
                    </w:rPr>
                  </w:pPr>
                  <w:r>
                    <w:rPr>
                      <w:rFonts w:hint="eastAsia"/>
                      <w:color w:val="auto"/>
                      <w:szCs w:val="21"/>
                    </w:rPr>
                    <w:t>1227</w:t>
                  </w:r>
                </w:p>
              </w:tc>
              <w:tc>
                <w:tcPr>
                  <w:tcW w:w="557" w:type="pct"/>
                  <w:vAlign w:val="center"/>
                </w:tcPr>
                <w:p>
                  <w:pPr>
                    <w:widowControl/>
                    <w:jc w:val="center"/>
                    <w:textAlignment w:val="center"/>
                    <w:rPr>
                      <w:color w:val="auto"/>
                      <w:szCs w:val="21"/>
                    </w:rPr>
                  </w:pPr>
                  <w:r>
                    <w:rPr>
                      <w:rFonts w:hint="eastAsia"/>
                      <w:color w:val="auto"/>
                      <w:szCs w:val="21"/>
                    </w:rPr>
                    <w:t>23334</w:t>
                  </w:r>
                </w:p>
              </w:tc>
              <w:tc>
                <w:tcPr>
                  <w:tcW w:w="407" w:type="pct"/>
                  <w:vAlign w:val="center"/>
                </w:tcPr>
                <w:p>
                  <w:pPr>
                    <w:jc w:val="center"/>
                    <w:rPr>
                      <w:color w:val="auto"/>
                      <w:szCs w:val="21"/>
                    </w:rPr>
                  </w:pPr>
                  <w:r>
                    <w:rPr>
                      <w:rFonts w:hint="eastAsia"/>
                      <w:color w:val="auto"/>
                      <w:szCs w:val="21"/>
                    </w:rPr>
                    <w:t>4.09</w:t>
                  </w:r>
                </w:p>
              </w:tc>
              <w:tc>
                <w:tcPr>
                  <w:tcW w:w="452" w:type="pct"/>
                  <w:vAlign w:val="center"/>
                </w:tcPr>
                <w:p>
                  <w:pPr>
                    <w:jc w:val="center"/>
                    <w:rPr>
                      <w:color w:val="auto"/>
                      <w:szCs w:val="21"/>
                    </w:rPr>
                  </w:pPr>
                  <w:r>
                    <w:rPr>
                      <w:rFonts w:hint="eastAsia"/>
                      <w:color w:val="auto"/>
                      <w:szCs w:val="21"/>
                    </w:rPr>
                    <w:t>77.78</w:t>
                  </w:r>
                </w:p>
              </w:tc>
              <w:tc>
                <w:tcPr>
                  <w:tcW w:w="432" w:type="pct"/>
                  <w:vAlign w:val="center"/>
                </w:tcPr>
                <w:p>
                  <w:pPr>
                    <w:jc w:val="center"/>
                    <w:rPr>
                      <w:color w:val="auto"/>
                      <w:szCs w:val="21"/>
                    </w:rPr>
                  </w:pPr>
                  <w:r>
                    <w:rPr>
                      <w:rFonts w:hint="eastAsia"/>
                      <w:color w:val="auto"/>
                      <w:szCs w:val="21"/>
                    </w:rPr>
                    <w:t>23334</w:t>
                  </w:r>
                </w:p>
              </w:tc>
              <w:tc>
                <w:tcPr>
                  <w:tcW w:w="1200" w:type="pct"/>
                  <w:vAlign w:val="center"/>
                </w:tcPr>
                <w:p>
                  <w:pPr>
                    <w:jc w:val="center"/>
                    <w:rPr>
                      <w:color w:val="auto"/>
                      <w:szCs w:val="21"/>
                    </w:rPr>
                  </w:pPr>
                  <w:r>
                    <w:rPr>
                      <w:color w:val="auto"/>
                      <w:szCs w:val="21"/>
                    </w:rPr>
                    <w:t>降温处理后循环利用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550" w:type="pct"/>
                  <w:vAlign w:val="center"/>
                </w:tcPr>
                <w:p>
                  <w:pPr>
                    <w:jc w:val="center"/>
                    <w:rPr>
                      <w:color w:val="auto"/>
                      <w:szCs w:val="21"/>
                    </w:rPr>
                  </w:pPr>
                  <w:r>
                    <w:rPr>
                      <w:color w:val="auto"/>
                      <w:szCs w:val="21"/>
                    </w:rPr>
                    <w:t>废气处理系统用水</w:t>
                  </w:r>
                </w:p>
              </w:tc>
              <w:tc>
                <w:tcPr>
                  <w:tcW w:w="457" w:type="pct"/>
                  <w:vAlign w:val="center"/>
                </w:tcPr>
                <w:p>
                  <w:pPr>
                    <w:jc w:val="center"/>
                    <w:rPr>
                      <w:color w:val="auto"/>
                      <w:szCs w:val="21"/>
                    </w:rPr>
                  </w:pPr>
                  <w:r>
                    <w:rPr>
                      <w:color w:val="auto"/>
                      <w:szCs w:val="21"/>
                    </w:rPr>
                    <w:t>0.</w:t>
                  </w:r>
                  <w:r>
                    <w:rPr>
                      <w:rFonts w:hint="eastAsia"/>
                      <w:color w:val="auto"/>
                      <w:szCs w:val="21"/>
                    </w:rPr>
                    <w:t>3</w:t>
                  </w:r>
                </w:p>
              </w:tc>
              <w:tc>
                <w:tcPr>
                  <w:tcW w:w="463" w:type="pct"/>
                  <w:vAlign w:val="center"/>
                </w:tcPr>
                <w:p>
                  <w:pPr>
                    <w:jc w:val="center"/>
                    <w:rPr>
                      <w:color w:val="auto"/>
                      <w:szCs w:val="21"/>
                    </w:rPr>
                  </w:pPr>
                  <w:r>
                    <w:rPr>
                      <w:color w:val="auto"/>
                      <w:szCs w:val="21"/>
                    </w:rPr>
                    <w:t>0</w:t>
                  </w:r>
                </w:p>
              </w:tc>
              <w:tc>
                <w:tcPr>
                  <w:tcW w:w="477" w:type="pct"/>
                  <w:vAlign w:val="center"/>
                </w:tcPr>
                <w:p>
                  <w:pPr>
                    <w:jc w:val="center"/>
                    <w:rPr>
                      <w:color w:val="auto"/>
                      <w:szCs w:val="21"/>
                    </w:rPr>
                  </w:pPr>
                  <w:r>
                    <w:rPr>
                      <w:color w:val="auto"/>
                      <w:szCs w:val="21"/>
                    </w:rPr>
                    <w:t>90</w:t>
                  </w:r>
                </w:p>
              </w:tc>
              <w:tc>
                <w:tcPr>
                  <w:tcW w:w="557" w:type="pct"/>
                  <w:vAlign w:val="center"/>
                </w:tcPr>
                <w:p>
                  <w:pPr>
                    <w:jc w:val="center"/>
                    <w:rPr>
                      <w:color w:val="auto"/>
                      <w:szCs w:val="21"/>
                    </w:rPr>
                  </w:pPr>
                  <w:r>
                    <w:rPr>
                      <w:color w:val="auto"/>
                      <w:szCs w:val="21"/>
                    </w:rPr>
                    <w:t>0</w:t>
                  </w:r>
                </w:p>
              </w:tc>
              <w:tc>
                <w:tcPr>
                  <w:tcW w:w="407" w:type="pct"/>
                  <w:vAlign w:val="center"/>
                </w:tcPr>
                <w:p>
                  <w:pPr>
                    <w:jc w:val="center"/>
                    <w:rPr>
                      <w:rFonts w:hint="default" w:eastAsia="宋体"/>
                      <w:color w:val="auto"/>
                      <w:szCs w:val="21"/>
                      <w:lang w:val="en-US" w:eastAsia="zh-CN"/>
                    </w:rPr>
                  </w:pPr>
                  <w:r>
                    <w:rPr>
                      <w:rFonts w:hint="eastAsia"/>
                      <w:color w:val="auto"/>
                      <w:szCs w:val="21"/>
                      <w:lang w:val="en-US" w:eastAsia="zh-CN"/>
                    </w:rPr>
                    <w:t>0.06</w:t>
                  </w:r>
                </w:p>
              </w:tc>
              <w:tc>
                <w:tcPr>
                  <w:tcW w:w="452" w:type="pct"/>
                  <w:vAlign w:val="center"/>
                </w:tcPr>
                <w:p>
                  <w:pPr>
                    <w:jc w:val="center"/>
                    <w:rPr>
                      <w:color w:val="auto"/>
                      <w:szCs w:val="21"/>
                    </w:rPr>
                  </w:pPr>
                  <w:r>
                    <w:rPr>
                      <w:color w:val="auto"/>
                      <w:szCs w:val="21"/>
                    </w:rPr>
                    <w:t>0.</w:t>
                  </w:r>
                  <w:r>
                    <w:rPr>
                      <w:rFonts w:hint="eastAsia"/>
                      <w:color w:val="auto"/>
                      <w:szCs w:val="21"/>
                    </w:rPr>
                    <w:t>24</w:t>
                  </w:r>
                </w:p>
              </w:tc>
              <w:tc>
                <w:tcPr>
                  <w:tcW w:w="432" w:type="pct"/>
                  <w:vAlign w:val="center"/>
                </w:tcPr>
                <w:p>
                  <w:pPr>
                    <w:jc w:val="center"/>
                    <w:rPr>
                      <w:color w:val="auto"/>
                      <w:szCs w:val="21"/>
                    </w:rPr>
                  </w:pPr>
                  <w:r>
                    <w:rPr>
                      <w:rFonts w:hint="eastAsia"/>
                      <w:color w:val="auto"/>
                      <w:szCs w:val="21"/>
                    </w:rPr>
                    <w:t>72</w:t>
                  </w:r>
                </w:p>
              </w:tc>
              <w:tc>
                <w:tcPr>
                  <w:tcW w:w="1200" w:type="pct"/>
                  <w:vAlign w:val="center"/>
                </w:tcPr>
                <w:p>
                  <w:pPr>
                    <w:jc w:val="center"/>
                    <w:rPr>
                      <w:color w:val="auto"/>
                      <w:szCs w:val="21"/>
                    </w:rPr>
                  </w:pPr>
                  <w:r>
                    <w:rPr>
                      <w:rFonts w:hint="eastAsia"/>
                      <w:color w:val="auto"/>
                      <w:szCs w:val="21"/>
                    </w:rPr>
                    <w:t>收集后经污水处理站处理后回用于项目生产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550" w:type="pct"/>
                  <w:vAlign w:val="center"/>
                </w:tcPr>
                <w:p>
                  <w:pPr>
                    <w:jc w:val="center"/>
                    <w:rPr>
                      <w:color w:val="auto"/>
                      <w:szCs w:val="21"/>
                    </w:rPr>
                  </w:pPr>
                  <w:r>
                    <w:rPr>
                      <w:color w:val="auto"/>
                      <w:szCs w:val="21"/>
                    </w:rPr>
                    <w:t>车间地面清洗用水</w:t>
                  </w:r>
                </w:p>
              </w:tc>
              <w:tc>
                <w:tcPr>
                  <w:tcW w:w="457" w:type="pct"/>
                  <w:vAlign w:val="center"/>
                </w:tcPr>
                <w:p>
                  <w:pPr>
                    <w:jc w:val="center"/>
                    <w:rPr>
                      <w:color w:val="auto"/>
                      <w:szCs w:val="21"/>
                    </w:rPr>
                  </w:pPr>
                  <w:r>
                    <w:rPr>
                      <w:color w:val="auto"/>
                      <w:szCs w:val="21"/>
                    </w:rPr>
                    <w:t>0.24</w:t>
                  </w:r>
                </w:p>
              </w:tc>
              <w:tc>
                <w:tcPr>
                  <w:tcW w:w="463" w:type="pct"/>
                  <w:vAlign w:val="center"/>
                </w:tcPr>
                <w:p>
                  <w:pPr>
                    <w:jc w:val="center"/>
                    <w:rPr>
                      <w:color w:val="auto"/>
                      <w:szCs w:val="21"/>
                    </w:rPr>
                  </w:pPr>
                  <w:r>
                    <w:rPr>
                      <w:color w:val="auto"/>
                      <w:szCs w:val="21"/>
                    </w:rPr>
                    <w:t>0</w:t>
                  </w:r>
                </w:p>
              </w:tc>
              <w:tc>
                <w:tcPr>
                  <w:tcW w:w="477" w:type="pct"/>
                  <w:vAlign w:val="center"/>
                </w:tcPr>
                <w:p>
                  <w:pPr>
                    <w:jc w:val="center"/>
                    <w:rPr>
                      <w:color w:val="auto"/>
                      <w:szCs w:val="21"/>
                    </w:rPr>
                  </w:pPr>
                  <w:r>
                    <w:rPr>
                      <w:color w:val="auto"/>
                      <w:szCs w:val="21"/>
                    </w:rPr>
                    <w:t>72</w:t>
                  </w:r>
                </w:p>
              </w:tc>
              <w:tc>
                <w:tcPr>
                  <w:tcW w:w="557" w:type="pct"/>
                  <w:vAlign w:val="center"/>
                </w:tcPr>
                <w:p>
                  <w:pPr>
                    <w:jc w:val="center"/>
                    <w:rPr>
                      <w:color w:val="auto"/>
                      <w:szCs w:val="21"/>
                    </w:rPr>
                  </w:pPr>
                  <w:r>
                    <w:rPr>
                      <w:color w:val="auto"/>
                      <w:szCs w:val="21"/>
                    </w:rPr>
                    <w:t>0</w:t>
                  </w:r>
                </w:p>
              </w:tc>
              <w:tc>
                <w:tcPr>
                  <w:tcW w:w="407" w:type="pct"/>
                  <w:vAlign w:val="center"/>
                </w:tcPr>
                <w:p>
                  <w:pPr>
                    <w:jc w:val="center"/>
                    <w:rPr>
                      <w:color w:val="auto"/>
                      <w:szCs w:val="21"/>
                    </w:rPr>
                  </w:pPr>
                  <w:r>
                    <w:rPr>
                      <w:color w:val="auto"/>
                      <w:szCs w:val="21"/>
                    </w:rPr>
                    <w:t>0.02</w:t>
                  </w:r>
                </w:p>
              </w:tc>
              <w:tc>
                <w:tcPr>
                  <w:tcW w:w="452" w:type="pct"/>
                  <w:vAlign w:val="center"/>
                </w:tcPr>
                <w:p>
                  <w:pPr>
                    <w:jc w:val="center"/>
                    <w:rPr>
                      <w:color w:val="auto"/>
                      <w:szCs w:val="21"/>
                    </w:rPr>
                  </w:pPr>
                  <w:r>
                    <w:rPr>
                      <w:color w:val="auto"/>
                      <w:szCs w:val="21"/>
                    </w:rPr>
                    <w:t>0.2</w:t>
                  </w:r>
                  <w:r>
                    <w:rPr>
                      <w:rFonts w:hint="eastAsia"/>
                      <w:color w:val="auto"/>
                      <w:szCs w:val="21"/>
                    </w:rPr>
                    <w:t>2</w:t>
                  </w:r>
                </w:p>
              </w:tc>
              <w:tc>
                <w:tcPr>
                  <w:tcW w:w="432" w:type="pct"/>
                  <w:vAlign w:val="center"/>
                </w:tcPr>
                <w:p>
                  <w:pPr>
                    <w:jc w:val="center"/>
                    <w:rPr>
                      <w:color w:val="auto"/>
                      <w:szCs w:val="21"/>
                    </w:rPr>
                  </w:pPr>
                  <w:r>
                    <w:rPr>
                      <w:rFonts w:hint="eastAsia"/>
                      <w:color w:val="auto"/>
                      <w:szCs w:val="21"/>
                    </w:rPr>
                    <w:t>66</w:t>
                  </w:r>
                </w:p>
              </w:tc>
              <w:tc>
                <w:tcPr>
                  <w:tcW w:w="1200" w:type="pct"/>
                  <w:vAlign w:val="center"/>
                </w:tcPr>
                <w:p>
                  <w:pPr>
                    <w:jc w:val="center"/>
                    <w:rPr>
                      <w:color w:val="auto"/>
                      <w:szCs w:val="21"/>
                    </w:rPr>
                  </w:pPr>
                  <w:r>
                    <w:rPr>
                      <w:color w:val="auto"/>
                      <w:szCs w:val="21"/>
                    </w:rPr>
                    <w:t>通过车间内排水沟汇入</w:t>
                  </w:r>
                  <w:r>
                    <w:rPr>
                      <w:rFonts w:hint="eastAsia"/>
                      <w:color w:val="auto"/>
                      <w:szCs w:val="21"/>
                    </w:rPr>
                    <w:t>污水处理站</w:t>
                  </w:r>
                  <w:r>
                    <w:rPr>
                      <w:color w:val="auto"/>
                      <w:szCs w:val="21"/>
                    </w:rPr>
                    <w:t>处理后回用于生产线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29" w:hRule="atLeast"/>
                <w:jc w:val="center"/>
              </w:trPr>
              <w:tc>
                <w:tcPr>
                  <w:tcW w:w="550" w:type="pct"/>
                  <w:vAlign w:val="center"/>
                </w:tcPr>
                <w:p>
                  <w:pPr>
                    <w:jc w:val="center"/>
                    <w:rPr>
                      <w:color w:val="auto"/>
                      <w:szCs w:val="21"/>
                    </w:rPr>
                  </w:pPr>
                  <w:r>
                    <w:rPr>
                      <w:rFonts w:hint="eastAsia"/>
                      <w:color w:val="auto"/>
                      <w:szCs w:val="21"/>
                    </w:rPr>
                    <w:t>食堂用水</w:t>
                  </w:r>
                </w:p>
              </w:tc>
              <w:tc>
                <w:tcPr>
                  <w:tcW w:w="457" w:type="pct"/>
                  <w:vAlign w:val="center"/>
                </w:tcPr>
                <w:p>
                  <w:pPr>
                    <w:jc w:val="center"/>
                    <w:rPr>
                      <w:color w:val="auto"/>
                      <w:szCs w:val="21"/>
                    </w:rPr>
                  </w:pPr>
                  <w:r>
                    <w:rPr>
                      <w:rFonts w:hint="eastAsia"/>
                      <w:color w:val="auto"/>
                      <w:szCs w:val="21"/>
                    </w:rPr>
                    <w:t>0.1</w:t>
                  </w:r>
                </w:p>
              </w:tc>
              <w:tc>
                <w:tcPr>
                  <w:tcW w:w="463" w:type="pct"/>
                  <w:vAlign w:val="center"/>
                </w:tcPr>
                <w:p>
                  <w:pPr>
                    <w:jc w:val="center"/>
                    <w:rPr>
                      <w:color w:val="auto"/>
                      <w:szCs w:val="21"/>
                    </w:rPr>
                  </w:pPr>
                  <w:r>
                    <w:rPr>
                      <w:rFonts w:hint="eastAsia"/>
                      <w:color w:val="auto"/>
                      <w:szCs w:val="21"/>
                    </w:rPr>
                    <w:t>0</w:t>
                  </w:r>
                </w:p>
              </w:tc>
              <w:tc>
                <w:tcPr>
                  <w:tcW w:w="477" w:type="pct"/>
                  <w:vAlign w:val="center"/>
                </w:tcPr>
                <w:p>
                  <w:pPr>
                    <w:jc w:val="center"/>
                    <w:rPr>
                      <w:color w:val="auto"/>
                      <w:szCs w:val="21"/>
                    </w:rPr>
                  </w:pPr>
                  <w:r>
                    <w:rPr>
                      <w:rFonts w:hint="eastAsia"/>
                      <w:color w:val="auto"/>
                      <w:szCs w:val="21"/>
                    </w:rPr>
                    <w:t>30</w:t>
                  </w:r>
                </w:p>
              </w:tc>
              <w:tc>
                <w:tcPr>
                  <w:tcW w:w="557" w:type="pct"/>
                  <w:vAlign w:val="center"/>
                </w:tcPr>
                <w:p>
                  <w:pPr>
                    <w:jc w:val="center"/>
                    <w:rPr>
                      <w:color w:val="auto"/>
                      <w:szCs w:val="21"/>
                    </w:rPr>
                  </w:pPr>
                  <w:r>
                    <w:rPr>
                      <w:rFonts w:hint="eastAsia"/>
                      <w:color w:val="auto"/>
                      <w:szCs w:val="21"/>
                    </w:rPr>
                    <w:t>0</w:t>
                  </w:r>
                </w:p>
              </w:tc>
              <w:tc>
                <w:tcPr>
                  <w:tcW w:w="407" w:type="pct"/>
                  <w:vAlign w:val="center"/>
                </w:tcPr>
                <w:p>
                  <w:pPr>
                    <w:jc w:val="center"/>
                    <w:rPr>
                      <w:color w:val="auto"/>
                      <w:szCs w:val="21"/>
                    </w:rPr>
                  </w:pPr>
                  <w:r>
                    <w:rPr>
                      <w:rFonts w:hint="eastAsia"/>
                      <w:color w:val="auto"/>
                      <w:szCs w:val="21"/>
                    </w:rPr>
                    <w:t>0.02</w:t>
                  </w:r>
                </w:p>
              </w:tc>
              <w:tc>
                <w:tcPr>
                  <w:tcW w:w="452" w:type="pct"/>
                  <w:vAlign w:val="center"/>
                </w:tcPr>
                <w:p>
                  <w:pPr>
                    <w:jc w:val="center"/>
                    <w:rPr>
                      <w:color w:val="auto"/>
                      <w:szCs w:val="21"/>
                    </w:rPr>
                  </w:pPr>
                  <w:r>
                    <w:rPr>
                      <w:rFonts w:hint="eastAsia"/>
                      <w:color w:val="auto"/>
                      <w:szCs w:val="21"/>
                    </w:rPr>
                    <w:t>0.08</w:t>
                  </w:r>
                </w:p>
              </w:tc>
              <w:tc>
                <w:tcPr>
                  <w:tcW w:w="432" w:type="pct"/>
                  <w:vAlign w:val="center"/>
                </w:tcPr>
                <w:p>
                  <w:pPr>
                    <w:jc w:val="center"/>
                    <w:rPr>
                      <w:color w:val="auto"/>
                      <w:szCs w:val="21"/>
                    </w:rPr>
                  </w:pPr>
                  <w:r>
                    <w:rPr>
                      <w:rFonts w:hint="eastAsia"/>
                      <w:color w:val="auto"/>
                      <w:szCs w:val="21"/>
                    </w:rPr>
                    <w:t>24</w:t>
                  </w:r>
                </w:p>
              </w:tc>
              <w:tc>
                <w:tcPr>
                  <w:tcW w:w="1200" w:type="pct"/>
                  <w:vMerge w:val="restart"/>
                  <w:vAlign w:val="center"/>
                </w:tcPr>
                <w:p>
                  <w:pPr>
                    <w:jc w:val="center"/>
                    <w:rPr>
                      <w:color w:val="auto"/>
                      <w:szCs w:val="21"/>
                    </w:rPr>
                  </w:pPr>
                  <w:r>
                    <w:rPr>
                      <w:rFonts w:hint="eastAsia"/>
                      <w:color w:val="auto"/>
                      <w:szCs w:val="21"/>
                    </w:rPr>
                    <w:t>食堂废水</w:t>
                  </w:r>
                  <w:r>
                    <w:rPr>
                      <w:color w:val="auto"/>
                      <w:szCs w:val="21"/>
                    </w:rPr>
                    <w:t>排入云南鹏腾机械设备制造有限公司</w:t>
                  </w:r>
                  <w:r>
                    <w:rPr>
                      <w:rFonts w:hint="eastAsia"/>
                      <w:color w:val="auto"/>
                      <w:szCs w:val="21"/>
                    </w:rPr>
                    <w:t>已建隔油池预处理后与其他生活污水一同进入化粪池进行处理，</w:t>
                  </w:r>
                  <w:r>
                    <w:rPr>
                      <w:color w:val="auto"/>
                      <w:szCs w:val="21"/>
                    </w:rPr>
                    <w:t>再进入到厂区一体化污水处理设施处理达标后，回用于绿化，不外排。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550" w:type="pct"/>
                  <w:vAlign w:val="center"/>
                </w:tcPr>
                <w:p>
                  <w:pPr>
                    <w:jc w:val="center"/>
                    <w:rPr>
                      <w:color w:val="auto"/>
                      <w:szCs w:val="21"/>
                    </w:rPr>
                  </w:pPr>
                  <w:r>
                    <w:rPr>
                      <w:rFonts w:hint="eastAsia"/>
                      <w:color w:val="auto"/>
                      <w:szCs w:val="21"/>
                    </w:rPr>
                    <w:t>生活用水</w:t>
                  </w:r>
                </w:p>
              </w:tc>
              <w:tc>
                <w:tcPr>
                  <w:tcW w:w="457" w:type="pct"/>
                  <w:vAlign w:val="center"/>
                </w:tcPr>
                <w:p>
                  <w:pPr>
                    <w:jc w:val="center"/>
                    <w:rPr>
                      <w:color w:val="auto"/>
                      <w:szCs w:val="21"/>
                    </w:rPr>
                  </w:pPr>
                  <w:r>
                    <w:rPr>
                      <w:rFonts w:hint="eastAsia"/>
                      <w:color w:val="auto"/>
                      <w:szCs w:val="21"/>
                    </w:rPr>
                    <w:t>1.1</w:t>
                  </w:r>
                </w:p>
              </w:tc>
              <w:tc>
                <w:tcPr>
                  <w:tcW w:w="463" w:type="pct"/>
                  <w:vAlign w:val="center"/>
                </w:tcPr>
                <w:p>
                  <w:pPr>
                    <w:jc w:val="center"/>
                    <w:rPr>
                      <w:color w:val="auto"/>
                      <w:szCs w:val="21"/>
                    </w:rPr>
                  </w:pPr>
                  <w:r>
                    <w:rPr>
                      <w:rFonts w:hint="eastAsia"/>
                      <w:color w:val="auto"/>
                      <w:szCs w:val="21"/>
                    </w:rPr>
                    <w:t>0</w:t>
                  </w:r>
                </w:p>
              </w:tc>
              <w:tc>
                <w:tcPr>
                  <w:tcW w:w="477" w:type="pct"/>
                  <w:vAlign w:val="center"/>
                </w:tcPr>
                <w:p>
                  <w:pPr>
                    <w:jc w:val="center"/>
                    <w:rPr>
                      <w:color w:val="auto"/>
                      <w:szCs w:val="21"/>
                    </w:rPr>
                  </w:pPr>
                  <w:r>
                    <w:rPr>
                      <w:rFonts w:hint="eastAsia"/>
                      <w:color w:val="auto"/>
                      <w:szCs w:val="21"/>
                    </w:rPr>
                    <w:t>330</w:t>
                  </w:r>
                </w:p>
              </w:tc>
              <w:tc>
                <w:tcPr>
                  <w:tcW w:w="557" w:type="pct"/>
                  <w:vAlign w:val="center"/>
                </w:tcPr>
                <w:p>
                  <w:pPr>
                    <w:jc w:val="center"/>
                    <w:rPr>
                      <w:color w:val="auto"/>
                      <w:szCs w:val="21"/>
                    </w:rPr>
                  </w:pPr>
                  <w:r>
                    <w:rPr>
                      <w:rFonts w:hint="eastAsia"/>
                      <w:color w:val="auto"/>
                      <w:szCs w:val="21"/>
                    </w:rPr>
                    <w:t>0</w:t>
                  </w:r>
                </w:p>
              </w:tc>
              <w:tc>
                <w:tcPr>
                  <w:tcW w:w="407" w:type="pct"/>
                  <w:vAlign w:val="center"/>
                </w:tcPr>
                <w:p>
                  <w:pPr>
                    <w:jc w:val="center"/>
                    <w:rPr>
                      <w:color w:val="auto"/>
                      <w:szCs w:val="21"/>
                    </w:rPr>
                  </w:pPr>
                  <w:r>
                    <w:rPr>
                      <w:rFonts w:hint="eastAsia"/>
                      <w:color w:val="auto"/>
                      <w:szCs w:val="21"/>
                    </w:rPr>
                    <w:t>0.22</w:t>
                  </w:r>
                </w:p>
              </w:tc>
              <w:tc>
                <w:tcPr>
                  <w:tcW w:w="452" w:type="pct"/>
                  <w:vAlign w:val="center"/>
                </w:tcPr>
                <w:p>
                  <w:pPr>
                    <w:jc w:val="center"/>
                    <w:rPr>
                      <w:color w:val="auto"/>
                      <w:szCs w:val="21"/>
                    </w:rPr>
                  </w:pPr>
                  <w:r>
                    <w:rPr>
                      <w:rFonts w:hint="eastAsia"/>
                      <w:color w:val="auto"/>
                      <w:szCs w:val="21"/>
                    </w:rPr>
                    <w:t>0.88</w:t>
                  </w:r>
                </w:p>
              </w:tc>
              <w:tc>
                <w:tcPr>
                  <w:tcW w:w="432" w:type="pct"/>
                  <w:vAlign w:val="center"/>
                </w:tcPr>
                <w:p>
                  <w:pPr>
                    <w:jc w:val="center"/>
                    <w:rPr>
                      <w:color w:val="auto"/>
                      <w:szCs w:val="21"/>
                    </w:rPr>
                  </w:pPr>
                  <w:r>
                    <w:rPr>
                      <w:rFonts w:hint="eastAsia"/>
                      <w:color w:val="auto"/>
                      <w:szCs w:val="21"/>
                    </w:rPr>
                    <w:t>264</w:t>
                  </w:r>
                </w:p>
              </w:tc>
              <w:tc>
                <w:tcPr>
                  <w:tcW w:w="1200"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5" w:hRule="atLeast"/>
                <w:jc w:val="center"/>
              </w:trPr>
              <w:tc>
                <w:tcPr>
                  <w:tcW w:w="550" w:type="pct"/>
                  <w:vAlign w:val="center"/>
                </w:tcPr>
                <w:p>
                  <w:pPr>
                    <w:jc w:val="center"/>
                    <w:rPr>
                      <w:color w:val="auto"/>
                      <w:szCs w:val="21"/>
                    </w:rPr>
                  </w:pPr>
                  <w:r>
                    <w:rPr>
                      <w:rFonts w:hint="eastAsia"/>
                      <w:color w:val="auto"/>
                      <w:szCs w:val="21"/>
                    </w:rPr>
                    <w:t>绿化用水</w:t>
                  </w:r>
                </w:p>
              </w:tc>
              <w:tc>
                <w:tcPr>
                  <w:tcW w:w="457" w:type="pct"/>
                  <w:vAlign w:val="center"/>
                </w:tcPr>
                <w:p>
                  <w:pPr>
                    <w:jc w:val="center"/>
                    <w:rPr>
                      <w:color w:val="auto"/>
                      <w:szCs w:val="21"/>
                    </w:rPr>
                  </w:pPr>
                  <w:r>
                    <w:rPr>
                      <w:rFonts w:hint="eastAsia"/>
                      <w:color w:val="auto"/>
                      <w:szCs w:val="21"/>
                    </w:rPr>
                    <w:t>11.36</w:t>
                  </w:r>
                </w:p>
              </w:tc>
              <w:tc>
                <w:tcPr>
                  <w:tcW w:w="463" w:type="pct"/>
                  <w:vAlign w:val="center"/>
                </w:tcPr>
                <w:p>
                  <w:pPr>
                    <w:jc w:val="center"/>
                    <w:rPr>
                      <w:color w:val="auto"/>
                      <w:szCs w:val="21"/>
                    </w:rPr>
                  </w:pPr>
                  <w:r>
                    <w:rPr>
                      <w:rFonts w:hint="eastAsia"/>
                      <w:color w:val="auto"/>
                      <w:szCs w:val="21"/>
                    </w:rPr>
                    <w:t>0.96</w:t>
                  </w:r>
                </w:p>
              </w:tc>
              <w:tc>
                <w:tcPr>
                  <w:tcW w:w="477" w:type="pct"/>
                  <w:vAlign w:val="center"/>
                </w:tcPr>
                <w:p>
                  <w:pPr>
                    <w:jc w:val="center"/>
                    <w:rPr>
                      <w:color w:val="auto"/>
                      <w:szCs w:val="21"/>
                    </w:rPr>
                  </w:pPr>
                  <w:r>
                    <w:rPr>
                      <w:rFonts w:hint="eastAsia"/>
                      <w:color w:val="auto"/>
                      <w:szCs w:val="21"/>
                    </w:rPr>
                    <w:t>2374.24</w:t>
                  </w:r>
                </w:p>
              </w:tc>
              <w:tc>
                <w:tcPr>
                  <w:tcW w:w="557" w:type="pct"/>
                  <w:vAlign w:val="center"/>
                </w:tcPr>
                <w:p>
                  <w:pPr>
                    <w:jc w:val="center"/>
                    <w:rPr>
                      <w:color w:val="auto"/>
                      <w:szCs w:val="21"/>
                    </w:rPr>
                  </w:pPr>
                  <w:r>
                    <w:rPr>
                      <w:rFonts w:hint="eastAsia"/>
                      <w:color w:val="auto"/>
                      <w:szCs w:val="21"/>
                    </w:rPr>
                    <w:t>288</w:t>
                  </w:r>
                </w:p>
              </w:tc>
              <w:tc>
                <w:tcPr>
                  <w:tcW w:w="407" w:type="pct"/>
                  <w:vAlign w:val="center"/>
                </w:tcPr>
                <w:p>
                  <w:pPr>
                    <w:jc w:val="center"/>
                    <w:rPr>
                      <w:color w:val="auto"/>
                      <w:szCs w:val="21"/>
                    </w:rPr>
                  </w:pPr>
                  <w:r>
                    <w:rPr>
                      <w:rFonts w:hint="eastAsia"/>
                      <w:color w:val="auto"/>
                      <w:szCs w:val="21"/>
                    </w:rPr>
                    <w:t>12.32</w:t>
                  </w:r>
                </w:p>
              </w:tc>
              <w:tc>
                <w:tcPr>
                  <w:tcW w:w="452" w:type="pct"/>
                  <w:vAlign w:val="center"/>
                </w:tcPr>
                <w:p>
                  <w:pPr>
                    <w:jc w:val="center"/>
                    <w:rPr>
                      <w:color w:val="auto"/>
                      <w:szCs w:val="21"/>
                    </w:rPr>
                  </w:pPr>
                  <w:r>
                    <w:rPr>
                      <w:rFonts w:hint="eastAsia"/>
                      <w:color w:val="auto"/>
                      <w:szCs w:val="21"/>
                    </w:rPr>
                    <w:t>0</w:t>
                  </w:r>
                </w:p>
              </w:tc>
              <w:tc>
                <w:tcPr>
                  <w:tcW w:w="432" w:type="pct"/>
                  <w:vAlign w:val="center"/>
                </w:tcPr>
                <w:p>
                  <w:pPr>
                    <w:jc w:val="center"/>
                    <w:rPr>
                      <w:color w:val="auto"/>
                      <w:szCs w:val="21"/>
                    </w:rPr>
                  </w:pPr>
                  <w:r>
                    <w:rPr>
                      <w:rFonts w:hint="eastAsia"/>
                      <w:color w:val="auto"/>
                      <w:szCs w:val="21"/>
                    </w:rPr>
                    <w:t>0</w:t>
                  </w:r>
                </w:p>
              </w:tc>
              <w:tc>
                <w:tcPr>
                  <w:tcW w:w="1200" w:type="pct"/>
                  <w:vAlign w:val="center"/>
                </w:tcPr>
                <w:p>
                  <w:pPr>
                    <w:jc w:val="center"/>
                    <w:rPr>
                      <w:color w:val="auto"/>
                      <w:szCs w:val="21"/>
                    </w:rPr>
                  </w:pPr>
                  <w:r>
                    <w:rPr>
                      <w:rFonts w:hint="eastAsia"/>
                      <w:color w:val="auto"/>
                      <w:szCs w:val="21"/>
                    </w:rPr>
                    <w:t>全部自然蒸发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550" w:type="pct"/>
                  <w:vAlign w:val="center"/>
                </w:tcPr>
                <w:p>
                  <w:pPr>
                    <w:jc w:val="center"/>
                    <w:rPr>
                      <w:color w:val="auto"/>
                      <w:szCs w:val="21"/>
                    </w:rPr>
                  </w:pPr>
                  <w:r>
                    <w:rPr>
                      <w:color w:val="auto"/>
                      <w:szCs w:val="21"/>
                    </w:rPr>
                    <w:t>合计</w:t>
                  </w:r>
                </w:p>
              </w:tc>
              <w:tc>
                <w:tcPr>
                  <w:tcW w:w="457" w:type="pct"/>
                  <w:vAlign w:val="center"/>
                </w:tcPr>
                <w:p>
                  <w:pPr>
                    <w:widowControl/>
                    <w:jc w:val="center"/>
                    <w:textAlignment w:val="center"/>
                    <w:rPr>
                      <w:color w:val="auto"/>
                      <w:kern w:val="0"/>
                      <w:szCs w:val="21"/>
                    </w:rPr>
                  </w:pPr>
                  <w:r>
                    <w:rPr>
                      <w:rFonts w:hint="eastAsia"/>
                      <w:color w:val="auto"/>
                      <w:kern w:val="0"/>
                      <w:szCs w:val="21"/>
                    </w:rPr>
                    <w:t>18.62</w:t>
                  </w:r>
                </w:p>
              </w:tc>
              <w:tc>
                <w:tcPr>
                  <w:tcW w:w="463" w:type="pct"/>
                  <w:vAlign w:val="center"/>
                </w:tcPr>
                <w:p>
                  <w:pPr>
                    <w:widowControl/>
                    <w:jc w:val="center"/>
                    <w:textAlignment w:val="center"/>
                    <w:rPr>
                      <w:color w:val="auto"/>
                      <w:szCs w:val="21"/>
                    </w:rPr>
                  </w:pPr>
                  <w:r>
                    <w:rPr>
                      <w:rFonts w:hint="eastAsia"/>
                      <w:color w:val="auto"/>
                      <w:szCs w:val="21"/>
                    </w:rPr>
                    <w:t>96.27</w:t>
                  </w:r>
                </w:p>
              </w:tc>
              <w:tc>
                <w:tcPr>
                  <w:tcW w:w="477" w:type="pct"/>
                  <w:vAlign w:val="center"/>
                </w:tcPr>
                <w:p>
                  <w:pPr>
                    <w:widowControl/>
                    <w:jc w:val="center"/>
                    <w:textAlignment w:val="center"/>
                    <w:rPr>
                      <w:color w:val="auto"/>
                      <w:szCs w:val="21"/>
                    </w:rPr>
                  </w:pPr>
                  <w:r>
                    <w:rPr>
                      <w:rFonts w:hint="eastAsia"/>
                      <w:color w:val="auto"/>
                      <w:szCs w:val="21"/>
                    </w:rPr>
                    <w:t>4552.24</w:t>
                  </w:r>
                </w:p>
              </w:tc>
              <w:tc>
                <w:tcPr>
                  <w:tcW w:w="557" w:type="pct"/>
                  <w:vAlign w:val="center"/>
                </w:tcPr>
                <w:p>
                  <w:pPr>
                    <w:widowControl/>
                    <w:jc w:val="center"/>
                    <w:textAlignment w:val="center"/>
                    <w:rPr>
                      <w:color w:val="auto"/>
                      <w:szCs w:val="21"/>
                    </w:rPr>
                  </w:pPr>
                  <w:r>
                    <w:rPr>
                      <w:rFonts w:hint="eastAsia"/>
                      <w:color w:val="auto"/>
                      <w:szCs w:val="21"/>
                    </w:rPr>
                    <w:t>28881</w:t>
                  </w:r>
                </w:p>
              </w:tc>
              <w:tc>
                <w:tcPr>
                  <w:tcW w:w="407" w:type="pct"/>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18.62</w:t>
                  </w:r>
                </w:p>
              </w:tc>
              <w:tc>
                <w:tcPr>
                  <w:tcW w:w="452" w:type="pct"/>
                  <w:vAlign w:val="center"/>
                </w:tcPr>
                <w:p>
                  <w:pPr>
                    <w:widowControl/>
                    <w:jc w:val="center"/>
                    <w:textAlignment w:val="center"/>
                    <w:rPr>
                      <w:color w:val="auto"/>
                      <w:szCs w:val="21"/>
                    </w:rPr>
                  </w:pPr>
                  <w:r>
                    <w:rPr>
                      <w:rFonts w:hint="eastAsia"/>
                      <w:color w:val="auto"/>
                      <w:szCs w:val="21"/>
                    </w:rPr>
                    <w:t>96.37</w:t>
                  </w:r>
                </w:p>
              </w:tc>
              <w:tc>
                <w:tcPr>
                  <w:tcW w:w="432" w:type="pct"/>
                  <w:vAlign w:val="center"/>
                </w:tcPr>
                <w:p>
                  <w:pPr>
                    <w:widowControl/>
                    <w:jc w:val="center"/>
                    <w:textAlignment w:val="center"/>
                    <w:rPr>
                      <w:color w:val="auto"/>
                      <w:szCs w:val="21"/>
                    </w:rPr>
                  </w:pPr>
                  <w:r>
                    <w:rPr>
                      <w:rFonts w:hint="eastAsia"/>
                      <w:color w:val="auto"/>
                      <w:szCs w:val="21"/>
                    </w:rPr>
                    <w:t>28881</w:t>
                  </w:r>
                </w:p>
              </w:tc>
              <w:tc>
                <w:tcPr>
                  <w:tcW w:w="1200" w:type="pct"/>
                  <w:vAlign w:val="center"/>
                </w:tcPr>
                <w:p>
                  <w:pPr>
                    <w:jc w:val="center"/>
                    <w:rPr>
                      <w:color w:val="auto"/>
                      <w:szCs w:val="21"/>
                    </w:rPr>
                  </w:pPr>
                  <w:r>
                    <w:rPr>
                      <w:rFonts w:hint="eastAsia"/>
                      <w:color w:val="auto"/>
                      <w:szCs w:val="21"/>
                    </w:rPr>
                    <w:t>——</w:t>
                  </w:r>
                </w:p>
              </w:tc>
            </w:tr>
          </w:tbl>
          <w:p>
            <w:pPr>
              <w:spacing w:line="360" w:lineRule="auto"/>
              <w:jc w:val="center"/>
              <w:rPr>
                <w:b/>
                <w:bCs/>
                <w:color w:val="auto"/>
                <w:sz w:val="24"/>
              </w:rPr>
            </w:pPr>
            <w:r>
              <w:rPr>
                <w:b/>
                <w:bCs/>
                <w:color w:val="auto"/>
                <w:sz w:val="24"/>
              </w:rPr>
              <w:object>
                <v:shape id="_x0000_i1025" o:spt="75" type="#_x0000_t75" style="height:396pt;width:392.25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p>
            <w:pPr>
              <w:spacing w:line="360" w:lineRule="auto"/>
              <w:jc w:val="center"/>
              <w:rPr>
                <w:b/>
                <w:color w:val="auto"/>
                <w:sz w:val="24"/>
              </w:rPr>
            </w:pPr>
            <w:r>
              <w:rPr>
                <w:b/>
                <w:color w:val="auto"/>
                <w:sz w:val="24"/>
              </w:rPr>
              <w:t>图</w:t>
            </w:r>
            <w:r>
              <w:rPr>
                <w:rFonts w:hint="eastAsia"/>
                <w:b/>
                <w:color w:val="auto"/>
                <w:sz w:val="24"/>
              </w:rPr>
              <w:t>2-1</w:t>
            </w:r>
            <w:r>
              <w:rPr>
                <w:b/>
                <w:color w:val="auto"/>
                <w:sz w:val="24"/>
              </w:rPr>
              <w:t xml:space="preserve">  项目水平衡图</w:t>
            </w:r>
            <w:r>
              <w:rPr>
                <w:rFonts w:hint="eastAsia"/>
                <w:b/>
                <w:color w:val="auto"/>
                <w:sz w:val="24"/>
              </w:rPr>
              <w:t>（晴天）</w:t>
            </w:r>
            <w:r>
              <w:rPr>
                <w:b/>
                <w:color w:val="auto"/>
                <w:sz w:val="24"/>
              </w:rPr>
              <w:t>（单位：m</w:t>
            </w:r>
            <w:r>
              <w:rPr>
                <w:b/>
                <w:color w:val="auto"/>
                <w:sz w:val="24"/>
                <w:vertAlign w:val="superscript"/>
              </w:rPr>
              <w:t>3</w:t>
            </w:r>
            <w:r>
              <w:rPr>
                <w:b/>
                <w:color w:val="auto"/>
                <w:sz w:val="24"/>
              </w:rPr>
              <w:t>/d）</w:t>
            </w:r>
          </w:p>
          <w:p>
            <w:pPr>
              <w:spacing w:line="360" w:lineRule="auto"/>
              <w:jc w:val="center"/>
              <w:rPr>
                <w:b/>
                <w:bCs/>
                <w:color w:val="auto"/>
                <w:sz w:val="24"/>
              </w:rPr>
            </w:pPr>
            <w:r>
              <w:rPr>
                <w:b/>
                <w:bCs/>
                <w:color w:val="auto"/>
                <w:sz w:val="24"/>
              </w:rPr>
              <w:object>
                <v:shape id="_x0000_i1026" o:spt="75" type="#_x0000_t75" style="height:362.45pt;width:375.05pt;" o:ole="t" filled="f" o:preferrelative="t" stroked="f" coordsize="21600,21600">
                  <v:path/>
                  <v:fill on="f" focussize="0,0"/>
                  <v:stroke on="f"/>
                  <v:imagedata r:id="rId12" o:title=""/>
                  <o:lock v:ext="edit" aspectratio="f"/>
                  <w10:wrap type="none"/>
                  <w10:anchorlock/>
                </v:shape>
                <o:OLEObject Type="Embed" ProgID="Visio.Drawing.11" ShapeID="_x0000_i1026" DrawAspect="Content" ObjectID="_1468075726" r:id="rId11">
                  <o:LockedField>false</o:LockedField>
                </o:OLEObject>
              </w:object>
            </w:r>
          </w:p>
          <w:p>
            <w:pPr>
              <w:spacing w:line="360" w:lineRule="auto"/>
              <w:jc w:val="center"/>
              <w:rPr>
                <w:b/>
                <w:color w:val="auto"/>
                <w:sz w:val="24"/>
              </w:rPr>
            </w:pPr>
            <w:r>
              <w:rPr>
                <w:b/>
                <w:color w:val="auto"/>
                <w:sz w:val="24"/>
              </w:rPr>
              <w:t>图</w:t>
            </w:r>
            <w:r>
              <w:rPr>
                <w:rFonts w:hint="eastAsia"/>
                <w:b/>
                <w:color w:val="auto"/>
                <w:sz w:val="24"/>
              </w:rPr>
              <w:t>2-2</w:t>
            </w:r>
            <w:r>
              <w:rPr>
                <w:b/>
                <w:color w:val="auto"/>
                <w:sz w:val="24"/>
              </w:rPr>
              <w:t xml:space="preserve">  项目水平衡图</w:t>
            </w:r>
            <w:r>
              <w:rPr>
                <w:rFonts w:hint="eastAsia"/>
                <w:b/>
                <w:color w:val="auto"/>
                <w:sz w:val="24"/>
              </w:rPr>
              <w:t>（雨天）</w:t>
            </w:r>
            <w:r>
              <w:rPr>
                <w:b/>
                <w:color w:val="auto"/>
                <w:sz w:val="24"/>
              </w:rPr>
              <w:t>（单位：m</w:t>
            </w:r>
            <w:r>
              <w:rPr>
                <w:b/>
                <w:color w:val="auto"/>
                <w:sz w:val="24"/>
                <w:vertAlign w:val="superscript"/>
              </w:rPr>
              <w:t>3</w:t>
            </w:r>
            <w:r>
              <w:rPr>
                <w:b/>
                <w:color w:val="auto"/>
                <w:sz w:val="24"/>
              </w:rPr>
              <w:t>/d）</w:t>
            </w:r>
          </w:p>
          <w:bookmarkEnd w:id="13"/>
          <w:bookmarkEnd w:id="14"/>
          <w:bookmarkEnd w:id="15"/>
          <w:bookmarkEnd w:id="16"/>
          <w:p>
            <w:pPr>
              <w:adjustRightInd w:val="0"/>
              <w:snapToGrid w:val="0"/>
              <w:spacing w:line="360" w:lineRule="auto"/>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431" w:type="pct"/>
            <w:vAlign w:val="center"/>
          </w:tcPr>
          <w:p>
            <w:pPr>
              <w:spacing w:line="360" w:lineRule="auto"/>
              <w:jc w:val="center"/>
              <w:rPr>
                <w:color w:val="auto"/>
                <w:sz w:val="24"/>
              </w:rPr>
            </w:pPr>
            <w:r>
              <w:rPr>
                <w:color w:val="auto"/>
                <w:sz w:val="24"/>
              </w:rPr>
              <w:t>工艺流程和产排污环节</w:t>
            </w:r>
          </w:p>
        </w:tc>
        <w:tc>
          <w:tcPr>
            <w:tcW w:w="4568" w:type="pct"/>
          </w:tcPr>
          <w:p>
            <w:pPr>
              <w:spacing w:line="360" w:lineRule="auto"/>
              <w:ind w:firstLine="482" w:firstLineChars="200"/>
              <w:rPr>
                <w:b/>
                <w:bCs/>
                <w:color w:val="auto"/>
                <w:sz w:val="24"/>
              </w:rPr>
            </w:pPr>
            <w:r>
              <w:rPr>
                <w:b/>
                <w:bCs/>
                <w:color w:val="auto"/>
                <w:sz w:val="24"/>
              </w:rPr>
              <w:t>一、施工期</w:t>
            </w:r>
          </w:p>
          <w:p>
            <w:pPr>
              <w:spacing w:line="360" w:lineRule="auto"/>
              <w:ind w:firstLine="482" w:firstLineChars="200"/>
              <w:rPr>
                <w:b/>
                <w:bCs/>
                <w:color w:val="auto"/>
                <w:sz w:val="24"/>
              </w:rPr>
            </w:pPr>
            <w:r>
              <w:rPr>
                <w:b/>
                <w:bCs/>
                <w:color w:val="auto"/>
                <w:sz w:val="24"/>
              </w:rPr>
              <w:t>1、工艺及产污节点</w:t>
            </w:r>
          </w:p>
          <w:p>
            <w:pPr>
              <w:pStyle w:val="11"/>
              <w:adjustRightInd w:val="0"/>
              <w:ind w:firstLine="496" w:firstLineChars="200"/>
              <w:rPr>
                <w:color w:val="auto"/>
              </w:rPr>
            </w:pPr>
            <w:r>
              <w:rPr>
                <w:color w:val="auto"/>
              </w:rPr>
              <w:t>项目为新建项目，项目</w:t>
            </w:r>
            <w:r>
              <w:rPr>
                <w:rFonts w:hint="eastAsia"/>
                <w:color w:val="auto"/>
                <w:lang w:val="en-US"/>
              </w:rPr>
              <w:t>租用</w:t>
            </w:r>
            <w:r>
              <w:rPr>
                <w:color w:val="auto"/>
              </w:rPr>
              <w:t>寻甸特色产业园区羊街片区云南鹏腾机械设备制造有限公司</w:t>
            </w:r>
            <w:r>
              <w:rPr>
                <w:rFonts w:hint="eastAsia"/>
                <w:color w:val="auto"/>
              </w:rPr>
              <w:t>1号厂房11跨</w:t>
            </w:r>
            <w:r>
              <w:rPr>
                <w:color w:val="auto"/>
              </w:rPr>
              <w:t>闲置场地，进行装修，</w:t>
            </w:r>
            <w:r>
              <w:rPr>
                <w:rFonts w:hint="eastAsia"/>
                <w:color w:val="auto"/>
              </w:rPr>
              <w:t>主要</w:t>
            </w:r>
            <w:r>
              <w:rPr>
                <w:color w:val="auto"/>
              </w:rPr>
              <w:t>购置</w:t>
            </w:r>
            <w:r>
              <w:rPr>
                <w:rFonts w:hint="eastAsia"/>
                <w:color w:val="auto"/>
              </w:rPr>
              <w:t>提料甩干机、切粒机、熔融机、振动筛等生产设备</w:t>
            </w:r>
            <w:r>
              <w:rPr>
                <w:color w:val="auto"/>
              </w:rPr>
              <w:t>，同时配套相应的辅助设施和环保设施。</w:t>
            </w:r>
          </w:p>
          <w:p>
            <w:pPr>
              <w:adjustRightInd w:val="0"/>
              <w:snapToGrid w:val="0"/>
              <w:spacing w:line="360" w:lineRule="auto"/>
              <w:ind w:firstLine="480" w:firstLineChars="200"/>
              <w:jc w:val="left"/>
              <w:rPr>
                <w:color w:val="auto"/>
                <w:kern w:val="0"/>
                <w:sz w:val="24"/>
                <w:szCs w:val="20"/>
              </w:rPr>
            </w:pPr>
            <w:r>
              <w:rPr>
                <w:rFonts w:hint="eastAsia"/>
                <w:color w:val="auto"/>
                <w:kern w:val="0"/>
                <w:sz w:val="24"/>
                <w:szCs w:val="20"/>
              </w:rPr>
              <w:t>项目租用羊街片区工业园区内已建厂房，</w:t>
            </w:r>
            <w:r>
              <w:rPr>
                <w:color w:val="auto"/>
                <w:kern w:val="0"/>
                <w:sz w:val="24"/>
                <w:szCs w:val="24"/>
              </w:rPr>
              <w:t>施工期主要施工内容包括：</w:t>
            </w:r>
            <w:r>
              <w:rPr>
                <w:rFonts w:hint="eastAsia"/>
                <w:b w:val="0"/>
                <w:bCs/>
                <w:color w:val="auto"/>
                <w:sz w:val="24"/>
                <w:szCs w:val="24"/>
              </w:rPr>
              <w:t>对厂房进行装修、安装生产设备以及环保设备，并进行设备调试，使得设备设施运行满足本项目使用需求，该过程主要产生固废、噪声以及扬尘等污染物</w:t>
            </w:r>
            <w:r>
              <w:rPr>
                <w:b w:val="0"/>
                <w:bCs/>
                <w:color w:val="auto"/>
                <w:sz w:val="24"/>
                <w:szCs w:val="24"/>
              </w:rPr>
              <w:t>。</w:t>
            </w:r>
            <w:r>
              <w:rPr>
                <w:rFonts w:hint="eastAsia"/>
                <w:color w:val="auto"/>
                <w:kern w:val="0"/>
                <w:sz w:val="24"/>
                <w:szCs w:val="20"/>
              </w:rPr>
              <w:t>项目施工期工艺流程图见图2-3。</w:t>
            </w:r>
          </w:p>
          <w:p>
            <w:pPr>
              <w:adjustRightInd w:val="0"/>
              <w:snapToGrid w:val="0"/>
              <w:spacing w:line="360" w:lineRule="auto"/>
              <w:ind w:firstLine="422" w:firstLineChars="200"/>
              <w:jc w:val="center"/>
              <w:rPr>
                <w:color w:val="auto"/>
              </w:rPr>
            </w:pPr>
            <w:r>
              <w:rPr>
                <w:b/>
                <w:color w:val="auto"/>
              </w:rPr>
              <w:object>
                <v:shape id="_x0000_i1027" o:spt="75" type="#_x0000_t75" style="height:161.75pt;width:279.1pt;" o:ole="t" filled="f" o:preferrelative="t" stroked="f" coordsize="21600,21600">
                  <v:path/>
                  <v:fill on="f" focussize="0,0"/>
                  <v:stroke on="f" joinstyle="miter"/>
                  <v:imagedata r:id="rId14" o:title=""/>
                  <o:lock v:ext="edit" aspectratio="f"/>
                  <w10:wrap type="none"/>
                  <w10:anchorlock/>
                </v:shape>
                <o:OLEObject Type="Embed" ProgID="Visio.Drawing.11" ShapeID="_x0000_i1027" DrawAspect="Content" ObjectID="_1468075727" r:id="rId13">
                  <o:LockedField>false</o:LockedField>
                </o:OLEObject>
              </w:object>
            </w:r>
          </w:p>
          <w:p>
            <w:pPr>
              <w:adjustRightInd w:val="0"/>
              <w:snapToGrid w:val="0"/>
              <w:spacing w:line="360" w:lineRule="auto"/>
              <w:jc w:val="center"/>
              <w:rPr>
                <w:color w:val="auto"/>
                <w:sz w:val="24"/>
              </w:rPr>
            </w:pPr>
            <w:r>
              <w:rPr>
                <w:b/>
                <w:bCs/>
                <w:color w:val="auto"/>
                <w:sz w:val="24"/>
              </w:rPr>
              <w:t>图</w:t>
            </w:r>
            <w:r>
              <w:rPr>
                <w:rFonts w:hint="eastAsia"/>
                <w:b/>
                <w:bCs/>
                <w:color w:val="auto"/>
                <w:sz w:val="24"/>
              </w:rPr>
              <w:t>2-3</w:t>
            </w:r>
            <w:r>
              <w:rPr>
                <w:b/>
                <w:bCs/>
                <w:color w:val="auto"/>
                <w:sz w:val="24"/>
              </w:rPr>
              <w:t xml:space="preserve">    项目施工期工艺流程及产污节点图</w:t>
            </w:r>
          </w:p>
          <w:p>
            <w:pPr>
              <w:spacing w:line="360" w:lineRule="auto"/>
              <w:ind w:firstLine="482" w:firstLineChars="200"/>
              <w:rPr>
                <w:b/>
                <w:bCs/>
                <w:color w:val="auto"/>
                <w:sz w:val="24"/>
              </w:rPr>
            </w:pPr>
            <w:r>
              <w:rPr>
                <w:b/>
                <w:bCs/>
                <w:color w:val="auto"/>
                <w:sz w:val="24"/>
              </w:rPr>
              <w:t>二、运营期</w:t>
            </w:r>
          </w:p>
          <w:p>
            <w:pPr>
              <w:spacing w:line="360" w:lineRule="auto"/>
              <w:ind w:firstLine="482" w:firstLineChars="200"/>
              <w:rPr>
                <w:b/>
                <w:bCs/>
                <w:color w:val="auto"/>
                <w:sz w:val="24"/>
              </w:rPr>
            </w:pPr>
            <w:r>
              <w:rPr>
                <w:b/>
                <w:bCs/>
                <w:color w:val="auto"/>
                <w:sz w:val="24"/>
              </w:rPr>
              <w:t>1、工艺流程及产污节点</w:t>
            </w:r>
          </w:p>
          <w:p>
            <w:pPr>
              <w:pStyle w:val="11"/>
              <w:adjustRightInd w:val="0"/>
              <w:ind w:firstLine="496" w:firstLineChars="200"/>
              <w:rPr>
                <w:color w:val="auto"/>
              </w:rPr>
            </w:pPr>
            <w:r>
              <w:rPr>
                <w:color w:val="auto"/>
              </w:rPr>
              <w:t>项目塑料造粒的原料为外购的已经分拣的废弃农用地膜、废旧编织袋和一般废旧塑料，保证其杂质含量较小，厂内不涉及废旧塑料的分拣工作。</w:t>
            </w:r>
            <w:r>
              <w:rPr>
                <w:rFonts w:hint="eastAsia"/>
                <w:color w:val="auto"/>
              </w:rPr>
              <w:t>生产车间设置6条再生塑料颗粒生产线，其中3条PP颗粒生产线，3条PE颗粒生产线，PP颗粒、PE颗粒使用同一套湿式破碎、清洗系统进行破碎、清洗。</w:t>
            </w:r>
          </w:p>
          <w:p>
            <w:pPr>
              <w:adjustRightInd w:val="0"/>
              <w:snapToGrid w:val="0"/>
              <w:spacing w:line="360" w:lineRule="auto"/>
              <w:ind w:firstLine="480" w:firstLineChars="200"/>
              <w:rPr>
                <w:color w:val="auto"/>
                <w:sz w:val="24"/>
                <w:szCs w:val="20"/>
              </w:rPr>
            </w:pPr>
            <w:r>
              <w:rPr>
                <w:rFonts w:hint="eastAsia"/>
                <w:color w:val="auto"/>
                <w:sz w:val="24"/>
              </w:rPr>
              <w:t>生产再生PP颗粒、PE颗粒的原料分别为废旧PP塑料、PE塑料，分别投放生产，分别产出PP颗粒、PE颗粒。生产工艺及产污节点均相同。</w:t>
            </w:r>
          </w:p>
          <w:p>
            <w:pPr>
              <w:spacing w:line="360" w:lineRule="auto"/>
              <w:ind w:firstLine="480"/>
              <w:jc w:val="left"/>
              <w:rPr>
                <w:color w:val="auto"/>
                <w:sz w:val="24"/>
              </w:rPr>
            </w:pPr>
            <w:r>
              <w:rPr>
                <w:color w:val="auto"/>
                <w:sz w:val="24"/>
              </w:rPr>
              <w:t>生产工艺流程及产物节点图见图2-</w:t>
            </w:r>
            <w:r>
              <w:rPr>
                <w:rFonts w:hint="eastAsia"/>
                <w:color w:val="auto"/>
                <w:sz w:val="24"/>
              </w:rPr>
              <w:t>4</w:t>
            </w:r>
            <w:r>
              <w:rPr>
                <w:color w:val="auto"/>
                <w:sz w:val="24"/>
              </w:rPr>
              <w:t>。</w:t>
            </w:r>
          </w:p>
          <w:p>
            <w:pPr>
              <w:pStyle w:val="38"/>
              <w:ind w:firstLine="0" w:firstLineChars="0"/>
              <w:jc w:val="both"/>
              <w:rPr>
                <w:color w:val="auto"/>
              </w:rPr>
            </w:pPr>
            <w:r>
              <w:rPr>
                <w:color w:val="auto"/>
              </w:rPr>
              <w:object>
                <v:shape id="_x0000_i1028" o:spt="75" type="#_x0000_t75" style="height:553.25pt;width:373.05pt;" o:ole="t" filled="f" o:preferrelative="t" stroked="f" coordsize="21600,21600">
                  <v:path/>
                  <v:fill on="f" focussize="0,0"/>
                  <v:stroke on="f"/>
                  <v:imagedata r:id="rId16" o:title=""/>
                  <o:lock v:ext="edit" aspectratio="t"/>
                  <w10:wrap type="none"/>
                  <w10:anchorlock/>
                </v:shape>
                <o:OLEObject Type="Embed" ProgID="Visio.Drawing.11" ShapeID="_x0000_i1028" DrawAspect="Content" ObjectID="_1468075728" r:id="rId15">
                  <o:LockedField>false</o:LockedField>
                </o:OLEObject>
              </w:object>
            </w:r>
          </w:p>
          <w:p>
            <w:pPr>
              <w:pStyle w:val="38"/>
              <w:ind w:firstLine="482"/>
              <w:rPr>
                <w:rFonts w:ascii="Times New Roman" w:hAnsi="Times New Roman" w:eastAsia="宋体" w:cs="Times New Roman"/>
                <w:b/>
                <w:bCs/>
                <w:color w:val="auto"/>
              </w:rPr>
            </w:pPr>
            <w:r>
              <w:rPr>
                <w:rFonts w:ascii="Times New Roman" w:hAnsi="Times New Roman" w:eastAsia="宋体" w:cs="Times New Roman"/>
                <w:b/>
                <w:bCs/>
                <w:color w:val="auto"/>
              </w:rPr>
              <w:t>图2-</w:t>
            </w:r>
            <w:r>
              <w:rPr>
                <w:rFonts w:hint="eastAsia" w:ascii="Times New Roman" w:hAnsi="Times New Roman" w:eastAsia="宋体" w:cs="Times New Roman"/>
                <w:b/>
                <w:bCs/>
                <w:color w:val="auto"/>
              </w:rPr>
              <w:t xml:space="preserve">4  </w:t>
            </w:r>
            <w:r>
              <w:rPr>
                <w:rFonts w:ascii="Times New Roman" w:hAnsi="Times New Roman" w:eastAsia="宋体" w:cs="Times New Roman"/>
                <w:b/>
                <w:bCs/>
                <w:color w:val="auto"/>
              </w:rPr>
              <w:t>工艺流程及产污节点图</w:t>
            </w:r>
          </w:p>
          <w:p>
            <w:pPr>
              <w:spacing w:line="360" w:lineRule="auto"/>
              <w:ind w:firstLine="482" w:firstLineChars="200"/>
              <w:rPr>
                <w:b/>
                <w:bCs/>
                <w:color w:val="auto"/>
                <w:sz w:val="24"/>
              </w:rPr>
            </w:pPr>
            <w:r>
              <w:rPr>
                <w:b/>
                <w:bCs/>
                <w:color w:val="auto"/>
                <w:sz w:val="24"/>
              </w:rPr>
              <w:t>流程简述：</w:t>
            </w:r>
          </w:p>
          <w:p>
            <w:pPr>
              <w:pStyle w:val="86"/>
              <w:spacing w:line="360" w:lineRule="auto"/>
              <w:ind w:firstLine="480"/>
              <w:rPr>
                <w:color w:val="auto"/>
                <w:sz w:val="24"/>
                <w:szCs w:val="20"/>
              </w:rPr>
            </w:pPr>
            <w:r>
              <w:rPr>
                <w:color w:val="auto"/>
                <w:sz w:val="24"/>
                <w:szCs w:val="20"/>
              </w:rPr>
              <w:t>①原料入库</w:t>
            </w:r>
          </w:p>
          <w:p>
            <w:pPr>
              <w:spacing w:line="360" w:lineRule="auto"/>
              <w:ind w:firstLine="480" w:firstLineChars="200"/>
              <w:rPr>
                <w:rStyle w:val="37"/>
                <w:color w:val="auto"/>
                <w:kern w:val="0"/>
                <w:sz w:val="24"/>
              </w:rPr>
            </w:pPr>
            <w:r>
              <w:rPr>
                <w:rStyle w:val="37"/>
                <w:color w:val="auto"/>
                <w:kern w:val="0"/>
                <w:sz w:val="24"/>
              </w:rPr>
              <w:t>项目使用的原料由第三方回收公司严格筛选回收后，分别打包运至厂内，</w:t>
            </w:r>
            <w:r>
              <w:rPr>
                <w:rStyle w:val="37"/>
                <w:rFonts w:hint="eastAsia"/>
                <w:color w:val="auto"/>
                <w:kern w:val="0"/>
                <w:sz w:val="24"/>
              </w:rPr>
              <w:t>分类堆存到原料暂存区，</w:t>
            </w:r>
            <w:r>
              <w:rPr>
                <w:rStyle w:val="37"/>
                <w:color w:val="auto"/>
                <w:kern w:val="0"/>
                <w:sz w:val="24"/>
              </w:rPr>
              <w:t>本项目不包含收购、包装及运输过程。</w:t>
            </w:r>
          </w:p>
          <w:p>
            <w:pPr>
              <w:spacing w:line="360" w:lineRule="auto"/>
              <w:ind w:firstLine="480" w:firstLineChars="200"/>
              <w:rPr>
                <w:color w:val="auto"/>
                <w:sz w:val="24"/>
                <w:szCs w:val="20"/>
              </w:rPr>
            </w:pPr>
            <w:r>
              <w:rPr>
                <w:rStyle w:val="37"/>
                <w:color w:val="auto"/>
                <w:kern w:val="0"/>
                <w:sz w:val="24"/>
              </w:rPr>
              <w:t>原料入场后堆存于</w:t>
            </w:r>
            <w:r>
              <w:rPr>
                <w:rStyle w:val="37"/>
                <w:rFonts w:hint="eastAsia"/>
                <w:color w:val="auto"/>
                <w:kern w:val="0"/>
                <w:sz w:val="24"/>
              </w:rPr>
              <w:t>原料暂存区内</w:t>
            </w:r>
            <w:r>
              <w:rPr>
                <w:rStyle w:val="37"/>
                <w:color w:val="auto"/>
                <w:kern w:val="0"/>
                <w:sz w:val="24"/>
              </w:rPr>
              <w:t>，位于</w:t>
            </w:r>
            <w:r>
              <w:rPr>
                <w:rStyle w:val="37"/>
                <w:rFonts w:hint="eastAsia"/>
                <w:color w:val="auto"/>
                <w:kern w:val="0"/>
                <w:sz w:val="24"/>
              </w:rPr>
              <w:t>租用的厂房东南侧</w:t>
            </w:r>
            <w:r>
              <w:rPr>
                <w:rStyle w:val="37"/>
                <w:color w:val="auto"/>
                <w:kern w:val="0"/>
                <w:sz w:val="24"/>
              </w:rPr>
              <w:t>，已</w:t>
            </w:r>
            <w:r>
              <w:rPr>
                <w:rStyle w:val="37"/>
                <w:rFonts w:hint="eastAsia"/>
                <w:color w:val="auto"/>
                <w:kern w:val="0"/>
                <w:sz w:val="24"/>
              </w:rPr>
              <w:t>设置</w:t>
            </w:r>
            <w:r>
              <w:rPr>
                <w:rStyle w:val="37"/>
                <w:color w:val="auto"/>
                <w:kern w:val="0"/>
                <w:sz w:val="24"/>
              </w:rPr>
              <w:t>防风防雨</w:t>
            </w:r>
            <w:r>
              <w:rPr>
                <w:rStyle w:val="37"/>
                <w:rFonts w:hint="eastAsia"/>
                <w:color w:val="auto"/>
                <w:kern w:val="0"/>
                <w:sz w:val="24"/>
              </w:rPr>
              <w:t>设施</w:t>
            </w:r>
            <w:r>
              <w:rPr>
                <w:rStyle w:val="37"/>
                <w:color w:val="auto"/>
                <w:kern w:val="0"/>
                <w:sz w:val="24"/>
              </w:rPr>
              <w:t>，地面水泥硬化，且不同种类、来源的原料进行分区存放</w:t>
            </w:r>
            <w:r>
              <w:rPr>
                <w:color w:val="auto"/>
                <w:sz w:val="24"/>
                <w:szCs w:val="20"/>
              </w:rPr>
              <w:t>。</w:t>
            </w:r>
          </w:p>
          <w:p>
            <w:pPr>
              <w:spacing w:line="360" w:lineRule="auto"/>
              <w:ind w:firstLine="482" w:firstLineChars="200"/>
              <w:rPr>
                <w:color w:val="auto"/>
                <w:sz w:val="24"/>
                <w:szCs w:val="20"/>
              </w:rPr>
            </w:pPr>
            <w:r>
              <w:rPr>
                <w:b/>
                <w:bCs/>
                <w:color w:val="auto"/>
                <w:kern w:val="0"/>
                <w:sz w:val="24"/>
              </w:rPr>
              <w:t>产污分析：</w:t>
            </w:r>
            <w:r>
              <w:rPr>
                <w:color w:val="auto"/>
                <w:kern w:val="0"/>
                <w:sz w:val="24"/>
              </w:rPr>
              <w:t>本项目外购废品回收企业打包后的原料，因此，不会产生原料装卸粉尘，污染物主要为汽车尾气。</w:t>
            </w:r>
          </w:p>
          <w:p>
            <w:pPr>
              <w:pStyle w:val="86"/>
              <w:spacing w:line="360" w:lineRule="auto"/>
              <w:ind w:firstLine="480"/>
              <w:rPr>
                <w:color w:val="auto"/>
                <w:sz w:val="24"/>
              </w:rPr>
            </w:pPr>
            <w:r>
              <w:rPr>
                <w:color w:val="auto"/>
                <w:sz w:val="24"/>
              </w:rPr>
              <w:t>②开包、除杂</w:t>
            </w:r>
          </w:p>
          <w:p>
            <w:pPr>
              <w:spacing w:line="360" w:lineRule="auto"/>
              <w:ind w:firstLine="480" w:firstLineChars="200"/>
              <w:rPr>
                <w:color w:val="auto"/>
                <w:kern w:val="0"/>
                <w:sz w:val="24"/>
              </w:rPr>
            </w:pPr>
            <w:r>
              <w:rPr>
                <w:color w:val="auto"/>
                <w:kern w:val="0"/>
                <w:sz w:val="24"/>
              </w:rPr>
              <w:t>项目回收的原料在废品回收企业内已经进行过分拣并进行打包包装，不需在厂内进行分拣，直接进行开包、除杂。</w:t>
            </w:r>
            <w:r>
              <w:rPr>
                <w:rFonts w:hint="eastAsia"/>
                <w:color w:val="auto"/>
                <w:kern w:val="0"/>
                <w:sz w:val="24"/>
              </w:rPr>
              <w:t>原料在进厂后由工人用手推车运至除杂工段，经螺旋除渣机及除铁机处理后进入破碎工段，项目回收的废旧塑料会混入大块泥沙、废铁等杂质（S1），杂质经螺旋除渣机及除铁机去除后，废铁等能回收利用的外卖废品收购站，不能回收利用的收集后委托环卫部门清运处置。</w:t>
            </w:r>
          </w:p>
          <w:p>
            <w:pPr>
              <w:spacing w:line="360" w:lineRule="auto"/>
              <w:ind w:firstLine="482" w:firstLineChars="200"/>
              <w:rPr>
                <w:color w:val="auto"/>
                <w:kern w:val="0"/>
                <w:sz w:val="24"/>
              </w:rPr>
            </w:pPr>
            <w:r>
              <w:rPr>
                <w:b/>
                <w:bCs/>
                <w:color w:val="auto"/>
                <w:kern w:val="0"/>
                <w:sz w:val="24"/>
              </w:rPr>
              <w:t>产污分析：</w:t>
            </w:r>
            <w:r>
              <w:rPr>
                <w:color w:val="auto"/>
                <w:kern w:val="0"/>
                <w:sz w:val="24"/>
              </w:rPr>
              <w:t>在进行开包、</w:t>
            </w:r>
            <w:r>
              <w:rPr>
                <w:color w:val="auto"/>
                <w:sz w:val="24"/>
              </w:rPr>
              <w:t>除渣</w:t>
            </w:r>
            <w:r>
              <w:rPr>
                <w:color w:val="auto"/>
                <w:kern w:val="0"/>
                <w:sz w:val="24"/>
              </w:rPr>
              <w:t>等作业过程中产生一定量的粉尘、</w:t>
            </w:r>
            <w:r>
              <w:rPr>
                <w:rFonts w:hint="eastAsia"/>
                <w:color w:val="auto"/>
                <w:kern w:val="0"/>
                <w:sz w:val="24"/>
              </w:rPr>
              <w:t>杂质（泥沙、废铁等）</w:t>
            </w:r>
            <w:r>
              <w:rPr>
                <w:color w:val="auto"/>
                <w:kern w:val="0"/>
                <w:sz w:val="24"/>
              </w:rPr>
              <w:t>。粉尘呈无组织排放。</w:t>
            </w:r>
          </w:p>
          <w:p>
            <w:pPr>
              <w:pStyle w:val="86"/>
              <w:spacing w:line="360" w:lineRule="auto"/>
              <w:ind w:firstLine="480"/>
              <w:rPr>
                <w:color w:val="auto"/>
                <w:sz w:val="24"/>
                <w:szCs w:val="20"/>
              </w:rPr>
            </w:pPr>
            <w:r>
              <w:rPr>
                <w:color w:val="auto"/>
                <w:sz w:val="24"/>
                <w:szCs w:val="20"/>
              </w:rPr>
              <w:t>③清洗+破碎</w:t>
            </w:r>
          </w:p>
          <w:p>
            <w:pPr>
              <w:spacing w:line="360" w:lineRule="auto"/>
              <w:ind w:firstLine="480" w:firstLineChars="200"/>
              <w:rPr>
                <w:color w:val="auto"/>
                <w:kern w:val="0"/>
                <w:sz w:val="24"/>
              </w:rPr>
            </w:pPr>
            <w:r>
              <w:rPr>
                <w:rFonts w:hint="eastAsia"/>
                <w:color w:val="auto"/>
                <w:kern w:val="0"/>
                <w:sz w:val="24"/>
              </w:rPr>
              <w:t>原料采用人工方式送入搅笼式破碎机进行行湿式机械破碎。破碎密闭进行，在破碎机内原料与破碎机上方喷淋的水混合旋转搅拌并通过刀片进行破碎，同时对原料起到预清洗作用。该破碎本机底部安装搅笼，搅笼上部接有水管，破碎后的废旧塑料连同废水进入搅笼中进行清洗。破碎清洗后的原料经搅笼内部的螺旋机输送至清洗池，进行二次清洗；破碎后的塑料</w:t>
            </w:r>
            <w:r>
              <w:rPr>
                <w:color w:val="auto"/>
                <w:kern w:val="0"/>
                <w:sz w:val="24"/>
              </w:rPr>
              <w:t>经过螺旋上料机输送至</w:t>
            </w:r>
            <w:r>
              <w:rPr>
                <w:color w:val="auto"/>
                <w:sz w:val="24"/>
                <w:szCs w:val="20"/>
              </w:rPr>
              <w:t>2m×6m×2m</w:t>
            </w:r>
            <w:r>
              <w:rPr>
                <w:color w:val="auto"/>
                <w:kern w:val="0"/>
                <w:sz w:val="24"/>
              </w:rPr>
              <w:t>清洗池</w:t>
            </w:r>
            <w:r>
              <w:rPr>
                <w:rFonts w:hint="eastAsia"/>
                <w:color w:val="auto"/>
                <w:kern w:val="0"/>
                <w:sz w:val="24"/>
              </w:rPr>
              <w:t>，进一步清洗破碎后残留在塑料碎片表面的灰尘。清洗过程采用物理清洗方式，不添加任何清洗剂，清洗池采用搅笼清洗机进行清洗，在搅拌清洗后，塑料碎片由提料甩干机捞出去除多余水分，产生的脱水废水直接排入清洗池。</w:t>
            </w:r>
          </w:p>
          <w:p>
            <w:pPr>
              <w:spacing w:line="360" w:lineRule="auto"/>
              <w:ind w:firstLine="482" w:firstLineChars="200"/>
              <w:rPr>
                <w:color w:val="auto"/>
                <w:sz w:val="24"/>
                <w:szCs w:val="20"/>
              </w:rPr>
            </w:pPr>
            <w:r>
              <w:rPr>
                <w:b/>
                <w:bCs/>
                <w:color w:val="auto"/>
                <w:kern w:val="0"/>
                <w:sz w:val="24"/>
              </w:rPr>
              <w:t>产污分析：</w:t>
            </w:r>
            <w:r>
              <w:rPr>
                <w:color w:val="auto"/>
                <w:kern w:val="0"/>
                <w:sz w:val="24"/>
              </w:rPr>
              <w:t>本项目采取湿式破碎工艺，用水采用污水处理设施处理后的回用水，不投加其他辅助剂，破碎设备</w:t>
            </w:r>
            <w:r>
              <w:rPr>
                <w:rFonts w:hint="eastAsia"/>
                <w:color w:val="auto"/>
                <w:kern w:val="0"/>
                <w:sz w:val="24"/>
              </w:rPr>
              <w:t>（N1）</w:t>
            </w:r>
            <w:r>
              <w:rPr>
                <w:color w:val="auto"/>
                <w:kern w:val="0"/>
                <w:sz w:val="24"/>
              </w:rPr>
              <w:t>为密闭式，且破碎塑料力度较大，因此正常情况下破碎和输送环节不会产生粉尘。原料</w:t>
            </w:r>
            <w:r>
              <w:rPr>
                <w:rFonts w:hint="eastAsia"/>
                <w:color w:val="auto"/>
                <w:kern w:val="0"/>
                <w:sz w:val="24"/>
              </w:rPr>
              <w:t>湿法破碎+</w:t>
            </w:r>
            <w:r>
              <w:rPr>
                <w:color w:val="auto"/>
                <w:kern w:val="0"/>
                <w:sz w:val="24"/>
              </w:rPr>
              <w:t>清洗会产生清洗废水</w:t>
            </w:r>
            <w:r>
              <w:rPr>
                <w:rFonts w:hint="eastAsia"/>
                <w:color w:val="auto"/>
                <w:kern w:val="0"/>
                <w:sz w:val="24"/>
              </w:rPr>
              <w:t>（W1）</w:t>
            </w:r>
            <w:r>
              <w:rPr>
                <w:color w:val="auto"/>
                <w:kern w:val="0"/>
                <w:sz w:val="24"/>
              </w:rPr>
              <w:t>，</w:t>
            </w:r>
            <w:r>
              <w:rPr>
                <w:rFonts w:hint="eastAsia"/>
                <w:color w:val="auto"/>
                <w:kern w:val="0"/>
                <w:sz w:val="24"/>
              </w:rPr>
              <w:t>湿法破碎+</w:t>
            </w:r>
            <w:r>
              <w:rPr>
                <w:color w:val="auto"/>
                <w:kern w:val="0"/>
                <w:sz w:val="24"/>
              </w:rPr>
              <w:t>清洗废水经截排水沟收集至</w:t>
            </w:r>
            <w:r>
              <w:rPr>
                <w:rFonts w:hint="eastAsia"/>
                <w:color w:val="auto"/>
                <w:kern w:val="0"/>
                <w:sz w:val="24"/>
              </w:rPr>
              <w:t>清洗池</w:t>
            </w:r>
            <w:r>
              <w:rPr>
                <w:color w:val="auto"/>
                <w:kern w:val="0"/>
                <w:sz w:val="24"/>
              </w:rPr>
              <w:t>，再</w:t>
            </w:r>
            <w:r>
              <w:rPr>
                <w:rFonts w:hint="eastAsia"/>
                <w:color w:val="auto"/>
                <w:kern w:val="0"/>
                <w:sz w:val="24"/>
              </w:rPr>
              <w:t>通过管道输送到</w:t>
            </w:r>
            <w:r>
              <w:rPr>
                <w:color w:val="auto"/>
                <w:kern w:val="0"/>
                <w:sz w:val="24"/>
              </w:rPr>
              <w:t>污水处理设施处理后回用于</w:t>
            </w:r>
            <w:r>
              <w:rPr>
                <w:rFonts w:hint="eastAsia"/>
                <w:color w:val="auto"/>
                <w:kern w:val="0"/>
                <w:sz w:val="24"/>
              </w:rPr>
              <w:t>清洗</w:t>
            </w:r>
            <w:r>
              <w:rPr>
                <w:color w:val="auto"/>
                <w:kern w:val="0"/>
                <w:sz w:val="24"/>
              </w:rPr>
              <w:t>，</w:t>
            </w:r>
            <w:r>
              <w:rPr>
                <w:rFonts w:hint="eastAsia"/>
                <w:color w:val="auto"/>
                <w:kern w:val="0"/>
                <w:sz w:val="24"/>
              </w:rPr>
              <w:t>循环使用；</w:t>
            </w:r>
            <w:r>
              <w:rPr>
                <w:color w:val="auto"/>
                <w:sz w:val="24"/>
                <w:szCs w:val="20"/>
              </w:rPr>
              <w:t>污水处理设施与</w:t>
            </w:r>
            <w:r>
              <w:rPr>
                <w:color w:val="auto"/>
                <w:kern w:val="0"/>
                <w:sz w:val="24"/>
              </w:rPr>
              <w:t>清洗池</w:t>
            </w:r>
            <w:r>
              <w:rPr>
                <w:color w:val="auto"/>
                <w:sz w:val="24"/>
                <w:szCs w:val="20"/>
              </w:rPr>
              <w:t>中沉渣</w:t>
            </w:r>
            <w:r>
              <w:rPr>
                <w:rFonts w:hint="eastAsia"/>
                <w:color w:val="auto"/>
                <w:sz w:val="24"/>
                <w:szCs w:val="20"/>
              </w:rPr>
              <w:t>（S2）</w:t>
            </w:r>
            <w:r>
              <w:rPr>
                <w:rFonts w:hint="eastAsia"/>
                <w:color w:val="auto"/>
                <w:kern w:val="0"/>
                <w:sz w:val="24"/>
              </w:rPr>
              <w:t>外售给当地砖厂制砖</w:t>
            </w:r>
            <w:r>
              <w:rPr>
                <w:rFonts w:hint="eastAsia"/>
                <w:color w:val="auto"/>
                <w:sz w:val="24"/>
                <w:szCs w:val="20"/>
              </w:rPr>
              <w:t>。</w:t>
            </w:r>
            <w:r>
              <w:rPr>
                <w:color w:val="auto"/>
                <w:sz w:val="24"/>
                <w:szCs w:val="20"/>
              </w:rPr>
              <w:t>此外，设备噪声主要为上料机、除渣机、除铁机、提料甩干机</w:t>
            </w:r>
            <w:r>
              <w:rPr>
                <w:rFonts w:hint="eastAsia"/>
                <w:color w:val="auto"/>
                <w:kern w:val="0"/>
                <w:sz w:val="24"/>
              </w:rPr>
              <w:t>（N2）</w:t>
            </w:r>
            <w:r>
              <w:rPr>
                <w:color w:val="auto"/>
                <w:sz w:val="24"/>
                <w:szCs w:val="20"/>
              </w:rPr>
              <w:t>、破碎机产生的噪声。</w:t>
            </w:r>
          </w:p>
          <w:p>
            <w:pPr>
              <w:pStyle w:val="86"/>
              <w:spacing w:line="360" w:lineRule="auto"/>
              <w:ind w:firstLine="480"/>
              <w:rPr>
                <w:rFonts w:hint="eastAsia" w:eastAsia="宋体"/>
                <w:color w:val="auto"/>
                <w:sz w:val="24"/>
                <w:szCs w:val="20"/>
                <w:lang w:val="en-US" w:eastAsia="zh-CN"/>
              </w:rPr>
            </w:pPr>
            <w:r>
              <w:rPr>
                <w:color w:val="auto"/>
                <w:sz w:val="24"/>
                <w:szCs w:val="20"/>
              </w:rPr>
              <w:t>④熔融</w:t>
            </w:r>
            <w:r>
              <w:rPr>
                <w:rFonts w:hint="eastAsia"/>
                <w:color w:val="auto"/>
                <w:sz w:val="24"/>
                <w:szCs w:val="20"/>
                <w:lang w:val="en-US" w:eastAsia="zh-CN"/>
              </w:rPr>
              <w:t>挤出</w:t>
            </w:r>
          </w:p>
          <w:p>
            <w:pPr>
              <w:spacing w:line="360" w:lineRule="auto"/>
              <w:ind w:firstLine="480" w:firstLineChars="200"/>
              <w:rPr>
                <w:color w:val="auto"/>
                <w:sz w:val="24"/>
                <w:szCs w:val="20"/>
              </w:rPr>
            </w:pPr>
            <w:r>
              <w:rPr>
                <w:color w:val="auto"/>
                <w:sz w:val="24"/>
                <w:szCs w:val="20"/>
              </w:rPr>
              <w:t>不同批次的清洁、脱水、破碎后的原料碎片经人工铲至混料机进行密闭混合后，</w:t>
            </w:r>
            <w:r>
              <w:rPr>
                <w:color w:val="auto"/>
                <w:sz w:val="24"/>
              </w:rPr>
              <w:t>经过上料平台输送入熔融挤出机的</w:t>
            </w:r>
            <w:r>
              <w:rPr>
                <w:color w:val="auto"/>
                <w:sz w:val="24"/>
                <w:szCs w:val="20"/>
              </w:rPr>
              <w:t>进料斗，通过进料输送螺杆稳定地进入主机进行熔融。</w:t>
            </w:r>
          </w:p>
          <w:p>
            <w:pPr>
              <w:spacing w:line="360" w:lineRule="auto"/>
              <w:ind w:firstLine="480" w:firstLineChars="200"/>
              <w:rPr>
                <w:color w:val="auto"/>
                <w:sz w:val="24"/>
                <w:szCs w:val="20"/>
              </w:rPr>
            </w:pPr>
            <w:r>
              <w:rPr>
                <w:color w:val="auto"/>
                <w:sz w:val="24"/>
                <w:szCs w:val="20"/>
              </w:rPr>
              <w:t>熔融采用电加热方式，熔融工序控制温度为180℃~200℃之间，</w:t>
            </w:r>
            <w:r>
              <w:rPr>
                <w:color w:val="auto"/>
                <w:sz w:val="24"/>
              </w:rPr>
              <w:t>远小于</w:t>
            </w:r>
            <w:r>
              <w:rPr>
                <w:color w:val="auto"/>
                <w:sz w:val="24"/>
                <w:szCs w:val="20"/>
              </w:rPr>
              <w:t>原料的裂解温度（</w:t>
            </w:r>
            <w:r>
              <w:rPr>
                <w:color w:val="auto"/>
                <w:sz w:val="24"/>
              </w:rPr>
              <w:t>聚丙烯350-400℃、聚乙烯260-300℃</w:t>
            </w:r>
            <w:r>
              <w:rPr>
                <w:color w:val="auto"/>
                <w:sz w:val="24"/>
                <w:szCs w:val="20"/>
              </w:rPr>
              <w:t>）。为了避免原料表面携带的水分和挥发物对产品质量的影响，采用排气式挤出机，在主机上设有一个放气孔以排出熔融过程水蒸气和少量挥发性气体。主机内熔体进料至副机经再压缩和混合均化而从机头挤出成丝，根据造粒粒径要求选用不同的挤压模具。在熔融挤出时，要经过滤网将废塑料的杂质过滤，使造出来的塑料条更结实、光滑、纯净。</w:t>
            </w:r>
          </w:p>
          <w:p>
            <w:pPr>
              <w:spacing w:line="360" w:lineRule="auto"/>
              <w:ind w:firstLine="482" w:firstLineChars="200"/>
              <w:rPr>
                <w:b/>
                <w:bCs/>
                <w:color w:val="auto"/>
                <w:kern w:val="0"/>
                <w:sz w:val="24"/>
              </w:rPr>
            </w:pPr>
            <w:r>
              <w:rPr>
                <w:b/>
                <w:bCs/>
                <w:color w:val="auto"/>
                <w:kern w:val="0"/>
                <w:sz w:val="24"/>
              </w:rPr>
              <w:t>产污分析：</w:t>
            </w:r>
          </w:p>
          <w:p>
            <w:pPr>
              <w:spacing w:line="360" w:lineRule="auto"/>
              <w:ind w:firstLine="480" w:firstLineChars="200"/>
              <w:rPr>
                <w:color w:val="auto"/>
                <w:sz w:val="24"/>
                <w:szCs w:val="20"/>
              </w:rPr>
            </w:pPr>
            <w:r>
              <w:rPr>
                <w:color w:val="auto"/>
                <w:sz w:val="24"/>
                <w:szCs w:val="20"/>
              </w:rPr>
              <w:t>在熔融拉丝过程中主机放气孔</w:t>
            </w:r>
            <w:r>
              <w:rPr>
                <w:rFonts w:hint="eastAsia"/>
                <w:color w:val="auto"/>
                <w:sz w:val="24"/>
                <w:szCs w:val="20"/>
              </w:rPr>
              <w:t>（G2）</w:t>
            </w:r>
            <w:r>
              <w:rPr>
                <w:color w:val="auto"/>
                <w:sz w:val="24"/>
                <w:szCs w:val="20"/>
              </w:rPr>
              <w:t>、熔融体由主机至副机进料口</w:t>
            </w:r>
            <w:r>
              <w:rPr>
                <w:rFonts w:hint="eastAsia"/>
                <w:color w:val="auto"/>
                <w:sz w:val="24"/>
                <w:szCs w:val="20"/>
              </w:rPr>
              <w:t>（G3）</w:t>
            </w:r>
            <w:r>
              <w:rPr>
                <w:color w:val="auto"/>
                <w:sz w:val="24"/>
                <w:szCs w:val="20"/>
              </w:rPr>
              <w:t>、副机挤出口</w:t>
            </w:r>
            <w:r>
              <w:rPr>
                <w:rFonts w:hint="eastAsia"/>
                <w:color w:val="auto"/>
                <w:sz w:val="24"/>
                <w:szCs w:val="20"/>
              </w:rPr>
              <w:t>（G4）</w:t>
            </w:r>
            <w:r>
              <w:rPr>
                <w:color w:val="auto"/>
                <w:sz w:val="24"/>
                <w:szCs w:val="20"/>
              </w:rPr>
              <w:t>均会排放出塑料熔融的有机废气，该部分废气主要为</w:t>
            </w:r>
            <w:r>
              <w:rPr>
                <w:rFonts w:hint="eastAsia"/>
                <w:color w:val="auto"/>
                <w:sz w:val="24"/>
                <w:szCs w:val="20"/>
              </w:rPr>
              <w:t>烟尘（颗粒物）、</w:t>
            </w:r>
            <w:r>
              <w:rPr>
                <w:color w:val="auto"/>
                <w:sz w:val="24"/>
                <w:szCs w:val="20"/>
              </w:rPr>
              <w:t>水蒸气及有机挥发性物质（</w:t>
            </w:r>
            <w:r>
              <w:rPr>
                <w:color w:val="auto"/>
                <w:sz w:val="24"/>
              </w:rPr>
              <w:t>以非甲烷总烃计，</w:t>
            </w:r>
            <w:r>
              <w:rPr>
                <w:color w:val="auto"/>
                <w:sz w:val="24"/>
                <w:szCs w:val="20"/>
              </w:rPr>
              <w:t>主要是C2-C8）。每个废气排放点设置1个集气罩，统一收集进入废气处理设施处理后有组织排放。废气处理设施运行会产生</w:t>
            </w:r>
            <w:r>
              <w:rPr>
                <w:color w:val="auto"/>
                <w:sz w:val="24"/>
              </w:rPr>
              <w:t>废气处理系统废水，</w:t>
            </w:r>
            <w:r>
              <w:rPr>
                <w:rFonts w:hint="eastAsia"/>
                <w:color w:val="auto"/>
                <w:sz w:val="24"/>
              </w:rPr>
              <w:t>收集至</w:t>
            </w:r>
            <w:r>
              <w:rPr>
                <w:color w:val="auto"/>
                <w:kern w:val="0"/>
                <w:sz w:val="24"/>
              </w:rPr>
              <w:t>污水处理设施处理后回用于</w:t>
            </w:r>
            <w:r>
              <w:rPr>
                <w:rFonts w:hint="eastAsia"/>
                <w:color w:val="auto"/>
                <w:kern w:val="0"/>
                <w:sz w:val="24"/>
              </w:rPr>
              <w:t>生产过程</w:t>
            </w:r>
            <w:r>
              <w:rPr>
                <w:color w:val="auto"/>
                <w:sz w:val="24"/>
              </w:rPr>
              <w:t>。</w:t>
            </w:r>
          </w:p>
          <w:p>
            <w:pPr>
              <w:spacing w:line="360" w:lineRule="auto"/>
              <w:ind w:firstLine="480" w:firstLineChars="200"/>
              <w:rPr>
                <w:color w:val="auto"/>
                <w:sz w:val="24"/>
                <w:szCs w:val="20"/>
              </w:rPr>
            </w:pPr>
            <w:r>
              <w:rPr>
                <w:color w:val="auto"/>
                <w:sz w:val="24"/>
                <w:szCs w:val="20"/>
              </w:rPr>
              <w:t>为防止副机挤出口的滤网</w:t>
            </w:r>
            <w:r>
              <w:rPr>
                <w:rFonts w:hint="eastAsia"/>
                <w:color w:val="auto"/>
                <w:sz w:val="24"/>
                <w:szCs w:val="20"/>
              </w:rPr>
              <w:t>（S3）</w:t>
            </w:r>
            <w:r>
              <w:rPr>
                <w:color w:val="auto"/>
                <w:sz w:val="24"/>
                <w:szCs w:val="20"/>
              </w:rPr>
              <w:t>堵塞，4~5h更换一次，根据《废塑料综合利用行业规范条件》，过滤装置的废弃过滤网应按照环境保护有关规定处理，禁止露天焚烧。更换的废滤网经收集后，</w:t>
            </w:r>
            <w:r>
              <w:rPr>
                <w:color w:val="auto"/>
                <w:kern w:val="0"/>
                <w:sz w:val="24"/>
              </w:rPr>
              <w:t>废滤网经建设单位集中收集后外售合法且具备废滤网回收再生能力的单位回收处置</w:t>
            </w:r>
            <w:r>
              <w:rPr>
                <w:color w:val="auto"/>
                <w:sz w:val="24"/>
                <w:szCs w:val="20"/>
              </w:rPr>
              <w:t>。</w:t>
            </w:r>
          </w:p>
          <w:p>
            <w:pPr>
              <w:spacing w:line="360" w:lineRule="auto"/>
              <w:ind w:firstLine="480" w:firstLineChars="200"/>
              <w:rPr>
                <w:color w:val="auto"/>
                <w:sz w:val="24"/>
                <w:szCs w:val="20"/>
              </w:rPr>
            </w:pPr>
            <w:r>
              <w:rPr>
                <w:color w:val="auto"/>
                <w:sz w:val="24"/>
                <w:szCs w:val="20"/>
              </w:rPr>
              <w:t>此外，设备噪声主要为混料机、</w:t>
            </w:r>
            <w:r>
              <w:rPr>
                <w:color w:val="auto"/>
                <w:sz w:val="24"/>
              </w:rPr>
              <w:t>熔融挤出机</w:t>
            </w:r>
            <w:r>
              <w:rPr>
                <w:rFonts w:hint="eastAsia"/>
                <w:color w:val="auto"/>
                <w:kern w:val="0"/>
                <w:sz w:val="24"/>
              </w:rPr>
              <w:t>（N3）</w:t>
            </w:r>
            <w:r>
              <w:rPr>
                <w:color w:val="auto"/>
                <w:sz w:val="24"/>
                <w:szCs w:val="20"/>
              </w:rPr>
              <w:t>产生的噪声。</w:t>
            </w:r>
          </w:p>
          <w:p>
            <w:pPr>
              <w:spacing w:line="360" w:lineRule="auto"/>
              <w:ind w:firstLine="480" w:firstLineChars="200"/>
              <w:rPr>
                <w:color w:val="auto"/>
                <w:sz w:val="24"/>
                <w:szCs w:val="20"/>
              </w:rPr>
            </w:pPr>
            <w:r>
              <w:rPr>
                <w:color w:val="auto"/>
                <w:sz w:val="24"/>
                <w:szCs w:val="20"/>
              </w:rPr>
              <w:t>⑤冷却、切粒、网筛</w:t>
            </w:r>
          </w:p>
          <w:p>
            <w:pPr>
              <w:spacing w:line="360" w:lineRule="auto"/>
              <w:ind w:firstLine="480" w:firstLineChars="200"/>
              <w:rPr>
                <w:color w:val="auto"/>
                <w:sz w:val="24"/>
                <w:szCs w:val="20"/>
              </w:rPr>
            </w:pPr>
            <w:r>
              <w:rPr>
                <w:color w:val="auto"/>
                <w:sz w:val="24"/>
                <w:szCs w:val="20"/>
              </w:rPr>
              <w:t>挤出的塑料丝进入</w:t>
            </w:r>
            <w:r>
              <w:rPr>
                <w:rFonts w:hint="eastAsia"/>
                <w:color w:val="auto"/>
                <w:sz w:val="24"/>
                <w:szCs w:val="20"/>
              </w:rPr>
              <w:t>冷却槽</w:t>
            </w:r>
            <w:r>
              <w:rPr>
                <w:color w:val="auto"/>
                <w:sz w:val="24"/>
                <w:szCs w:val="20"/>
              </w:rPr>
              <w:t>进行冷却，冷却后的塑料丝进入切粒机切割成10mm的塑料粒，塑料粒经网筛后符合粒径要求的被吹入料仓，等待包装，其间携带的少量水分被风干，不符合粒径</w:t>
            </w:r>
            <w:r>
              <w:rPr>
                <w:rFonts w:hint="eastAsia"/>
                <w:color w:val="auto"/>
                <w:sz w:val="24"/>
                <w:szCs w:val="20"/>
              </w:rPr>
              <w:t>（S4）</w:t>
            </w:r>
            <w:r>
              <w:rPr>
                <w:color w:val="auto"/>
                <w:sz w:val="24"/>
                <w:szCs w:val="20"/>
              </w:rPr>
              <w:t>要求的半成品收集熔融、重新造粒。</w:t>
            </w:r>
          </w:p>
          <w:p>
            <w:pPr>
              <w:spacing w:line="360" w:lineRule="auto"/>
              <w:ind w:firstLine="482" w:firstLineChars="200"/>
              <w:rPr>
                <w:b/>
                <w:bCs/>
                <w:color w:val="auto"/>
                <w:kern w:val="0"/>
                <w:sz w:val="24"/>
              </w:rPr>
            </w:pPr>
            <w:r>
              <w:rPr>
                <w:b/>
                <w:bCs/>
                <w:color w:val="auto"/>
                <w:kern w:val="0"/>
                <w:sz w:val="24"/>
              </w:rPr>
              <w:t>产污分析：</w:t>
            </w:r>
          </w:p>
          <w:p>
            <w:pPr>
              <w:spacing w:line="360" w:lineRule="auto"/>
              <w:ind w:firstLine="480" w:firstLineChars="200"/>
              <w:rPr>
                <w:color w:val="auto"/>
                <w:sz w:val="24"/>
              </w:rPr>
            </w:pPr>
            <w:r>
              <w:rPr>
                <w:color w:val="auto"/>
                <w:sz w:val="24"/>
              </w:rPr>
              <w:t>冷却水池中冷却水</w:t>
            </w:r>
            <w:r>
              <w:rPr>
                <w:rFonts w:hint="eastAsia"/>
                <w:color w:val="auto"/>
                <w:kern w:val="0"/>
                <w:sz w:val="24"/>
              </w:rPr>
              <w:t>（W2）</w:t>
            </w:r>
            <w:r>
              <w:rPr>
                <w:color w:val="auto"/>
                <w:sz w:val="24"/>
              </w:rPr>
              <w:t>遇热后，部分冷却水以水蒸气的形式散发、损耗。由于这个环节对水温要求较低，不需冷却塔冷却，</w:t>
            </w:r>
            <w:r>
              <w:rPr>
                <w:rFonts w:hint="eastAsia"/>
                <w:color w:val="auto"/>
                <w:sz w:val="24"/>
              </w:rPr>
              <w:t>冷却水进入</w:t>
            </w:r>
            <w:r>
              <w:rPr>
                <w:color w:val="auto"/>
                <w:sz w:val="24"/>
              </w:rPr>
              <w:t>冷却水池</w:t>
            </w:r>
            <w:r>
              <w:rPr>
                <w:rFonts w:hint="eastAsia"/>
                <w:color w:val="auto"/>
                <w:sz w:val="24"/>
              </w:rPr>
              <w:t>自然冷却后</w:t>
            </w:r>
            <w:r>
              <w:rPr>
                <w:color w:val="auto"/>
                <w:sz w:val="24"/>
              </w:rPr>
              <w:t>循环使用，定期补充新鲜水即可。</w:t>
            </w:r>
          </w:p>
          <w:p>
            <w:pPr>
              <w:spacing w:line="360" w:lineRule="auto"/>
              <w:ind w:firstLine="480" w:firstLineChars="200"/>
              <w:rPr>
                <w:color w:val="auto"/>
                <w:sz w:val="24"/>
              </w:rPr>
            </w:pPr>
            <w:r>
              <w:rPr>
                <w:bCs/>
                <w:color w:val="auto"/>
                <w:sz w:val="24"/>
              </w:rPr>
              <w:t>再生PE塑料颗粒、再生PP塑料颗粒</w:t>
            </w:r>
            <w:r>
              <w:rPr>
                <w:color w:val="auto"/>
                <w:sz w:val="24"/>
              </w:rPr>
              <w:t>的规格均为Φ5mm×10mm，塑料颗粒粒径较大且质地较紧密坚硬，因此网筛不会产生粉尘。</w:t>
            </w:r>
          </w:p>
          <w:p>
            <w:pPr>
              <w:spacing w:line="360" w:lineRule="auto"/>
              <w:ind w:firstLine="480" w:firstLineChars="200"/>
              <w:rPr>
                <w:color w:val="auto"/>
                <w:sz w:val="24"/>
                <w:szCs w:val="20"/>
              </w:rPr>
            </w:pPr>
            <w:r>
              <w:rPr>
                <w:color w:val="auto"/>
                <w:sz w:val="24"/>
                <w:szCs w:val="20"/>
              </w:rPr>
              <w:t>此外，设备噪声主要为切粒机</w:t>
            </w:r>
            <w:r>
              <w:rPr>
                <w:rFonts w:hint="eastAsia"/>
                <w:color w:val="auto"/>
                <w:kern w:val="0"/>
                <w:sz w:val="24"/>
              </w:rPr>
              <w:t>（N4）</w:t>
            </w:r>
            <w:r>
              <w:rPr>
                <w:color w:val="auto"/>
                <w:sz w:val="24"/>
                <w:szCs w:val="20"/>
              </w:rPr>
              <w:t>、风机</w:t>
            </w:r>
            <w:r>
              <w:rPr>
                <w:rFonts w:hint="eastAsia"/>
                <w:color w:val="auto"/>
                <w:kern w:val="0"/>
                <w:sz w:val="24"/>
              </w:rPr>
              <w:t>（N5）</w:t>
            </w:r>
            <w:r>
              <w:rPr>
                <w:color w:val="auto"/>
                <w:sz w:val="24"/>
                <w:szCs w:val="20"/>
              </w:rPr>
              <w:t>、振动筛产生的噪声。</w:t>
            </w:r>
          </w:p>
          <w:p>
            <w:pPr>
              <w:spacing w:line="360" w:lineRule="auto"/>
              <w:ind w:firstLine="480" w:firstLineChars="200"/>
              <w:rPr>
                <w:color w:val="auto"/>
                <w:sz w:val="24"/>
                <w:szCs w:val="20"/>
              </w:rPr>
            </w:pPr>
            <w:r>
              <w:rPr>
                <w:color w:val="auto"/>
                <w:sz w:val="24"/>
                <w:szCs w:val="20"/>
              </w:rPr>
              <w:t>⑥包装入库</w:t>
            </w:r>
          </w:p>
          <w:p>
            <w:pPr>
              <w:spacing w:line="360" w:lineRule="auto"/>
              <w:ind w:firstLine="480" w:firstLineChars="200"/>
              <w:rPr>
                <w:color w:val="auto"/>
                <w:sz w:val="24"/>
              </w:rPr>
            </w:pPr>
            <w:r>
              <w:rPr>
                <w:color w:val="auto"/>
                <w:sz w:val="24"/>
                <w:szCs w:val="20"/>
              </w:rPr>
              <w:t>成品塑料颗粒用编织袋装，用手持缝包机封包，每袋20kg。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431" w:type="pct"/>
            <w:vAlign w:val="center"/>
          </w:tcPr>
          <w:p>
            <w:pPr>
              <w:spacing w:line="360" w:lineRule="auto"/>
              <w:jc w:val="center"/>
              <w:rPr>
                <w:color w:val="auto"/>
                <w:sz w:val="24"/>
              </w:rPr>
            </w:pPr>
            <w:r>
              <w:rPr>
                <w:color w:val="auto"/>
                <w:sz w:val="24"/>
              </w:rPr>
              <w:t>与项目有关的原有环境污染问题</w:t>
            </w:r>
          </w:p>
        </w:tc>
        <w:tc>
          <w:tcPr>
            <w:tcW w:w="4568" w:type="pct"/>
            <w:vAlign w:val="center"/>
          </w:tcPr>
          <w:p>
            <w:pPr>
              <w:adjustRightInd w:val="0"/>
              <w:snapToGrid w:val="0"/>
              <w:spacing w:line="360" w:lineRule="auto"/>
              <w:ind w:firstLine="480" w:firstLineChars="200"/>
              <w:rPr>
                <w:color w:val="auto"/>
                <w:sz w:val="24"/>
              </w:rPr>
            </w:pPr>
            <w:r>
              <w:rPr>
                <w:rFonts w:hint="eastAsia"/>
                <w:color w:val="auto"/>
                <w:sz w:val="24"/>
              </w:rPr>
              <w:t>本项目属于新建项目，项目租用</w:t>
            </w:r>
            <w:r>
              <w:rPr>
                <w:color w:val="auto"/>
                <w:sz w:val="24"/>
              </w:rPr>
              <w:t>云南鹏腾机械设备制造有限公司</w:t>
            </w:r>
            <w:r>
              <w:rPr>
                <w:rFonts w:hint="eastAsia"/>
                <w:color w:val="auto"/>
                <w:sz w:val="24"/>
              </w:rPr>
              <w:t>1号厂房11跨作为生产场地。</w:t>
            </w:r>
          </w:p>
          <w:p>
            <w:pPr>
              <w:adjustRightInd w:val="0"/>
              <w:snapToGrid w:val="0"/>
              <w:spacing w:line="360" w:lineRule="auto"/>
              <w:ind w:firstLine="482" w:firstLineChars="200"/>
              <w:rPr>
                <w:b/>
                <w:bCs/>
                <w:color w:val="auto"/>
                <w:sz w:val="24"/>
              </w:rPr>
            </w:pPr>
            <w:r>
              <w:rPr>
                <w:rFonts w:hint="eastAsia"/>
                <w:b/>
                <w:bCs/>
                <w:color w:val="auto"/>
                <w:sz w:val="24"/>
              </w:rPr>
              <w:t>1、租赁单位基本情况</w:t>
            </w:r>
          </w:p>
          <w:p>
            <w:pPr>
              <w:adjustRightInd w:val="0"/>
              <w:snapToGrid w:val="0"/>
              <w:spacing w:line="360" w:lineRule="auto"/>
              <w:ind w:firstLine="480" w:firstLineChars="200"/>
              <w:rPr>
                <w:color w:val="auto"/>
                <w:sz w:val="24"/>
              </w:rPr>
            </w:pPr>
            <w:r>
              <w:rPr>
                <w:color w:val="auto"/>
                <w:sz w:val="24"/>
              </w:rPr>
              <w:t>云南鹏腾机械设备制造有限公司</w:t>
            </w:r>
            <w:r>
              <w:rPr>
                <w:rFonts w:hint="eastAsia"/>
                <w:color w:val="auto"/>
                <w:sz w:val="24"/>
              </w:rPr>
              <w:t>位于昆明市寻甸回族彝族自治县特色产业园区羊街片区3号路1号，建有3栋标准厂房、1栋办公楼、2栋宿舍楼，主要从事金属废料和碎屑加工处理，年回收废钢铁30万吨。因云南鹏腾机械设备制造有限公司产能降低，标准厂房及办公生活楼均有闲置，本项目租用云南鹏腾机械设备制造有限公司闲置的1号厂房11跨，2号宿舍楼进行利用。经现场勘察，项目租用的1号厂房11跨、2号宿舍楼均为闲置状态，无任何遗留环境问题。</w:t>
            </w:r>
          </w:p>
          <w:p>
            <w:pPr>
              <w:pStyle w:val="29"/>
              <w:adjustRightInd w:val="0"/>
              <w:snapToGrid w:val="0"/>
              <w:spacing w:after="0" w:line="360" w:lineRule="auto"/>
              <w:ind w:firstLine="0" w:firstLineChars="0"/>
              <w:rPr>
                <w:b/>
                <w:bCs/>
                <w:color w:val="auto"/>
                <w:szCs w:val="28"/>
              </w:rPr>
            </w:pPr>
            <w:r>
              <w:rPr>
                <w:b/>
                <w:bCs/>
                <w:color w:val="auto"/>
                <w:szCs w:val="28"/>
              </w:rPr>
              <w:t>2、与租赁单位的依托关系</w:t>
            </w:r>
          </w:p>
          <w:p>
            <w:pPr>
              <w:spacing w:line="360" w:lineRule="auto"/>
              <w:ind w:firstLine="480" w:firstLineChars="200"/>
              <w:rPr>
                <w:color w:val="auto"/>
                <w:sz w:val="24"/>
              </w:rPr>
            </w:pPr>
            <w:r>
              <w:rPr>
                <w:color w:val="auto"/>
                <w:sz w:val="24"/>
              </w:rPr>
              <w:t>本项目依托云南鹏腾实业有限公司供水管网、供电线路</w:t>
            </w:r>
            <w:r>
              <w:rPr>
                <w:rFonts w:hint="eastAsia"/>
                <w:color w:val="auto"/>
                <w:sz w:val="24"/>
              </w:rPr>
              <w:t>、隔油池、化粪池、一体化污水处理站</w:t>
            </w:r>
            <w:r>
              <w:rPr>
                <w:color w:val="auto"/>
                <w:sz w:val="24"/>
              </w:rPr>
              <w:t>及雨水排放口，目前厂区排水已实施“清污分流、雨污分流”</w:t>
            </w:r>
            <w:r>
              <w:rPr>
                <w:rFonts w:hint="eastAsia"/>
                <w:color w:val="auto"/>
                <w:sz w:val="24"/>
              </w:rPr>
              <w:t>，</w:t>
            </w:r>
            <w:r>
              <w:rPr>
                <w:color w:val="auto"/>
                <w:sz w:val="24"/>
              </w:rPr>
              <w:t>厂区内</w:t>
            </w:r>
            <w:r>
              <w:rPr>
                <w:rFonts w:hint="eastAsia"/>
                <w:color w:val="auto"/>
                <w:sz w:val="24"/>
              </w:rPr>
              <w:t>雨水经雨水管网收集排入园区雨水管网，</w:t>
            </w:r>
            <w:r>
              <w:rPr>
                <w:color w:val="auto"/>
                <w:sz w:val="24"/>
              </w:rPr>
              <w:t>生活污水</w:t>
            </w:r>
            <w:r>
              <w:rPr>
                <w:rFonts w:hint="eastAsia"/>
                <w:color w:val="auto"/>
                <w:sz w:val="24"/>
              </w:rPr>
              <w:t>经隔油池、化粪池、一体化污水处理站处理达标后回用于绿化及道路洒水降尘</w:t>
            </w:r>
            <w:r>
              <w:rPr>
                <w:color w:val="auto"/>
                <w:sz w:val="24"/>
              </w:rPr>
              <w:t>。</w:t>
            </w:r>
            <w:r>
              <w:rPr>
                <w:rFonts w:hint="eastAsia"/>
                <w:color w:val="auto"/>
                <w:sz w:val="24"/>
              </w:rPr>
              <w:t>经现场踏勘，</w:t>
            </w:r>
            <w:r>
              <w:rPr>
                <w:color w:val="auto"/>
                <w:sz w:val="24"/>
              </w:rPr>
              <w:t>云南鹏腾实业有限公司</w:t>
            </w:r>
            <w:r>
              <w:rPr>
                <w:rFonts w:hint="eastAsia"/>
                <w:color w:val="auto"/>
                <w:sz w:val="24"/>
              </w:rPr>
              <w:t>各厂房已建设完成，在1号宿舍办公楼、2号宿舍办公楼之间绿化带内配套建设了1个容积0.5m</w:t>
            </w:r>
            <w:r>
              <w:rPr>
                <w:rFonts w:hint="eastAsia"/>
                <w:color w:val="auto"/>
                <w:sz w:val="24"/>
                <w:vertAlign w:val="superscript"/>
              </w:rPr>
              <w:t>3</w:t>
            </w:r>
            <w:r>
              <w:rPr>
                <w:rFonts w:hint="eastAsia"/>
                <w:color w:val="auto"/>
                <w:sz w:val="24"/>
              </w:rPr>
              <w:t>的隔油池、1个容积为</w:t>
            </w:r>
            <w:r>
              <w:rPr>
                <w:rFonts w:hint="eastAsia"/>
                <w:color w:val="auto"/>
                <w:sz w:val="24"/>
                <w:lang w:val="en-US" w:eastAsia="zh-CN"/>
              </w:rPr>
              <w:t>30</w:t>
            </w:r>
            <w:r>
              <w:rPr>
                <w:rFonts w:hint="eastAsia"/>
                <w:color w:val="auto"/>
                <w:sz w:val="24"/>
              </w:rPr>
              <w:t>m</w:t>
            </w:r>
            <w:r>
              <w:rPr>
                <w:rFonts w:hint="eastAsia"/>
                <w:color w:val="auto"/>
                <w:sz w:val="24"/>
                <w:vertAlign w:val="superscript"/>
              </w:rPr>
              <w:t>3</w:t>
            </w:r>
            <w:r>
              <w:rPr>
                <w:rFonts w:hint="eastAsia"/>
                <w:color w:val="auto"/>
                <w:sz w:val="24"/>
              </w:rPr>
              <w:t>的化粪池及1座处理规模为</w:t>
            </w:r>
            <w:r>
              <w:rPr>
                <w:rFonts w:hint="eastAsia"/>
                <w:color w:val="auto"/>
                <w:sz w:val="24"/>
                <w:lang w:val="en-US" w:eastAsia="zh-CN"/>
              </w:rPr>
              <w:t>30</w:t>
            </w:r>
            <w:r>
              <w:rPr>
                <w:rFonts w:hint="eastAsia"/>
                <w:color w:val="auto"/>
                <w:sz w:val="24"/>
              </w:rPr>
              <w:t>m</w:t>
            </w:r>
            <w:r>
              <w:rPr>
                <w:rFonts w:hint="eastAsia"/>
                <w:color w:val="auto"/>
                <w:sz w:val="24"/>
                <w:vertAlign w:val="superscript"/>
              </w:rPr>
              <w:t>3</w:t>
            </w:r>
            <w:r>
              <w:rPr>
                <w:rFonts w:hint="eastAsia"/>
                <w:color w:val="auto"/>
                <w:sz w:val="24"/>
              </w:rPr>
              <w:t>/d的一体化生活污水处理站，并已正常运行。</w:t>
            </w:r>
            <w:r>
              <w:rPr>
                <w:color w:val="auto"/>
                <w:sz w:val="24"/>
              </w:rPr>
              <w:t>本项目生活污水依托云南鹏腾实业有限公司</w:t>
            </w:r>
            <w:r>
              <w:rPr>
                <w:rFonts w:hint="eastAsia"/>
                <w:color w:val="auto"/>
                <w:sz w:val="24"/>
              </w:rPr>
              <w:t>隔油池、化粪池及污水处理站处理达《城市污水再生利用 城市杂用水水质》</w:t>
            </w:r>
            <w:r>
              <w:rPr>
                <w:color w:val="auto"/>
                <w:sz w:val="24"/>
              </w:rPr>
              <w:t>（GB/T18920-2020）</w:t>
            </w:r>
            <w:r>
              <w:rPr>
                <w:rFonts w:hint="eastAsia"/>
                <w:color w:val="auto"/>
                <w:sz w:val="24"/>
              </w:rPr>
              <w:t>中城市绿化、道路清扫、消防、建筑施工标准后回用于</w:t>
            </w:r>
            <w:r>
              <w:rPr>
                <w:color w:val="auto"/>
                <w:sz w:val="24"/>
              </w:rPr>
              <w:t>云南鹏腾实业有限公司</w:t>
            </w:r>
            <w:r>
              <w:rPr>
                <w:rFonts w:hint="eastAsia"/>
                <w:color w:val="auto"/>
                <w:sz w:val="24"/>
              </w:rPr>
              <w:t>绿化及道路洒水降尘</w:t>
            </w:r>
            <w:r>
              <w:rPr>
                <w:color w:val="auto"/>
                <w:sz w:val="24"/>
              </w:rPr>
              <w:t>。</w:t>
            </w:r>
          </w:p>
          <w:p>
            <w:pPr>
              <w:pStyle w:val="5"/>
              <w:spacing w:before="0" w:after="0" w:line="360" w:lineRule="auto"/>
              <w:ind w:left="0" w:firstLine="482" w:firstLineChars="200"/>
              <w:rPr>
                <w:rFonts w:ascii="Times New Roman" w:hAnsi="Times New Roman" w:eastAsia="宋体"/>
                <w:color w:val="auto"/>
                <w:sz w:val="24"/>
                <w:szCs w:val="28"/>
              </w:rPr>
            </w:pPr>
            <w:r>
              <w:rPr>
                <w:rFonts w:hint="eastAsia" w:ascii="Times New Roman" w:hAnsi="Times New Roman" w:eastAsia="宋体"/>
                <w:color w:val="auto"/>
                <w:sz w:val="24"/>
                <w:szCs w:val="28"/>
              </w:rPr>
              <w:t>3、租赁单位环保手续履行情况</w:t>
            </w:r>
          </w:p>
          <w:p>
            <w:pPr>
              <w:widowControl/>
              <w:spacing w:line="360" w:lineRule="auto"/>
              <w:ind w:firstLine="480" w:firstLineChars="200"/>
              <w:rPr>
                <w:color w:val="auto"/>
                <w:szCs w:val="21"/>
              </w:rPr>
            </w:pPr>
            <w:r>
              <w:rPr>
                <w:color w:val="auto"/>
                <w:sz w:val="24"/>
              </w:rPr>
              <w:t>目前建设单位已与云南鹏腾实业有限公司</w:t>
            </w:r>
            <w:r>
              <w:rPr>
                <w:rFonts w:hint="eastAsia"/>
                <w:color w:val="auto"/>
                <w:sz w:val="24"/>
              </w:rPr>
              <w:t>签订租赁合同，租赁已建设完成的1</w:t>
            </w:r>
            <w:r>
              <w:rPr>
                <w:color w:val="auto"/>
                <w:sz w:val="24"/>
              </w:rPr>
              <w:t>号厂房</w:t>
            </w:r>
            <w:r>
              <w:rPr>
                <w:rFonts w:hint="eastAsia"/>
                <w:color w:val="auto"/>
                <w:sz w:val="24"/>
              </w:rPr>
              <w:t>11跨、2号宿舍楼其中一层，</w:t>
            </w:r>
            <w:r>
              <w:rPr>
                <w:color w:val="auto"/>
                <w:sz w:val="24"/>
              </w:rPr>
              <w:t>云南鹏腾实业有限公司</w:t>
            </w:r>
            <w:r>
              <w:rPr>
                <w:rFonts w:hint="eastAsia"/>
                <w:color w:val="auto"/>
                <w:sz w:val="24"/>
              </w:rPr>
              <w:t>主要从事金属废料和碎屑加工处理，年回收废钢铁30万吨，根据</w:t>
            </w:r>
            <w:r>
              <w:rPr>
                <w:color w:val="auto"/>
                <w:sz w:val="24"/>
              </w:rPr>
              <w:t>《建设项目环境影响评价分类管理名录》（20</w:t>
            </w:r>
            <w:r>
              <w:rPr>
                <w:rFonts w:hint="eastAsia"/>
                <w:color w:val="auto"/>
                <w:sz w:val="24"/>
              </w:rPr>
              <w:t>21年1月1日实施</w:t>
            </w:r>
            <w:r>
              <w:rPr>
                <w:color w:val="auto"/>
                <w:sz w:val="24"/>
              </w:rPr>
              <w:t>）</w:t>
            </w:r>
            <w:r>
              <w:rPr>
                <w:rFonts w:hint="eastAsia"/>
                <w:color w:val="auto"/>
                <w:sz w:val="24"/>
              </w:rPr>
              <w:t>，</w:t>
            </w:r>
            <w:r>
              <w:rPr>
                <w:color w:val="auto"/>
                <w:sz w:val="24"/>
              </w:rPr>
              <w:t>云南鹏腾实业有限公司</w:t>
            </w:r>
            <w:r>
              <w:rPr>
                <w:rFonts w:hint="eastAsia"/>
                <w:color w:val="auto"/>
                <w:sz w:val="24"/>
              </w:rPr>
              <w:t>无需开展环评。</w:t>
            </w:r>
            <w:r>
              <w:rPr>
                <w:color w:val="auto"/>
                <w:sz w:val="24"/>
              </w:rPr>
              <w:t>云南鹏腾实业有限公司</w:t>
            </w:r>
            <w:r>
              <w:rPr>
                <w:rFonts w:hint="eastAsia"/>
                <w:color w:val="auto"/>
                <w:sz w:val="24"/>
              </w:rPr>
              <w:t>已建设完成，并于2022年4月19日申领了《固定污染源排污登记回执》（登记编号：91530129584803017T001Y）。经现场踏勘，</w:t>
            </w:r>
            <w:r>
              <w:rPr>
                <w:color w:val="auto"/>
                <w:sz w:val="24"/>
              </w:rPr>
              <w:t>云南鹏腾实业有限公司</w:t>
            </w:r>
            <w:r>
              <w:rPr>
                <w:rFonts w:hint="eastAsia"/>
                <w:color w:val="auto"/>
                <w:sz w:val="24"/>
              </w:rPr>
              <w:t>各厂房已建设完成，在1号宿舍办公楼、2号宿舍办公楼之间绿化带内配套建设了1个容积0.5m</w:t>
            </w:r>
            <w:r>
              <w:rPr>
                <w:rFonts w:hint="eastAsia"/>
                <w:color w:val="auto"/>
                <w:sz w:val="24"/>
                <w:vertAlign w:val="superscript"/>
              </w:rPr>
              <w:t>3</w:t>
            </w:r>
            <w:r>
              <w:rPr>
                <w:rFonts w:hint="eastAsia"/>
                <w:color w:val="auto"/>
                <w:sz w:val="24"/>
              </w:rPr>
              <w:t>的隔油池、1个容积为</w:t>
            </w:r>
            <w:r>
              <w:rPr>
                <w:rFonts w:hint="eastAsia"/>
                <w:color w:val="auto"/>
                <w:sz w:val="24"/>
                <w:lang w:val="en-US" w:eastAsia="zh-CN"/>
              </w:rPr>
              <w:t>30</w:t>
            </w:r>
            <w:r>
              <w:rPr>
                <w:rFonts w:hint="eastAsia"/>
                <w:color w:val="auto"/>
                <w:sz w:val="24"/>
              </w:rPr>
              <w:t>m</w:t>
            </w:r>
            <w:r>
              <w:rPr>
                <w:rFonts w:hint="eastAsia"/>
                <w:color w:val="auto"/>
                <w:sz w:val="24"/>
                <w:vertAlign w:val="superscript"/>
              </w:rPr>
              <w:t>3</w:t>
            </w:r>
            <w:r>
              <w:rPr>
                <w:rFonts w:hint="eastAsia"/>
                <w:color w:val="auto"/>
                <w:sz w:val="24"/>
              </w:rPr>
              <w:t>的化粪池及1座处理规模为</w:t>
            </w:r>
            <w:r>
              <w:rPr>
                <w:rFonts w:hint="eastAsia"/>
                <w:color w:val="auto"/>
                <w:sz w:val="24"/>
                <w:lang w:val="en-US" w:eastAsia="zh-CN"/>
              </w:rPr>
              <w:t>30</w:t>
            </w:r>
            <w:r>
              <w:rPr>
                <w:rFonts w:hint="eastAsia"/>
                <w:color w:val="auto"/>
                <w:sz w:val="24"/>
              </w:rPr>
              <w:t>m</w:t>
            </w:r>
            <w:r>
              <w:rPr>
                <w:rFonts w:hint="eastAsia"/>
                <w:color w:val="auto"/>
                <w:sz w:val="24"/>
                <w:vertAlign w:val="superscript"/>
              </w:rPr>
              <w:t>3</w:t>
            </w:r>
            <w:r>
              <w:rPr>
                <w:rFonts w:hint="eastAsia"/>
                <w:color w:val="auto"/>
                <w:sz w:val="24"/>
              </w:rPr>
              <w:t>/d的一体化污水处理站，并已正常运行。</w:t>
            </w:r>
          </w:p>
          <w:p>
            <w:pPr>
              <w:pStyle w:val="12"/>
              <w:ind w:firstLine="496" w:firstLineChars="200"/>
              <w:rPr>
                <w:color w:val="auto"/>
                <w:sz w:val="24"/>
                <w:lang w:val="en-US"/>
              </w:rPr>
            </w:pPr>
          </w:p>
        </w:tc>
      </w:tr>
    </w:tbl>
    <w:p>
      <w:pPr>
        <w:rPr>
          <w:color w:val="auto"/>
        </w:rPr>
      </w:pPr>
      <w:bookmarkStart w:id="18" w:name="_Toc9851"/>
      <w:bookmarkStart w:id="19" w:name="_Toc871"/>
      <w:bookmarkStart w:id="20" w:name="_Toc30778"/>
      <w:r>
        <w:rPr>
          <w:color w:val="auto"/>
        </w:rPr>
        <w:br w:type="page"/>
      </w:r>
    </w:p>
    <w:p>
      <w:pPr>
        <w:pStyle w:val="4"/>
        <w:rPr>
          <w:rFonts w:eastAsia="宋体"/>
          <w:color w:val="auto"/>
        </w:rPr>
      </w:pPr>
      <w:r>
        <w:rPr>
          <w:rFonts w:eastAsia="宋体"/>
          <w:color w:val="auto"/>
        </w:rPr>
        <w:t>三、区域环境质量现状、环境保护目标及评价标准</w:t>
      </w:r>
      <w:bookmarkEnd w:id="18"/>
      <w:bookmarkEnd w:id="19"/>
      <w:bookmarkEnd w:id="20"/>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79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2" w:type="dxa"/>
            <w:vAlign w:val="center"/>
          </w:tcPr>
          <w:p>
            <w:pPr>
              <w:spacing w:line="360" w:lineRule="auto"/>
              <w:jc w:val="center"/>
              <w:rPr>
                <w:color w:val="auto"/>
                <w:sz w:val="24"/>
              </w:rPr>
            </w:pPr>
            <w:r>
              <w:rPr>
                <w:color w:val="auto"/>
                <w:sz w:val="24"/>
              </w:rPr>
              <w:t>区域</w:t>
            </w:r>
          </w:p>
          <w:p>
            <w:pPr>
              <w:spacing w:line="360" w:lineRule="auto"/>
              <w:jc w:val="center"/>
              <w:rPr>
                <w:color w:val="auto"/>
                <w:sz w:val="24"/>
              </w:rPr>
            </w:pPr>
            <w:r>
              <w:rPr>
                <w:color w:val="auto"/>
                <w:sz w:val="24"/>
              </w:rPr>
              <w:t>环境</w:t>
            </w:r>
          </w:p>
          <w:p>
            <w:pPr>
              <w:spacing w:line="360" w:lineRule="auto"/>
              <w:jc w:val="center"/>
              <w:rPr>
                <w:color w:val="auto"/>
                <w:sz w:val="24"/>
              </w:rPr>
            </w:pPr>
            <w:r>
              <w:rPr>
                <w:color w:val="auto"/>
                <w:sz w:val="24"/>
              </w:rPr>
              <w:t>质量</w:t>
            </w:r>
          </w:p>
          <w:p>
            <w:pPr>
              <w:spacing w:line="360" w:lineRule="auto"/>
              <w:jc w:val="center"/>
              <w:rPr>
                <w:color w:val="auto"/>
                <w:sz w:val="24"/>
              </w:rPr>
            </w:pPr>
            <w:r>
              <w:rPr>
                <w:color w:val="auto"/>
                <w:sz w:val="24"/>
              </w:rPr>
              <w:t>现状</w:t>
            </w:r>
          </w:p>
        </w:tc>
        <w:tc>
          <w:tcPr>
            <w:tcW w:w="7968" w:type="dxa"/>
            <w:vAlign w:val="center"/>
          </w:tcPr>
          <w:p>
            <w:pPr>
              <w:spacing w:line="360" w:lineRule="auto"/>
              <w:ind w:firstLine="482" w:firstLineChars="200"/>
              <w:rPr>
                <w:b/>
                <w:bCs/>
                <w:color w:val="auto"/>
                <w:sz w:val="24"/>
              </w:rPr>
            </w:pPr>
            <w:r>
              <w:rPr>
                <w:b/>
                <w:bCs/>
                <w:color w:val="auto"/>
                <w:sz w:val="24"/>
              </w:rPr>
              <w:t>一、环境空气质量现状</w:t>
            </w:r>
          </w:p>
          <w:p>
            <w:pPr>
              <w:spacing w:line="360" w:lineRule="auto"/>
              <w:ind w:firstLine="482" w:firstLineChars="200"/>
              <w:rPr>
                <w:b/>
                <w:bCs/>
                <w:color w:val="auto"/>
                <w:sz w:val="24"/>
              </w:rPr>
            </w:pPr>
            <w:r>
              <w:rPr>
                <w:b/>
                <w:bCs/>
                <w:color w:val="auto"/>
                <w:sz w:val="24"/>
              </w:rPr>
              <w:t>（1）大气环境质量现状</w:t>
            </w:r>
          </w:p>
          <w:p>
            <w:pPr>
              <w:spacing w:line="360" w:lineRule="auto"/>
              <w:ind w:firstLine="480" w:firstLineChars="200"/>
              <w:rPr>
                <w:color w:val="auto"/>
                <w:sz w:val="24"/>
              </w:rPr>
            </w:pPr>
            <w:r>
              <w:rPr>
                <w:color w:val="auto"/>
                <w:sz w:val="24"/>
              </w:rPr>
              <w:t>本项目位于</w:t>
            </w:r>
            <w:r>
              <w:rPr>
                <w:rFonts w:hint="eastAsia"/>
                <w:color w:val="auto"/>
                <w:sz w:val="24"/>
              </w:rPr>
              <w:t>寻甸特色产业园区羊街片区</w:t>
            </w:r>
            <w:r>
              <w:rPr>
                <w:color w:val="auto"/>
                <w:sz w:val="24"/>
              </w:rPr>
              <w:t>，本项目所在地功能区划属环境空气质量二类区，环境空气质量执行《环境空气质量标准》（GB3095-2012）二级标准要求。</w:t>
            </w:r>
          </w:p>
          <w:p>
            <w:pPr>
              <w:widowControl/>
              <w:adjustRightInd w:val="0"/>
              <w:snapToGrid w:val="0"/>
              <w:spacing w:line="360" w:lineRule="auto"/>
              <w:ind w:firstLine="480" w:firstLineChars="200"/>
              <w:rPr>
                <w:color w:val="auto"/>
                <w:sz w:val="24"/>
                <w:shd w:val="clear" w:color="auto" w:fill="FFFFFF"/>
              </w:rPr>
            </w:pPr>
            <w:r>
              <w:rPr>
                <w:color w:val="auto"/>
                <w:sz w:val="24"/>
                <w:lang w:val="zh-CN"/>
              </w:rPr>
              <w:t>根据《</w:t>
            </w:r>
            <w:r>
              <w:rPr>
                <w:color w:val="auto"/>
                <w:sz w:val="24"/>
              </w:rPr>
              <w:t>2021年度昆明市生态环境状况公报</w:t>
            </w:r>
            <w:r>
              <w:rPr>
                <w:color w:val="auto"/>
                <w:sz w:val="24"/>
                <w:lang w:val="zh-CN"/>
              </w:rPr>
              <w:t>》</w:t>
            </w:r>
            <w:r>
              <w:rPr>
                <w:color w:val="auto"/>
                <w:sz w:val="24"/>
              </w:rPr>
              <w:t>可知</w:t>
            </w:r>
            <w:r>
              <w:rPr>
                <w:color w:val="auto"/>
                <w:sz w:val="24"/>
                <w:lang w:val="zh-CN"/>
              </w:rPr>
              <w:t>，</w:t>
            </w:r>
            <w:r>
              <w:rPr>
                <w:color w:val="auto"/>
                <w:sz w:val="24"/>
              </w:rPr>
              <w:t>昆明市</w:t>
            </w:r>
            <w:r>
              <w:rPr>
                <w:color w:val="auto"/>
                <w:sz w:val="24"/>
                <w:lang w:val="zh-CN"/>
              </w:rPr>
              <w:t>各县（市）区环境空气质量总体保持良好。与2020年相比，安宁市、禄劝县环境空气综合污染指数有所下降，东川区、石林县、嵩明县、富民县、宜良县、寻甸县和阳宗海风景名胜区环境空气综合污染指数有所上升。</w:t>
            </w:r>
            <w:r>
              <w:rPr>
                <w:color w:val="auto"/>
                <w:sz w:val="24"/>
              </w:rPr>
              <w:t>2021年寻甸县环境空气质量均能达到《环境空气质量标准》（GB3095-2012）表1中二级标准要求，</w:t>
            </w:r>
            <w:r>
              <w:rPr>
                <w:color w:val="auto"/>
                <w:sz w:val="24"/>
                <w:shd w:val="clear" w:color="auto" w:fill="FFFFFF"/>
              </w:rPr>
              <w:t>项目所在区域为环境空气质量达标区。</w:t>
            </w:r>
          </w:p>
          <w:p>
            <w:pPr>
              <w:spacing w:line="360" w:lineRule="auto"/>
              <w:ind w:firstLine="482" w:firstLineChars="200"/>
              <w:rPr>
                <w:b/>
                <w:bCs/>
                <w:color w:val="auto"/>
                <w:sz w:val="24"/>
              </w:rPr>
            </w:pPr>
            <w:r>
              <w:rPr>
                <w:b/>
                <w:bCs/>
                <w:color w:val="auto"/>
                <w:sz w:val="24"/>
              </w:rPr>
              <w:t>（2）</w:t>
            </w:r>
            <w:r>
              <w:rPr>
                <w:rFonts w:hint="eastAsia"/>
                <w:b/>
                <w:bCs/>
                <w:color w:val="auto"/>
                <w:sz w:val="24"/>
              </w:rPr>
              <w:t>特征</w:t>
            </w:r>
            <w:r>
              <w:rPr>
                <w:b/>
                <w:bCs/>
                <w:color w:val="auto"/>
                <w:sz w:val="24"/>
              </w:rPr>
              <w:t>污染物环境质量现状</w:t>
            </w:r>
          </w:p>
          <w:p>
            <w:pPr>
              <w:adjustRightInd w:val="0"/>
              <w:snapToGrid w:val="0"/>
              <w:spacing w:line="360" w:lineRule="auto"/>
              <w:ind w:firstLine="480" w:firstLineChars="200"/>
              <w:rPr>
                <w:color w:val="auto"/>
                <w:sz w:val="24"/>
              </w:rPr>
            </w:pPr>
            <w:r>
              <w:rPr>
                <w:rFonts w:hint="eastAsia"/>
                <w:color w:val="auto"/>
                <w:sz w:val="24"/>
              </w:rPr>
              <w:t>根据工程分析，本项目特征污染物为TSP、非甲烷总烃。</w:t>
            </w:r>
            <w:r>
              <w:rPr>
                <w:color w:val="auto"/>
                <w:sz w:val="24"/>
              </w:rPr>
              <w:t>TSP执行</w:t>
            </w:r>
            <w:r>
              <w:rPr>
                <w:color w:val="auto"/>
                <w:kern w:val="0"/>
                <w:sz w:val="24"/>
                <w:lang w:val="zh-CN" w:bidi="ar"/>
              </w:rPr>
              <w:t>《环境空气质量标准》（GB3095-2012）二级标准，</w:t>
            </w:r>
            <w:r>
              <w:rPr>
                <w:color w:val="auto"/>
                <w:sz w:val="24"/>
              </w:rPr>
              <w:t>TVOC执行《环境影响评价技术导则 大气环境 HJ2.2-2018》附录D中的浓度限值要求。</w:t>
            </w:r>
          </w:p>
          <w:p>
            <w:pPr>
              <w:adjustRightInd w:val="0"/>
              <w:snapToGrid w:val="0"/>
              <w:spacing w:line="360" w:lineRule="auto"/>
              <w:ind w:firstLine="480" w:firstLineChars="200"/>
              <w:rPr>
                <w:color w:val="auto"/>
                <w:sz w:val="24"/>
              </w:rPr>
            </w:pPr>
            <w:r>
              <w:rPr>
                <w:rFonts w:hint="eastAsia"/>
                <w:color w:val="auto"/>
                <w:sz w:val="24"/>
              </w:rPr>
              <w:t>为了解项目所在区域环境空气污染物中TSP、TVOC的现状，2022年8月17日-8月23日，建设单位委托云南鼎祺检测有限公司对项目区下风向清水沟村特征污染物进行监测。清水沟村位于本项目东北侧约306m。</w:t>
            </w:r>
          </w:p>
          <w:p>
            <w:pPr>
              <w:adjustRightInd w:val="0"/>
              <w:snapToGrid w:val="0"/>
              <w:spacing w:line="360" w:lineRule="auto"/>
              <w:ind w:firstLine="480" w:firstLineChars="200"/>
              <w:rPr>
                <w:color w:val="auto"/>
                <w:sz w:val="24"/>
              </w:rPr>
            </w:pPr>
            <w:r>
              <w:rPr>
                <w:color w:val="auto"/>
                <w:sz w:val="24"/>
              </w:rPr>
              <w:t>监测值详见下表所示。</w:t>
            </w:r>
          </w:p>
          <w:p>
            <w:pPr>
              <w:adjustRightInd w:val="0"/>
              <w:snapToGrid w:val="0"/>
              <w:spacing w:line="360" w:lineRule="auto"/>
              <w:ind w:firstLine="482" w:firstLineChars="200"/>
              <w:jc w:val="center"/>
              <w:rPr>
                <w:b/>
                <w:color w:val="auto"/>
                <w:sz w:val="24"/>
              </w:rPr>
            </w:pPr>
            <w:r>
              <w:rPr>
                <w:b/>
                <w:color w:val="auto"/>
                <w:sz w:val="24"/>
              </w:rPr>
              <w:t>表3-</w:t>
            </w:r>
            <w:r>
              <w:rPr>
                <w:rFonts w:hint="eastAsia"/>
                <w:b/>
                <w:color w:val="auto"/>
                <w:sz w:val="24"/>
              </w:rPr>
              <w:t>1</w:t>
            </w:r>
            <w:r>
              <w:rPr>
                <w:b/>
                <w:color w:val="auto"/>
                <w:sz w:val="24"/>
              </w:rPr>
              <w:t xml:space="preserve">  TSP监测结果</w:t>
            </w:r>
          </w:p>
          <w:tbl>
            <w:tblPr>
              <w:tblStyle w:val="31"/>
              <w:tblW w:w="7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3405"/>
              <w:gridCol w:w="1110"/>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1892" w:type="dxa"/>
                  <w:vMerge w:val="restart"/>
                  <w:vAlign w:val="center"/>
                </w:tcPr>
                <w:p>
                  <w:pPr>
                    <w:adjustRightInd w:val="0"/>
                    <w:snapToGrid w:val="0"/>
                    <w:jc w:val="center"/>
                    <w:rPr>
                      <w:b/>
                      <w:bCs/>
                      <w:color w:val="auto"/>
                      <w:szCs w:val="21"/>
                    </w:rPr>
                  </w:pPr>
                  <w:r>
                    <w:rPr>
                      <w:b/>
                      <w:bCs/>
                      <w:color w:val="auto"/>
                      <w:szCs w:val="21"/>
                    </w:rPr>
                    <mc:AlternateContent>
                      <mc:Choice Requires="wps">
                        <w:drawing>
                          <wp:anchor distT="0" distB="0" distL="114300" distR="114300" simplePos="0" relativeHeight="251662336" behindDoc="0" locked="0" layoutInCell="1" allowOverlap="1">
                            <wp:simplePos x="0" y="0"/>
                            <wp:positionH relativeFrom="column">
                              <wp:posOffset>-48260</wp:posOffset>
                            </wp:positionH>
                            <wp:positionV relativeFrom="paragraph">
                              <wp:posOffset>35560</wp:posOffset>
                            </wp:positionV>
                            <wp:extent cx="1181100" cy="638175"/>
                            <wp:effectExtent l="2540" t="4445" r="16510" b="5080"/>
                            <wp:wrapNone/>
                            <wp:docPr id="7" name="直接连接符 7"/>
                            <wp:cNvGraphicFramePr/>
                            <a:graphic xmlns:a="http://schemas.openxmlformats.org/drawingml/2006/main">
                              <a:graphicData uri="http://schemas.microsoft.com/office/word/2010/wordprocessingShape">
                                <wps:wsp>
                                  <wps:cNvCnPr/>
                                  <wps:spPr>
                                    <a:xfrm>
                                      <a:off x="1134745" y="5998845"/>
                                      <a:ext cx="1181100" cy="6381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8pt;margin-top:2.8pt;height:50.25pt;width:93pt;z-index:251662336;mso-width-relative:page;mso-height-relative:page;" filled="f" stroked="t" coordsize="21600,21600" o:gfxdata="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8QSx1gAAAAgBAAAPAAAAAAAAAAEAIAAAACIAAABkcnMv&#10;ZG93bnJldi54bWxQSwECFAAUAAAACACHTuJAlDu2QwUCAADkAwAADgAAAAAAAAABACAAAAAlAQAA&#10;ZHJzL2Uyb0RvYy54bWxQSwUGAAAAAAYABgBZAQAAnAUAAAAA&#10;">
                            <v:fill on="f" focussize="0,0"/>
                            <v:stroke weight="0.5pt" color="#000000" miterlimit="8" joinstyle="miter"/>
                            <v:imagedata o:title=""/>
                            <o:lock v:ext="edit" aspectratio="f"/>
                          </v:line>
                        </w:pict>
                      </mc:Fallback>
                    </mc:AlternateContent>
                  </w:r>
                  <w:r>
                    <w:rPr>
                      <w:rFonts w:hint="eastAsia"/>
                      <w:b/>
                      <w:bCs/>
                      <w:color w:val="auto"/>
                      <w:szCs w:val="21"/>
                    </w:rPr>
                    <w:t>检测</w:t>
                  </w:r>
                  <w:r>
                    <w:rPr>
                      <w:b/>
                      <w:bCs/>
                      <w:color w:val="auto"/>
                      <w:szCs w:val="21"/>
                    </w:rPr>
                    <w:t>项目</w:t>
                  </w:r>
                </w:p>
                <w:p>
                  <w:pPr>
                    <w:adjustRightInd w:val="0"/>
                    <w:snapToGrid w:val="0"/>
                    <w:jc w:val="center"/>
                    <w:rPr>
                      <w:b/>
                      <w:bCs/>
                      <w:color w:val="auto"/>
                      <w:szCs w:val="21"/>
                    </w:rPr>
                  </w:pPr>
                </w:p>
                <w:p>
                  <w:pPr>
                    <w:adjustRightInd w:val="0"/>
                    <w:snapToGrid w:val="0"/>
                    <w:rPr>
                      <w:color w:val="auto"/>
                    </w:rPr>
                  </w:pPr>
                  <w:r>
                    <w:rPr>
                      <w:b/>
                      <w:bCs/>
                      <w:color w:val="auto"/>
                      <w:szCs w:val="21"/>
                    </w:rPr>
                    <w:t>采样时间</w:t>
                  </w:r>
                </w:p>
              </w:tc>
              <w:tc>
                <w:tcPr>
                  <w:tcW w:w="3405" w:type="dxa"/>
                  <w:vAlign w:val="center"/>
                </w:tcPr>
                <w:p>
                  <w:pPr>
                    <w:adjustRightInd w:val="0"/>
                    <w:snapToGrid w:val="0"/>
                    <w:jc w:val="center"/>
                    <w:rPr>
                      <w:color w:val="auto"/>
                    </w:rPr>
                  </w:pPr>
                  <w:r>
                    <w:rPr>
                      <w:b/>
                      <w:bCs/>
                      <w:color w:val="auto"/>
                      <w:szCs w:val="21"/>
                    </w:rPr>
                    <w:t>TSP（</w:t>
                  </w:r>
                  <w:r>
                    <w:rPr>
                      <w:rFonts w:hint="eastAsia"/>
                      <w:b/>
                      <w:bCs/>
                      <w:color w:val="auto"/>
                      <w:szCs w:val="21"/>
                    </w:rPr>
                    <w:t>m</w:t>
                  </w:r>
                  <w:r>
                    <w:rPr>
                      <w:b/>
                      <w:bCs/>
                      <w:color w:val="auto"/>
                      <w:szCs w:val="21"/>
                    </w:rPr>
                    <w:t>g/m</w:t>
                  </w:r>
                  <w:r>
                    <w:rPr>
                      <w:b/>
                      <w:bCs/>
                      <w:color w:val="auto"/>
                      <w:szCs w:val="21"/>
                      <w:vertAlign w:val="superscript"/>
                    </w:rPr>
                    <w:t>3</w:t>
                  </w:r>
                  <w:r>
                    <w:rPr>
                      <w:b/>
                      <w:bCs/>
                      <w:color w:val="auto"/>
                      <w:szCs w:val="21"/>
                    </w:rPr>
                    <w:t>）</w:t>
                  </w:r>
                </w:p>
              </w:tc>
              <w:tc>
                <w:tcPr>
                  <w:tcW w:w="1110" w:type="dxa"/>
                  <w:vMerge w:val="restart"/>
                  <w:vAlign w:val="center"/>
                </w:tcPr>
                <w:p>
                  <w:pPr>
                    <w:adjustRightInd w:val="0"/>
                    <w:snapToGrid w:val="0"/>
                    <w:jc w:val="center"/>
                    <w:rPr>
                      <w:color w:val="auto"/>
                    </w:rPr>
                  </w:pPr>
                  <w:r>
                    <w:rPr>
                      <w:rFonts w:hint="eastAsia"/>
                      <w:b/>
                      <w:bCs/>
                      <w:color w:val="auto"/>
                      <w:szCs w:val="21"/>
                    </w:rPr>
                    <w:t>标准值</w:t>
                  </w:r>
                </w:p>
              </w:tc>
              <w:tc>
                <w:tcPr>
                  <w:tcW w:w="1345" w:type="dxa"/>
                  <w:vMerge w:val="restart"/>
                  <w:vAlign w:val="center"/>
                </w:tcPr>
                <w:p>
                  <w:pPr>
                    <w:adjustRightInd w:val="0"/>
                    <w:snapToGrid w:val="0"/>
                    <w:jc w:val="center"/>
                    <w:rPr>
                      <w:color w:val="auto"/>
                    </w:rPr>
                  </w:pPr>
                  <w:r>
                    <w:rPr>
                      <w:rFonts w:hint="eastAsia"/>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92" w:type="dxa"/>
                  <w:vMerge w:val="continue"/>
                </w:tcPr>
                <w:p>
                  <w:pPr>
                    <w:pStyle w:val="2"/>
                    <w:rPr>
                      <w:color w:val="auto"/>
                    </w:rPr>
                  </w:pPr>
                </w:p>
              </w:tc>
              <w:tc>
                <w:tcPr>
                  <w:tcW w:w="3405" w:type="dxa"/>
                </w:tcPr>
                <w:p>
                  <w:pPr>
                    <w:pStyle w:val="2"/>
                    <w:jc w:val="center"/>
                    <w:rPr>
                      <w:color w:val="auto"/>
                    </w:rPr>
                  </w:pPr>
                  <w:r>
                    <w:rPr>
                      <w:rFonts w:hint="eastAsia"/>
                      <w:color w:val="auto"/>
                      <w:kern w:val="2"/>
                      <w:sz w:val="21"/>
                      <w:szCs w:val="21"/>
                    </w:rPr>
                    <w:t>项目区下风向清水沟村</w:t>
                  </w:r>
                </w:p>
              </w:tc>
              <w:tc>
                <w:tcPr>
                  <w:tcW w:w="1110" w:type="dxa"/>
                  <w:vMerge w:val="continue"/>
                </w:tcPr>
                <w:p>
                  <w:pPr>
                    <w:pStyle w:val="2"/>
                    <w:rPr>
                      <w:color w:val="auto"/>
                    </w:rPr>
                  </w:pPr>
                </w:p>
              </w:tc>
              <w:tc>
                <w:tcPr>
                  <w:tcW w:w="1345" w:type="dxa"/>
                  <w:vMerge w:val="continue"/>
                </w:tcPr>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92" w:type="dxa"/>
                  <w:vAlign w:val="center"/>
                </w:tcPr>
                <w:p>
                  <w:pPr>
                    <w:jc w:val="center"/>
                    <w:rPr>
                      <w:color w:val="auto"/>
                    </w:rPr>
                  </w:pPr>
                  <w:r>
                    <w:rPr>
                      <w:rFonts w:hint="eastAsia"/>
                      <w:color w:val="auto"/>
                      <w:szCs w:val="21"/>
                    </w:rPr>
                    <w:t>2022年8月17日</w:t>
                  </w:r>
                </w:p>
              </w:tc>
              <w:tc>
                <w:tcPr>
                  <w:tcW w:w="3405" w:type="dxa"/>
                  <w:vAlign w:val="center"/>
                </w:tcPr>
                <w:p>
                  <w:pPr>
                    <w:jc w:val="center"/>
                    <w:rPr>
                      <w:color w:val="auto"/>
                    </w:rPr>
                  </w:pPr>
                  <w:r>
                    <w:rPr>
                      <w:rFonts w:hint="eastAsia"/>
                      <w:color w:val="auto"/>
                      <w:szCs w:val="21"/>
                    </w:rPr>
                    <w:t>0.118</w:t>
                  </w:r>
                </w:p>
              </w:tc>
              <w:tc>
                <w:tcPr>
                  <w:tcW w:w="1110" w:type="dxa"/>
                  <w:vMerge w:val="restart"/>
                  <w:vAlign w:val="center"/>
                </w:tcPr>
                <w:p>
                  <w:pPr>
                    <w:adjustRightInd w:val="0"/>
                    <w:snapToGrid w:val="0"/>
                    <w:jc w:val="center"/>
                    <w:rPr>
                      <w:color w:val="auto"/>
                    </w:rPr>
                  </w:pPr>
                  <w:r>
                    <w:rPr>
                      <w:rFonts w:hint="eastAsia"/>
                      <w:color w:val="auto"/>
                      <w:szCs w:val="21"/>
                    </w:rPr>
                    <w:t>0.3</w:t>
                  </w:r>
                </w:p>
              </w:tc>
              <w:tc>
                <w:tcPr>
                  <w:tcW w:w="1345" w:type="dxa"/>
                  <w:vAlign w:val="center"/>
                </w:tcPr>
                <w:p>
                  <w:pPr>
                    <w:adjustRightInd w:val="0"/>
                    <w:snapToGrid w:val="0"/>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92" w:type="dxa"/>
                  <w:vAlign w:val="center"/>
                </w:tcPr>
                <w:p>
                  <w:pPr>
                    <w:jc w:val="center"/>
                    <w:rPr>
                      <w:color w:val="auto"/>
                    </w:rPr>
                  </w:pPr>
                  <w:r>
                    <w:rPr>
                      <w:rFonts w:hint="eastAsia"/>
                      <w:color w:val="auto"/>
                      <w:szCs w:val="21"/>
                    </w:rPr>
                    <w:t>2022年8月18日</w:t>
                  </w:r>
                </w:p>
              </w:tc>
              <w:tc>
                <w:tcPr>
                  <w:tcW w:w="3405" w:type="dxa"/>
                  <w:vAlign w:val="center"/>
                </w:tcPr>
                <w:p>
                  <w:pPr>
                    <w:jc w:val="center"/>
                    <w:rPr>
                      <w:color w:val="auto"/>
                    </w:rPr>
                  </w:pPr>
                  <w:r>
                    <w:rPr>
                      <w:rFonts w:hint="eastAsia"/>
                      <w:color w:val="auto"/>
                      <w:szCs w:val="21"/>
                    </w:rPr>
                    <w:t>0.120</w:t>
                  </w:r>
                </w:p>
              </w:tc>
              <w:tc>
                <w:tcPr>
                  <w:tcW w:w="1110" w:type="dxa"/>
                  <w:vMerge w:val="continue"/>
                  <w:vAlign w:val="center"/>
                </w:tcPr>
                <w:p>
                  <w:pPr>
                    <w:adjustRightInd w:val="0"/>
                    <w:snapToGrid w:val="0"/>
                    <w:jc w:val="center"/>
                    <w:rPr>
                      <w:color w:val="auto"/>
                    </w:rPr>
                  </w:pPr>
                </w:p>
              </w:tc>
              <w:tc>
                <w:tcPr>
                  <w:tcW w:w="1345" w:type="dxa"/>
                  <w:vAlign w:val="center"/>
                </w:tcPr>
                <w:p>
                  <w:pPr>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Align w:val="center"/>
                </w:tcPr>
                <w:p>
                  <w:pPr>
                    <w:jc w:val="center"/>
                    <w:rPr>
                      <w:color w:val="auto"/>
                    </w:rPr>
                  </w:pPr>
                  <w:r>
                    <w:rPr>
                      <w:rFonts w:hint="eastAsia"/>
                      <w:color w:val="auto"/>
                      <w:szCs w:val="21"/>
                    </w:rPr>
                    <w:t>2022年8月19日</w:t>
                  </w:r>
                </w:p>
              </w:tc>
              <w:tc>
                <w:tcPr>
                  <w:tcW w:w="3405" w:type="dxa"/>
                  <w:vAlign w:val="center"/>
                </w:tcPr>
                <w:p>
                  <w:pPr>
                    <w:jc w:val="center"/>
                    <w:rPr>
                      <w:color w:val="auto"/>
                    </w:rPr>
                  </w:pPr>
                  <w:r>
                    <w:rPr>
                      <w:rFonts w:hint="eastAsia"/>
                      <w:color w:val="auto"/>
                      <w:szCs w:val="21"/>
                    </w:rPr>
                    <w:t>0.110</w:t>
                  </w:r>
                </w:p>
              </w:tc>
              <w:tc>
                <w:tcPr>
                  <w:tcW w:w="1110" w:type="dxa"/>
                  <w:vMerge w:val="continue"/>
                  <w:vAlign w:val="center"/>
                </w:tcPr>
                <w:p>
                  <w:pPr>
                    <w:adjustRightInd w:val="0"/>
                    <w:snapToGrid w:val="0"/>
                    <w:jc w:val="center"/>
                    <w:rPr>
                      <w:color w:val="auto"/>
                    </w:rPr>
                  </w:pPr>
                </w:p>
              </w:tc>
              <w:tc>
                <w:tcPr>
                  <w:tcW w:w="1345" w:type="dxa"/>
                  <w:vAlign w:val="center"/>
                </w:tcPr>
                <w:p>
                  <w:pPr>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Align w:val="center"/>
                </w:tcPr>
                <w:p>
                  <w:pPr>
                    <w:jc w:val="center"/>
                    <w:rPr>
                      <w:color w:val="auto"/>
                    </w:rPr>
                  </w:pPr>
                  <w:r>
                    <w:rPr>
                      <w:rFonts w:hint="eastAsia"/>
                      <w:color w:val="auto"/>
                      <w:szCs w:val="21"/>
                    </w:rPr>
                    <w:t>2022年8月20日</w:t>
                  </w:r>
                </w:p>
              </w:tc>
              <w:tc>
                <w:tcPr>
                  <w:tcW w:w="3405" w:type="dxa"/>
                  <w:vAlign w:val="center"/>
                </w:tcPr>
                <w:p>
                  <w:pPr>
                    <w:jc w:val="center"/>
                    <w:rPr>
                      <w:color w:val="auto"/>
                    </w:rPr>
                  </w:pPr>
                  <w:r>
                    <w:rPr>
                      <w:rFonts w:hint="eastAsia"/>
                      <w:color w:val="auto"/>
                      <w:szCs w:val="21"/>
                    </w:rPr>
                    <w:t>0.116</w:t>
                  </w:r>
                </w:p>
              </w:tc>
              <w:tc>
                <w:tcPr>
                  <w:tcW w:w="1110" w:type="dxa"/>
                  <w:vMerge w:val="continue"/>
                  <w:vAlign w:val="center"/>
                </w:tcPr>
                <w:p>
                  <w:pPr>
                    <w:adjustRightInd w:val="0"/>
                    <w:snapToGrid w:val="0"/>
                    <w:jc w:val="center"/>
                    <w:rPr>
                      <w:color w:val="auto"/>
                    </w:rPr>
                  </w:pPr>
                </w:p>
              </w:tc>
              <w:tc>
                <w:tcPr>
                  <w:tcW w:w="1345" w:type="dxa"/>
                  <w:vAlign w:val="center"/>
                </w:tcPr>
                <w:p>
                  <w:pPr>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Align w:val="center"/>
                </w:tcPr>
                <w:p>
                  <w:pPr>
                    <w:jc w:val="center"/>
                    <w:rPr>
                      <w:color w:val="auto"/>
                    </w:rPr>
                  </w:pPr>
                  <w:r>
                    <w:rPr>
                      <w:rFonts w:hint="eastAsia"/>
                      <w:color w:val="auto"/>
                      <w:szCs w:val="21"/>
                    </w:rPr>
                    <w:t>2022年8月21日</w:t>
                  </w:r>
                </w:p>
              </w:tc>
              <w:tc>
                <w:tcPr>
                  <w:tcW w:w="3405" w:type="dxa"/>
                  <w:vAlign w:val="center"/>
                </w:tcPr>
                <w:p>
                  <w:pPr>
                    <w:jc w:val="center"/>
                    <w:rPr>
                      <w:color w:val="auto"/>
                    </w:rPr>
                  </w:pPr>
                  <w:r>
                    <w:rPr>
                      <w:rFonts w:hint="eastAsia"/>
                      <w:color w:val="auto"/>
                      <w:szCs w:val="21"/>
                    </w:rPr>
                    <w:t>0.120</w:t>
                  </w:r>
                </w:p>
              </w:tc>
              <w:tc>
                <w:tcPr>
                  <w:tcW w:w="1110" w:type="dxa"/>
                  <w:vMerge w:val="continue"/>
                  <w:vAlign w:val="center"/>
                </w:tcPr>
                <w:p>
                  <w:pPr>
                    <w:adjustRightInd w:val="0"/>
                    <w:snapToGrid w:val="0"/>
                    <w:jc w:val="center"/>
                    <w:rPr>
                      <w:color w:val="auto"/>
                    </w:rPr>
                  </w:pPr>
                </w:p>
              </w:tc>
              <w:tc>
                <w:tcPr>
                  <w:tcW w:w="1345" w:type="dxa"/>
                  <w:vAlign w:val="center"/>
                </w:tcPr>
                <w:p>
                  <w:pPr>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Align w:val="center"/>
                </w:tcPr>
                <w:p>
                  <w:pPr>
                    <w:jc w:val="center"/>
                    <w:rPr>
                      <w:color w:val="auto"/>
                    </w:rPr>
                  </w:pPr>
                  <w:r>
                    <w:rPr>
                      <w:rFonts w:hint="eastAsia"/>
                      <w:color w:val="auto"/>
                      <w:szCs w:val="21"/>
                    </w:rPr>
                    <w:t>2022年8月22日</w:t>
                  </w:r>
                </w:p>
              </w:tc>
              <w:tc>
                <w:tcPr>
                  <w:tcW w:w="3405" w:type="dxa"/>
                  <w:vAlign w:val="center"/>
                </w:tcPr>
                <w:p>
                  <w:pPr>
                    <w:jc w:val="center"/>
                    <w:rPr>
                      <w:color w:val="auto"/>
                    </w:rPr>
                  </w:pPr>
                  <w:r>
                    <w:rPr>
                      <w:rFonts w:hint="eastAsia"/>
                      <w:color w:val="auto"/>
                      <w:szCs w:val="21"/>
                    </w:rPr>
                    <w:t>0.118</w:t>
                  </w:r>
                </w:p>
              </w:tc>
              <w:tc>
                <w:tcPr>
                  <w:tcW w:w="1110" w:type="dxa"/>
                  <w:vMerge w:val="continue"/>
                  <w:vAlign w:val="center"/>
                </w:tcPr>
                <w:p>
                  <w:pPr>
                    <w:adjustRightInd w:val="0"/>
                    <w:snapToGrid w:val="0"/>
                    <w:jc w:val="center"/>
                    <w:rPr>
                      <w:color w:val="auto"/>
                    </w:rPr>
                  </w:pPr>
                </w:p>
              </w:tc>
              <w:tc>
                <w:tcPr>
                  <w:tcW w:w="1345" w:type="dxa"/>
                  <w:vAlign w:val="center"/>
                </w:tcPr>
                <w:p>
                  <w:pPr>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Align w:val="center"/>
                </w:tcPr>
                <w:p>
                  <w:pPr>
                    <w:jc w:val="center"/>
                    <w:rPr>
                      <w:color w:val="auto"/>
                    </w:rPr>
                  </w:pPr>
                  <w:r>
                    <w:rPr>
                      <w:rFonts w:hint="eastAsia"/>
                      <w:color w:val="auto"/>
                      <w:szCs w:val="21"/>
                    </w:rPr>
                    <w:t>2022年8月23日</w:t>
                  </w:r>
                </w:p>
              </w:tc>
              <w:tc>
                <w:tcPr>
                  <w:tcW w:w="3405" w:type="dxa"/>
                  <w:vAlign w:val="center"/>
                </w:tcPr>
                <w:p>
                  <w:pPr>
                    <w:jc w:val="center"/>
                    <w:rPr>
                      <w:color w:val="auto"/>
                    </w:rPr>
                  </w:pPr>
                  <w:r>
                    <w:rPr>
                      <w:rFonts w:hint="eastAsia"/>
                      <w:color w:val="auto"/>
                      <w:szCs w:val="21"/>
                    </w:rPr>
                    <w:t>0.117</w:t>
                  </w:r>
                </w:p>
              </w:tc>
              <w:tc>
                <w:tcPr>
                  <w:tcW w:w="1110" w:type="dxa"/>
                  <w:vMerge w:val="continue"/>
                  <w:vAlign w:val="center"/>
                </w:tcPr>
                <w:p>
                  <w:pPr>
                    <w:adjustRightInd w:val="0"/>
                    <w:snapToGrid w:val="0"/>
                    <w:jc w:val="center"/>
                    <w:rPr>
                      <w:color w:val="auto"/>
                    </w:rPr>
                  </w:pPr>
                </w:p>
              </w:tc>
              <w:tc>
                <w:tcPr>
                  <w:tcW w:w="1345" w:type="dxa"/>
                  <w:vAlign w:val="center"/>
                </w:tcPr>
                <w:p>
                  <w:pPr>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Align w:val="center"/>
                </w:tcPr>
                <w:p>
                  <w:pPr>
                    <w:jc w:val="center"/>
                    <w:rPr>
                      <w:color w:val="auto"/>
                      <w:szCs w:val="21"/>
                    </w:rPr>
                  </w:pPr>
                  <w:r>
                    <w:rPr>
                      <w:rFonts w:hint="eastAsia"/>
                      <w:color w:val="auto"/>
                      <w:szCs w:val="21"/>
                    </w:rPr>
                    <w:t>备注</w:t>
                  </w:r>
                </w:p>
              </w:tc>
              <w:tc>
                <w:tcPr>
                  <w:tcW w:w="5860" w:type="dxa"/>
                  <w:gridSpan w:val="3"/>
                  <w:vAlign w:val="center"/>
                </w:tcPr>
                <w:p>
                  <w:pPr>
                    <w:jc w:val="center"/>
                    <w:rPr>
                      <w:color w:val="auto"/>
                      <w:szCs w:val="21"/>
                    </w:rPr>
                  </w:pPr>
                  <w:r>
                    <w:rPr>
                      <w:rFonts w:hint="eastAsia"/>
                      <w:color w:val="auto"/>
                      <w:szCs w:val="21"/>
                    </w:rPr>
                    <w:t>注：1.</w:t>
                  </w:r>
                  <w:r>
                    <w:rPr>
                      <w:rFonts w:hint="eastAsia"/>
                      <w:color w:val="auto"/>
                      <w:szCs w:val="21"/>
                      <w:lang w:val="en-GB"/>
                    </w:rPr>
                    <w:t>检测结果低于方法检出限时，该项检测结果以“＜</w:t>
                  </w:r>
                  <w:r>
                    <w:rPr>
                      <w:rFonts w:hint="eastAsia"/>
                      <w:color w:val="auto"/>
                      <w:szCs w:val="21"/>
                    </w:rPr>
                    <w:t>检出限</w:t>
                  </w:r>
                  <w:r>
                    <w:rPr>
                      <w:rFonts w:hint="eastAsia"/>
                      <w:color w:val="auto"/>
                      <w:szCs w:val="21"/>
                      <w:lang w:val="en-GB"/>
                    </w:rPr>
                    <w:t>”表示；</w:t>
                  </w:r>
                </w:p>
              </w:tc>
            </w:tr>
          </w:tbl>
          <w:p>
            <w:pPr>
              <w:adjustRightInd w:val="0"/>
              <w:snapToGrid w:val="0"/>
              <w:spacing w:line="360" w:lineRule="auto"/>
              <w:ind w:firstLine="482" w:firstLineChars="200"/>
              <w:jc w:val="center"/>
              <w:rPr>
                <w:b/>
                <w:color w:val="auto"/>
                <w:sz w:val="24"/>
              </w:rPr>
            </w:pPr>
            <w:r>
              <w:rPr>
                <w:b/>
                <w:color w:val="auto"/>
                <w:sz w:val="24"/>
              </w:rPr>
              <w:t>表3-</w:t>
            </w:r>
            <w:r>
              <w:rPr>
                <w:rFonts w:hint="eastAsia"/>
                <w:b/>
                <w:color w:val="auto"/>
                <w:sz w:val="24"/>
              </w:rPr>
              <w:t>2</w:t>
            </w:r>
            <w:r>
              <w:rPr>
                <w:b/>
                <w:color w:val="auto"/>
                <w:sz w:val="24"/>
              </w:rPr>
              <w:t xml:space="preserve">  </w:t>
            </w:r>
            <w:r>
              <w:rPr>
                <w:rFonts w:hint="eastAsia"/>
                <w:b/>
                <w:color w:val="auto"/>
                <w:sz w:val="24"/>
              </w:rPr>
              <w:t>TVOC</w:t>
            </w:r>
            <w:r>
              <w:rPr>
                <w:b/>
                <w:color w:val="auto"/>
                <w:sz w:val="24"/>
              </w:rPr>
              <w:t>监测结果</w:t>
            </w:r>
          </w:p>
          <w:tbl>
            <w:tblPr>
              <w:tblStyle w:val="31"/>
              <w:tblW w:w="7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3405"/>
              <w:gridCol w:w="1110"/>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1892" w:type="dxa"/>
                  <w:vMerge w:val="restart"/>
                  <w:vAlign w:val="center"/>
                </w:tcPr>
                <w:p>
                  <w:pPr>
                    <w:adjustRightInd w:val="0"/>
                    <w:snapToGrid w:val="0"/>
                    <w:jc w:val="center"/>
                    <w:rPr>
                      <w:b/>
                      <w:bCs/>
                      <w:color w:val="auto"/>
                      <w:szCs w:val="21"/>
                    </w:rPr>
                  </w:pPr>
                  <w:r>
                    <w:rPr>
                      <w:b/>
                      <w:bCs/>
                      <w:color w:val="auto"/>
                      <w:szCs w:val="21"/>
                    </w:rPr>
                    <mc:AlternateContent>
                      <mc:Choice Requires="wps">
                        <w:drawing>
                          <wp:anchor distT="0" distB="0" distL="114300" distR="114300" simplePos="0" relativeHeight="251663360" behindDoc="0" locked="0" layoutInCell="1" allowOverlap="1">
                            <wp:simplePos x="0" y="0"/>
                            <wp:positionH relativeFrom="column">
                              <wp:posOffset>-48260</wp:posOffset>
                            </wp:positionH>
                            <wp:positionV relativeFrom="paragraph">
                              <wp:posOffset>35560</wp:posOffset>
                            </wp:positionV>
                            <wp:extent cx="1181100" cy="638175"/>
                            <wp:effectExtent l="2540" t="4445" r="16510" b="5080"/>
                            <wp:wrapNone/>
                            <wp:docPr id="11" name="直接连接符 11"/>
                            <wp:cNvGraphicFramePr/>
                            <a:graphic xmlns:a="http://schemas.openxmlformats.org/drawingml/2006/main">
                              <a:graphicData uri="http://schemas.microsoft.com/office/word/2010/wordprocessingShape">
                                <wps:wsp>
                                  <wps:cNvCnPr/>
                                  <wps:spPr>
                                    <a:xfrm>
                                      <a:off x="1134745" y="5998845"/>
                                      <a:ext cx="1181100" cy="6381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8pt;margin-top:2.8pt;height:50.25pt;width:93pt;z-index:251663360;mso-width-relative:page;mso-height-relative:page;" filled="f" stroked="t" coordsize="21600,21600" o:gfxdata="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8QSx1gAAAAgBAAAPAAAAAAAAAAEAIAAAACIAAABkcnMv&#10;ZG93bnJldi54bWxQSwECFAAUAAAACACHTuJAz9X5VAUCAADmAwAADgAAAAAAAAABACAAAAAlAQAA&#10;ZHJzL2Uyb0RvYy54bWxQSwUGAAAAAAYABgBZAQAAnAUAAAAA&#10;">
                            <v:fill on="f" focussize="0,0"/>
                            <v:stroke weight="0.5pt" color="#000000" miterlimit="8" joinstyle="miter"/>
                            <v:imagedata o:title=""/>
                            <o:lock v:ext="edit" aspectratio="f"/>
                          </v:line>
                        </w:pict>
                      </mc:Fallback>
                    </mc:AlternateContent>
                  </w:r>
                  <w:r>
                    <w:rPr>
                      <w:rFonts w:hint="eastAsia"/>
                      <w:b/>
                      <w:bCs/>
                      <w:color w:val="auto"/>
                      <w:szCs w:val="21"/>
                    </w:rPr>
                    <w:t>检测</w:t>
                  </w:r>
                  <w:r>
                    <w:rPr>
                      <w:b/>
                      <w:bCs/>
                      <w:color w:val="auto"/>
                      <w:szCs w:val="21"/>
                    </w:rPr>
                    <w:t>项目</w:t>
                  </w:r>
                </w:p>
                <w:p>
                  <w:pPr>
                    <w:adjustRightInd w:val="0"/>
                    <w:snapToGrid w:val="0"/>
                    <w:jc w:val="center"/>
                    <w:rPr>
                      <w:b/>
                      <w:bCs/>
                      <w:color w:val="auto"/>
                      <w:szCs w:val="21"/>
                    </w:rPr>
                  </w:pPr>
                </w:p>
                <w:p>
                  <w:pPr>
                    <w:adjustRightInd w:val="0"/>
                    <w:snapToGrid w:val="0"/>
                    <w:rPr>
                      <w:color w:val="auto"/>
                    </w:rPr>
                  </w:pPr>
                  <w:r>
                    <w:rPr>
                      <w:b/>
                      <w:bCs/>
                      <w:color w:val="auto"/>
                      <w:szCs w:val="21"/>
                    </w:rPr>
                    <w:t>采样时间</w:t>
                  </w:r>
                </w:p>
              </w:tc>
              <w:tc>
                <w:tcPr>
                  <w:tcW w:w="3405" w:type="dxa"/>
                  <w:vAlign w:val="center"/>
                </w:tcPr>
                <w:p>
                  <w:pPr>
                    <w:adjustRightInd w:val="0"/>
                    <w:snapToGrid w:val="0"/>
                    <w:jc w:val="center"/>
                    <w:rPr>
                      <w:color w:val="auto"/>
                    </w:rPr>
                  </w:pPr>
                  <w:r>
                    <w:rPr>
                      <w:rFonts w:hint="eastAsia"/>
                      <w:b/>
                      <w:bCs/>
                      <w:color w:val="auto"/>
                      <w:szCs w:val="21"/>
                    </w:rPr>
                    <w:t>TVOC</w:t>
                  </w:r>
                  <w:r>
                    <w:rPr>
                      <w:b/>
                      <w:bCs/>
                      <w:color w:val="auto"/>
                      <w:szCs w:val="21"/>
                    </w:rPr>
                    <w:t>（</w:t>
                  </w:r>
                  <w:r>
                    <w:rPr>
                      <w:rFonts w:hint="eastAsia"/>
                      <w:b/>
                      <w:bCs/>
                      <w:color w:val="auto"/>
                      <w:szCs w:val="21"/>
                    </w:rPr>
                    <w:t>m</w:t>
                  </w:r>
                  <w:r>
                    <w:rPr>
                      <w:b/>
                      <w:bCs/>
                      <w:color w:val="auto"/>
                      <w:szCs w:val="21"/>
                    </w:rPr>
                    <w:t>g/m</w:t>
                  </w:r>
                  <w:r>
                    <w:rPr>
                      <w:b/>
                      <w:bCs/>
                      <w:color w:val="auto"/>
                      <w:szCs w:val="21"/>
                      <w:vertAlign w:val="superscript"/>
                    </w:rPr>
                    <w:t>3</w:t>
                  </w:r>
                  <w:r>
                    <w:rPr>
                      <w:b/>
                      <w:bCs/>
                      <w:color w:val="auto"/>
                      <w:szCs w:val="21"/>
                    </w:rPr>
                    <w:t>）</w:t>
                  </w:r>
                </w:p>
              </w:tc>
              <w:tc>
                <w:tcPr>
                  <w:tcW w:w="1110" w:type="dxa"/>
                  <w:vMerge w:val="restart"/>
                  <w:vAlign w:val="center"/>
                </w:tcPr>
                <w:p>
                  <w:pPr>
                    <w:adjustRightInd w:val="0"/>
                    <w:snapToGrid w:val="0"/>
                    <w:jc w:val="center"/>
                    <w:rPr>
                      <w:color w:val="auto"/>
                    </w:rPr>
                  </w:pPr>
                  <w:r>
                    <w:rPr>
                      <w:rFonts w:hint="eastAsia"/>
                      <w:b/>
                      <w:bCs/>
                      <w:color w:val="auto"/>
                      <w:szCs w:val="21"/>
                    </w:rPr>
                    <w:t>标准值</w:t>
                  </w:r>
                </w:p>
              </w:tc>
              <w:tc>
                <w:tcPr>
                  <w:tcW w:w="1345" w:type="dxa"/>
                  <w:vMerge w:val="restart"/>
                  <w:vAlign w:val="center"/>
                </w:tcPr>
                <w:p>
                  <w:pPr>
                    <w:adjustRightInd w:val="0"/>
                    <w:snapToGrid w:val="0"/>
                    <w:jc w:val="center"/>
                    <w:rPr>
                      <w:color w:val="auto"/>
                    </w:rPr>
                  </w:pPr>
                  <w:r>
                    <w:rPr>
                      <w:rFonts w:hint="eastAsia"/>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92" w:type="dxa"/>
                  <w:vMerge w:val="continue"/>
                </w:tcPr>
                <w:p>
                  <w:pPr>
                    <w:pStyle w:val="2"/>
                    <w:rPr>
                      <w:color w:val="auto"/>
                    </w:rPr>
                  </w:pPr>
                </w:p>
              </w:tc>
              <w:tc>
                <w:tcPr>
                  <w:tcW w:w="3405" w:type="dxa"/>
                </w:tcPr>
                <w:p>
                  <w:pPr>
                    <w:pStyle w:val="2"/>
                    <w:jc w:val="center"/>
                    <w:rPr>
                      <w:color w:val="auto"/>
                    </w:rPr>
                  </w:pPr>
                  <w:r>
                    <w:rPr>
                      <w:rFonts w:hint="eastAsia"/>
                      <w:color w:val="auto"/>
                      <w:kern w:val="2"/>
                      <w:sz w:val="21"/>
                      <w:szCs w:val="21"/>
                    </w:rPr>
                    <w:t>项目区下风向清水沟村</w:t>
                  </w:r>
                </w:p>
              </w:tc>
              <w:tc>
                <w:tcPr>
                  <w:tcW w:w="1110" w:type="dxa"/>
                  <w:vMerge w:val="continue"/>
                </w:tcPr>
                <w:p>
                  <w:pPr>
                    <w:pStyle w:val="2"/>
                    <w:rPr>
                      <w:color w:val="auto"/>
                    </w:rPr>
                  </w:pPr>
                </w:p>
              </w:tc>
              <w:tc>
                <w:tcPr>
                  <w:tcW w:w="1345" w:type="dxa"/>
                  <w:vMerge w:val="continue"/>
                </w:tcPr>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92" w:type="dxa"/>
                  <w:vMerge w:val="restart"/>
                  <w:vAlign w:val="center"/>
                </w:tcPr>
                <w:p>
                  <w:pPr>
                    <w:jc w:val="center"/>
                    <w:rPr>
                      <w:color w:val="auto"/>
                    </w:rPr>
                  </w:pPr>
                  <w:r>
                    <w:rPr>
                      <w:rFonts w:hint="eastAsia"/>
                      <w:color w:val="auto"/>
                      <w:szCs w:val="21"/>
                    </w:rPr>
                    <w:t>2022年8月17日</w:t>
                  </w:r>
                </w:p>
              </w:tc>
              <w:tc>
                <w:tcPr>
                  <w:tcW w:w="3405" w:type="dxa"/>
                  <w:vAlign w:val="center"/>
                </w:tcPr>
                <w:p>
                  <w:pPr>
                    <w:jc w:val="center"/>
                    <w:rPr>
                      <w:color w:val="auto"/>
                    </w:rPr>
                  </w:pPr>
                  <w:r>
                    <w:rPr>
                      <w:rFonts w:hint="eastAsia"/>
                      <w:color w:val="auto"/>
                      <w:szCs w:val="21"/>
                    </w:rPr>
                    <w:t>0.09</w:t>
                  </w:r>
                </w:p>
              </w:tc>
              <w:tc>
                <w:tcPr>
                  <w:tcW w:w="1110" w:type="dxa"/>
                  <w:vMerge w:val="restart"/>
                  <w:vAlign w:val="center"/>
                </w:tcPr>
                <w:p>
                  <w:pPr>
                    <w:jc w:val="center"/>
                    <w:rPr>
                      <w:color w:val="auto"/>
                    </w:rPr>
                  </w:pPr>
                  <w:r>
                    <w:rPr>
                      <w:rFonts w:hint="eastAsia"/>
                      <w:color w:val="auto"/>
                      <w:szCs w:val="21"/>
                    </w:rPr>
                    <w:t>0.6</w:t>
                  </w:r>
                </w:p>
              </w:tc>
              <w:tc>
                <w:tcPr>
                  <w:tcW w:w="1345" w:type="dxa"/>
                  <w:vAlign w:val="center"/>
                </w:tcPr>
                <w:p>
                  <w:pPr>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92" w:type="dxa"/>
                  <w:vMerge w:val="continue"/>
                  <w:vAlign w:val="center"/>
                </w:tcPr>
                <w:p>
                  <w:pPr>
                    <w:jc w:val="center"/>
                    <w:rPr>
                      <w:color w:val="auto"/>
                    </w:rPr>
                  </w:pPr>
                </w:p>
              </w:tc>
              <w:tc>
                <w:tcPr>
                  <w:tcW w:w="3405" w:type="dxa"/>
                  <w:vAlign w:val="center"/>
                </w:tcPr>
                <w:p>
                  <w:pPr>
                    <w:jc w:val="center"/>
                    <w:rPr>
                      <w:color w:val="auto"/>
                    </w:rPr>
                  </w:pPr>
                  <w:r>
                    <w:rPr>
                      <w:rFonts w:hint="eastAsia"/>
                      <w:color w:val="auto"/>
                      <w:szCs w:val="21"/>
                    </w:rPr>
                    <w:t>0.20</w:t>
                  </w:r>
                </w:p>
              </w:tc>
              <w:tc>
                <w:tcPr>
                  <w:tcW w:w="1110" w:type="dxa"/>
                  <w:vMerge w:val="continue"/>
                  <w:vAlign w:val="center"/>
                </w:tcPr>
                <w:p>
                  <w:pPr>
                    <w:jc w:val="center"/>
                    <w:rPr>
                      <w:color w:val="auto"/>
                    </w:rPr>
                  </w:pPr>
                </w:p>
              </w:tc>
              <w:tc>
                <w:tcPr>
                  <w:tcW w:w="1345" w:type="dxa"/>
                  <w:vAlign w:val="center"/>
                </w:tcPr>
                <w:p>
                  <w:pPr>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rPr>
                  </w:pPr>
                </w:p>
              </w:tc>
              <w:tc>
                <w:tcPr>
                  <w:tcW w:w="3405" w:type="dxa"/>
                  <w:vAlign w:val="center"/>
                </w:tcPr>
                <w:p>
                  <w:pPr>
                    <w:jc w:val="center"/>
                    <w:rPr>
                      <w:color w:val="auto"/>
                    </w:rPr>
                  </w:pPr>
                  <w:r>
                    <w:rPr>
                      <w:rFonts w:hint="eastAsia"/>
                      <w:color w:val="auto"/>
                      <w:szCs w:val="21"/>
                    </w:rPr>
                    <w:t>0.14</w:t>
                  </w:r>
                </w:p>
              </w:tc>
              <w:tc>
                <w:tcPr>
                  <w:tcW w:w="1110" w:type="dxa"/>
                  <w:vMerge w:val="continue"/>
                  <w:vAlign w:val="center"/>
                </w:tcPr>
                <w:p>
                  <w:pPr>
                    <w:jc w:val="center"/>
                    <w:rPr>
                      <w:color w:val="auto"/>
                    </w:rPr>
                  </w:pPr>
                </w:p>
              </w:tc>
              <w:tc>
                <w:tcPr>
                  <w:tcW w:w="1345" w:type="dxa"/>
                  <w:vAlign w:val="center"/>
                </w:tcPr>
                <w:p>
                  <w:pPr>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rPr>
                  </w:pPr>
                </w:p>
              </w:tc>
              <w:tc>
                <w:tcPr>
                  <w:tcW w:w="3405" w:type="dxa"/>
                  <w:vAlign w:val="center"/>
                </w:tcPr>
                <w:p>
                  <w:pPr>
                    <w:jc w:val="center"/>
                    <w:rPr>
                      <w:color w:val="auto"/>
                    </w:rPr>
                  </w:pPr>
                  <w:r>
                    <w:rPr>
                      <w:rFonts w:hint="eastAsia"/>
                      <w:color w:val="auto"/>
                      <w:szCs w:val="21"/>
                    </w:rPr>
                    <w:t>0.20</w:t>
                  </w:r>
                </w:p>
              </w:tc>
              <w:tc>
                <w:tcPr>
                  <w:tcW w:w="1110" w:type="dxa"/>
                  <w:vMerge w:val="continue"/>
                  <w:vAlign w:val="center"/>
                </w:tcPr>
                <w:p>
                  <w:pPr>
                    <w:jc w:val="center"/>
                    <w:rPr>
                      <w:color w:val="auto"/>
                    </w:rPr>
                  </w:pPr>
                </w:p>
              </w:tc>
              <w:tc>
                <w:tcPr>
                  <w:tcW w:w="1345" w:type="dxa"/>
                  <w:vAlign w:val="center"/>
                </w:tcPr>
                <w:p>
                  <w:pPr>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rPr>
                  </w:pPr>
                </w:p>
              </w:tc>
              <w:tc>
                <w:tcPr>
                  <w:tcW w:w="3405" w:type="dxa"/>
                  <w:vAlign w:val="center"/>
                </w:tcPr>
                <w:p>
                  <w:pPr>
                    <w:jc w:val="center"/>
                    <w:rPr>
                      <w:color w:val="auto"/>
                    </w:rPr>
                  </w:pPr>
                  <w:r>
                    <w:rPr>
                      <w:rFonts w:hint="eastAsia"/>
                      <w:color w:val="auto"/>
                      <w:szCs w:val="21"/>
                    </w:rPr>
                    <w:t>0.11</w:t>
                  </w:r>
                </w:p>
              </w:tc>
              <w:tc>
                <w:tcPr>
                  <w:tcW w:w="1110" w:type="dxa"/>
                  <w:vMerge w:val="continue"/>
                  <w:vAlign w:val="center"/>
                </w:tcPr>
                <w:p>
                  <w:pPr>
                    <w:jc w:val="center"/>
                    <w:rPr>
                      <w:color w:val="auto"/>
                    </w:rPr>
                  </w:pPr>
                </w:p>
              </w:tc>
              <w:tc>
                <w:tcPr>
                  <w:tcW w:w="1345" w:type="dxa"/>
                  <w:vAlign w:val="center"/>
                </w:tcPr>
                <w:p>
                  <w:pPr>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rPr>
                  </w:pPr>
                </w:p>
              </w:tc>
              <w:tc>
                <w:tcPr>
                  <w:tcW w:w="3405" w:type="dxa"/>
                  <w:vAlign w:val="center"/>
                </w:tcPr>
                <w:p>
                  <w:pPr>
                    <w:jc w:val="center"/>
                    <w:rPr>
                      <w:color w:val="auto"/>
                    </w:rPr>
                  </w:pPr>
                  <w:r>
                    <w:rPr>
                      <w:rFonts w:hint="eastAsia"/>
                      <w:color w:val="auto"/>
                      <w:szCs w:val="21"/>
                    </w:rPr>
                    <w:t>0.21</w:t>
                  </w:r>
                </w:p>
              </w:tc>
              <w:tc>
                <w:tcPr>
                  <w:tcW w:w="1110" w:type="dxa"/>
                  <w:vMerge w:val="continue"/>
                  <w:vAlign w:val="center"/>
                </w:tcPr>
                <w:p>
                  <w:pPr>
                    <w:jc w:val="center"/>
                    <w:rPr>
                      <w:color w:val="auto"/>
                    </w:rPr>
                  </w:pPr>
                </w:p>
              </w:tc>
              <w:tc>
                <w:tcPr>
                  <w:tcW w:w="1345" w:type="dxa"/>
                  <w:vAlign w:val="center"/>
                </w:tcPr>
                <w:p>
                  <w:pPr>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rPr>
                  </w:pPr>
                </w:p>
              </w:tc>
              <w:tc>
                <w:tcPr>
                  <w:tcW w:w="3405" w:type="dxa"/>
                  <w:vAlign w:val="center"/>
                </w:tcPr>
                <w:p>
                  <w:pPr>
                    <w:jc w:val="center"/>
                    <w:rPr>
                      <w:color w:val="auto"/>
                    </w:rPr>
                  </w:pPr>
                  <w:r>
                    <w:rPr>
                      <w:rFonts w:hint="eastAsia"/>
                      <w:color w:val="auto"/>
                      <w:szCs w:val="21"/>
                    </w:rPr>
                    <w:t>0.11</w:t>
                  </w:r>
                </w:p>
              </w:tc>
              <w:tc>
                <w:tcPr>
                  <w:tcW w:w="1110" w:type="dxa"/>
                  <w:vMerge w:val="continue"/>
                  <w:vAlign w:val="center"/>
                </w:tcPr>
                <w:p>
                  <w:pPr>
                    <w:jc w:val="center"/>
                    <w:rPr>
                      <w:color w:val="auto"/>
                    </w:rPr>
                  </w:pPr>
                </w:p>
              </w:tc>
              <w:tc>
                <w:tcPr>
                  <w:tcW w:w="1345" w:type="dxa"/>
                  <w:vAlign w:val="center"/>
                </w:tcPr>
                <w:p>
                  <w:pPr>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rPr>
                  </w:pPr>
                </w:p>
              </w:tc>
              <w:tc>
                <w:tcPr>
                  <w:tcW w:w="3405" w:type="dxa"/>
                  <w:vAlign w:val="center"/>
                </w:tcPr>
                <w:p>
                  <w:pPr>
                    <w:jc w:val="center"/>
                    <w:rPr>
                      <w:color w:val="auto"/>
                      <w:szCs w:val="21"/>
                    </w:rPr>
                  </w:pPr>
                  <w:r>
                    <w:rPr>
                      <w:rFonts w:hint="eastAsia"/>
                      <w:color w:val="auto"/>
                      <w:szCs w:val="21"/>
                    </w:rPr>
                    <w:t>0.07</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restart"/>
                  <w:vAlign w:val="center"/>
                </w:tcPr>
                <w:p>
                  <w:pPr>
                    <w:jc w:val="center"/>
                    <w:rPr>
                      <w:color w:val="auto"/>
                      <w:szCs w:val="21"/>
                    </w:rPr>
                  </w:pPr>
                  <w:r>
                    <w:rPr>
                      <w:rFonts w:hint="eastAsia"/>
                      <w:color w:val="auto"/>
                      <w:szCs w:val="21"/>
                    </w:rPr>
                    <w:t>2022年8月18日</w:t>
                  </w:r>
                </w:p>
              </w:tc>
              <w:tc>
                <w:tcPr>
                  <w:tcW w:w="3405" w:type="dxa"/>
                  <w:vAlign w:val="center"/>
                </w:tcPr>
                <w:p>
                  <w:pPr>
                    <w:jc w:val="center"/>
                    <w:rPr>
                      <w:color w:val="auto"/>
                      <w:szCs w:val="21"/>
                    </w:rPr>
                  </w:pPr>
                  <w:r>
                    <w:rPr>
                      <w:rFonts w:hint="eastAsia"/>
                      <w:color w:val="auto"/>
                      <w:szCs w:val="21"/>
                    </w:rPr>
                    <w:t>0.12</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0.23</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0.12</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0.23</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0.17</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0.17</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0.16</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0.16</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restart"/>
                  <w:vAlign w:val="center"/>
                </w:tcPr>
                <w:p>
                  <w:pPr>
                    <w:jc w:val="center"/>
                    <w:rPr>
                      <w:color w:val="auto"/>
                      <w:szCs w:val="21"/>
                    </w:rPr>
                  </w:pPr>
                  <w:r>
                    <w:rPr>
                      <w:rFonts w:hint="eastAsia"/>
                      <w:color w:val="auto"/>
                      <w:szCs w:val="21"/>
                    </w:rPr>
                    <w:t>2022年8月19日</w:t>
                  </w:r>
                </w:p>
              </w:tc>
              <w:tc>
                <w:tcPr>
                  <w:tcW w:w="3405" w:type="dxa"/>
                  <w:vAlign w:val="center"/>
                </w:tcPr>
                <w:p>
                  <w:pPr>
                    <w:jc w:val="center"/>
                    <w:rPr>
                      <w:color w:val="auto"/>
                      <w:szCs w:val="21"/>
                    </w:rPr>
                  </w:pPr>
                  <w:r>
                    <w:rPr>
                      <w:rFonts w:hint="eastAsia"/>
                      <w:color w:val="auto"/>
                      <w:szCs w:val="21"/>
                    </w:rPr>
                    <w:t>0.05</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0.21</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0.22</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0.16</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0.17</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0.20</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0.16</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0.09</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restart"/>
                  <w:vAlign w:val="center"/>
                </w:tcPr>
                <w:p>
                  <w:pPr>
                    <w:jc w:val="center"/>
                    <w:rPr>
                      <w:color w:val="auto"/>
                      <w:szCs w:val="21"/>
                    </w:rPr>
                  </w:pPr>
                  <w:r>
                    <w:rPr>
                      <w:rFonts w:hint="eastAsia"/>
                      <w:color w:val="auto"/>
                      <w:szCs w:val="21"/>
                    </w:rPr>
                    <w:t>2022年8月20日</w:t>
                  </w:r>
                </w:p>
              </w:tc>
              <w:tc>
                <w:tcPr>
                  <w:tcW w:w="3405" w:type="dxa"/>
                  <w:vAlign w:val="center"/>
                </w:tcPr>
                <w:p>
                  <w:pPr>
                    <w:jc w:val="center"/>
                    <w:rPr>
                      <w:color w:val="auto"/>
                      <w:szCs w:val="21"/>
                    </w:rPr>
                  </w:pPr>
                  <w:r>
                    <w:rPr>
                      <w:rFonts w:hint="eastAsia"/>
                      <w:color w:val="auto"/>
                      <w:szCs w:val="21"/>
                    </w:rPr>
                    <w:t>0.10</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0.12</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0.22</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0.22</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0.17</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0.17</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0.21</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0.17</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restart"/>
                  <w:vAlign w:val="center"/>
                </w:tcPr>
                <w:p>
                  <w:pPr>
                    <w:jc w:val="center"/>
                    <w:rPr>
                      <w:color w:val="auto"/>
                      <w:szCs w:val="21"/>
                    </w:rPr>
                  </w:pPr>
                  <w:r>
                    <w:rPr>
                      <w:rFonts w:hint="eastAsia"/>
                      <w:color w:val="auto"/>
                      <w:szCs w:val="21"/>
                    </w:rPr>
                    <w:t>2022年8月21日</w:t>
                  </w:r>
                </w:p>
              </w:tc>
              <w:tc>
                <w:tcPr>
                  <w:tcW w:w="3405" w:type="dxa"/>
                  <w:vAlign w:val="center"/>
                </w:tcPr>
                <w:p>
                  <w:pPr>
                    <w:jc w:val="center"/>
                    <w:rPr>
                      <w:color w:val="auto"/>
                      <w:szCs w:val="21"/>
                    </w:rPr>
                  </w:pPr>
                  <w:r>
                    <w:rPr>
                      <w:rFonts w:hint="eastAsia"/>
                      <w:color w:val="auto"/>
                      <w:szCs w:val="21"/>
                    </w:rPr>
                    <w:t>0.20</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0.17</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0.17</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0.16</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0.18</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0.19</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0.18</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0.20</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restart"/>
                  <w:vAlign w:val="center"/>
                </w:tcPr>
                <w:p>
                  <w:pPr>
                    <w:jc w:val="center"/>
                    <w:rPr>
                      <w:color w:val="auto"/>
                      <w:szCs w:val="21"/>
                    </w:rPr>
                  </w:pPr>
                  <w:r>
                    <w:rPr>
                      <w:rFonts w:hint="eastAsia"/>
                      <w:color w:val="auto"/>
                      <w:szCs w:val="21"/>
                    </w:rPr>
                    <w:t>2022年8月22日</w:t>
                  </w:r>
                </w:p>
              </w:tc>
              <w:tc>
                <w:tcPr>
                  <w:tcW w:w="3405" w:type="dxa"/>
                  <w:vAlign w:val="center"/>
                </w:tcPr>
                <w:p>
                  <w:pPr>
                    <w:jc w:val="center"/>
                    <w:rPr>
                      <w:color w:val="auto"/>
                      <w:szCs w:val="21"/>
                    </w:rPr>
                  </w:pPr>
                  <w:r>
                    <w:rPr>
                      <w:rFonts w:hint="eastAsia"/>
                      <w:color w:val="auto"/>
                      <w:szCs w:val="21"/>
                    </w:rPr>
                    <w:t>0.19</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0.25</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0.22</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0.13</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0.22</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0.22</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0.17</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0.17</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restart"/>
                  <w:vAlign w:val="center"/>
                </w:tcPr>
                <w:p>
                  <w:pPr>
                    <w:jc w:val="center"/>
                    <w:rPr>
                      <w:color w:val="auto"/>
                      <w:szCs w:val="21"/>
                    </w:rPr>
                  </w:pPr>
                  <w:r>
                    <w:rPr>
                      <w:rFonts w:hint="eastAsia"/>
                      <w:color w:val="auto"/>
                      <w:szCs w:val="21"/>
                    </w:rPr>
                    <w:t>2022年8月23日</w:t>
                  </w:r>
                </w:p>
              </w:tc>
              <w:tc>
                <w:tcPr>
                  <w:tcW w:w="3405" w:type="dxa"/>
                  <w:vAlign w:val="center"/>
                </w:tcPr>
                <w:p>
                  <w:pPr>
                    <w:jc w:val="center"/>
                    <w:rPr>
                      <w:color w:val="auto"/>
                      <w:szCs w:val="21"/>
                    </w:rPr>
                  </w:pPr>
                  <w:r>
                    <w:rPr>
                      <w:rFonts w:hint="eastAsia"/>
                      <w:color w:val="auto"/>
                      <w:szCs w:val="21"/>
                    </w:rPr>
                    <w:t>0.14</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0.20</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0.13</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0.21</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0.20</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0.22</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0.18</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Merge w:val="continue"/>
                  <w:vAlign w:val="center"/>
                </w:tcPr>
                <w:p>
                  <w:pPr>
                    <w:jc w:val="center"/>
                    <w:rPr>
                      <w:color w:val="auto"/>
                      <w:szCs w:val="21"/>
                    </w:rPr>
                  </w:pPr>
                </w:p>
              </w:tc>
              <w:tc>
                <w:tcPr>
                  <w:tcW w:w="3405" w:type="dxa"/>
                  <w:vAlign w:val="center"/>
                </w:tcPr>
                <w:p>
                  <w:pPr>
                    <w:jc w:val="center"/>
                    <w:rPr>
                      <w:color w:val="auto"/>
                      <w:szCs w:val="21"/>
                    </w:rPr>
                  </w:pPr>
                  <w:r>
                    <w:rPr>
                      <w:rFonts w:hint="eastAsia"/>
                      <w:color w:val="auto"/>
                      <w:szCs w:val="21"/>
                    </w:rPr>
                    <w:t>0.18</w:t>
                  </w:r>
                </w:p>
              </w:tc>
              <w:tc>
                <w:tcPr>
                  <w:tcW w:w="1110" w:type="dxa"/>
                  <w:vMerge w:val="continue"/>
                  <w:vAlign w:val="center"/>
                </w:tcPr>
                <w:p>
                  <w:pPr>
                    <w:jc w:val="center"/>
                    <w:rPr>
                      <w:color w:val="auto"/>
                    </w:rPr>
                  </w:pPr>
                </w:p>
              </w:tc>
              <w:tc>
                <w:tcPr>
                  <w:tcW w:w="1345" w:type="dxa"/>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vAlign w:val="center"/>
                </w:tcPr>
                <w:p>
                  <w:pPr>
                    <w:jc w:val="center"/>
                    <w:rPr>
                      <w:color w:val="auto"/>
                      <w:szCs w:val="21"/>
                    </w:rPr>
                  </w:pPr>
                  <w:r>
                    <w:rPr>
                      <w:rFonts w:hint="eastAsia"/>
                      <w:color w:val="auto"/>
                      <w:szCs w:val="21"/>
                    </w:rPr>
                    <w:t>备注</w:t>
                  </w:r>
                </w:p>
              </w:tc>
              <w:tc>
                <w:tcPr>
                  <w:tcW w:w="5860" w:type="dxa"/>
                  <w:gridSpan w:val="3"/>
                  <w:vAlign w:val="center"/>
                </w:tcPr>
                <w:p>
                  <w:pPr>
                    <w:jc w:val="center"/>
                    <w:rPr>
                      <w:color w:val="auto"/>
                      <w:szCs w:val="21"/>
                    </w:rPr>
                  </w:pPr>
                  <w:r>
                    <w:rPr>
                      <w:rFonts w:hint="eastAsia"/>
                      <w:color w:val="auto"/>
                      <w:szCs w:val="21"/>
                    </w:rPr>
                    <w:t>注：1.</w:t>
                  </w:r>
                  <w:r>
                    <w:rPr>
                      <w:rFonts w:hint="eastAsia"/>
                      <w:color w:val="auto"/>
                      <w:szCs w:val="21"/>
                      <w:lang w:val="en-GB"/>
                    </w:rPr>
                    <w:t>检测结果低于方法检出限时,该项检测结果以“＜</w:t>
                  </w:r>
                  <w:r>
                    <w:rPr>
                      <w:rFonts w:hint="eastAsia"/>
                      <w:color w:val="auto"/>
                      <w:szCs w:val="21"/>
                    </w:rPr>
                    <w:t>检出限</w:t>
                  </w:r>
                  <w:r>
                    <w:rPr>
                      <w:rFonts w:hint="eastAsia"/>
                      <w:color w:val="auto"/>
                      <w:szCs w:val="21"/>
                      <w:lang w:val="en-GB"/>
                    </w:rPr>
                    <w:t>”表示；</w:t>
                  </w:r>
                </w:p>
              </w:tc>
            </w:tr>
          </w:tbl>
          <w:p>
            <w:pPr>
              <w:adjustRightInd w:val="0"/>
              <w:snapToGrid w:val="0"/>
              <w:spacing w:before="120" w:beforeLines="50" w:line="360" w:lineRule="auto"/>
              <w:ind w:firstLine="480" w:firstLineChars="200"/>
              <w:rPr>
                <w:color w:val="auto"/>
                <w:sz w:val="24"/>
              </w:rPr>
            </w:pPr>
            <w:r>
              <w:rPr>
                <w:color w:val="auto"/>
                <w:sz w:val="24"/>
              </w:rPr>
              <w:t>由以上监测结果可见，项目</w:t>
            </w:r>
            <w:r>
              <w:rPr>
                <w:rFonts w:hint="eastAsia"/>
                <w:color w:val="auto"/>
                <w:sz w:val="24"/>
              </w:rPr>
              <w:t>区下风向清水沟村</w:t>
            </w:r>
            <w:r>
              <w:rPr>
                <w:color w:val="auto"/>
                <w:sz w:val="24"/>
              </w:rPr>
              <w:t>TSP的日均值满足《环境空气质量标准》（GB3095-2012）中的二级标准，TVOC满足《环境影响评价技术导则大气环境（HJ2.2-2018）》附录D中规定的600μg/m</w:t>
            </w:r>
            <w:r>
              <w:rPr>
                <w:color w:val="auto"/>
                <w:sz w:val="24"/>
                <w:vertAlign w:val="superscript"/>
              </w:rPr>
              <w:t>3</w:t>
            </w:r>
            <w:r>
              <w:rPr>
                <w:color w:val="auto"/>
                <w:sz w:val="24"/>
              </w:rPr>
              <w:t>限值。</w:t>
            </w:r>
            <w:r>
              <w:rPr>
                <w:rFonts w:hint="eastAsia"/>
                <w:color w:val="auto"/>
                <w:sz w:val="24"/>
              </w:rPr>
              <w:t>项目区环境空气质量满足功能区要求。</w:t>
            </w:r>
          </w:p>
          <w:p>
            <w:pPr>
              <w:spacing w:line="360" w:lineRule="auto"/>
              <w:ind w:firstLine="482" w:firstLineChars="200"/>
              <w:rPr>
                <w:b/>
                <w:bCs/>
                <w:color w:val="auto"/>
                <w:sz w:val="24"/>
              </w:rPr>
            </w:pPr>
            <w:r>
              <w:rPr>
                <w:b/>
                <w:bCs/>
                <w:color w:val="auto"/>
                <w:sz w:val="24"/>
              </w:rPr>
              <w:t>二、地表水环境质量现状</w:t>
            </w:r>
          </w:p>
          <w:p>
            <w:pPr>
              <w:spacing w:line="360" w:lineRule="auto"/>
              <w:ind w:firstLine="560"/>
              <w:rPr>
                <w:color w:val="auto"/>
                <w:kern w:val="0"/>
                <w:sz w:val="24"/>
                <w:lang w:val="zh-CN"/>
              </w:rPr>
            </w:pPr>
            <w:r>
              <w:rPr>
                <w:color w:val="auto"/>
                <w:kern w:val="0"/>
                <w:sz w:val="24"/>
              </w:rPr>
              <w:t>本项目涉及的地表水体主要为羊街河（果马河）。</w:t>
            </w:r>
            <w:r>
              <w:rPr>
                <w:color w:val="auto"/>
                <w:sz w:val="24"/>
              </w:rPr>
              <w:t>根据云南省水利厅2014年5月发布的《云南省水功能区划》（2014年修订），</w:t>
            </w:r>
            <w:r>
              <w:rPr>
                <w:rFonts w:hint="eastAsia"/>
                <w:color w:val="auto"/>
                <w:sz w:val="24"/>
              </w:rPr>
              <w:t>牛栏江（寻甸县河源-沾益县德泽水库坝址）水功能区划为牛栏江-滇池补水水源保护区。现状水质为Ⅲ类~Ⅴ类，2030年水质目标为Ⅲ类，羊街河（果马河）位于牛栏江-滇池补水水源保护区，寻甸县河源-沾益县德泽水库坝址段，功能类别为Ⅲ类水，执行《地表水环境质量标准》（GB3838-2002）Ⅲ类标准。</w:t>
            </w:r>
          </w:p>
          <w:p>
            <w:pPr>
              <w:spacing w:line="360" w:lineRule="auto"/>
              <w:ind w:firstLine="480" w:firstLineChars="200"/>
              <w:rPr>
                <w:color w:val="auto"/>
                <w:sz w:val="24"/>
              </w:rPr>
            </w:pPr>
            <w:r>
              <w:rPr>
                <w:color w:val="auto"/>
                <w:sz w:val="24"/>
              </w:rPr>
              <w:t>根据寻甸县人民政府发布的“202</w:t>
            </w:r>
            <w:r>
              <w:rPr>
                <w:rFonts w:hint="eastAsia"/>
                <w:color w:val="auto"/>
                <w:sz w:val="24"/>
              </w:rPr>
              <w:t>2</w:t>
            </w:r>
            <w:r>
              <w:rPr>
                <w:color w:val="auto"/>
                <w:sz w:val="24"/>
              </w:rPr>
              <w:t>年</w:t>
            </w:r>
            <w:r>
              <w:rPr>
                <w:rFonts w:hint="eastAsia"/>
                <w:color w:val="auto"/>
                <w:sz w:val="24"/>
              </w:rPr>
              <w:t>12月寻甸县水环境质量监测月报</w:t>
            </w:r>
            <w:r>
              <w:rPr>
                <w:color w:val="auto"/>
                <w:sz w:val="24"/>
              </w:rPr>
              <w:t>”，</w:t>
            </w:r>
            <w:r>
              <w:rPr>
                <w:rFonts w:hint="eastAsia"/>
                <w:color w:val="auto"/>
                <w:sz w:val="24"/>
              </w:rPr>
              <w:t>寻甸县环境监测站2022年12月6日对羊街河（果马河）李家坝断面的水质监测结果为Ⅲ类。故项目区地表水</w:t>
            </w:r>
            <w:r>
              <w:rPr>
                <w:color w:val="auto"/>
                <w:sz w:val="24"/>
              </w:rPr>
              <w:t>羊街河（果马河）</w:t>
            </w:r>
            <w:r>
              <w:rPr>
                <w:rFonts w:hint="eastAsia"/>
                <w:color w:val="auto"/>
                <w:sz w:val="24"/>
              </w:rPr>
              <w:t>能满足GB3838-2002《地表水环境质量标准》Ⅲ类标准要求。</w:t>
            </w:r>
          </w:p>
          <w:p>
            <w:pPr>
              <w:spacing w:line="360" w:lineRule="auto"/>
              <w:ind w:firstLine="482" w:firstLineChars="200"/>
              <w:rPr>
                <w:b/>
                <w:bCs/>
                <w:color w:val="auto"/>
                <w:sz w:val="24"/>
              </w:rPr>
            </w:pPr>
            <w:r>
              <w:rPr>
                <w:b/>
                <w:bCs/>
                <w:color w:val="auto"/>
                <w:sz w:val="24"/>
              </w:rPr>
              <w:t>三、声环境质量现状</w:t>
            </w:r>
          </w:p>
          <w:p>
            <w:pPr>
              <w:spacing w:line="360" w:lineRule="auto"/>
              <w:ind w:firstLine="480" w:firstLineChars="200"/>
              <w:rPr>
                <w:color w:val="auto"/>
                <w:sz w:val="24"/>
              </w:rPr>
            </w:pPr>
            <w:r>
              <w:rPr>
                <w:color w:val="auto"/>
                <w:sz w:val="24"/>
              </w:rPr>
              <w:t>项目位于</w:t>
            </w:r>
            <w:r>
              <w:rPr>
                <w:rFonts w:hint="eastAsia"/>
                <w:color w:val="auto"/>
                <w:sz w:val="24"/>
              </w:rPr>
              <w:t>寻甸特色产业园区羊街片区</w:t>
            </w:r>
            <w:r>
              <w:rPr>
                <w:color w:val="auto"/>
                <w:sz w:val="24"/>
              </w:rPr>
              <w:t>，属于寻甸工业园区内，</w:t>
            </w:r>
            <w:r>
              <w:rPr>
                <w:color w:val="auto"/>
                <w:sz w:val="24"/>
                <w:lang w:val="zh-CN"/>
              </w:rPr>
              <w:t>因此</w:t>
            </w:r>
            <w:r>
              <w:rPr>
                <w:color w:val="auto"/>
                <w:sz w:val="24"/>
              </w:rPr>
              <w:t>评价区域</w:t>
            </w:r>
            <w:r>
              <w:rPr>
                <w:color w:val="auto"/>
                <w:sz w:val="24"/>
                <w:lang w:val="zh-CN"/>
              </w:rPr>
              <w:t>属于</w:t>
            </w:r>
            <w:r>
              <w:rPr>
                <w:color w:val="auto"/>
                <w:sz w:val="24"/>
              </w:rPr>
              <w:t>《声环境质量标准》（GB3096-2008）3类声环境功能区。为了解本项目所在区域声环境质量现状，</w:t>
            </w:r>
            <w:r>
              <w:rPr>
                <w:rFonts w:hint="eastAsia"/>
                <w:color w:val="auto"/>
                <w:sz w:val="24"/>
              </w:rPr>
              <w:t>云南塑发科技有限公司</w:t>
            </w:r>
            <w:r>
              <w:rPr>
                <w:color w:val="auto"/>
                <w:sz w:val="24"/>
              </w:rPr>
              <w:t>委托</w:t>
            </w:r>
            <w:r>
              <w:rPr>
                <w:color w:val="auto"/>
                <w:sz w:val="24"/>
                <w:lang w:val="zh-CN"/>
              </w:rPr>
              <w:t>云南</w:t>
            </w:r>
            <w:r>
              <w:rPr>
                <w:rFonts w:hint="eastAsia"/>
                <w:color w:val="auto"/>
                <w:sz w:val="24"/>
              </w:rPr>
              <w:t>鼎祺检测</w:t>
            </w:r>
            <w:r>
              <w:rPr>
                <w:color w:val="auto"/>
                <w:sz w:val="24"/>
                <w:lang w:val="zh-CN"/>
              </w:rPr>
              <w:t>有限公司于</w:t>
            </w:r>
            <w:r>
              <w:rPr>
                <w:color w:val="auto"/>
                <w:sz w:val="24"/>
              </w:rPr>
              <w:t>202</w:t>
            </w:r>
            <w:r>
              <w:rPr>
                <w:rFonts w:hint="eastAsia"/>
                <w:color w:val="auto"/>
                <w:sz w:val="24"/>
              </w:rPr>
              <w:t>2</w:t>
            </w:r>
            <w:r>
              <w:rPr>
                <w:color w:val="auto"/>
                <w:sz w:val="24"/>
              </w:rPr>
              <w:t>年</w:t>
            </w:r>
            <w:r>
              <w:rPr>
                <w:rFonts w:hint="eastAsia"/>
                <w:color w:val="auto"/>
                <w:sz w:val="24"/>
              </w:rPr>
              <w:t>8</w:t>
            </w:r>
            <w:r>
              <w:rPr>
                <w:color w:val="auto"/>
                <w:sz w:val="24"/>
              </w:rPr>
              <w:t>月</w:t>
            </w:r>
            <w:r>
              <w:rPr>
                <w:rFonts w:hint="eastAsia"/>
                <w:color w:val="auto"/>
                <w:sz w:val="24"/>
              </w:rPr>
              <w:t>17</w:t>
            </w:r>
            <w:r>
              <w:rPr>
                <w:color w:val="auto"/>
                <w:sz w:val="24"/>
              </w:rPr>
              <w:t>日至202</w:t>
            </w:r>
            <w:r>
              <w:rPr>
                <w:rFonts w:hint="eastAsia"/>
                <w:color w:val="auto"/>
                <w:sz w:val="24"/>
              </w:rPr>
              <w:t>2</w:t>
            </w:r>
            <w:r>
              <w:rPr>
                <w:color w:val="auto"/>
                <w:sz w:val="24"/>
              </w:rPr>
              <w:t>年</w:t>
            </w:r>
            <w:r>
              <w:rPr>
                <w:rFonts w:hint="eastAsia"/>
                <w:color w:val="auto"/>
                <w:sz w:val="24"/>
              </w:rPr>
              <w:t>8</w:t>
            </w:r>
            <w:r>
              <w:rPr>
                <w:color w:val="auto"/>
                <w:sz w:val="24"/>
              </w:rPr>
              <w:t>月</w:t>
            </w:r>
            <w:r>
              <w:rPr>
                <w:rFonts w:hint="eastAsia"/>
                <w:color w:val="auto"/>
                <w:sz w:val="24"/>
              </w:rPr>
              <w:t>18</w:t>
            </w:r>
            <w:r>
              <w:rPr>
                <w:color w:val="auto"/>
                <w:sz w:val="24"/>
              </w:rPr>
              <w:t>日对项目区东南西北厂界进行了声环境质量现状监测。</w:t>
            </w:r>
            <w:r>
              <w:rPr>
                <w:rFonts w:hint="eastAsia"/>
                <w:color w:val="auto"/>
                <w:sz w:val="24"/>
              </w:rPr>
              <w:t>监测结果如下所示</w:t>
            </w:r>
            <w:r>
              <w:rPr>
                <w:color w:val="auto"/>
                <w:sz w:val="24"/>
              </w:rPr>
              <w:t>：</w:t>
            </w:r>
          </w:p>
          <w:p>
            <w:pPr>
              <w:adjustRightInd w:val="0"/>
              <w:snapToGrid w:val="0"/>
              <w:spacing w:line="360" w:lineRule="auto"/>
              <w:ind w:firstLine="482" w:firstLineChars="200"/>
              <w:jc w:val="center"/>
              <w:rPr>
                <w:b/>
                <w:color w:val="auto"/>
                <w:sz w:val="24"/>
              </w:rPr>
            </w:pPr>
            <w:r>
              <w:rPr>
                <w:b/>
                <w:color w:val="auto"/>
                <w:sz w:val="24"/>
              </w:rPr>
              <w:t>表3-</w:t>
            </w:r>
            <w:r>
              <w:rPr>
                <w:rFonts w:hint="eastAsia"/>
                <w:b/>
                <w:color w:val="auto"/>
                <w:sz w:val="24"/>
              </w:rPr>
              <w:t>3  厂界</w:t>
            </w:r>
            <w:r>
              <w:rPr>
                <w:b/>
                <w:color w:val="auto"/>
                <w:sz w:val="24"/>
              </w:rPr>
              <w:t>监测结果</w:t>
            </w:r>
            <w:r>
              <w:rPr>
                <w:rFonts w:hint="eastAsia"/>
                <w:b/>
                <w:color w:val="auto"/>
                <w:sz w:val="24"/>
              </w:rPr>
              <w:t>单位：dB（A）</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693"/>
              <w:gridCol w:w="778"/>
              <w:gridCol w:w="930"/>
              <w:gridCol w:w="831"/>
              <w:gridCol w:w="896"/>
              <w:gridCol w:w="820"/>
              <w:gridCol w:w="923"/>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shd w:val="clear" w:color="auto" w:fill="auto"/>
                  <w:vAlign w:val="center"/>
                </w:tcPr>
                <w:p>
                  <w:pPr>
                    <w:jc w:val="center"/>
                    <w:rPr>
                      <w:b/>
                      <w:bCs/>
                      <w:color w:val="auto"/>
                      <w:szCs w:val="21"/>
                    </w:rPr>
                  </w:pPr>
                  <w:r>
                    <w:rPr>
                      <w:rFonts w:hint="eastAsia"/>
                      <w:b/>
                      <w:bCs/>
                      <w:color w:val="auto"/>
                      <w:szCs w:val="21"/>
                    </w:rPr>
                    <w:t>时间</w:t>
                  </w:r>
                </w:p>
              </w:tc>
              <w:tc>
                <w:tcPr>
                  <w:tcW w:w="2085" w:type="pct"/>
                  <w:gridSpan w:val="4"/>
                  <w:shd w:val="clear" w:color="auto" w:fill="auto"/>
                  <w:vAlign w:val="center"/>
                </w:tcPr>
                <w:p>
                  <w:pPr>
                    <w:jc w:val="center"/>
                    <w:rPr>
                      <w:color w:val="auto"/>
                      <w:szCs w:val="21"/>
                    </w:rPr>
                  </w:pPr>
                  <w:r>
                    <w:rPr>
                      <w:color w:val="auto"/>
                      <w:szCs w:val="21"/>
                    </w:rPr>
                    <w:t>2022年</w:t>
                  </w:r>
                  <w:r>
                    <w:rPr>
                      <w:rFonts w:hint="eastAsia"/>
                      <w:color w:val="auto"/>
                      <w:szCs w:val="21"/>
                    </w:rPr>
                    <w:t>8</w:t>
                  </w:r>
                  <w:r>
                    <w:rPr>
                      <w:color w:val="auto"/>
                      <w:szCs w:val="21"/>
                    </w:rPr>
                    <w:t>月</w:t>
                  </w:r>
                  <w:r>
                    <w:rPr>
                      <w:rFonts w:hint="eastAsia"/>
                      <w:color w:val="auto"/>
                      <w:szCs w:val="21"/>
                    </w:rPr>
                    <w:t>17</w:t>
                  </w:r>
                  <w:r>
                    <w:rPr>
                      <w:color w:val="auto"/>
                      <w:szCs w:val="21"/>
                    </w:rPr>
                    <w:t>日</w:t>
                  </w:r>
                </w:p>
              </w:tc>
              <w:tc>
                <w:tcPr>
                  <w:tcW w:w="2211" w:type="pct"/>
                  <w:gridSpan w:val="4"/>
                  <w:shd w:val="clear" w:color="auto" w:fill="auto"/>
                  <w:vAlign w:val="center"/>
                </w:tcPr>
                <w:p>
                  <w:pPr>
                    <w:jc w:val="center"/>
                    <w:rPr>
                      <w:color w:val="auto"/>
                      <w:szCs w:val="21"/>
                    </w:rPr>
                  </w:pPr>
                  <w:r>
                    <w:rPr>
                      <w:color w:val="auto"/>
                      <w:szCs w:val="21"/>
                    </w:rPr>
                    <w:t>2022年</w:t>
                  </w:r>
                  <w:r>
                    <w:rPr>
                      <w:rFonts w:hint="eastAsia"/>
                      <w:color w:val="auto"/>
                      <w:szCs w:val="21"/>
                    </w:rPr>
                    <w:t>8</w:t>
                  </w:r>
                  <w:r>
                    <w:rPr>
                      <w:color w:val="auto"/>
                      <w:szCs w:val="21"/>
                    </w:rPr>
                    <w:t>月</w:t>
                  </w:r>
                  <w:r>
                    <w:rPr>
                      <w:rFonts w:hint="eastAsia"/>
                      <w:color w:val="auto"/>
                      <w:szCs w:val="21"/>
                    </w:rPr>
                    <w:t>18</w:t>
                  </w:r>
                  <w:r>
                    <w:rPr>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702" w:type="pct"/>
                  <w:shd w:val="clear" w:color="auto" w:fill="auto"/>
                  <w:vAlign w:val="center"/>
                </w:tcPr>
                <w:p>
                  <w:pPr>
                    <w:jc w:val="center"/>
                    <w:rPr>
                      <w:b/>
                      <w:bCs/>
                      <w:color w:val="auto"/>
                      <w:szCs w:val="21"/>
                    </w:rPr>
                  </w:pPr>
                  <w:r>
                    <w:rPr>
                      <w:rFonts w:hint="eastAsia"/>
                      <w:b/>
                      <w:bCs/>
                      <w:color w:val="auto"/>
                      <w:szCs w:val="21"/>
                    </w:rPr>
                    <w:t>监测点位</w:t>
                  </w:r>
                </w:p>
              </w:tc>
              <w:tc>
                <w:tcPr>
                  <w:tcW w:w="447" w:type="pct"/>
                  <w:shd w:val="clear" w:color="auto" w:fill="auto"/>
                  <w:vAlign w:val="center"/>
                </w:tcPr>
                <w:p>
                  <w:pPr>
                    <w:jc w:val="center"/>
                    <w:rPr>
                      <w:color w:val="auto"/>
                      <w:szCs w:val="21"/>
                    </w:rPr>
                  </w:pPr>
                  <w:r>
                    <w:rPr>
                      <w:rFonts w:hint="eastAsia"/>
                      <w:color w:val="auto"/>
                      <w:szCs w:val="21"/>
                    </w:rPr>
                    <w:t>昼间</w:t>
                  </w:r>
                </w:p>
              </w:tc>
              <w:tc>
                <w:tcPr>
                  <w:tcW w:w="502" w:type="pct"/>
                  <w:shd w:val="clear" w:color="auto" w:fill="auto"/>
                  <w:vAlign w:val="center"/>
                </w:tcPr>
                <w:p>
                  <w:pPr>
                    <w:jc w:val="center"/>
                    <w:rPr>
                      <w:color w:val="auto"/>
                      <w:szCs w:val="21"/>
                    </w:rPr>
                  </w:pPr>
                  <w:r>
                    <w:rPr>
                      <w:rFonts w:hint="eastAsia"/>
                      <w:color w:val="auto"/>
                      <w:szCs w:val="21"/>
                    </w:rPr>
                    <w:t>达标情况</w:t>
                  </w:r>
                </w:p>
              </w:tc>
              <w:tc>
                <w:tcPr>
                  <w:tcW w:w="600" w:type="pct"/>
                  <w:shd w:val="clear" w:color="auto" w:fill="auto"/>
                  <w:vAlign w:val="center"/>
                </w:tcPr>
                <w:p>
                  <w:pPr>
                    <w:jc w:val="center"/>
                    <w:rPr>
                      <w:color w:val="auto"/>
                      <w:szCs w:val="21"/>
                    </w:rPr>
                  </w:pPr>
                  <w:r>
                    <w:rPr>
                      <w:rFonts w:hint="eastAsia"/>
                      <w:color w:val="auto"/>
                      <w:szCs w:val="21"/>
                    </w:rPr>
                    <w:t>夜间</w:t>
                  </w:r>
                </w:p>
              </w:tc>
              <w:tc>
                <w:tcPr>
                  <w:tcW w:w="536" w:type="pct"/>
                  <w:shd w:val="clear" w:color="auto" w:fill="auto"/>
                  <w:vAlign w:val="center"/>
                </w:tcPr>
                <w:p>
                  <w:pPr>
                    <w:jc w:val="center"/>
                    <w:rPr>
                      <w:color w:val="auto"/>
                      <w:szCs w:val="21"/>
                    </w:rPr>
                  </w:pPr>
                  <w:r>
                    <w:rPr>
                      <w:rFonts w:hint="eastAsia"/>
                      <w:color w:val="auto"/>
                      <w:szCs w:val="21"/>
                    </w:rPr>
                    <w:t>达标情况</w:t>
                  </w:r>
                </w:p>
              </w:tc>
              <w:tc>
                <w:tcPr>
                  <w:tcW w:w="578" w:type="pct"/>
                  <w:shd w:val="clear" w:color="auto" w:fill="auto"/>
                  <w:vAlign w:val="center"/>
                </w:tcPr>
                <w:p>
                  <w:pPr>
                    <w:jc w:val="center"/>
                    <w:rPr>
                      <w:color w:val="auto"/>
                      <w:szCs w:val="21"/>
                    </w:rPr>
                  </w:pPr>
                  <w:r>
                    <w:rPr>
                      <w:rFonts w:hint="eastAsia"/>
                      <w:color w:val="auto"/>
                      <w:szCs w:val="21"/>
                    </w:rPr>
                    <w:t>昼间</w:t>
                  </w:r>
                </w:p>
              </w:tc>
              <w:tc>
                <w:tcPr>
                  <w:tcW w:w="529" w:type="pct"/>
                  <w:shd w:val="clear" w:color="auto" w:fill="auto"/>
                  <w:vAlign w:val="center"/>
                </w:tcPr>
                <w:p>
                  <w:pPr>
                    <w:jc w:val="center"/>
                    <w:rPr>
                      <w:color w:val="auto"/>
                      <w:szCs w:val="21"/>
                    </w:rPr>
                  </w:pPr>
                  <w:r>
                    <w:rPr>
                      <w:rFonts w:hint="eastAsia"/>
                      <w:color w:val="auto"/>
                      <w:szCs w:val="21"/>
                    </w:rPr>
                    <w:t>达标情况</w:t>
                  </w:r>
                </w:p>
              </w:tc>
              <w:tc>
                <w:tcPr>
                  <w:tcW w:w="595" w:type="pct"/>
                  <w:shd w:val="clear" w:color="auto" w:fill="auto"/>
                  <w:vAlign w:val="center"/>
                </w:tcPr>
                <w:p>
                  <w:pPr>
                    <w:jc w:val="center"/>
                    <w:rPr>
                      <w:color w:val="auto"/>
                      <w:szCs w:val="21"/>
                    </w:rPr>
                  </w:pPr>
                  <w:r>
                    <w:rPr>
                      <w:rFonts w:hint="eastAsia"/>
                      <w:color w:val="auto"/>
                      <w:szCs w:val="21"/>
                    </w:rPr>
                    <w:t>夜间</w:t>
                  </w:r>
                </w:p>
              </w:tc>
              <w:tc>
                <w:tcPr>
                  <w:tcW w:w="509" w:type="pct"/>
                  <w:shd w:val="clear" w:color="auto" w:fill="auto"/>
                  <w:vAlign w:val="center"/>
                </w:tcPr>
                <w:p>
                  <w:pPr>
                    <w:jc w:val="center"/>
                    <w:rPr>
                      <w:color w:val="auto"/>
                      <w:szCs w:val="21"/>
                    </w:rPr>
                  </w:pPr>
                  <w:r>
                    <w:rPr>
                      <w:rFonts w:hint="eastAsia"/>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shd w:val="clear" w:color="auto" w:fill="auto"/>
                  <w:vAlign w:val="center"/>
                </w:tcPr>
                <w:p>
                  <w:pPr>
                    <w:jc w:val="center"/>
                    <w:rPr>
                      <w:b/>
                      <w:bCs/>
                      <w:color w:val="auto"/>
                      <w:szCs w:val="21"/>
                    </w:rPr>
                  </w:pPr>
                  <w:r>
                    <w:rPr>
                      <w:rFonts w:hint="eastAsia"/>
                      <w:b/>
                      <w:bCs/>
                      <w:color w:val="auto"/>
                      <w:szCs w:val="21"/>
                    </w:rPr>
                    <w:t>厂界东面</w:t>
                  </w:r>
                </w:p>
              </w:tc>
              <w:tc>
                <w:tcPr>
                  <w:tcW w:w="447" w:type="pct"/>
                  <w:shd w:val="clear" w:color="auto" w:fill="auto"/>
                  <w:vAlign w:val="center"/>
                </w:tcPr>
                <w:p>
                  <w:pPr>
                    <w:jc w:val="center"/>
                    <w:rPr>
                      <w:color w:val="auto"/>
                      <w:szCs w:val="21"/>
                    </w:rPr>
                  </w:pPr>
                  <w:r>
                    <w:rPr>
                      <w:rFonts w:hint="eastAsia"/>
                      <w:color w:val="auto"/>
                      <w:szCs w:val="21"/>
                    </w:rPr>
                    <w:t>55</w:t>
                  </w:r>
                </w:p>
              </w:tc>
              <w:tc>
                <w:tcPr>
                  <w:tcW w:w="502" w:type="pct"/>
                  <w:shd w:val="clear" w:color="auto" w:fill="auto"/>
                  <w:vAlign w:val="center"/>
                </w:tcPr>
                <w:p>
                  <w:pPr>
                    <w:jc w:val="center"/>
                    <w:rPr>
                      <w:color w:val="auto"/>
                      <w:szCs w:val="21"/>
                    </w:rPr>
                  </w:pPr>
                  <w:r>
                    <w:rPr>
                      <w:rFonts w:hint="eastAsia"/>
                      <w:color w:val="auto"/>
                      <w:szCs w:val="21"/>
                    </w:rPr>
                    <w:t>达标</w:t>
                  </w:r>
                </w:p>
              </w:tc>
              <w:tc>
                <w:tcPr>
                  <w:tcW w:w="600" w:type="pct"/>
                  <w:shd w:val="clear" w:color="auto" w:fill="auto"/>
                  <w:vAlign w:val="center"/>
                </w:tcPr>
                <w:p>
                  <w:pPr>
                    <w:jc w:val="center"/>
                    <w:rPr>
                      <w:color w:val="auto"/>
                      <w:szCs w:val="21"/>
                    </w:rPr>
                  </w:pPr>
                  <w:r>
                    <w:rPr>
                      <w:rFonts w:hint="eastAsia"/>
                      <w:color w:val="auto"/>
                      <w:szCs w:val="21"/>
                    </w:rPr>
                    <w:t>46</w:t>
                  </w:r>
                </w:p>
              </w:tc>
              <w:tc>
                <w:tcPr>
                  <w:tcW w:w="536" w:type="pct"/>
                  <w:shd w:val="clear" w:color="auto" w:fill="auto"/>
                  <w:vAlign w:val="center"/>
                </w:tcPr>
                <w:p>
                  <w:pPr>
                    <w:jc w:val="center"/>
                    <w:rPr>
                      <w:color w:val="auto"/>
                      <w:szCs w:val="21"/>
                    </w:rPr>
                  </w:pPr>
                  <w:r>
                    <w:rPr>
                      <w:rFonts w:hint="eastAsia"/>
                      <w:color w:val="auto"/>
                      <w:szCs w:val="21"/>
                    </w:rPr>
                    <w:t>达标</w:t>
                  </w:r>
                </w:p>
              </w:tc>
              <w:tc>
                <w:tcPr>
                  <w:tcW w:w="578" w:type="pct"/>
                  <w:shd w:val="clear" w:color="auto" w:fill="auto"/>
                  <w:vAlign w:val="center"/>
                </w:tcPr>
                <w:p>
                  <w:pPr>
                    <w:jc w:val="center"/>
                    <w:rPr>
                      <w:color w:val="auto"/>
                      <w:szCs w:val="21"/>
                    </w:rPr>
                  </w:pPr>
                  <w:r>
                    <w:rPr>
                      <w:rFonts w:hint="eastAsia"/>
                      <w:color w:val="auto"/>
                      <w:szCs w:val="21"/>
                    </w:rPr>
                    <w:t>54</w:t>
                  </w:r>
                </w:p>
              </w:tc>
              <w:tc>
                <w:tcPr>
                  <w:tcW w:w="529" w:type="pct"/>
                  <w:shd w:val="clear" w:color="auto" w:fill="auto"/>
                  <w:vAlign w:val="center"/>
                </w:tcPr>
                <w:p>
                  <w:pPr>
                    <w:jc w:val="center"/>
                    <w:rPr>
                      <w:color w:val="auto"/>
                      <w:szCs w:val="21"/>
                    </w:rPr>
                  </w:pPr>
                  <w:r>
                    <w:rPr>
                      <w:rFonts w:hint="eastAsia"/>
                      <w:color w:val="auto"/>
                      <w:szCs w:val="21"/>
                    </w:rPr>
                    <w:t>达标</w:t>
                  </w:r>
                </w:p>
              </w:tc>
              <w:tc>
                <w:tcPr>
                  <w:tcW w:w="595" w:type="pct"/>
                  <w:shd w:val="clear" w:color="auto" w:fill="auto"/>
                  <w:vAlign w:val="center"/>
                </w:tcPr>
                <w:p>
                  <w:pPr>
                    <w:jc w:val="center"/>
                    <w:rPr>
                      <w:color w:val="auto"/>
                      <w:szCs w:val="21"/>
                    </w:rPr>
                  </w:pPr>
                  <w:r>
                    <w:rPr>
                      <w:rFonts w:hint="eastAsia"/>
                      <w:color w:val="auto"/>
                      <w:szCs w:val="21"/>
                    </w:rPr>
                    <w:t>43</w:t>
                  </w:r>
                </w:p>
              </w:tc>
              <w:tc>
                <w:tcPr>
                  <w:tcW w:w="509" w:type="pct"/>
                  <w:shd w:val="clear" w:color="auto" w:fill="auto"/>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shd w:val="clear" w:color="auto" w:fill="auto"/>
                  <w:vAlign w:val="center"/>
                </w:tcPr>
                <w:p>
                  <w:pPr>
                    <w:jc w:val="center"/>
                    <w:rPr>
                      <w:b/>
                      <w:bCs/>
                      <w:color w:val="auto"/>
                      <w:szCs w:val="21"/>
                    </w:rPr>
                  </w:pPr>
                  <w:r>
                    <w:rPr>
                      <w:rFonts w:hint="eastAsia"/>
                      <w:b/>
                      <w:bCs/>
                      <w:color w:val="auto"/>
                      <w:szCs w:val="21"/>
                    </w:rPr>
                    <w:t>厂界南面</w:t>
                  </w:r>
                </w:p>
              </w:tc>
              <w:tc>
                <w:tcPr>
                  <w:tcW w:w="447" w:type="pct"/>
                  <w:shd w:val="clear" w:color="auto" w:fill="auto"/>
                  <w:vAlign w:val="center"/>
                </w:tcPr>
                <w:p>
                  <w:pPr>
                    <w:jc w:val="center"/>
                    <w:rPr>
                      <w:color w:val="auto"/>
                      <w:szCs w:val="21"/>
                    </w:rPr>
                  </w:pPr>
                  <w:r>
                    <w:rPr>
                      <w:rFonts w:hint="eastAsia"/>
                      <w:color w:val="auto"/>
                      <w:szCs w:val="21"/>
                    </w:rPr>
                    <w:t>56</w:t>
                  </w:r>
                </w:p>
              </w:tc>
              <w:tc>
                <w:tcPr>
                  <w:tcW w:w="502" w:type="pct"/>
                  <w:shd w:val="clear" w:color="auto" w:fill="auto"/>
                  <w:vAlign w:val="center"/>
                </w:tcPr>
                <w:p>
                  <w:pPr>
                    <w:jc w:val="center"/>
                    <w:rPr>
                      <w:color w:val="auto"/>
                      <w:szCs w:val="21"/>
                    </w:rPr>
                  </w:pPr>
                  <w:r>
                    <w:rPr>
                      <w:rFonts w:hint="eastAsia"/>
                      <w:color w:val="auto"/>
                      <w:szCs w:val="21"/>
                    </w:rPr>
                    <w:t>达标</w:t>
                  </w:r>
                </w:p>
              </w:tc>
              <w:tc>
                <w:tcPr>
                  <w:tcW w:w="600" w:type="pct"/>
                  <w:shd w:val="clear" w:color="auto" w:fill="auto"/>
                  <w:vAlign w:val="center"/>
                </w:tcPr>
                <w:p>
                  <w:pPr>
                    <w:jc w:val="center"/>
                    <w:rPr>
                      <w:color w:val="auto"/>
                      <w:szCs w:val="21"/>
                    </w:rPr>
                  </w:pPr>
                  <w:r>
                    <w:rPr>
                      <w:rFonts w:hint="eastAsia"/>
                      <w:color w:val="auto"/>
                      <w:szCs w:val="21"/>
                    </w:rPr>
                    <w:t>44</w:t>
                  </w:r>
                </w:p>
              </w:tc>
              <w:tc>
                <w:tcPr>
                  <w:tcW w:w="536" w:type="pct"/>
                  <w:shd w:val="clear" w:color="auto" w:fill="auto"/>
                  <w:vAlign w:val="center"/>
                </w:tcPr>
                <w:p>
                  <w:pPr>
                    <w:jc w:val="center"/>
                    <w:rPr>
                      <w:color w:val="auto"/>
                      <w:szCs w:val="21"/>
                    </w:rPr>
                  </w:pPr>
                  <w:r>
                    <w:rPr>
                      <w:rFonts w:hint="eastAsia"/>
                      <w:color w:val="auto"/>
                      <w:szCs w:val="21"/>
                    </w:rPr>
                    <w:t>达标</w:t>
                  </w:r>
                </w:p>
              </w:tc>
              <w:tc>
                <w:tcPr>
                  <w:tcW w:w="578" w:type="pct"/>
                  <w:shd w:val="clear" w:color="auto" w:fill="auto"/>
                  <w:vAlign w:val="center"/>
                </w:tcPr>
                <w:p>
                  <w:pPr>
                    <w:jc w:val="center"/>
                    <w:rPr>
                      <w:color w:val="auto"/>
                      <w:szCs w:val="21"/>
                    </w:rPr>
                  </w:pPr>
                  <w:r>
                    <w:rPr>
                      <w:rFonts w:hint="eastAsia"/>
                      <w:color w:val="auto"/>
                      <w:szCs w:val="21"/>
                    </w:rPr>
                    <w:t>55</w:t>
                  </w:r>
                </w:p>
              </w:tc>
              <w:tc>
                <w:tcPr>
                  <w:tcW w:w="529" w:type="pct"/>
                  <w:shd w:val="clear" w:color="auto" w:fill="auto"/>
                  <w:vAlign w:val="center"/>
                </w:tcPr>
                <w:p>
                  <w:pPr>
                    <w:jc w:val="center"/>
                    <w:rPr>
                      <w:color w:val="auto"/>
                      <w:szCs w:val="21"/>
                    </w:rPr>
                  </w:pPr>
                  <w:r>
                    <w:rPr>
                      <w:rFonts w:hint="eastAsia"/>
                      <w:color w:val="auto"/>
                      <w:szCs w:val="21"/>
                    </w:rPr>
                    <w:t>达标</w:t>
                  </w:r>
                </w:p>
              </w:tc>
              <w:tc>
                <w:tcPr>
                  <w:tcW w:w="595" w:type="pct"/>
                  <w:shd w:val="clear" w:color="auto" w:fill="auto"/>
                  <w:vAlign w:val="center"/>
                </w:tcPr>
                <w:p>
                  <w:pPr>
                    <w:jc w:val="center"/>
                    <w:rPr>
                      <w:color w:val="auto"/>
                      <w:szCs w:val="21"/>
                    </w:rPr>
                  </w:pPr>
                  <w:r>
                    <w:rPr>
                      <w:rFonts w:hint="eastAsia"/>
                      <w:color w:val="auto"/>
                      <w:szCs w:val="21"/>
                    </w:rPr>
                    <w:t>44</w:t>
                  </w:r>
                </w:p>
              </w:tc>
              <w:tc>
                <w:tcPr>
                  <w:tcW w:w="509" w:type="pct"/>
                  <w:shd w:val="clear" w:color="auto" w:fill="auto"/>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2" w:type="pct"/>
                  <w:shd w:val="clear" w:color="auto" w:fill="auto"/>
                  <w:vAlign w:val="center"/>
                </w:tcPr>
                <w:p>
                  <w:pPr>
                    <w:jc w:val="center"/>
                    <w:rPr>
                      <w:b/>
                      <w:bCs/>
                      <w:color w:val="auto"/>
                      <w:szCs w:val="21"/>
                    </w:rPr>
                  </w:pPr>
                  <w:r>
                    <w:rPr>
                      <w:rFonts w:hint="eastAsia"/>
                      <w:b/>
                      <w:bCs/>
                      <w:color w:val="auto"/>
                      <w:szCs w:val="21"/>
                    </w:rPr>
                    <w:t>厂界西面</w:t>
                  </w:r>
                </w:p>
              </w:tc>
              <w:tc>
                <w:tcPr>
                  <w:tcW w:w="447" w:type="pct"/>
                  <w:shd w:val="clear" w:color="auto" w:fill="auto"/>
                  <w:vAlign w:val="center"/>
                </w:tcPr>
                <w:p>
                  <w:pPr>
                    <w:jc w:val="center"/>
                    <w:rPr>
                      <w:color w:val="auto"/>
                      <w:szCs w:val="21"/>
                    </w:rPr>
                  </w:pPr>
                  <w:r>
                    <w:rPr>
                      <w:rFonts w:hint="eastAsia"/>
                      <w:color w:val="auto"/>
                      <w:szCs w:val="21"/>
                    </w:rPr>
                    <w:t>54</w:t>
                  </w:r>
                </w:p>
              </w:tc>
              <w:tc>
                <w:tcPr>
                  <w:tcW w:w="502" w:type="pct"/>
                  <w:shd w:val="clear" w:color="auto" w:fill="auto"/>
                  <w:vAlign w:val="center"/>
                </w:tcPr>
                <w:p>
                  <w:pPr>
                    <w:jc w:val="center"/>
                    <w:rPr>
                      <w:color w:val="auto"/>
                      <w:szCs w:val="21"/>
                    </w:rPr>
                  </w:pPr>
                  <w:r>
                    <w:rPr>
                      <w:rFonts w:hint="eastAsia"/>
                      <w:color w:val="auto"/>
                      <w:szCs w:val="21"/>
                    </w:rPr>
                    <w:t>达标</w:t>
                  </w:r>
                </w:p>
              </w:tc>
              <w:tc>
                <w:tcPr>
                  <w:tcW w:w="600" w:type="pct"/>
                  <w:shd w:val="clear" w:color="auto" w:fill="auto"/>
                  <w:vAlign w:val="center"/>
                </w:tcPr>
                <w:p>
                  <w:pPr>
                    <w:jc w:val="center"/>
                    <w:rPr>
                      <w:color w:val="auto"/>
                      <w:szCs w:val="21"/>
                    </w:rPr>
                  </w:pPr>
                  <w:r>
                    <w:rPr>
                      <w:rFonts w:hint="eastAsia"/>
                      <w:color w:val="auto"/>
                      <w:szCs w:val="21"/>
                    </w:rPr>
                    <w:t>46</w:t>
                  </w:r>
                </w:p>
              </w:tc>
              <w:tc>
                <w:tcPr>
                  <w:tcW w:w="536" w:type="pct"/>
                  <w:shd w:val="clear" w:color="auto" w:fill="auto"/>
                  <w:vAlign w:val="center"/>
                </w:tcPr>
                <w:p>
                  <w:pPr>
                    <w:jc w:val="center"/>
                    <w:rPr>
                      <w:color w:val="auto"/>
                      <w:szCs w:val="21"/>
                    </w:rPr>
                  </w:pPr>
                  <w:r>
                    <w:rPr>
                      <w:rFonts w:hint="eastAsia"/>
                      <w:color w:val="auto"/>
                      <w:szCs w:val="21"/>
                    </w:rPr>
                    <w:t>达标</w:t>
                  </w:r>
                </w:p>
              </w:tc>
              <w:tc>
                <w:tcPr>
                  <w:tcW w:w="578" w:type="pct"/>
                  <w:shd w:val="clear" w:color="auto" w:fill="auto"/>
                  <w:vAlign w:val="center"/>
                </w:tcPr>
                <w:p>
                  <w:pPr>
                    <w:jc w:val="center"/>
                    <w:rPr>
                      <w:color w:val="auto"/>
                      <w:szCs w:val="21"/>
                    </w:rPr>
                  </w:pPr>
                  <w:r>
                    <w:rPr>
                      <w:rFonts w:hint="eastAsia"/>
                      <w:color w:val="auto"/>
                      <w:szCs w:val="21"/>
                    </w:rPr>
                    <w:t>54</w:t>
                  </w:r>
                </w:p>
              </w:tc>
              <w:tc>
                <w:tcPr>
                  <w:tcW w:w="529" w:type="pct"/>
                  <w:shd w:val="clear" w:color="auto" w:fill="auto"/>
                  <w:vAlign w:val="center"/>
                </w:tcPr>
                <w:p>
                  <w:pPr>
                    <w:jc w:val="center"/>
                    <w:rPr>
                      <w:color w:val="auto"/>
                      <w:szCs w:val="21"/>
                    </w:rPr>
                  </w:pPr>
                  <w:r>
                    <w:rPr>
                      <w:rFonts w:hint="eastAsia"/>
                      <w:color w:val="auto"/>
                      <w:szCs w:val="21"/>
                    </w:rPr>
                    <w:t>达标</w:t>
                  </w:r>
                </w:p>
              </w:tc>
              <w:tc>
                <w:tcPr>
                  <w:tcW w:w="595" w:type="pct"/>
                  <w:shd w:val="clear" w:color="auto" w:fill="auto"/>
                  <w:vAlign w:val="center"/>
                </w:tcPr>
                <w:p>
                  <w:pPr>
                    <w:jc w:val="center"/>
                    <w:rPr>
                      <w:color w:val="auto"/>
                      <w:szCs w:val="21"/>
                    </w:rPr>
                  </w:pPr>
                  <w:r>
                    <w:rPr>
                      <w:rFonts w:hint="eastAsia"/>
                      <w:color w:val="auto"/>
                      <w:szCs w:val="21"/>
                    </w:rPr>
                    <w:t>46</w:t>
                  </w:r>
                </w:p>
              </w:tc>
              <w:tc>
                <w:tcPr>
                  <w:tcW w:w="509" w:type="pct"/>
                  <w:shd w:val="clear" w:color="auto" w:fill="auto"/>
                  <w:vAlign w:val="center"/>
                </w:tcPr>
                <w:p>
                  <w:pPr>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shd w:val="clear" w:color="auto" w:fill="auto"/>
                  <w:vAlign w:val="center"/>
                </w:tcPr>
                <w:p>
                  <w:pPr>
                    <w:jc w:val="center"/>
                    <w:rPr>
                      <w:b/>
                      <w:bCs/>
                      <w:color w:val="auto"/>
                      <w:szCs w:val="21"/>
                    </w:rPr>
                  </w:pPr>
                  <w:r>
                    <w:rPr>
                      <w:rFonts w:hint="eastAsia"/>
                      <w:b/>
                      <w:bCs/>
                      <w:color w:val="auto"/>
                      <w:szCs w:val="21"/>
                    </w:rPr>
                    <w:t>厂界北面</w:t>
                  </w:r>
                </w:p>
              </w:tc>
              <w:tc>
                <w:tcPr>
                  <w:tcW w:w="447" w:type="pct"/>
                  <w:shd w:val="clear" w:color="auto" w:fill="auto"/>
                  <w:vAlign w:val="center"/>
                </w:tcPr>
                <w:p>
                  <w:pPr>
                    <w:jc w:val="center"/>
                    <w:rPr>
                      <w:color w:val="auto"/>
                      <w:szCs w:val="21"/>
                    </w:rPr>
                  </w:pPr>
                  <w:r>
                    <w:rPr>
                      <w:rFonts w:hint="eastAsia"/>
                      <w:color w:val="auto"/>
                      <w:szCs w:val="21"/>
                    </w:rPr>
                    <w:t>55</w:t>
                  </w:r>
                </w:p>
              </w:tc>
              <w:tc>
                <w:tcPr>
                  <w:tcW w:w="502" w:type="pct"/>
                  <w:shd w:val="clear" w:color="auto" w:fill="auto"/>
                  <w:vAlign w:val="center"/>
                </w:tcPr>
                <w:p>
                  <w:pPr>
                    <w:jc w:val="center"/>
                    <w:rPr>
                      <w:color w:val="auto"/>
                      <w:szCs w:val="21"/>
                    </w:rPr>
                  </w:pPr>
                  <w:r>
                    <w:rPr>
                      <w:rFonts w:hint="eastAsia"/>
                      <w:color w:val="auto"/>
                      <w:szCs w:val="21"/>
                    </w:rPr>
                    <w:t>达标</w:t>
                  </w:r>
                </w:p>
              </w:tc>
              <w:tc>
                <w:tcPr>
                  <w:tcW w:w="600" w:type="pct"/>
                  <w:shd w:val="clear" w:color="auto" w:fill="auto"/>
                  <w:vAlign w:val="center"/>
                </w:tcPr>
                <w:p>
                  <w:pPr>
                    <w:jc w:val="center"/>
                    <w:rPr>
                      <w:color w:val="auto"/>
                      <w:szCs w:val="21"/>
                    </w:rPr>
                  </w:pPr>
                  <w:r>
                    <w:rPr>
                      <w:rFonts w:hint="eastAsia"/>
                      <w:color w:val="auto"/>
                      <w:szCs w:val="21"/>
                    </w:rPr>
                    <w:t>44</w:t>
                  </w:r>
                </w:p>
              </w:tc>
              <w:tc>
                <w:tcPr>
                  <w:tcW w:w="536" w:type="pct"/>
                  <w:shd w:val="clear" w:color="auto" w:fill="auto"/>
                  <w:vAlign w:val="center"/>
                </w:tcPr>
                <w:p>
                  <w:pPr>
                    <w:jc w:val="center"/>
                    <w:rPr>
                      <w:color w:val="auto"/>
                      <w:szCs w:val="21"/>
                    </w:rPr>
                  </w:pPr>
                  <w:r>
                    <w:rPr>
                      <w:rFonts w:hint="eastAsia"/>
                      <w:color w:val="auto"/>
                      <w:szCs w:val="21"/>
                    </w:rPr>
                    <w:t>达标</w:t>
                  </w:r>
                </w:p>
              </w:tc>
              <w:tc>
                <w:tcPr>
                  <w:tcW w:w="578" w:type="pct"/>
                  <w:shd w:val="clear" w:color="auto" w:fill="auto"/>
                  <w:vAlign w:val="center"/>
                </w:tcPr>
                <w:p>
                  <w:pPr>
                    <w:jc w:val="center"/>
                    <w:rPr>
                      <w:color w:val="auto"/>
                      <w:szCs w:val="21"/>
                    </w:rPr>
                  </w:pPr>
                  <w:r>
                    <w:rPr>
                      <w:rFonts w:hint="eastAsia"/>
                      <w:color w:val="auto"/>
                      <w:szCs w:val="21"/>
                    </w:rPr>
                    <w:t>54</w:t>
                  </w:r>
                </w:p>
              </w:tc>
              <w:tc>
                <w:tcPr>
                  <w:tcW w:w="529" w:type="pct"/>
                  <w:shd w:val="clear" w:color="auto" w:fill="auto"/>
                  <w:vAlign w:val="center"/>
                </w:tcPr>
                <w:p>
                  <w:pPr>
                    <w:jc w:val="center"/>
                    <w:rPr>
                      <w:color w:val="auto"/>
                      <w:szCs w:val="21"/>
                    </w:rPr>
                  </w:pPr>
                  <w:r>
                    <w:rPr>
                      <w:rFonts w:hint="eastAsia"/>
                      <w:color w:val="auto"/>
                      <w:szCs w:val="21"/>
                    </w:rPr>
                    <w:t>达标</w:t>
                  </w:r>
                </w:p>
              </w:tc>
              <w:tc>
                <w:tcPr>
                  <w:tcW w:w="595" w:type="pct"/>
                  <w:shd w:val="clear" w:color="auto" w:fill="auto"/>
                  <w:vAlign w:val="center"/>
                </w:tcPr>
                <w:p>
                  <w:pPr>
                    <w:jc w:val="center"/>
                    <w:rPr>
                      <w:color w:val="auto"/>
                      <w:szCs w:val="21"/>
                    </w:rPr>
                  </w:pPr>
                  <w:r>
                    <w:rPr>
                      <w:rFonts w:hint="eastAsia"/>
                      <w:color w:val="auto"/>
                      <w:szCs w:val="21"/>
                    </w:rPr>
                    <w:t>45</w:t>
                  </w:r>
                </w:p>
              </w:tc>
              <w:tc>
                <w:tcPr>
                  <w:tcW w:w="509" w:type="pct"/>
                  <w:shd w:val="clear" w:color="auto" w:fill="auto"/>
                  <w:vAlign w:val="center"/>
                </w:tcPr>
                <w:p>
                  <w:pPr>
                    <w:jc w:val="center"/>
                    <w:rPr>
                      <w:color w:val="auto"/>
                      <w:szCs w:val="21"/>
                    </w:rPr>
                  </w:pPr>
                  <w:r>
                    <w:rPr>
                      <w:rFonts w:hint="eastAsia"/>
                      <w:color w:val="auto"/>
                      <w:szCs w:val="21"/>
                    </w:rPr>
                    <w:t>达标</w:t>
                  </w:r>
                </w:p>
              </w:tc>
            </w:tr>
          </w:tbl>
          <w:p>
            <w:pPr>
              <w:pStyle w:val="12"/>
              <w:ind w:firstLine="480" w:firstLineChars="200"/>
              <w:jc w:val="both"/>
              <w:rPr>
                <w:color w:val="auto"/>
                <w:spacing w:val="0"/>
                <w:kern w:val="2"/>
                <w:sz w:val="24"/>
                <w:lang w:val="en-US"/>
              </w:rPr>
            </w:pPr>
            <w:r>
              <w:rPr>
                <w:color w:val="auto"/>
                <w:spacing w:val="0"/>
                <w:kern w:val="2"/>
                <w:sz w:val="24"/>
                <w:lang w:val="en-US"/>
              </w:rPr>
              <w:t>根据监测结果可知，项目东、西、</w:t>
            </w:r>
            <w:r>
              <w:rPr>
                <w:rFonts w:hint="eastAsia"/>
                <w:color w:val="auto"/>
                <w:spacing w:val="0"/>
                <w:kern w:val="2"/>
                <w:sz w:val="24"/>
                <w:lang w:val="en-US"/>
              </w:rPr>
              <w:t>南、北</w:t>
            </w:r>
            <w:r>
              <w:rPr>
                <w:color w:val="auto"/>
                <w:spacing w:val="0"/>
                <w:kern w:val="2"/>
                <w:sz w:val="24"/>
                <w:lang w:val="en-US"/>
              </w:rPr>
              <w:t>厂界噪声满足《</w:t>
            </w:r>
            <w:r>
              <w:rPr>
                <w:color w:val="auto"/>
                <w:sz w:val="24"/>
              </w:rPr>
              <w:t>声环境质量标准》（GB3096-2008）</w:t>
            </w:r>
            <w:r>
              <w:rPr>
                <w:color w:val="auto"/>
                <w:spacing w:val="0"/>
                <w:kern w:val="2"/>
                <w:sz w:val="24"/>
                <w:lang w:val="en-US"/>
              </w:rPr>
              <w:t>中</w:t>
            </w:r>
            <w:r>
              <w:rPr>
                <w:rFonts w:hint="eastAsia"/>
                <w:color w:val="auto"/>
                <w:spacing w:val="0"/>
                <w:kern w:val="2"/>
                <w:sz w:val="24"/>
                <w:lang w:val="en-US"/>
              </w:rPr>
              <w:t>3</w:t>
            </w:r>
            <w:r>
              <w:rPr>
                <w:color w:val="auto"/>
                <w:spacing w:val="0"/>
                <w:kern w:val="2"/>
                <w:sz w:val="24"/>
                <w:lang w:val="en-US"/>
              </w:rPr>
              <w:t>类标准</w:t>
            </w:r>
            <w:r>
              <w:rPr>
                <w:rFonts w:hint="eastAsia"/>
                <w:color w:val="auto"/>
                <w:spacing w:val="0"/>
                <w:kern w:val="2"/>
                <w:sz w:val="24"/>
                <w:lang w:val="en-US"/>
              </w:rPr>
              <w:t>，即：昼间≤65dB（A），夜间≤55dB（A）。</w:t>
            </w:r>
          </w:p>
          <w:p>
            <w:pPr>
              <w:numPr>
                <w:ilvl w:val="0"/>
                <w:numId w:val="3"/>
              </w:numPr>
              <w:spacing w:line="360" w:lineRule="auto"/>
              <w:ind w:firstLine="482" w:firstLineChars="200"/>
              <w:rPr>
                <w:b/>
                <w:bCs/>
                <w:color w:val="auto"/>
                <w:sz w:val="24"/>
              </w:rPr>
            </w:pPr>
            <w:r>
              <w:rPr>
                <w:b/>
                <w:bCs/>
                <w:color w:val="auto"/>
                <w:sz w:val="24"/>
              </w:rPr>
              <w:t>生态环境质量现状</w:t>
            </w:r>
          </w:p>
          <w:p>
            <w:pPr>
              <w:pStyle w:val="4"/>
              <w:spacing w:before="0" w:after="0" w:line="360" w:lineRule="auto"/>
              <w:ind w:left="0" w:firstLine="480" w:firstLineChars="200"/>
              <w:rPr>
                <w:rFonts w:eastAsia="宋体"/>
                <w:color w:val="auto"/>
                <w:sz w:val="24"/>
                <w:szCs w:val="24"/>
              </w:rPr>
            </w:pPr>
            <w:r>
              <w:rPr>
                <w:rFonts w:eastAsia="宋体"/>
                <w:b w:val="0"/>
                <w:bCs w:val="0"/>
                <w:color w:val="auto"/>
                <w:kern w:val="2"/>
                <w:sz w:val="24"/>
                <w:szCs w:val="24"/>
              </w:rPr>
              <w:t>项目</w:t>
            </w:r>
            <w:r>
              <w:rPr>
                <w:rFonts w:hint="eastAsia" w:eastAsia="宋体"/>
                <w:b w:val="0"/>
                <w:bCs w:val="0"/>
                <w:color w:val="auto"/>
                <w:kern w:val="2"/>
                <w:sz w:val="24"/>
                <w:szCs w:val="24"/>
              </w:rPr>
              <w:t>所在区域为规划的工业园区，区域现状主要为水泥路面和人工绿化植被，无天然植被，生态环境自我调节能力低。调查范围内未涉及国家保护的</w:t>
            </w:r>
            <w:r>
              <w:rPr>
                <w:rFonts w:hint="eastAsia" w:eastAsia="宋体"/>
                <w:b w:val="0"/>
                <w:bCs w:val="0"/>
                <w:color w:val="auto"/>
                <w:kern w:val="2"/>
                <w:sz w:val="24"/>
                <w:szCs w:val="24"/>
                <w:lang w:val="en-US" w:eastAsia="zh-CN"/>
              </w:rPr>
              <w:t>珍稀</w:t>
            </w:r>
            <w:r>
              <w:rPr>
                <w:rFonts w:hint="eastAsia" w:eastAsia="宋体"/>
                <w:b w:val="0"/>
                <w:bCs w:val="0"/>
                <w:color w:val="auto"/>
                <w:kern w:val="2"/>
                <w:sz w:val="24"/>
                <w:szCs w:val="24"/>
              </w:rPr>
              <w:t>野生动、植物。项目周边不涉及自然保护区、风景名胜区及古树名木，无国家级、省级重点保护野生动植物分布。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39" w:hRule="atLeast"/>
          <w:jc w:val="center"/>
        </w:trPr>
        <w:tc>
          <w:tcPr>
            <w:tcW w:w="752" w:type="dxa"/>
            <w:vAlign w:val="center"/>
          </w:tcPr>
          <w:p>
            <w:pPr>
              <w:spacing w:line="360" w:lineRule="auto"/>
              <w:jc w:val="center"/>
              <w:rPr>
                <w:color w:val="auto"/>
                <w:sz w:val="24"/>
              </w:rPr>
            </w:pPr>
            <w:r>
              <w:rPr>
                <w:color w:val="auto"/>
                <w:sz w:val="24"/>
              </w:rPr>
              <w:t>环境</w:t>
            </w:r>
          </w:p>
          <w:p>
            <w:pPr>
              <w:spacing w:line="360" w:lineRule="auto"/>
              <w:jc w:val="center"/>
              <w:rPr>
                <w:color w:val="auto"/>
                <w:sz w:val="24"/>
              </w:rPr>
            </w:pPr>
            <w:r>
              <w:rPr>
                <w:color w:val="auto"/>
                <w:sz w:val="24"/>
              </w:rPr>
              <w:t>保护</w:t>
            </w:r>
          </w:p>
          <w:p>
            <w:pPr>
              <w:spacing w:line="360" w:lineRule="auto"/>
              <w:jc w:val="center"/>
              <w:rPr>
                <w:color w:val="auto"/>
                <w:sz w:val="24"/>
              </w:rPr>
            </w:pPr>
            <w:r>
              <w:rPr>
                <w:color w:val="auto"/>
                <w:sz w:val="24"/>
              </w:rPr>
              <w:t>目标</w:t>
            </w:r>
          </w:p>
        </w:tc>
        <w:tc>
          <w:tcPr>
            <w:tcW w:w="7968" w:type="dxa"/>
            <w:vAlign w:val="center"/>
          </w:tcPr>
          <w:p>
            <w:pPr>
              <w:autoSpaceDE w:val="0"/>
              <w:autoSpaceDN w:val="0"/>
              <w:adjustRightInd w:val="0"/>
              <w:spacing w:line="360" w:lineRule="auto"/>
              <w:ind w:firstLine="480" w:firstLineChars="200"/>
              <w:jc w:val="left"/>
              <w:rPr>
                <w:rFonts w:hint="eastAsia"/>
                <w:color w:val="auto"/>
                <w:sz w:val="24"/>
                <w:highlight w:val="none"/>
                <w:lang w:val="en-US" w:eastAsia="zh-CN"/>
              </w:rPr>
            </w:pPr>
            <w:r>
              <w:rPr>
                <w:rFonts w:hint="eastAsia"/>
                <w:color w:val="auto"/>
                <w:sz w:val="24"/>
                <w:highlight w:val="none"/>
                <w:lang w:val="en-US" w:eastAsia="zh-CN"/>
              </w:rPr>
              <w:t>根据《关于印发&lt;建设项目环境影响报告表&gt;内容、格式及编制技术指南的通知》(环办环评 (2020) 33号)内容，建设项目大气环境保护目标范围为厂界外500米范围内，保护对象为自然保护区、风景名胜区、居住区、文化区和农村地区中人群较集中的区域等；声环境保护目标范围为厂界外50米范围内；地下水环境保护目标范围为厂界外500m范围内。</w:t>
            </w:r>
          </w:p>
          <w:p>
            <w:pPr>
              <w:autoSpaceDE w:val="0"/>
              <w:autoSpaceDN w:val="0"/>
              <w:adjustRightInd w:val="0"/>
              <w:spacing w:line="360" w:lineRule="auto"/>
              <w:ind w:firstLine="480" w:firstLineChars="200"/>
              <w:jc w:val="left"/>
              <w:rPr>
                <w:rFonts w:hint="eastAsia"/>
                <w:color w:val="auto"/>
                <w:sz w:val="24"/>
                <w:highlight w:val="none"/>
                <w:lang w:val="en-US" w:eastAsia="zh-CN"/>
              </w:rPr>
            </w:pPr>
            <w:r>
              <w:rPr>
                <w:rFonts w:hint="eastAsia"/>
                <w:color w:val="auto"/>
                <w:sz w:val="24"/>
                <w:highlight w:val="none"/>
                <w:lang w:val="en-US" w:eastAsia="zh-CN"/>
              </w:rPr>
              <w:t>1、大气环境：</w:t>
            </w:r>
            <w:r>
              <w:rPr>
                <w:rFonts w:hint="eastAsia"/>
                <w:color w:val="auto"/>
                <w:sz w:val="24"/>
                <w:highlight w:val="none"/>
              </w:rPr>
              <w:t>项目区厂界外500m范围内大气环境保护目标主要是</w:t>
            </w:r>
            <w:r>
              <w:rPr>
                <w:rFonts w:hint="eastAsia"/>
                <w:color w:val="auto"/>
                <w:sz w:val="24"/>
                <w:highlight w:val="none"/>
                <w:lang w:val="en-US" w:eastAsia="zh-CN"/>
              </w:rPr>
              <w:t>清水沟村和羊毛河村等村庄，本项目大气环境保护目标见表3-4。</w:t>
            </w:r>
          </w:p>
          <w:p>
            <w:pPr>
              <w:autoSpaceDE w:val="0"/>
              <w:autoSpaceDN w:val="0"/>
              <w:adjustRightInd w:val="0"/>
              <w:spacing w:line="360" w:lineRule="auto"/>
              <w:ind w:firstLine="480" w:firstLineChars="200"/>
              <w:jc w:val="left"/>
              <w:rPr>
                <w:rFonts w:hint="eastAsia"/>
                <w:color w:val="auto"/>
                <w:sz w:val="24"/>
                <w:highlight w:val="none"/>
                <w:lang w:val="en-US" w:eastAsia="zh-CN"/>
              </w:rPr>
            </w:pPr>
            <w:r>
              <w:rPr>
                <w:rFonts w:hint="eastAsia"/>
                <w:color w:val="auto"/>
                <w:sz w:val="24"/>
                <w:highlight w:val="none"/>
                <w:lang w:val="en-US" w:eastAsia="zh-CN"/>
              </w:rPr>
              <w:t>2、声环境：</w:t>
            </w:r>
            <w:r>
              <w:rPr>
                <w:rFonts w:hint="eastAsia"/>
                <w:color w:val="auto"/>
                <w:sz w:val="24"/>
                <w:highlight w:val="none"/>
              </w:rPr>
              <w:t>根据现场踏勘及调查，项目厂界外50m范围内</w:t>
            </w:r>
            <w:r>
              <w:rPr>
                <w:rFonts w:hint="eastAsia"/>
                <w:color w:val="auto"/>
                <w:sz w:val="24"/>
                <w:highlight w:val="none"/>
                <w:lang w:val="en-US" w:eastAsia="zh-CN"/>
              </w:rPr>
              <w:t>无</w:t>
            </w:r>
            <w:r>
              <w:rPr>
                <w:rFonts w:hint="eastAsia"/>
                <w:color w:val="auto"/>
                <w:sz w:val="24"/>
                <w:highlight w:val="none"/>
              </w:rPr>
              <w:t>声环境敏感点</w:t>
            </w:r>
            <w:r>
              <w:rPr>
                <w:rFonts w:hint="eastAsia"/>
                <w:color w:val="auto"/>
                <w:sz w:val="24"/>
                <w:highlight w:val="none"/>
                <w:lang w:eastAsia="zh-CN"/>
              </w:rPr>
              <w:t>，</w:t>
            </w:r>
            <w:r>
              <w:rPr>
                <w:rFonts w:hint="eastAsia"/>
                <w:color w:val="auto"/>
                <w:sz w:val="24"/>
                <w:highlight w:val="none"/>
                <w:lang w:val="en-US" w:eastAsia="zh-CN"/>
              </w:rPr>
              <w:t>本次评价不设声环境保护目标。</w:t>
            </w:r>
          </w:p>
          <w:p>
            <w:pPr>
              <w:autoSpaceDE w:val="0"/>
              <w:autoSpaceDN w:val="0"/>
              <w:adjustRightInd w:val="0"/>
              <w:spacing w:line="360" w:lineRule="auto"/>
              <w:ind w:firstLine="480" w:firstLineChars="200"/>
              <w:jc w:val="left"/>
              <w:rPr>
                <w:rFonts w:hint="eastAsia"/>
                <w:color w:val="auto"/>
                <w:sz w:val="24"/>
                <w:highlight w:val="none"/>
                <w:lang w:val="en-US" w:eastAsia="zh-CN"/>
              </w:rPr>
            </w:pPr>
            <w:r>
              <w:rPr>
                <w:rFonts w:hint="eastAsia"/>
                <w:color w:val="auto"/>
                <w:sz w:val="24"/>
                <w:highlight w:val="none"/>
                <w:lang w:val="en-US" w:eastAsia="zh-CN"/>
              </w:rPr>
              <w:t>3、地下水环境：以项目厂界外500m范围内的地下水集中式饮用水水源和热水、矿泉水、温泉等特殊地下水资源确定地下水保护目标。本项目不涉及地下水保护目标。</w:t>
            </w:r>
          </w:p>
          <w:p>
            <w:pPr>
              <w:autoSpaceDE w:val="0"/>
              <w:autoSpaceDN w:val="0"/>
              <w:adjustRightInd w:val="0"/>
              <w:spacing w:line="360" w:lineRule="auto"/>
              <w:ind w:firstLine="480" w:firstLineChars="200"/>
              <w:jc w:val="left"/>
              <w:rPr>
                <w:rFonts w:hint="eastAsia"/>
                <w:color w:val="auto"/>
                <w:sz w:val="24"/>
                <w:highlight w:val="none"/>
                <w:lang w:val="en-US" w:eastAsia="zh-CN"/>
              </w:rPr>
            </w:pPr>
            <w:r>
              <w:rPr>
                <w:rFonts w:hint="eastAsia"/>
                <w:color w:val="auto"/>
                <w:sz w:val="24"/>
                <w:highlight w:val="none"/>
                <w:lang w:val="en-US" w:eastAsia="zh-CN"/>
              </w:rPr>
              <w:t>4、生态环境：位于已批准规划环评的产业园区内且符合规划环评要求、不涉及生态敏感区的污染类建设项目，可不确定评价等级，直接进行生态影响简单分析。</w:t>
            </w:r>
            <w:r>
              <w:rPr>
                <w:color w:val="auto"/>
                <w:sz w:val="24"/>
              </w:rPr>
              <w:t>项目</w:t>
            </w:r>
            <w:r>
              <w:rPr>
                <w:rFonts w:hint="eastAsia"/>
                <w:color w:val="auto"/>
                <w:sz w:val="24"/>
              </w:rPr>
              <w:t>位于寻甸特色产业园区羊街片区，属于规划的工业园区，不涉及园区外用地，</w:t>
            </w:r>
            <w:r>
              <w:rPr>
                <w:color w:val="auto"/>
                <w:sz w:val="24"/>
              </w:rPr>
              <w:t>本次评价不设生态环境保护目标</w:t>
            </w:r>
            <w:r>
              <w:rPr>
                <w:rFonts w:hint="eastAsia"/>
                <w:color w:val="auto"/>
                <w:sz w:val="24"/>
                <w:highlight w:val="none"/>
                <w:lang w:val="en-US" w:eastAsia="zh-CN"/>
              </w:rPr>
              <w:t>。</w:t>
            </w:r>
          </w:p>
          <w:p>
            <w:pPr>
              <w:autoSpaceDE w:val="0"/>
              <w:autoSpaceDN w:val="0"/>
              <w:adjustRightInd w:val="0"/>
              <w:spacing w:line="360" w:lineRule="auto"/>
              <w:ind w:firstLine="480" w:firstLineChars="200"/>
              <w:jc w:val="left"/>
              <w:rPr>
                <w:rFonts w:hint="default"/>
                <w:color w:val="auto"/>
                <w:sz w:val="24"/>
                <w:highlight w:val="none"/>
                <w:lang w:val="en-US" w:eastAsia="zh-CN"/>
              </w:rPr>
            </w:pPr>
            <w:r>
              <w:rPr>
                <w:rFonts w:hint="eastAsia"/>
                <w:color w:val="auto"/>
                <w:sz w:val="24"/>
                <w:highlight w:val="none"/>
                <w:lang w:val="en-US" w:eastAsia="zh-CN"/>
              </w:rPr>
              <w:t>综上所述，本项目主要环境保护目标详见表3-4。</w:t>
            </w:r>
          </w:p>
          <w:p>
            <w:pPr>
              <w:spacing w:line="360" w:lineRule="auto"/>
              <w:jc w:val="center"/>
              <w:rPr>
                <w:rFonts w:hint="eastAsia" w:eastAsia="宋体"/>
                <w:b/>
                <w:bCs/>
                <w:color w:val="auto"/>
                <w:sz w:val="24"/>
                <w:highlight w:val="none"/>
                <w:lang w:val="en-US" w:eastAsia="zh-CN"/>
              </w:rPr>
            </w:pPr>
            <w:r>
              <w:rPr>
                <w:rFonts w:hint="eastAsia"/>
                <w:b/>
                <w:bCs/>
                <w:color w:val="auto"/>
                <w:sz w:val="24"/>
                <w:highlight w:val="none"/>
              </w:rPr>
              <w:t>表3-</w:t>
            </w:r>
            <w:r>
              <w:rPr>
                <w:rFonts w:hint="eastAsia"/>
                <w:b/>
                <w:bCs/>
                <w:color w:val="auto"/>
                <w:sz w:val="24"/>
                <w:highlight w:val="none"/>
                <w:lang w:val="en-US" w:eastAsia="zh-CN"/>
              </w:rPr>
              <w:t>4</w:t>
            </w:r>
            <w:r>
              <w:rPr>
                <w:rFonts w:hint="eastAsia"/>
                <w:b/>
                <w:bCs/>
                <w:color w:val="auto"/>
                <w:sz w:val="24"/>
                <w:highlight w:val="none"/>
              </w:rPr>
              <w:t xml:space="preserve">  </w:t>
            </w:r>
            <w:r>
              <w:rPr>
                <w:rFonts w:hint="eastAsia"/>
                <w:b/>
                <w:bCs/>
                <w:color w:val="auto"/>
                <w:sz w:val="24"/>
                <w:highlight w:val="none"/>
                <w:lang w:val="en-US" w:eastAsia="zh-CN"/>
              </w:rPr>
              <w:t>主要保护</w:t>
            </w:r>
            <w:r>
              <w:rPr>
                <w:rFonts w:hint="eastAsia"/>
                <w:b/>
                <w:bCs/>
                <w:color w:val="auto"/>
                <w:sz w:val="24"/>
                <w:highlight w:val="none"/>
              </w:rPr>
              <w:t>目标</w:t>
            </w:r>
            <w:r>
              <w:rPr>
                <w:rFonts w:hint="eastAsia"/>
                <w:b/>
                <w:bCs/>
                <w:color w:val="auto"/>
                <w:sz w:val="24"/>
                <w:highlight w:val="none"/>
                <w:lang w:val="en-US" w:eastAsia="zh-CN"/>
              </w:rPr>
              <w:t>一览表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028"/>
              <w:gridCol w:w="1313"/>
              <w:gridCol w:w="828"/>
              <w:gridCol w:w="1009"/>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72" w:type="pct"/>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b/>
                      <w:bCs/>
                      <w:color w:val="auto"/>
                      <w:szCs w:val="21"/>
                      <w:highlight w:val="none"/>
                    </w:rPr>
                  </w:pPr>
                  <w:r>
                    <w:rPr>
                      <w:rFonts w:hint="eastAsia"/>
                      <w:b/>
                      <w:bCs/>
                      <w:color w:val="auto"/>
                      <w:szCs w:val="21"/>
                      <w:highlight w:val="none"/>
                    </w:rPr>
                    <w:t>环境要素</w:t>
                  </w:r>
                </w:p>
              </w:tc>
              <w:tc>
                <w:tcPr>
                  <w:tcW w:w="1308" w:type="pct"/>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b/>
                      <w:bCs/>
                      <w:color w:val="auto"/>
                      <w:szCs w:val="21"/>
                      <w:highlight w:val="none"/>
                    </w:rPr>
                  </w:pPr>
                  <w:r>
                    <w:rPr>
                      <w:rFonts w:hint="eastAsia"/>
                      <w:b/>
                      <w:bCs/>
                      <w:color w:val="auto"/>
                      <w:szCs w:val="21"/>
                      <w:highlight w:val="none"/>
                    </w:rPr>
                    <w:t>坐标</w:t>
                  </w:r>
                </w:p>
              </w:tc>
              <w:tc>
                <w:tcPr>
                  <w:tcW w:w="846" w:type="pct"/>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b/>
                      <w:bCs/>
                      <w:color w:val="auto"/>
                      <w:szCs w:val="21"/>
                      <w:highlight w:val="none"/>
                    </w:rPr>
                  </w:pPr>
                  <w:r>
                    <w:rPr>
                      <w:rFonts w:hint="eastAsia"/>
                      <w:b/>
                      <w:bCs/>
                      <w:color w:val="auto"/>
                      <w:szCs w:val="21"/>
                      <w:highlight w:val="none"/>
                    </w:rPr>
                    <w:t>保护对象</w:t>
                  </w:r>
                </w:p>
              </w:tc>
              <w:tc>
                <w:tcPr>
                  <w:tcW w:w="534" w:type="pct"/>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b/>
                      <w:bCs/>
                      <w:color w:val="auto"/>
                      <w:szCs w:val="21"/>
                      <w:highlight w:val="none"/>
                    </w:rPr>
                  </w:pPr>
                  <w:r>
                    <w:rPr>
                      <w:rFonts w:hint="eastAsia"/>
                      <w:b/>
                      <w:bCs/>
                      <w:color w:val="auto"/>
                      <w:szCs w:val="21"/>
                      <w:highlight w:val="none"/>
                    </w:rPr>
                    <w:t>方位距离</w:t>
                  </w:r>
                </w:p>
              </w:tc>
              <w:tc>
                <w:tcPr>
                  <w:tcW w:w="651" w:type="pct"/>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b/>
                      <w:bCs/>
                      <w:color w:val="auto"/>
                      <w:szCs w:val="21"/>
                      <w:highlight w:val="none"/>
                    </w:rPr>
                  </w:pPr>
                  <w:r>
                    <w:rPr>
                      <w:rFonts w:hint="eastAsia"/>
                      <w:b/>
                      <w:bCs/>
                      <w:color w:val="auto"/>
                      <w:szCs w:val="21"/>
                      <w:highlight w:val="none"/>
                    </w:rPr>
                    <w:t>基本情况</w:t>
                  </w:r>
                </w:p>
              </w:tc>
              <w:tc>
                <w:tcPr>
                  <w:tcW w:w="1186" w:type="pct"/>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b/>
                      <w:bCs/>
                      <w:color w:val="auto"/>
                      <w:szCs w:val="21"/>
                      <w:highlight w:val="none"/>
                    </w:rPr>
                  </w:pPr>
                  <w:r>
                    <w:rPr>
                      <w:rFonts w:hint="eastAsia"/>
                      <w:b/>
                      <w:bCs/>
                      <w:color w:val="auto"/>
                      <w:szCs w:val="21"/>
                      <w:highlight w:val="none"/>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pct"/>
                  <w:vMerge w:val="restart"/>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大气环境</w:t>
                  </w:r>
                </w:p>
              </w:tc>
              <w:tc>
                <w:tcPr>
                  <w:tcW w:w="1308" w:type="pc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经度：103°09′20.98″</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纬度：25°</w:t>
                  </w:r>
                  <w:r>
                    <w:rPr>
                      <w:rFonts w:hint="eastAsia" w:eastAsia="宋体" w:cs="Times New Roman"/>
                      <w:color w:val="auto"/>
                      <w:szCs w:val="21"/>
                      <w:highlight w:val="none"/>
                      <w:lang w:val="en-US" w:eastAsia="zh-CN"/>
                    </w:rPr>
                    <w:t>29</w:t>
                  </w:r>
                  <w:r>
                    <w:rPr>
                      <w:rFonts w:hint="default" w:ascii="Times New Roman" w:hAnsi="Times New Roman" w:eastAsia="宋体" w:cs="Times New Roman"/>
                      <w:color w:val="auto"/>
                      <w:szCs w:val="21"/>
                      <w:highlight w:val="none"/>
                      <w:lang w:val="en-US" w:eastAsia="zh-CN"/>
                    </w:rPr>
                    <w:t>′</w:t>
                  </w:r>
                  <w:r>
                    <w:rPr>
                      <w:rFonts w:hint="eastAsia" w:eastAsia="宋体" w:cs="Times New Roman"/>
                      <w:color w:val="auto"/>
                      <w:szCs w:val="21"/>
                      <w:highlight w:val="none"/>
                      <w:lang w:val="en-US" w:eastAsia="zh-CN"/>
                    </w:rPr>
                    <w:t>01.43</w:t>
                  </w:r>
                  <w:r>
                    <w:rPr>
                      <w:rFonts w:hint="default" w:ascii="Times New Roman" w:hAnsi="Times New Roman" w:eastAsia="宋体" w:cs="Times New Roman"/>
                      <w:color w:val="auto"/>
                      <w:szCs w:val="21"/>
                      <w:highlight w:val="none"/>
                      <w:lang w:val="en-US" w:eastAsia="zh-CN"/>
                    </w:rPr>
                    <w:t>″</w:t>
                  </w:r>
                </w:p>
              </w:tc>
              <w:tc>
                <w:tcPr>
                  <w:tcW w:w="846" w:type="pc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清水沟</w:t>
                  </w:r>
                </w:p>
              </w:tc>
              <w:tc>
                <w:tcPr>
                  <w:tcW w:w="534" w:type="pc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东北侧，306m</w:t>
                  </w:r>
                </w:p>
              </w:tc>
              <w:tc>
                <w:tcPr>
                  <w:tcW w:w="651" w:type="pct"/>
                  <w:vAlign w:val="top"/>
                </w:tcPr>
                <w:p>
                  <w:pPr>
                    <w:jc w:val="center"/>
                    <w:rPr>
                      <w:color w:val="auto"/>
                      <w:szCs w:val="21"/>
                      <w:highlight w:val="none"/>
                    </w:rPr>
                  </w:pPr>
                  <w:r>
                    <w:rPr>
                      <w:color w:val="auto"/>
                      <w:szCs w:val="21"/>
                    </w:rPr>
                    <w:t>137人</w:t>
                  </w:r>
                </w:p>
              </w:tc>
              <w:tc>
                <w:tcPr>
                  <w:tcW w:w="1186" w:type="pct"/>
                  <w:vMerge w:val="restart"/>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color w:val="auto"/>
                      <w:szCs w:val="21"/>
                      <w:highlight w:val="none"/>
                    </w:rPr>
                  </w:pPr>
                  <w:r>
                    <w:rPr>
                      <w:color w:val="auto"/>
                      <w:szCs w:val="21"/>
                      <w:highlight w:val="none"/>
                    </w:rPr>
                    <w:t>空气质量执行《环境空气质量标准》（GB3095-2012）二级标准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pct"/>
                  <w:vMerge w:val="continue"/>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color w:val="auto"/>
                      <w:szCs w:val="21"/>
                      <w:highlight w:val="none"/>
                    </w:rPr>
                  </w:pPr>
                </w:p>
              </w:tc>
              <w:tc>
                <w:tcPr>
                  <w:tcW w:w="1308" w:type="pc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Cs w:val="21"/>
                      <w:highlight w:val="none"/>
                    </w:rPr>
                  </w:pPr>
                  <w:r>
                    <w:rPr>
                      <w:color w:val="auto"/>
                      <w:szCs w:val="21"/>
                      <w:highlight w:val="none"/>
                    </w:rPr>
                    <w:t>经度：10</w:t>
                  </w:r>
                  <w:r>
                    <w:rPr>
                      <w:rFonts w:hint="eastAsia"/>
                      <w:color w:val="auto"/>
                      <w:szCs w:val="21"/>
                      <w:highlight w:val="none"/>
                      <w:lang w:val="en-US" w:eastAsia="zh-CN"/>
                    </w:rPr>
                    <w:t>3</w:t>
                  </w:r>
                  <w:r>
                    <w:rPr>
                      <w:color w:val="auto"/>
                      <w:szCs w:val="21"/>
                      <w:highlight w:val="none"/>
                    </w:rPr>
                    <w:t>°</w:t>
                  </w:r>
                  <w:r>
                    <w:rPr>
                      <w:rFonts w:hint="eastAsia"/>
                      <w:color w:val="auto"/>
                      <w:szCs w:val="21"/>
                      <w:highlight w:val="none"/>
                      <w:lang w:val="en-US" w:eastAsia="zh-CN"/>
                    </w:rPr>
                    <w:t>08</w:t>
                  </w:r>
                  <w:r>
                    <w:rPr>
                      <w:color w:val="auto"/>
                      <w:szCs w:val="21"/>
                      <w:highlight w:val="none"/>
                    </w:rPr>
                    <w:t>′</w:t>
                  </w:r>
                  <w:r>
                    <w:rPr>
                      <w:rFonts w:hint="eastAsia"/>
                      <w:color w:val="auto"/>
                      <w:szCs w:val="21"/>
                      <w:highlight w:val="none"/>
                      <w:lang w:val="en-US" w:eastAsia="zh-CN"/>
                    </w:rPr>
                    <w:t>45.21</w:t>
                  </w:r>
                  <w:r>
                    <w:rPr>
                      <w:color w:val="auto"/>
                      <w:szCs w:val="21"/>
                      <w:highlight w:val="none"/>
                    </w:rPr>
                    <w:t>″</w:t>
                  </w:r>
                </w:p>
                <w:p>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Cs w:val="21"/>
                      <w:highlight w:val="none"/>
                    </w:rPr>
                  </w:pPr>
                  <w:r>
                    <w:rPr>
                      <w:color w:val="auto"/>
                      <w:szCs w:val="21"/>
                      <w:highlight w:val="none"/>
                    </w:rPr>
                    <w:t>纬度：2</w:t>
                  </w:r>
                  <w:r>
                    <w:rPr>
                      <w:rFonts w:hint="eastAsia"/>
                      <w:color w:val="auto"/>
                      <w:szCs w:val="21"/>
                      <w:highlight w:val="none"/>
                    </w:rPr>
                    <w:t>5</w:t>
                  </w:r>
                  <w:r>
                    <w:rPr>
                      <w:color w:val="auto"/>
                      <w:szCs w:val="21"/>
                      <w:highlight w:val="none"/>
                    </w:rPr>
                    <w:t>°</w:t>
                  </w:r>
                  <w:r>
                    <w:rPr>
                      <w:rFonts w:hint="eastAsia"/>
                      <w:color w:val="auto"/>
                      <w:szCs w:val="21"/>
                      <w:highlight w:val="none"/>
                      <w:lang w:val="en-US" w:eastAsia="zh-CN"/>
                    </w:rPr>
                    <w:t>28</w:t>
                  </w:r>
                  <w:r>
                    <w:rPr>
                      <w:color w:val="auto"/>
                      <w:szCs w:val="21"/>
                      <w:highlight w:val="none"/>
                    </w:rPr>
                    <w:t>′</w:t>
                  </w:r>
                  <w:r>
                    <w:rPr>
                      <w:rFonts w:hint="eastAsia"/>
                      <w:color w:val="auto"/>
                      <w:szCs w:val="21"/>
                      <w:highlight w:val="none"/>
                      <w:lang w:val="en-US" w:eastAsia="zh-CN"/>
                    </w:rPr>
                    <w:t>27.06</w:t>
                  </w:r>
                  <w:r>
                    <w:rPr>
                      <w:color w:val="auto"/>
                      <w:szCs w:val="21"/>
                      <w:highlight w:val="none"/>
                    </w:rPr>
                    <w:t>″</w:t>
                  </w:r>
                </w:p>
              </w:tc>
              <w:tc>
                <w:tcPr>
                  <w:tcW w:w="846" w:type="pc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羊毛河</w:t>
                  </w:r>
                </w:p>
              </w:tc>
              <w:tc>
                <w:tcPr>
                  <w:tcW w:w="534" w:type="pc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西南侧327m</w:t>
                  </w:r>
                </w:p>
              </w:tc>
              <w:tc>
                <w:tcPr>
                  <w:tcW w:w="651" w:type="pct"/>
                  <w:vAlign w:val="top"/>
                </w:tcPr>
                <w:p>
                  <w:pPr>
                    <w:jc w:val="center"/>
                    <w:rPr>
                      <w:color w:val="auto"/>
                      <w:szCs w:val="21"/>
                      <w:highlight w:val="none"/>
                    </w:rPr>
                  </w:pPr>
                  <w:r>
                    <w:rPr>
                      <w:color w:val="auto"/>
                      <w:szCs w:val="21"/>
                    </w:rPr>
                    <w:t>291人</w:t>
                  </w:r>
                </w:p>
              </w:tc>
              <w:tc>
                <w:tcPr>
                  <w:tcW w:w="1186" w:type="pct"/>
                  <w:vMerge w:val="continue"/>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72" w:type="pct"/>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default" w:eastAsia="宋体"/>
                      <w:color w:val="auto"/>
                      <w:szCs w:val="21"/>
                      <w:highlight w:val="none"/>
                      <w:lang w:val="en-US" w:eastAsia="zh-CN"/>
                    </w:rPr>
                  </w:pPr>
                  <w:r>
                    <w:rPr>
                      <w:rFonts w:hint="eastAsia"/>
                      <w:color w:val="auto"/>
                      <w:szCs w:val="21"/>
                      <w:highlight w:val="none"/>
                      <w:lang w:val="en-US" w:eastAsia="zh-CN"/>
                    </w:rPr>
                    <w:t>地表水环境</w:t>
                  </w:r>
                </w:p>
              </w:tc>
              <w:tc>
                <w:tcPr>
                  <w:tcW w:w="2155" w:type="pct"/>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olor w:val="auto"/>
                      <w:szCs w:val="21"/>
                      <w:highlight w:val="none"/>
                    </w:rPr>
                  </w:pPr>
                  <w:r>
                    <w:rPr>
                      <w:rFonts w:hint="eastAsia" w:ascii="Times New Roman" w:hAnsi="Times New Roman" w:eastAsia="宋体" w:cs="Times New Roman"/>
                      <w:color w:val="auto"/>
                      <w:szCs w:val="21"/>
                      <w:highlight w:val="none"/>
                      <w:lang w:val="en-US" w:eastAsia="zh-CN"/>
                    </w:rPr>
                    <w:t>羊街河（果马河）</w:t>
                  </w:r>
                </w:p>
              </w:tc>
              <w:tc>
                <w:tcPr>
                  <w:tcW w:w="1185" w:type="pct"/>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olor w:val="auto"/>
                      <w:szCs w:val="21"/>
                      <w:highlight w:val="none"/>
                    </w:rPr>
                  </w:pPr>
                  <w:r>
                    <w:rPr>
                      <w:rFonts w:hint="eastAsia"/>
                      <w:color w:val="auto"/>
                      <w:szCs w:val="21"/>
                      <w:highlight w:val="none"/>
                    </w:rPr>
                    <w:t>西</w:t>
                  </w:r>
                  <w:r>
                    <w:rPr>
                      <w:rFonts w:hint="eastAsia"/>
                      <w:color w:val="auto"/>
                      <w:szCs w:val="21"/>
                      <w:highlight w:val="none"/>
                      <w:lang w:val="en-US" w:eastAsia="zh-CN"/>
                    </w:rPr>
                    <w:t>南</w:t>
                  </w:r>
                  <w:r>
                    <w:rPr>
                      <w:rFonts w:hint="eastAsia"/>
                      <w:color w:val="auto"/>
                      <w:szCs w:val="21"/>
                      <w:highlight w:val="none"/>
                    </w:rPr>
                    <w:t>侧，</w:t>
                  </w:r>
                  <w:r>
                    <w:rPr>
                      <w:rFonts w:hint="eastAsia"/>
                      <w:color w:val="auto"/>
                      <w:szCs w:val="21"/>
                      <w:highlight w:val="none"/>
                      <w:lang w:val="en-US" w:eastAsia="zh-CN"/>
                    </w:rPr>
                    <w:t>1186</w:t>
                  </w:r>
                  <w:r>
                    <w:rPr>
                      <w:rFonts w:hint="eastAsia"/>
                      <w:color w:val="auto"/>
                      <w:szCs w:val="21"/>
                      <w:highlight w:val="none"/>
                    </w:rPr>
                    <w:t>m</w:t>
                  </w:r>
                </w:p>
              </w:tc>
              <w:tc>
                <w:tcPr>
                  <w:tcW w:w="1186" w:type="pc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Cs w:val="21"/>
                      <w:highlight w:val="none"/>
                    </w:rPr>
                  </w:pPr>
                  <w:r>
                    <w:rPr>
                      <w:rFonts w:hint="eastAsia" w:eastAsia="宋体"/>
                      <w:color w:val="auto"/>
                      <w:szCs w:val="21"/>
                      <w:highlight w:val="none"/>
                      <w:lang w:val="en-US" w:eastAsia="zh-CN"/>
                    </w:rPr>
                    <w:t>《地表水环境质量标准》（GB3838-2002）</w:t>
                  </w:r>
                  <w:r>
                    <w:rPr>
                      <w:rFonts w:hint="eastAsia" w:ascii="Times New Roman" w:hAnsi="Times New Roman" w:eastAsia="宋体" w:cs="Times New Roman"/>
                      <w:color w:val="auto"/>
                      <w:szCs w:val="21"/>
                      <w:highlight w:val="none"/>
                      <w:lang w:val="en-US" w:eastAsia="zh-CN"/>
                    </w:rPr>
                    <w:t>Ⅲ类标</w:t>
                  </w:r>
                  <w:r>
                    <w:rPr>
                      <w:rFonts w:hint="eastAsia" w:eastAsia="宋体"/>
                      <w:color w:val="auto"/>
                      <w:szCs w:val="21"/>
                      <w:highlight w:val="none"/>
                      <w:lang w:val="en-US" w:eastAsia="zh-CN"/>
                    </w:rPr>
                    <w:t>准</w:t>
                  </w:r>
                </w:p>
              </w:tc>
            </w:tr>
          </w:tbl>
          <w:p>
            <w:pPr>
              <w:spacing w:line="360" w:lineRule="auto"/>
              <w:ind w:firstLine="480" w:firstLineChars="200"/>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tcMar>
              <w:left w:w="28" w:type="dxa"/>
              <w:right w:w="28" w:type="dxa"/>
            </w:tcMar>
            <w:vAlign w:val="center"/>
          </w:tcPr>
          <w:p>
            <w:pPr>
              <w:spacing w:line="360" w:lineRule="auto"/>
              <w:jc w:val="center"/>
              <w:rPr>
                <w:color w:val="auto"/>
                <w:sz w:val="24"/>
              </w:rPr>
            </w:pPr>
            <w:r>
              <w:rPr>
                <w:color w:val="auto"/>
                <w:sz w:val="24"/>
              </w:rPr>
              <w:t>污染物排放控制标准</w:t>
            </w:r>
          </w:p>
        </w:tc>
        <w:tc>
          <w:tcPr>
            <w:tcW w:w="7968" w:type="dxa"/>
            <w:vAlign w:val="center"/>
          </w:tcPr>
          <w:p>
            <w:pPr>
              <w:spacing w:line="360" w:lineRule="auto"/>
              <w:ind w:firstLine="482" w:firstLineChars="200"/>
              <w:rPr>
                <w:b/>
                <w:bCs/>
                <w:color w:val="auto"/>
                <w:sz w:val="24"/>
              </w:rPr>
            </w:pPr>
            <w:r>
              <w:rPr>
                <w:b/>
                <w:bCs/>
                <w:color w:val="auto"/>
                <w:sz w:val="24"/>
              </w:rPr>
              <w:t>1.大气污染物排放标准</w:t>
            </w:r>
          </w:p>
          <w:p>
            <w:pPr>
              <w:pStyle w:val="82"/>
              <w:adjustRightInd w:val="0"/>
              <w:snapToGrid w:val="0"/>
              <w:ind w:firstLine="482"/>
              <w:rPr>
                <w:rFonts w:ascii="Times New Roman" w:hAnsi="Times New Roman"/>
                <w:color w:val="auto"/>
                <w:szCs w:val="24"/>
              </w:rPr>
            </w:pPr>
            <w:r>
              <w:rPr>
                <w:rFonts w:ascii="Times New Roman" w:hAnsi="Times New Roman"/>
                <w:color w:val="auto"/>
                <w:szCs w:val="24"/>
              </w:rPr>
              <w:t>（1）施工期</w:t>
            </w:r>
          </w:p>
          <w:p>
            <w:pPr>
              <w:spacing w:line="360" w:lineRule="auto"/>
              <w:ind w:firstLine="480" w:firstLineChars="200"/>
              <w:rPr>
                <w:color w:val="auto"/>
                <w:sz w:val="24"/>
              </w:rPr>
            </w:pPr>
            <w:r>
              <w:rPr>
                <w:color w:val="auto"/>
                <w:sz w:val="24"/>
              </w:rPr>
              <w:t>施工期扬尘执行《大气污染物综合排放标准》（GB16297-1996）表2中的无组织排放监控浓度限值。</w:t>
            </w:r>
          </w:p>
          <w:p>
            <w:pPr>
              <w:spacing w:line="360" w:lineRule="auto"/>
              <w:jc w:val="center"/>
              <w:rPr>
                <w:b/>
                <w:color w:val="auto"/>
                <w:sz w:val="24"/>
              </w:rPr>
            </w:pPr>
            <w:r>
              <w:rPr>
                <w:b/>
                <w:color w:val="auto"/>
                <w:sz w:val="24"/>
              </w:rPr>
              <w:t>表</w:t>
            </w:r>
            <w:r>
              <w:rPr>
                <w:rFonts w:hint="eastAsia"/>
                <w:b/>
                <w:color w:val="auto"/>
                <w:sz w:val="24"/>
              </w:rPr>
              <w:t>3-5</w:t>
            </w:r>
            <w:r>
              <w:rPr>
                <w:b/>
                <w:color w:val="auto"/>
                <w:sz w:val="24"/>
              </w:rPr>
              <w:t xml:space="preserve">  大气污染物综合排放标准</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7"/>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849" w:type="pct"/>
                  <w:vAlign w:val="center"/>
                </w:tcPr>
                <w:p>
                  <w:pPr>
                    <w:jc w:val="center"/>
                    <w:rPr>
                      <w:bCs/>
                      <w:color w:val="auto"/>
                    </w:rPr>
                  </w:pPr>
                  <w:r>
                    <w:rPr>
                      <w:bCs/>
                      <w:color w:val="auto"/>
                    </w:rPr>
                    <w:t>污染物</w:t>
                  </w:r>
                </w:p>
              </w:tc>
              <w:tc>
                <w:tcPr>
                  <w:tcW w:w="3151" w:type="pct"/>
                  <w:vAlign w:val="center"/>
                </w:tcPr>
                <w:p>
                  <w:pPr>
                    <w:jc w:val="center"/>
                    <w:rPr>
                      <w:bCs/>
                      <w:color w:val="auto"/>
                    </w:rPr>
                  </w:pPr>
                  <w:r>
                    <w:rPr>
                      <w:bCs/>
                      <w:color w:val="auto"/>
                    </w:rPr>
                    <w:t>无组织排放监控浓度限值周界外浓度最高点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9" w:type="pct"/>
                  <w:vAlign w:val="center"/>
                </w:tcPr>
                <w:p>
                  <w:pPr>
                    <w:jc w:val="center"/>
                    <w:rPr>
                      <w:color w:val="auto"/>
                    </w:rPr>
                  </w:pPr>
                  <w:r>
                    <w:rPr>
                      <w:color w:val="auto"/>
                    </w:rPr>
                    <w:t>颗粒物</w:t>
                  </w:r>
                </w:p>
              </w:tc>
              <w:tc>
                <w:tcPr>
                  <w:tcW w:w="3151" w:type="pct"/>
                  <w:vAlign w:val="center"/>
                </w:tcPr>
                <w:p>
                  <w:pPr>
                    <w:jc w:val="center"/>
                    <w:rPr>
                      <w:color w:val="auto"/>
                    </w:rPr>
                  </w:pPr>
                  <w:r>
                    <w:rPr>
                      <w:color w:val="auto"/>
                    </w:rPr>
                    <w:t>1.0</w:t>
                  </w:r>
                  <w:r>
                    <w:rPr>
                      <w:bCs/>
                      <w:color w:val="auto"/>
                    </w:rPr>
                    <w:t>mg/m</w:t>
                  </w:r>
                  <w:r>
                    <w:rPr>
                      <w:bCs/>
                      <w:color w:val="auto"/>
                      <w:vertAlign w:val="superscript"/>
                    </w:rPr>
                    <w:t>3</w:t>
                  </w:r>
                </w:p>
              </w:tc>
            </w:tr>
          </w:tbl>
          <w:p>
            <w:pPr>
              <w:spacing w:line="360" w:lineRule="auto"/>
              <w:ind w:firstLine="482" w:firstLineChars="200"/>
              <w:rPr>
                <w:b/>
                <w:bCs/>
                <w:color w:val="auto"/>
                <w:sz w:val="24"/>
              </w:rPr>
            </w:pPr>
            <w:r>
              <w:rPr>
                <w:b/>
                <w:bCs/>
                <w:color w:val="auto"/>
                <w:sz w:val="24"/>
              </w:rPr>
              <w:t>（2）运营期</w:t>
            </w:r>
          </w:p>
          <w:p>
            <w:pPr>
              <w:spacing w:line="360" w:lineRule="auto"/>
              <w:ind w:firstLine="480" w:firstLineChars="200"/>
              <w:rPr>
                <w:color w:val="auto"/>
                <w:sz w:val="24"/>
              </w:rPr>
            </w:pPr>
            <w:r>
              <w:rPr>
                <w:color w:val="auto"/>
                <w:sz w:val="24"/>
              </w:rPr>
              <w:t>本项目属于塑料制品业，</w:t>
            </w:r>
            <w:r>
              <w:rPr>
                <w:rFonts w:hint="eastAsia"/>
                <w:color w:val="auto"/>
                <w:sz w:val="24"/>
              </w:rPr>
              <w:t>运营期生产过程产生的废气主要为颗粒物、非甲烷总烃，</w:t>
            </w:r>
            <w:r>
              <w:rPr>
                <w:color w:val="auto"/>
                <w:sz w:val="24"/>
              </w:rPr>
              <w:t>运营期废气执行《合成树脂工业污染物排放标准》（GB31572-2015）表4规定的大气污染物排放限值和表9规定的企业边界大气污染物浓度限值</w:t>
            </w:r>
            <w:r>
              <w:rPr>
                <w:rFonts w:hint="eastAsia"/>
                <w:color w:val="auto"/>
                <w:sz w:val="24"/>
              </w:rPr>
              <w:t>；恶臭排放执行《恶臭污染物排放标准》（GB14554-93）二级标准相关要求</w:t>
            </w:r>
            <w:r>
              <w:rPr>
                <w:color w:val="auto"/>
                <w:sz w:val="24"/>
              </w:rPr>
              <w:t>。</w:t>
            </w:r>
          </w:p>
          <w:p>
            <w:pPr>
              <w:spacing w:line="360" w:lineRule="auto"/>
              <w:ind w:firstLine="480" w:firstLineChars="200"/>
              <w:rPr>
                <w:color w:val="auto"/>
                <w:sz w:val="24"/>
              </w:rPr>
            </w:pPr>
            <w:r>
              <w:rPr>
                <w:color w:val="auto"/>
                <w:sz w:val="24"/>
              </w:rPr>
              <w:t>项目区厂房高10m，</w:t>
            </w:r>
            <w:r>
              <w:rPr>
                <w:rFonts w:hint="eastAsia"/>
                <w:color w:val="auto"/>
                <w:sz w:val="24"/>
              </w:rPr>
              <w:t>宿舍楼</w:t>
            </w:r>
            <w:r>
              <w:rPr>
                <w:color w:val="auto"/>
                <w:sz w:val="24"/>
              </w:rPr>
              <w:t>为5层高建筑，高约15m，排气筒半径200m周边</w:t>
            </w:r>
            <w:r>
              <w:rPr>
                <w:rFonts w:hint="eastAsia"/>
                <w:color w:val="auto"/>
                <w:sz w:val="24"/>
              </w:rPr>
              <w:t>建筑</w:t>
            </w:r>
            <w:r>
              <w:rPr>
                <w:color w:val="auto"/>
                <w:sz w:val="24"/>
              </w:rPr>
              <w:t>高度在15m以内。</w:t>
            </w:r>
            <w:r>
              <w:rPr>
                <w:rFonts w:hint="eastAsia"/>
                <w:color w:val="auto"/>
                <w:sz w:val="24"/>
              </w:rPr>
              <w:t>参照《大气污染物综合排放标准》（GB16297-1996）中“排气筒高度应高出周围半径200m范围内的建筑5m以上”。项目排气筒高度设置20m，符合相关要求，且</w:t>
            </w:r>
            <w:r>
              <w:rPr>
                <w:color w:val="auto"/>
                <w:sz w:val="24"/>
              </w:rPr>
              <w:t>根据《合成树脂工业污染物排放标准》（GB31572-2015）中“5.4.2合成树脂企业产生大气污染物的生产工艺和装置需设立局部或整体气体收集系统和净化处理装置，达标排放。排气筒高度应按照环境影响评价要求确定，且至少不低于15m”中排气筒高度相关要求，项目设置排气筒高度满足要求。</w:t>
            </w:r>
          </w:p>
          <w:p>
            <w:pPr>
              <w:spacing w:line="360" w:lineRule="auto"/>
              <w:jc w:val="center"/>
              <w:rPr>
                <w:b/>
                <w:bCs/>
                <w:color w:val="auto"/>
                <w:sz w:val="24"/>
              </w:rPr>
            </w:pPr>
            <w:r>
              <w:rPr>
                <w:b/>
                <w:bCs/>
                <w:color w:val="auto"/>
                <w:sz w:val="24"/>
              </w:rPr>
              <w:t>表</w:t>
            </w:r>
            <w:r>
              <w:rPr>
                <w:rFonts w:hint="eastAsia"/>
                <w:b/>
                <w:bCs/>
                <w:color w:val="auto"/>
                <w:sz w:val="24"/>
              </w:rPr>
              <w:t>3-6</w:t>
            </w:r>
            <w:r>
              <w:rPr>
                <w:b/>
                <w:bCs/>
                <w:color w:val="auto"/>
                <w:sz w:val="24"/>
              </w:rPr>
              <w:t xml:space="preserve">  大气污染物排放限值</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1615"/>
              <w:gridCol w:w="1615"/>
              <w:gridCol w:w="1076"/>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09" w:type="pct"/>
                  <w:vAlign w:val="center"/>
                </w:tcPr>
                <w:p>
                  <w:pPr>
                    <w:jc w:val="center"/>
                    <w:rPr>
                      <w:b/>
                      <w:color w:val="auto"/>
                    </w:rPr>
                  </w:pPr>
                  <w:r>
                    <w:rPr>
                      <w:b/>
                      <w:color w:val="auto"/>
                    </w:rPr>
                    <w:t>污染物</w:t>
                  </w:r>
                </w:p>
              </w:tc>
              <w:tc>
                <w:tcPr>
                  <w:tcW w:w="1084" w:type="pct"/>
                  <w:vAlign w:val="center"/>
                </w:tcPr>
                <w:p>
                  <w:pPr>
                    <w:jc w:val="center"/>
                    <w:rPr>
                      <w:b/>
                      <w:color w:val="auto"/>
                    </w:rPr>
                  </w:pPr>
                  <w:r>
                    <w:rPr>
                      <w:b/>
                      <w:color w:val="auto"/>
                    </w:rPr>
                    <w:t>最高允许浓度（mg/m</w:t>
                  </w:r>
                  <w:r>
                    <w:rPr>
                      <w:b/>
                      <w:color w:val="auto"/>
                      <w:vertAlign w:val="superscript"/>
                    </w:rPr>
                    <w:t>3</w:t>
                  </w:r>
                  <w:r>
                    <w:rPr>
                      <w:b/>
                      <w:color w:val="auto"/>
                    </w:rPr>
                    <w:t>）</w:t>
                  </w:r>
                </w:p>
              </w:tc>
              <w:tc>
                <w:tcPr>
                  <w:tcW w:w="1084" w:type="pct"/>
                  <w:vAlign w:val="center"/>
                </w:tcPr>
                <w:p>
                  <w:pPr>
                    <w:jc w:val="center"/>
                    <w:rPr>
                      <w:b/>
                      <w:color w:val="auto"/>
                    </w:rPr>
                  </w:pPr>
                  <w:r>
                    <w:rPr>
                      <w:rFonts w:hint="eastAsia"/>
                      <w:b/>
                      <w:color w:val="auto"/>
                    </w:rPr>
                    <w:t>排放量（kg/h）</w:t>
                  </w:r>
                </w:p>
              </w:tc>
              <w:tc>
                <w:tcPr>
                  <w:tcW w:w="736" w:type="pct"/>
                  <w:vAlign w:val="center"/>
                </w:tcPr>
                <w:p>
                  <w:pPr>
                    <w:jc w:val="center"/>
                    <w:rPr>
                      <w:b/>
                      <w:color w:val="auto"/>
                    </w:rPr>
                  </w:pPr>
                  <w:r>
                    <w:rPr>
                      <w:b/>
                      <w:color w:val="auto"/>
                    </w:rPr>
                    <w:t>排放监控位置</w:t>
                  </w:r>
                </w:p>
              </w:tc>
              <w:tc>
                <w:tcPr>
                  <w:tcW w:w="1084" w:type="pct"/>
                  <w:vAlign w:val="center"/>
                </w:tcPr>
                <w:p>
                  <w:pPr>
                    <w:jc w:val="center"/>
                    <w:rPr>
                      <w:b/>
                      <w:color w:val="auto"/>
                    </w:rPr>
                  </w:pPr>
                  <w:r>
                    <w:rPr>
                      <w:rFonts w:hint="eastAsia"/>
                      <w:b/>
                      <w:color w:val="auto"/>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09" w:type="pct"/>
                  <w:vAlign w:val="center"/>
                </w:tcPr>
                <w:p>
                  <w:pPr>
                    <w:jc w:val="center"/>
                    <w:rPr>
                      <w:color w:val="auto"/>
                    </w:rPr>
                  </w:pPr>
                  <w:r>
                    <w:rPr>
                      <w:color w:val="auto"/>
                    </w:rPr>
                    <w:t>非甲烷总烃</w:t>
                  </w:r>
                </w:p>
              </w:tc>
              <w:tc>
                <w:tcPr>
                  <w:tcW w:w="1084" w:type="pct"/>
                  <w:vAlign w:val="center"/>
                </w:tcPr>
                <w:p>
                  <w:pPr>
                    <w:jc w:val="center"/>
                    <w:rPr>
                      <w:color w:val="auto"/>
                    </w:rPr>
                  </w:pPr>
                  <w:r>
                    <w:rPr>
                      <w:color w:val="auto"/>
                    </w:rPr>
                    <w:t>100</w:t>
                  </w:r>
                </w:p>
              </w:tc>
              <w:tc>
                <w:tcPr>
                  <w:tcW w:w="1084" w:type="pct"/>
                  <w:vAlign w:val="center"/>
                </w:tcPr>
                <w:p>
                  <w:pPr>
                    <w:jc w:val="center"/>
                    <w:rPr>
                      <w:color w:val="auto"/>
                    </w:rPr>
                  </w:pPr>
                  <w:r>
                    <w:rPr>
                      <w:rFonts w:hint="eastAsia"/>
                      <w:color w:val="auto"/>
                    </w:rPr>
                    <w:t>/</w:t>
                  </w:r>
                </w:p>
              </w:tc>
              <w:tc>
                <w:tcPr>
                  <w:tcW w:w="736" w:type="pct"/>
                  <w:vMerge w:val="restart"/>
                  <w:vAlign w:val="center"/>
                </w:tcPr>
                <w:p>
                  <w:pPr>
                    <w:jc w:val="center"/>
                    <w:rPr>
                      <w:color w:val="auto"/>
                    </w:rPr>
                  </w:pPr>
                  <w:r>
                    <w:rPr>
                      <w:color w:val="auto"/>
                    </w:rPr>
                    <w:t>车间或生产设施排气筒</w:t>
                  </w:r>
                </w:p>
              </w:tc>
              <w:tc>
                <w:tcPr>
                  <w:tcW w:w="1084" w:type="pct"/>
                  <w:vMerge w:val="restart"/>
                  <w:vAlign w:val="center"/>
                </w:tcPr>
                <w:p>
                  <w:pPr>
                    <w:jc w:val="center"/>
                    <w:rPr>
                      <w:color w:val="auto"/>
                    </w:rPr>
                  </w:pPr>
                  <w:r>
                    <w:rPr>
                      <w:rFonts w:hint="eastAsia"/>
                      <w:color w:val="auto"/>
                    </w:rPr>
                    <w:t>《合成树脂工业污染物排放标准》（GB31572-2015）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09" w:type="pct"/>
                  <w:vAlign w:val="center"/>
                </w:tcPr>
                <w:p>
                  <w:pPr>
                    <w:jc w:val="center"/>
                    <w:rPr>
                      <w:color w:val="auto"/>
                    </w:rPr>
                  </w:pPr>
                  <w:r>
                    <w:rPr>
                      <w:color w:val="auto"/>
                    </w:rPr>
                    <w:t>颗粒物</w:t>
                  </w:r>
                </w:p>
              </w:tc>
              <w:tc>
                <w:tcPr>
                  <w:tcW w:w="1084" w:type="pct"/>
                  <w:vAlign w:val="center"/>
                </w:tcPr>
                <w:p>
                  <w:pPr>
                    <w:jc w:val="center"/>
                    <w:rPr>
                      <w:color w:val="auto"/>
                    </w:rPr>
                  </w:pPr>
                  <w:r>
                    <w:rPr>
                      <w:color w:val="auto"/>
                    </w:rPr>
                    <w:t>30</w:t>
                  </w:r>
                </w:p>
              </w:tc>
              <w:tc>
                <w:tcPr>
                  <w:tcW w:w="1084" w:type="pct"/>
                  <w:vAlign w:val="center"/>
                </w:tcPr>
                <w:p>
                  <w:pPr>
                    <w:jc w:val="center"/>
                    <w:rPr>
                      <w:color w:val="auto"/>
                    </w:rPr>
                  </w:pPr>
                  <w:r>
                    <w:rPr>
                      <w:rFonts w:hint="eastAsia"/>
                      <w:color w:val="auto"/>
                    </w:rPr>
                    <w:t>/</w:t>
                  </w:r>
                </w:p>
              </w:tc>
              <w:tc>
                <w:tcPr>
                  <w:tcW w:w="736" w:type="pct"/>
                  <w:vMerge w:val="continue"/>
                  <w:vAlign w:val="center"/>
                </w:tcPr>
                <w:p>
                  <w:pPr>
                    <w:jc w:val="center"/>
                    <w:rPr>
                      <w:color w:val="auto"/>
                    </w:rPr>
                  </w:pPr>
                </w:p>
              </w:tc>
              <w:tc>
                <w:tcPr>
                  <w:tcW w:w="1084" w:type="pct"/>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09" w:type="pct"/>
                  <w:vAlign w:val="center"/>
                </w:tcPr>
                <w:p>
                  <w:pPr>
                    <w:jc w:val="center"/>
                    <w:rPr>
                      <w:color w:val="auto"/>
                    </w:rPr>
                  </w:pPr>
                  <w:r>
                    <w:rPr>
                      <w:color w:val="auto"/>
                    </w:rPr>
                    <w:t>单位产品非甲烷总烃排放量</w:t>
                  </w:r>
                </w:p>
              </w:tc>
              <w:tc>
                <w:tcPr>
                  <w:tcW w:w="1084" w:type="pct"/>
                  <w:vAlign w:val="center"/>
                </w:tcPr>
                <w:p>
                  <w:pPr>
                    <w:jc w:val="center"/>
                    <w:rPr>
                      <w:color w:val="auto"/>
                    </w:rPr>
                  </w:pPr>
                  <w:r>
                    <w:rPr>
                      <w:color w:val="auto"/>
                    </w:rPr>
                    <w:t>0.5kg/t-产品</w:t>
                  </w:r>
                </w:p>
              </w:tc>
              <w:tc>
                <w:tcPr>
                  <w:tcW w:w="1084" w:type="pct"/>
                  <w:vAlign w:val="center"/>
                </w:tcPr>
                <w:p>
                  <w:pPr>
                    <w:jc w:val="center"/>
                    <w:rPr>
                      <w:color w:val="auto"/>
                    </w:rPr>
                  </w:pPr>
                  <w:r>
                    <w:rPr>
                      <w:rFonts w:hint="eastAsia"/>
                      <w:color w:val="auto"/>
                    </w:rPr>
                    <w:t>/</w:t>
                  </w:r>
                </w:p>
              </w:tc>
              <w:tc>
                <w:tcPr>
                  <w:tcW w:w="736" w:type="pct"/>
                  <w:vMerge w:val="continue"/>
                  <w:vAlign w:val="center"/>
                </w:tcPr>
                <w:p>
                  <w:pPr>
                    <w:jc w:val="center"/>
                    <w:rPr>
                      <w:color w:val="auto"/>
                    </w:rPr>
                  </w:pPr>
                </w:p>
              </w:tc>
              <w:tc>
                <w:tcPr>
                  <w:tcW w:w="1084" w:type="pct"/>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09" w:type="pct"/>
                  <w:vAlign w:val="center"/>
                </w:tcPr>
                <w:p>
                  <w:pPr>
                    <w:jc w:val="center"/>
                    <w:rPr>
                      <w:color w:val="auto"/>
                    </w:rPr>
                  </w:pPr>
                  <w:r>
                    <w:rPr>
                      <w:rFonts w:hint="eastAsia"/>
                      <w:color w:val="auto"/>
                    </w:rPr>
                    <w:t>臭气浓度</w:t>
                  </w:r>
                </w:p>
              </w:tc>
              <w:tc>
                <w:tcPr>
                  <w:tcW w:w="1084" w:type="pct"/>
                  <w:vAlign w:val="center"/>
                </w:tcPr>
                <w:p>
                  <w:pPr>
                    <w:jc w:val="center"/>
                    <w:rPr>
                      <w:color w:val="auto"/>
                    </w:rPr>
                  </w:pPr>
                  <w:r>
                    <w:rPr>
                      <w:rFonts w:hint="eastAsia"/>
                      <w:color w:val="auto"/>
                    </w:rPr>
                    <w:t>/</w:t>
                  </w:r>
                </w:p>
              </w:tc>
              <w:tc>
                <w:tcPr>
                  <w:tcW w:w="1084" w:type="pct"/>
                  <w:vAlign w:val="center"/>
                </w:tcPr>
                <w:p>
                  <w:pPr>
                    <w:jc w:val="center"/>
                    <w:rPr>
                      <w:color w:val="auto"/>
                    </w:rPr>
                  </w:pPr>
                  <w:r>
                    <w:rPr>
                      <w:rFonts w:hint="eastAsia"/>
                      <w:color w:val="auto"/>
                      <w:lang w:val="en-US" w:eastAsia="zh-CN"/>
                    </w:rPr>
                    <w:t>2000（无量纲）</w:t>
                  </w:r>
                </w:p>
              </w:tc>
              <w:tc>
                <w:tcPr>
                  <w:tcW w:w="736" w:type="pct"/>
                  <w:vAlign w:val="center"/>
                </w:tcPr>
                <w:p>
                  <w:pPr>
                    <w:jc w:val="center"/>
                    <w:rPr>
                      <w:color w:val="auto"/>
                    </w:rPr>
                  </w:pPr>
                  <w:r>
                    <w:rPr>
                      <w:rFonts w:hint="eastAsia"/>
                      <w:color w:val="auto"/>
                    </w:rPr>
                    <w:t>/</w:t>
                  </w:r>
                </w:p>
              </w:tc>
              <w:tc>
                <w:tcPr>
                  <w:tcW w:w="1084" w:type="pct"/>
                  <w:vAlign w:val="center"/>
                </w:tcPr>
                <w:p>
                  <w:pPr>
                    <w:jc w:val="center"/>
                    <w:rPr>
                      <w:color w:val="auto"/>
                    </w:rPr>
                  </w:pPr>
                  <w:r>
                    <w:rPr>
                      <w:rFonts w:hint="eastAsia"/>
                      <w:color w:val="auto"/>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5"/>
                  <w:vAlign w:val="center"/>
                </w:tcPr>
                <w:p>
                  <w:pPr>
                    <w:rPr>
                      <w:rFonts w:hint="eastAsia" w:eastAsia="宋体"/>
                      <w:color w:val="auto"/>
                      <w:lang w:eastAsia="zh-CN"/>
                    </w:rPr>
                  </w:pPr>
                  <w:r>
                    <w:rPr>
                      <w:b/>
                      <w:bCs/>
                      <w:color w:val="auto"/>
                    </w:rPr>
                    <w:t>注：排气筒高度不低于15m</w:t>
                  </w:r>
                  <w:r>
                    <w:rPr>
                      <w:rFonts w:hint="eastAsia"/>
                      <w:b/>
                      <w:bCs/>
                      <w:color w:val="auto"/>
                      <w:lang w:eastAsia="zh-CN"/>
                    </w:rPr>
                    <w:t>，</w:t>
                  </w:r>
                  <w:r>
                    <w:rPr>
                      <w:rFonts w:hint="eastAsia"/>
                      <w:b/>
                      <w:bCs/>
                      <w:color w:val="auto"/>
                      <w:lang w:val="en-US" w:eastAsia="zh-CN"/>
                    </w:rPr>
                    <w:t>臭气浓度排放标准参照15m高排气筒执行</w:t>
                  </w:r>
                </w:p>
              </w:tc>
            </w:tr>
          </w:tbl>
          <w:p>
            <w:pPr>
              <w:spacing w:line="360" w:lineRule="auto"/>
              <w:jc w:val="center"/>
              <w:rPr>
                <w:b/>
                <w:bCs/>
                <w:color w:val="auto"/>
                <w:sz w:val="24"/>
              </w:rPr>
            </w:pPr>
            <w:r>
              <w:rPr>
                <w:b/>
                <w:bCs/>
                <w:color w:val="auto"/>
                <w:sz w:val="24"/>
              </w:rPr>
              <w:t>表</w:t>
            </w:r>
            <w:r>
              <w:rPr>
                <w:rFonts w:hint="eastAsia"/>
                <w:b/>
                <w:bCs/>
                <w:color w:val="auto"/>
                <w:sz w:val="24"/>
              </w:rPr>
              <w:t xml:space="preserve">3-7 </w:t>
            </w:r>
            <w:r>
              <w:rPr>
                <w:b/>
                <w:bCs/>
                <w:color w:val="auto"/>
                <w:sz w:val="24"/>
              </w:rPr>
              <w:t xml:space="preserve"> 企业边界大气污染物浓度限值</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4"/>
              <w:gridCol w:w="2612"/>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1628" w:type="pct"/>
                  <w:vAlign w:val="center"/>
                </w:tcPr>
                <w:p>
                  <w:pPr>
                    <w:jc w:val="center"/>
                    <w:rPr>
                      <w:b/>
                      <w:color w:val="auto"/>
                    </w:rPr>
                  </w:pPr>
                  <w:r>
                    <w:rPr>
                      <w:b/>
                      <w:color w:val="auto"/>
                    </w:rPr>
                    <w:t>污染物</w:t>
                  </w:r>
                </w:p>
              </w:tc>
              <w:tc>
                <w:tcPr>
                  <w:tcW w:w="1685" w:type="pct"/>
                  <w:vAlign w:val="center"/>
                </w:tcPr>
                <w:p>
                  <w:pPr>
                    <w:jc w:val="center"/>
                    <w:rPr>
                      <w:b/>
                      <w:color w:val="auto"/>
                    </w:rPr>
                  </w:pPr>
                  <w:r>
                    <w:rPr>
                      <w:b/>
                      <w:color w:val="auto"/>
                    </w:rPr>
                    <w:t>最高允许浓度（mg/m</w:t>
                  </w:r>
                  <w:r>
                    <w:rPr>
                      <w:b/>
                      <w:color w:val="auto"/>
                      <w:vertAlign w:val="superscript"/>
                    </w:rPr>
                    <w:t>3</w:t>
                  </w:r>
                  <w:r>
                    <w:rPr>
                      <w:b/>
                      <w:color w:val="auto"/>
                    </w:rPr>
                    <w:t>）</w:t>
                  </w:r>
                </w:p>
              </w:tc>
              <w:tc>
                <w:tcPr>
                  <w:tcW w:w="2610" w:type="dxa"/>
                  <w:vAlign w:val="center"/>
                </w:tcPr>
                <w:p>
                  <w:pPr>
                    <w:jc w:val="center"/>
                    <w:rPr>
                      <w:b/>
                      <w:color w:val="auto"/>
                    </w:rPr>
                  </w:pPr>
                  <w:r>
                    <w:rPr>
                      <w:rFonts w:hint="eastAsia"/>
                      <w:b/>
                      <w:color w:val="auto"/>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8" w:type="pct"/>
                  <w:vAlign w:val="center"/>
                </w:tcPr>
                <w:p>
                  <w:pPr>
                    <w:jc w:val="center"/>
                    <w:rPr>
                      <w:color w:val="auto"/>
                    </w:rPr>
                  </w:pPr>
                  <w:r>
                    <w:rPr>
                      <w:color w:val="auto"/>
                    </w:rPr>
                    <w:t>颗粒物</w:t>
                  </w:r>
                </w:p>
              </w:tc>
              <w:tc>
                <w:tcPr>
                  <w:tcW w:w="1685" w:type="pct"/>
                  <w:vAlign w:val="center"/>
                </w:tcPr>
                <w:p>
                  <w:pPr>
                    <w:jc w:val="center"/>
                    <w:rPr>
                      <w:color w:val="auto"/>
                    </w:rPr>
                  </w:pPr>
                  <w:r>
                    <w:rPr>
                      <w:color w:val="auto"/>
                    </w:rPr>
                    <w:t>1.0</w:t>
                  </w:r>
                </w:p>
              </w:tc>
              <w:tc>
                <w:tcPr>
                  <w:tcW w:w="2610" w:type="dxa"/>
                  <w:vMerge w:val="restart"/>
                  <w:vAlign w:val="center"/>
                </w:tcPr>
                <w:p>
                  <w:pPr>
                    <w:jc w:val="center"/>
                    <w:rPr>
                      <w:color w:val="auto"/>
                    </w:rPr>
                  </w:pPr>
                  <w:r>
                    <w:rPr>
                      <w:rFonts w:hint="eastAsia"/>
                      <w:color w:val="auto"/>
                    </w:rPr>
                    <w:t>《合成树脂工业污染物排放标准》（GB31572-2015）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28" w:type="pct"/>
                  <w:vAlign w:val="center"/>
                </w:tcPr>
                <w:p>
                  <w:pPr>
                    <w:jc w:val="center"/>
                    <w:rPr>
                      <w:color w:val="auto"/>
                    </w:rPr>
                  </w:pPr>
                  <w:r>
                    <w:rPr>
                      <w:color w:val="auto"/>
                    </w:rPr>
                    <w:t>非甲烷总烃</w:t>
                  </w:r>
                </w:p>
              </w:tc>
              <w:tc>
                <w:tcPr>
                  <w:tcW w:w="1685" w:type="pct"/>
                  <w:vAlign w:val="center"/>
                </w:tcPr>
                <w:p>
                  <w:pPr>
                    <w:jc w:val="center"/>
                    <w:rPr>
                      <w:color w:val="auto"/>
                    </w:rPr>
                  </w:pPr>
                  <w:r>
                    <w:rPr>
                      <w:color w:val="auto"/>
                    </w:rPr>
                    <w:t>4.0</w:t>
                  </w:r>
                </w:p>
              </w:tc>
              <w:tc>
                <w:tcPr>
                  <w:tcW w:w="1685" w:type="pct"/>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28" w:type="pct"/>
                  <w:vAlign w:val="center"/>
                </w:tcPr>
                <w:p>
                  <w:pPr>
                    <w:jc w:val="center"/>
                    <w:rPr>
                      <w:color w:val="auto"/>
                    </w:rPr>
                  </w:pPr>
                  <w:r>
                    <w:rPr>
                      <w:rFonts w:hint="eastAsia"/>
                      <w:color w:val="auto"/>
                    </w:rPr>
                    <w:t>臭气浓度</w:t>
                  </w:r>
                </w:p>
              </w:tc>
              <w:tc>
                <w:tcPr>
                  <w:tcW w:w="1685" w:type="pct"/>
                  <w:vAlign w:val="center"/>
                </w:tcPr>
                <w:p>
                  <w:pPr>
                    <w:jc w:val="center"/>
                    <w:rPr>
                      <w:color w:val="auto"/>
                    </w:rPr>
                  </w:pPr>
                  <w:r>
                    <w:rPr>
                      <w:rFonts w:hint="eastAsia"/>
                      <w:color w:val="auto"/>
                    </w:rPr>
                    <w:t>20（无量纲）</w:t>
                  </w:r>
                </w:p>
              </w:tc>
              <w:tc>
                <w:tcPr>
                  <w:tcW w:w="2610" w:type="dxa"/>
                  <w:vAlign w:val="center"/>
                </w:tcPr>
                <w:p>
                  <w:pPr>
                    <w:jc w:val="center"/>
                    <w:rPr>
                      <w:color w:val="auto"/>
                    </w:rPr>
                  </w:pPr>
                  <w:r>
                    <w:rPr>
                      <w:rFonts w:hint="eastAsia"/>
                      <w:color w:val="auto"/>
                    </w:rPr>
                    <w:t>《恶臭污染物排放标准（GB14554-93）》</w:t>
                  </w:r>
                </w:p>
              </w:tc>
            </w:tr>
          </w:tbl>
          <w:p>
            <w:pPr>
              <w:spacing w:line="360" w:lineRule="auto"/>
              <w:ind w:firstLine="480" w:firstLineChars="200"/>
              <w:rPr>
                <w:b/>
                <w:color w:val="auto"/>
                <w:sz w:val="24"/>
              </w:rPr>
            </w:pPr>
            <w:r>
              <w:rPr>
                <w:color w:val="auto"/>
                <w:sz w:val="24"/>
              </w:rPr>
              <w:t>厂区内有机废气无组织排放执行《挥发性有机物无组织排放控制标准》（GB37822-2019）</w:t>
            </w:r>
            <w:r>
              <w:rPr>
                <w:rFonts w:hint="eastAsia"/>
                <w:color w:val="auto"/>
                <w:sz w:val="24"/>
              </w:rPr>
              <w:t>。</w:t>
            </w:r>
          </w:p>
          <w:p>
            <w:pPr>
              <w:spacing w:line="360" w:lineRule="auto"/>
              <w:jc w:val="center"/>
              <w:rPr>
                <w:b/>
                <w:color w:val="auto"/>
                <w:sz w:val="24"/>
                <w:vertAlign w:val="superscript"/>
              </w:rPr>
            </w:pPr>
            <w:r>
              <w:rPr>
                <w:rFonts w:hint="eastAsia"/>
                <w:b/>
                <w:color w:val="auto"/>
                <w:sz w:val="24"/>
              </w:rPr>
              <w:t>3-8</w:t>
            </w:r>
            <w:r>
              <w:rPr>
                <w:b/>
                <w:color w:val="auto"/>
                <w:sz w:val="24"/>
              </w:rPr>
              <w:t xml:space="preserve">  厂区内VOCs无组织排放限值    单位mg/m</w:t>
            </w:r>
            <w:r>
              <w:rPr>
                <w:b/>
                <w:color w:val="auto"/>
                <w:sz w:val="24"/>
                <w:vertAlign w:val="superscript"/>
              </w:rPr>
              <w:t>3</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359"/>
              <w:gridCol w:w="2816"/>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pPr>
                    <w:jc w:val="center"/>
                    <w:rPr>
                      <w:color w:val="auto"/>
                      <w:kern w:val="0"/>
                      <w:position w:val="6"/>
                      <w:szCs w:val="21"/>
                    </w:rPr>
                  </w:pPr>
                  <w:r>
                    <w:rPr>
                      <w:color w:val="auto"/>
                      <w:kern w:val="0"/>
                      <w:position w:val="6"/>
                      <w:szCs w:val="21"/>
                    </w:rPr>
                    <w:t>污染物项目</w:t>
                  </w:r>
                </w:p>
              </w:tc>
              <w:tc>
                <w:tcPr>
                  <w:tcW w:w="876" w:type="pct"/>
                  <w:vAlign w:val="center"/>
                </w:tcPr>
                <w:p>
                  <w:pPr>
                    <w:jc w:val="center"/>
                    <w:rPr>
                      <w:color w:val="auto"/>
                      <w:kern w:val="0"/>
                      <w:position w:val="6"/>
                      <w:szCs w:val="21"/>
                    </w:rPr>
                  </w:pPr>
                  <w:r>
                    <w:rPr>
                      <w:color w:val="auto"/>
                      <w:kern w:val="0"/>
                      <w:position w:val="6"/>
                      <w:szCs w:val="21"/>
                    </w:rPr>
                    <w:t>排放限值</w:t>
                  </w:r>
                </w:p>
              </w:tc>
              <w:tc>
                <w:tcPr>
                  <w:tcW w:w="1816" w:type="pct"/>
                  <w:vAlign w:val="center"/>
                </w:tcPr>
                <w:p>
                  <w:pPr>
                    <w:jc w:val="center"/>
                    <w:rPr>
                      <w:color w:val="auto"/>
                      <w:kern w:val="0"/>
                      <w:position w:val="6"/>
                      <w:szCs w:val="21"/>
                    </w:rPr>
                  </w:pPr>
                  <w:r>
                    <w:rPr>
                      <w:color w:val="auto"/>
                      <w:kern w:val="0"/>
                      <w:position w:val="6"/>
                      <w:szCs w:val="21"/>
                    </w:rPr>
                    <w:t>限值含义</w:t>
                  </w:r>
                </w:p>
              </w:tc>
              <w:tc>
                <w:tcPr>
                  <w:tcW w:w="1417" w:type="pct"/>
                  <w:vAlign w:val="center"/>
                </w:tcPr>
                <w:p>
                  <w:pPr>
                    <w:jc w:val="center"/>
                    <w:rPr>
                      <w:color w:val="auto"/>
                      <w:kern w:val="0"/>
                      <w:position w:val="6"/>
                      <w:szCs w:val="21"/>
                    </w:rPr>
                  </w:pPr>
                  <w:r>
                    <w:rPr>
                      <w:color w:val="auto"/>
                      <w:kern w:val="0"/>
                      <w:position w:val="6"/>
                      <w:szCs w:val="21"/>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Merge w:val="restart"/>
                  <w:vAlign w:val="center"/>
                </w:tcPr>
                <w:p>
                  <w:pPr>
                    <w:jc w:val="center"/>
                    <w:rPr>
                      <w:color w:val="auto"/>
                      <w:kern w:val="0"/>
                      <w:position w:val="6"/>
                      <w:szCs w:val="21"/>
                    </w:rPr>
                  </w:pPr>
                  <w:r>
                    <w:rPr>
                      <w:color w:val="auto"/>
                      <w:kern w:val="0"/>
                      <w:position w:val="6"/>
                      <w:szCs w:val="21"/>
                    </w:rPr>
                    <w:t>NMHC</w:t>
                  </w:r>
                </w:p>
              </w:tc>
              <w:tc>
                <w:tcPr>
                  <w:tcW w:w="876" w:type="pct"/>
                  <w:vAlign w:val="center"/>
                </w:tcPr>
                <w:p>
                  <w:pPr>
                    <w:jc w:val="center"/>
                    <w:rPr>
                      <w:color w:val="auto"/>
                      <w:kern w:val="0"/>
                      <w:position w:val="6"/>
                      <w:szCs w:val="21"/>
                    </w:rPr>
                  </w:pPr>
                  <w:r>
                    <w:rPr>
                      <w:color w:val="auto"/>
                      <w:kern w:val="0"/>
                      <w:position w:val="6"/>
                      <w:szCs w:val="21"/>
                    </w:rPr>
                    <w:t>10</w:t>
                  </w:r>
                </w:p>
              </w:tc>
              <w:tc>
                <w:tcPr>
                  <w:tcW w:w="1816" w:type="pct"/>
                  <w:vAlign w:val="center"/>
                </w:tcPr>
                <w:p>
                  <w:pPr>
                    <w:jc w:val="center"/>
                    <w:rPr>
                      <w:color w:val="auto"/>
                      <w:kern w:val="0"/>
                      <w:position w:val="6"/>
                      <w:szCs w:val="21"/>
                    </w:rPr>
                  </w:pPr>
                  <w:r>
                    <w:rPr>
                      <w:color w:val="auto"/>
                      <w:kern w:val="0"/>
                      <w:position w:val="6"/>
                      <w:szCs w:val="21"/>
                    </w:rPr>
                    <w:t>监控点处1h平均浓度值</w:t>
                  </w:r>
                </w:p>
              </w:tc>
              <w:tc>
                <w:tcPr>
                  <w:tcW w:w="1417" w:type="pct"/>
                  <w:vMerge w:val="restart"/>
                  <w:vAlign w:val="center"/>
                </w:tcPr>
                <w:p>
                  <w:pPr>
                    <w:jc w:val="center"/>
                    <w:rPr>
                      <w:color w:val="auto"/>
                      <w:kern w:val="0"/>
                      <w:position w:val="6"/>
                      <w:szCs w:val="21"/>
                    </w:rPr>
                  </w:pPr>
                  <w:r>
                    <w:rPr>
                      <w:color w:val="auto"/>
                      <w:kern w:val="0"/>
                      <w:position w:val="6"/>
                      <w:szCs w:val="21"/>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Merge w:val="continue"/>
                  <w:vAlign w:val="center"/>
                </w:tcPr>
                <w:p>
                  <w:pPr>
                    <w:jc w:val="center"/>
                    <w:rPr>
                      <w:color w:val="auto"/>
                      <w:kern w:val="0"/>
                      <w:position w:val="6"/>
                      <w:szCs w:val="21"/>
                    </w:rPr>
                  </w:pPr>
                </w:p>
              </w:tc>
              <w:tc>
                <w:tcPr>
                  <w:tcW w:w="876" w:type="pct"/>
                  <w:vAlign w:val="center"/>
                </w:tcPr>
                <w:p>
                  <w:pPr>
                    <w:jc w:val="center"/>
                    <w:rPr>
                      <w:color w:val="auto"/>
                      <w:kern w:val="0"/>
                      <w:position w:val="6"/>
                      <w:szCs w:val="21"/>
                    </w:rPr>
                  </w:pPr>
                  <w:r>
                    <w:rPr>
                      <w:color w:val="auto"/>
                      <w:kern w:val="0"/>
                      <w:position w:val="6"/>
                      <w:szCs w:val="21"/>
                    </w:rPr>
                    <w:t>30</w:t>
                  </w:r>
                </w:p>
              </w:tc>
              <w:tc>
                <w:tcPr>
                  <w:tcW w:w="1816" w:type="pct"/>
                  <w:vAlign w:val="center"/>
                </w:tcPr>
                <w:p>
                  <w:pPr>
                    <w:jc w:val="center"/>
                    <w:rPr>
                      <w:color w:val="auto"/>
                      <w:kern w:val="0"/>
                      <w:position w:val="6"/>
                      <w:szCs w:val="21"/>
                    </w:rPr>
                  </w:pPr>
                  <w:r>
                    <w:rPr>
                      <w:color w:val="auto"/>
                      <w:kern w:val="0"/>
                      <w:position w:val="6"/>
                      <w:szCs w:val="21"/>
                    </w:rPr>
                    <w:t>监控点处任意一次浓度值</w:t>
                  </w:r>
                </w:p>
              </w:tc>
              <w:tc>
                <w:tcPr>
                  <w:tcW w:w="1417" w:type="pct"/>
                  <w:vMerge w:val="continue"/>
                  <w:vAlign w:val="center"/>
                </w:tcPr>
                <w:p>
                  <w:pPr>
                    <w:jc w:val="center"/>
                    <w:rPr>
                      <w:color w:val="auto"/>
                      <w:kern w:val="0"/>
                      <w:position w:val="6"/>
                      <w:szCs w:val="21"/>
                    </w:rPr>
                  </w:pPr>
                </w:p>
              </w:tc>
            </w:tr>
          </w:tbl>
          <w:p>
            <w:pPr>
              <w:adjustRightInd w:val="0"/>
              <w:snapToGrid w:val="0"/>
              <w:spacing w:line="360" w:lineRule="auto"/>
              <w:ind w:firstLine="480" w:firstLineChars="200"/>
              <w:rPr>
                <w:color w:val="auto"/>
                <w:sz w:val="24"/>
              </w:rPr>
            </w:pPr>
            <w:r>
              <w:rPr>
                <w:rFonts w:hint="eastAsia"/>
                <w:color w:val="auto"/>
                <w:sz w:val="24"/>
              </w:rPr>
              <w:t>项目运营期食堂设置</w:t>
            </w:r>
            <w:r>
              <w:rPr>
                <w:color w:val="auto"/>
                <w:sz w:val="24"/>
              </w:rPr>
              <w:t>1</w:t>
            </w:r>
            <w:r>
              <w:rPr>
                <w:rFonts w:hint="eastAsia"/>
                <w:color w:val="auto"/>
                <w:sz w:val="24"/>
              </w:rPr>
              <w:t>个灶头，食堂油烟执行《饮食业油烟排放标准》</w:t>
            </w:r>
            <w:r>
              <w:rPr>
                <w:color w:val="auto"/>
                <w:sz w:val="24"/>
              </w:rPr>
              <w:t>（GB18483-2001）</w:t>
            </w:r>
            <w:r>
              <w:rPr>
                <w:rFonts w:hint="eastAsia"/>
                <w:color w:val="auto"/>
                <w:sz w:val="24"/>
              </w:rPr>
              <w:t>小型标准，具体数值详见表</w:t>
            </w:r>
            <w:r>
              <w:rPr>
                <w:color w:val="auto"/>
                <w:sz w:val="24"/>
              </w:rPr>
              <w:t>3-</w:t>
            </w:r>
            <w:r>
              <w:rPr>
                <w:rFonts w:hint="eastAsia"/>
                <w:color w:val="auto"/>
                <w:sz w:val="24"/>
              </w:rPr>
              <w:t>9。</w:t>
            </w:r>
          </w:p>
          <w:p>
            <w:pPr>
              <w:adjustRightInd w:val="0"/>
              <w:snapToGrid w:val="0"/>
              <w:jc w:val="center"/>
              <w:rPr>
                <w:b/>
                <w:bCs/>
                <w:color w:val="auto"/>
                <w:szCs w:val="21"/>
              </w:rPr>
            </w:pPr>
            <w:r>
              <w:rPr>
                <w:b/>
                <w:bCs/>
                <w:color w:val="auto"/>
                <w:szCs w:val="21"/>
              </w:rPr>
              <w:t>表</w:t>
            </w:r>
            <w:r>
              <w:rPr>
                <w:rFonts w:hint="eastAsia"/>
                <w:b/>
                <w:bCs/>
                <w:color w:val="auto"/>
                <w:szCs w:val="21"/>
              </w:rPr>
              <w:t>3</w:t>
            </w:r>
            <w:r>
              <w:rPr>
                <w:b/>
                <w:bCs/>
                <w:color w:val="auto"/>
                <w:szCs w:val="21"/>
              </w:rPr>
              <w:t>-</w:t>
            </w:r>
            <w:r>
              <w:rPr>
                <w:rFonts w:hint="eastAsia"/>
                <w:b/>
                <w:bCs/>
                <w:color w:val="auto"/>
                <w:szCs w:val="21"/>
              </w:rPr>
              <w:t>9</w:t>
            </w:r>
            <w:r>
              <w:rPr>
                <w:b/>
                <w:bCs/>
                <w:color w:val="auto"/>
                <w:szCs w:val="21"/>
              </w:rPr>
              <w:t xml:space="preserve"> </w:t>
            </w:r>
            <w:r>
              <w:rPr>
                <w:rFonts w:hint="eastAsia"/>
                <w:b/>
                <w:bCs/>
                <w:color w:val="auto"/>
                <w:szCs w:val="21"/>
              </w:rPr>
              <w:t xml:space="preserve"> </w:t>
            </w:r>
            <w:r>
              <w:rPr>
                <w:b/>
                <w:bCs/>
                <w:color w:val="auto"/>
                <w:szCs w:val="21"/>
              </w:rPr>
              <w:t>饮食业油烟排放标准</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3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3894" w:type="pct"/>
                  <w:vAlign w:val="center"/>
                </w:tcPr>
                <w:p>
                  <w:pPr>
                    <w:autoSpaceDE w:val="0"/>
                    <w:autoSpaceDN w:val="0"/>
                    <w:snapToGrid w:val="0"/>
                    <w:jc w:val="center"/>
                    <w:rPr>
                      <w:color w:val="auto"/>
                      <w:szCs w:val="21"/>
                    </w:rPr>
                  </w:pPr>
                  <w:r>
                    <w:rPr>
                      <w:color w:val="auto"/>
                      <w:szCs w:val="21"/>
                    </w:rPr>
                    <w:t>规模</w:t>
                  </w:r>
                </w:p>
              </w:tc>
              <w:tc>
                <w:tcPr>
                  <w:tcW w:w="1106" w:type="pct"/>
                  <w:vAlign w:val="center"/>
                </w:tcPr>
                <w:p>
                  <w:pPr>
                    <w:autoSpaceDE w:val="0"/>
                    <w:autoSpaceDN w:val="0"/>
                    <w:snapToGrid w:val="0"/>
                    <w:jc w:val="center"/>
                    <w:rPr>
                      <w:color w:val="auto"/>
                      <w:szCs w:val="21"/>
                    </w:rPr>
                  </w:pPr>
                  <w:r>
                    <w:rPr>
                      <w:color w:val="auto"/>
                      <w:szCs w:val="21"/>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3894" w:type="pct"/>
                  <w:vAlign w:val="center"/>
                </w:tcPr>
                <w:p>
                  <w:pPr>
                    <w:autoSpaceDE w:val="0"/>
                    <w:autoSpaceDN w:val="0"/>
                    <w:snapToGrid w:val="0"/>
                    <w:jc w:val="center"/>
                    <w:rPr>
                      <w:color w:val="auto"/>
                      <w:szCs w:val="21"/>
                    </w:rPr>
                  </w:pPr>
                  <w:r>
                    <w:rPr>
                      <w:color w:val="auto"/>
                      <w:szCs w:val="21"/>
                    </w:rPr>
                    <w:t>基准灶头数</w:t>
                  </w:r>
                </w:p>
              </w:tc>
              <w:tc>
                <w:tcPr>
                  <w:tcW w:w="1106" w:type="pct"/>
                  <w:vAlign w:val="center"/>
                </w:tcPr>
                <w:p>
                  <w:pPr>
                    <w:autoSpaceDE w:val="0"/>
                    <w:autoSpaceDN w:val="0"/>
                    <w:snapToGrid w:val="0"/>
                    <w:jc w:val="center"/>
                    <w:rPr>
                      <w:color w:val="auto"/>
                      <w:szCs w:val="21"/>
                    </w:rPr>
                  </w:pPr>
                  <w:r>
                    <w:rPr>
                      <w:color w:val="auto"/>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3894" w:type="pct"/>
                  <w:vAlign w:val="center"/>
                </w:tcPr>
                <w:p>
                  <w:pPr>
                    <w:autoSpaceDE w:val="0"/>
                    <w:autoSpaceDN w:val="0"/>
                    <w:snapToGrid w:val="0"/>
                    <w:jc w:val="center"/>
                    <w:rPr>
                      <w:color w:val="auto"/>
                      <w:szCs w:val="21"/>
                    </w:rPr>
                  </w:pPr>
                  <w:r>
                    <w:rPr>
                      <w:color w:val="auto"/>
                      <w:szCs w:val="21"/>
                    </w:rPr>
                    <w:t>油烟最高允许排放浓度(mg/m</w:t>
                  </w:r>
                  <w:r>
                    <w:rPr>
                      <w:color w:val="auto"/>
                      <w:szCs w:val="21"/>
                      <w:vertAlign w:val="superscript"/>
                    </w:rPr>
                    <w:t>3</w:t>
                  </w:r>
                  <w:r>
                    <w:rPr>
                      <w:color w:val="auto"/>
                      <w:szCs w:val="21"/>
                    </w:rPr>
                    <w:t>)</w:t>
                  </w:r>
                </w:p>
              </w:tc>
              <w:tc>
                <w:tcPr>
                  <w:tcW w:w="1106" w:type="pct"/>
                  <w:vAlign w:val="center"/>
                </w:tcPr>
                <w:p>
                  <w:pPr>
                    <w:snapToGrid w:val="0"/>
                    <w:jc w:val="center"/>
                    <w:rPr>
                      <w:color w:val="auto"/>
                      <w:szCs w:val="21"/>
                    </w:rPr>
                  </w:pPr>
                  <w:r>
                    <w:rPr>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3894" w:type="pct"/>
                  <w:vAlign w:val="center"/>
                </w:tcPr>
                <w:p>
                  <w:pPr>
                    <w:autoSpaceDE w:val="0"/>
                    <w:autoSpaceDN w:val="0"/>
                    <w:snapToGrid w:val="0"/>
                    <w:jc w:val="center"/>
                    <w:rPr>
                      <w:color w:val="auto"/>
                      <w:szCs w:val="21"/>
                    </w:rPr>
                  </w:pPr>
                  <w:r>
                    <w:rPr>
                      <w:color w:val="auto"/>
                      <w:szCs w:val="21"/>
                    </w:rPr>
                    <w:t>净化设施最低去除效率(%)</w:t>
                  </w:r>
                </w:p>
              </w:tc>
              <w:tc>
                <w:tcPr>
                  <w:tcW w:w="1106" w:type="pct"/>
                  <w:vAlign w:val="center"/>
                </w:tcPr>
                <w:p>
                  <w:pPr>
                    <w:autoSpaceDE w:val="0"/>
                    <w:autoSpaceDN w:val="0"/>
                    <w:snapToGrid w:val="0"/>
                    <w:jc w:val="center"/>
                    <w:rPr>
                      <w:color w:val="auto"/>
                      <w:szCs w:val="21"/>
                    </w:rPr>
                  </w:pPr>
                  <w:r>
                    <w:rPr>
                      <w:color w:val="auto"/>
                      <w:szCs w:val="21"/>
                    </w:rPr>
                    <w:t>60</w:t>
                  </w:r>
                </w:p>
              </w:tc>
            </w:tr>
          </w:tbl>
          <w:p>
            <w:pPr>
              <w:spacing w:line="360" w:lineRule="auto"/>
              <w:ind w:firstLine="482" w:firstLineChars="200"/>
              <w:rPr>
                <w:b/>
                <w:bCs/>
                <w:color w:val="auto"/>
                <w:sz w:val="24"/>
              </w:rPr>
            </w:pPr>
            <w:r>
              <w:rPr>
                <w:b/>
                <w:bCs/>
                <w:color w:val="auto"/>
                <w:sz w:val="24"/>
              </w:rPr>
              <w:t>2、水污染物排放标准</w:t>
            </w:r>
          </w:p>
          <w:p>
            <w:pPr>
              <w:spacing w:line="360" w:lineRule="auto"/>
              <w:ind w:firstLine="482" w:firstLineChars="200"/>
              <w:rPr>
                <w:b/>
                <w:bCs/>
                <w:color w:val="auto"/>
                <w:sz w:val="24"/>
              </w:rPr>
            </w:pPr>
            <w:r>
              <w:rPr>
                <w:rFonts w:hint="eastAsia"/>
                <w:b/>
                <w:bCs/>
                <w:color w:val="auto"/>
                <w:sz w:val="24"/>
              </w:rPr>
              <w:t>（1）施工期</w:t>
            </w:r>
          </w:p>
          <w:p>
            <w:pPr>
              <w:spacing w:line="360" w:lineRule="auto"/>
              <w:ind w:firstLine="480" w:firstLineChars="200"/>
              <w:rPr>
                <w:color w:val="auto"/>
                <w:sz w:val="24"/>
              </w:rPr>
            </w:pPr>
            <w:r>
              <w:rPr>
                <w:rFonts w:hint="eastAsia"/>
                <w:color w:val="auto"/>
                <w:sz w:val="24"/>
              </w:rPr>
              <w:t>项目施工期废水经收集沉淀处理后全部回用于施工过程和场地洒水抑尘，不外排。</w:t>
            </w:r>
          </w:p>
          <w:p>
            <w:pPr>
              <w:spacing w:line="360" w:lineRule="auto"/>
              <w:ind w:firstLine="482" w:firstLineChars="200"/>
              <w:rPr>
                <w:b/>
                <w:bCs/>
                <w:color w:val="auto"/>
                <w:sz w:val="24"/>
              </w:rPr>
            </w:pPr>
            <w:r>
              <w:rPr>
                <w:rFonts w:hint="eastAsia"/>
                <w:b/>
                <w:bCs/>
                <w:color w:val="auto"/>
                <w:sz w:val="24"/>
              </w:rPr>
              <w:t>（2）运营期</w:t>
            </w:r>
          </w:p>
          <w:p>
            <w:pPr>
              <w:spacing w:line="360" w:lineRule="auto"/>
              <w:ind w:firstLine="480" w:firstLineChars="200"/>
              <w:rPr>
                <w:color w:val="auto"/>
                <w:sz w:val="24"/>
              </w:rPr>
            </w:pPr>
            <w:r>
              <w:rPr>
                <w:color w:val="auto"/>
                <w:sz w:val="24"/>
              </w:rPr>
              <w:t>项目产生的生产污水经污水处理设施（</w:t>
            </w:r>
            <w:r>
              <w:rPr>
                <w:rFonts w:hint="eastAsia"/>
                <w:color w:val="auto"/>
                <w:sz w:val="24"/>
              </w:rPr>
              <w:t>格栅+隔油+水解</w:t>
            </w:r>
            <w:r>
              <w:rPr>
                <w:color w:val="auto"/>
                <w:sz w:val="24"/>
              </w:rPr>
              <w:t>+</w:t>
            </w:r>
            <w:r>
              <w:rPr>
                <w:rFonts w:hint="eastAsia"/>
                <w:color w:val="auto"/>
                <w:sz w:val="24"/>
              </w:rPr>
              <w:t>生物接触氧化法</w:t>
            </w:r>
            <w:r>
              <w:rPr>
                <w:color w:val="auto"/>
                <w:sz w:val="24"/>
              </w:rPr>
              <w:t>）处理后汇入清水</w:t>
            </w:r>
            <w:r>
              <w:rPr>
                <w:rFonts w:hint="eastAsia"/>
                <w:color w:val="auto"/>
                <w:sz w:val="24"/>
              </w:rPr>
              <w:t>回用</w:t>
            </w:r>
            <w:r>
              <w:rPr>
                <w:color w:val="auto"/>
                <w:sz w:val="24"/>
              </w:rPr>
              <w:t>池回用于生产线，不外排，回用水质执行</w:t>
            </w:r>
            <w:r>
              <w:rPr>
                <w:color w:val="auto"/>
                <w:kern w:val="0"/>
                <w:sz w:val="24"/>
              </w:rPr>
              <w:t>《城市污水再生利用 工业用水水质》（GB/T19923-2005）中洗涤用水、冷却用水较严水质标准</w:t>
            </w:r>
            <w:r>
              <w:rPr>
                <w:color w:val="auto"/>
                <w:sz w:val="24"/>
              </w:rPr>
              <w:t>；生活废水依托云南鹏腾机械设备制造有限公司自建的隔油池、化粪池、一体化污水处理设施进行处理</w:t>
            </w:r>
            <w:r>
              <w:rPr>
                <w:rFonts w:hint="eastAsia"/>
                <w:color w:val="auto"/>
                <w:sz w:val="24"/>
              </w:rPr>
              <w:t>后，达到《城市污水再生利用城市杂用水水质》（GB/T18920-2020）标准后，回用于绿化，不外排。</w:t>
            </w:r>
          </w:p>
          <w:p>
            <w:pPr>
              <w:spacing w:line="360" w:lineRule="auto"/>
              <w:jc w:val="center"/>
              <w:rPr>
                <w:b/>
                <w:color w:val="auto"/>
                <w:sz w:val="24"/>
              </w:rPr>
            </w:pPr>
            <w:r>
              <w:rPr>
                <w:b/>
                <w:color w:val="auto"/>
                <w:sz w:val="24"/>
              </w:rPr>
              <w:t>表</w:t>
            </w:r>
            <w:r>
              <w:rPr>
                <w:rFonts w:hint="eastAsia"/>
                <w:b/>
                <w:color w:val="auto"/>
                <w:sz w:val="24"/>
              </w:rPr>
              <w:t>3-10</w:t>
            </w:r>
            <w:r>
              <w:rPr>
                <w:b/>
                <w:color w:val="auto"/>
                <w:sz w:val="24"/>
              </w:rPr>
              <w:t xml:space="preserve"> </w:t>
            </w:r>
            <w:r>
              <w:rPr>
                <w:b/>
                <w:color w:val="auto"/>
                <w:kern w:val="0"/>
                <w:sz w:val="24"/>
              </w:rPr>
              <w:t>城市污水再生利用 工业用水水质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243"/>
              <w:gridCol w:w="1851"/>
              <w:gridCol w:w="1752"/>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3" w:type="pct"/>
                  <w:vMerge w:val="restart"/>
                  <w:vAlign w:val="center"/>
                </w:tcPr>
                <w:p>
                  <w:pPr>
                    <w:jc w:val="center"/>
                    <w:rPr>
                      <w:b/>
                      <w:color w:val="auto"/>
                    </w:rPr>
                  </w:pPr>
                  <w:r>
                    <w:rPr>
                      <w:b/>
                      <w:color w:val="auto"/>
                    </w:rPr>
                    <w:t>序号</w:t>
                  </w:r>
                </w:p>
              </w:tc>
              <w:tc>
                <w:tcPr>
                  <w:tcW w:w="1447" w:type="pct"/>
                  <w:vMerge w:val="restart"/>
                  <w:vAlign w:val="center"/>
                </w:tcPr>
                <w:p>
                  <w:pPr>
                    <w:jc w:val="center"/>
                    <w:rPr>
                      <w:b/>
                      <w:color w:val="auto"/>
                    </w:rPr>
                  </w:pPr>
                  <w:r>
                    <w:rPr>
                      <w:b/>
                      <w:color w:val="auto"/>
                    </w:rPr>
                    <w:t>控制项目</w:t>
                  </w:r>
                </w:p>
              </w:tc>
              <w:tc>
                <w:tcPr>
                  <w:tcW w:w="2324" w:type="pct"/>
                  <w:gridSpan w:val="2"/>
                  <w:vAlign w:val="center"/>
                </w:tcPr>
                <w:p>
                  <w:pPr>
                    <w:jc w:val="center"/>
                    <w:rPr>
                      <w:b/>
                      <w:color w:val="auto"/>
                    </w:rPr>
                  </w:pPr>
                  <w:r>
                    <w:rPr>
                      <w:b/>
                      <w:color w:val="auto"/>
                    </w:rPr>
                    <w:t>标准</w:t>
                  </w:r>
                </w:p>
              </w:tc>
              <w:tc>
                <w:tcPr>
                  <w:tcW w:w="806" w:type="pct"/>
                  <w:vMerge w:val="restart"/>
                  <w:vAlign w:val="center"/>
                </w:tcPr>
                <w:p>
                  <w:pPr>
                    <w:jc w:val="center"/>
                    <w:rPr>
                      <w:b/>
                      <w:color w:val="auto"/>
                    </w:rPr>
                  </w:pPr>
                  <w:r>
                    <w:rPr>
                      <w:b/>
                      <w:color w:val="auto"/>
                    </w:rPr>
                    <w:t>本项目执行标准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3" w:type="pct"/>
                  <w:vMerge w:val="continue"/>
                  <w:vAlign w:val="center"/>
                </w:tcPr>
                <w:p>
                  <w:pPr>
                    <w:jc w:val="center"/>
                    <w:rPr>
                      <w:b/>
                      <w:color w:val="auto"/>
                    </w:rPr>
                  </w:pPr>
                </w:p>
              </w:tc>
              <w:tc>
                <w:tcPr>
                  <w:tcW w:w="1447" w:type="pct"/>
                  <w:vMerge w:val="continue"/>
                  <w:vAlign w:val="center"/>
                </w:tcPr>
                <w:p>
                  <w:pPr>
                    <w:jc w:val="center"/>
                    <w:rPr>
                      <w:b/>
                      <w:color w:val="auto"/>
                    </w:rPr>
                  </w:pPr>
                </w:p>
              </w:tc>
              <w:tc>
                <w:tcPr>
                  <w:tcW w:w="1194" w:type="pct"/>
                  <w:vAlign w:val="center"/>
                </w:tcPr>
                <w:p>
                  <w:pPr>
                    <w:jc w:val="center"/>
                    <w:rPr>
                      <w:b/>
                      <w:color w:val="auto"/>
                    </w:rPr>
                  </w:pPr>
                  <w:r>
                    <w:rPr>
                      <w:b/>
                      <w:color w:val="auto"/>
                    </w:rPr>
                    <w:t>冷却用水</w:t>
                  </w:r>
                </w:p>
              </w:tc>
              <w:tc>
                <w:tcPr>
                  <w:tcW w:w="1130" w:type="pct"/>
                  <w:vAlign w:val="center"/>
                </w:tcPr>
                <w:p>
                  <w:pPr>
                    <w:jc w:val="center"/>
                    <w:rPr>
                      <w:b/>
                      <w:color w:val="auto"/>
                    </w:rPr>
                  </w:pPr>
                  <w:r>
                    <w:rPr>
                      <w:b/>
                      <w:color w:val="auto"/>
                    </w:rPr>
                    <w:t>洗涤用水</w:t>
                  </w:r>
                </w:p>
              </w:tc>
              <w:tc>
                <w:tcPr>
                  <w:tcW w:w="806" w:type="pct"/>
                  <w:vMerge w:val="continue"/>
                  <w:vAlign w:val="center"/>
                </w:tcPr>
                <w:p>
                  <w:pPr>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3" w:type="pct"/>
                  <w:vAlign w:val="center"/>
                </w:tcPr>
                <w:p>
                  <w:pPr>
                    <w:jc w:val="center"/>
                    <w:rPr>
                      <w:color w:val="auto"/>
                    </w:rPr>
                  </w:pPr>
                  <w:r>
                    <w:rPr>
                      <w:color w:val="auto"/>
                    </w:rPr>
                    <w:t>1</w:t>
                  </w:r>
                </w:p>
              </w:tc>
              <w:tc>
                <w:tcPr>
                  <w:tcW w:w="1447" w:type="pct"/>
                  <w:vAlign w:val="center"/>
                </w:tcPr>
                <w:p>
                  <w:pPr>
                    <w:jc w:val="center"/>
                    <w:rPr>
                      <w:color w:val="auto"/>
                    </w:rPr>
                  </w:pPr>
                  <w:r>
                    <w:rPr>
                      <w:color w:val="auto"/>
                    </w:rPr>
                    <w:t>pH值</w:t>
                  </w:r>
                </w:p>
              </w:tc>
              <w:tc>
                <w:tcPr>
                  <w:tcW w:w="1194" w:type="pct"/>
                  <w:vAlign w:val="center"/>
                </w:tcPr>
                <w:p>
                  <w:pPr>
                    <w:jc w:val="center"/>
                    <w:rPr>
                      <w:color w:val="auto"/>
                    </w:rPr>
                  </w:pPr>
                  <w:r>
                    <w:rPr>
                      <w:color w:val="auto"/>
                    </w:rPr>
                    <w:t>6.5~9.0</w:t>
                  </w:r>
                </w:p>
              </w:tc>
              <w:tc>
                <w:tcPr>
                  <w:tcW w:w="1130" w:type="pct"/>
                  <w:vAlign w:val="center"/>
                </w:tcPr>
                <w:p>
                  <w:pPr>
                    <w:jc w:val="center"/>
                    <w:rPr>
                      <w:color w:val="auto"/>
                    </w:rPr>
                  </w:pPr>
                  <w:r>
                    <w:rPr>
                      <w:color w:val="auto"/>
                    </w:rPr>
                    <w:t>6.5~9.0</w:t>
                  </w:r>
                </w:p>
              </w:tc>
              <w:tc>
                <w:tcPr>
                  <w:tcW w:w="806" w:type="pct"/>
                  <w:vAlign w:val="center"/>
                </w:tcPr>
                <w:p>
                  <w:pPr>
                    <w:jc w:val="center"/>
                    <w:rPr>
                      <w:color w:val="auto"/>
                    </w:rPr>
                  </w:pPr>
                  <w:r>
                    <w:rPr>
                      <w:color w:val="auto"/>
                    </w:rPr>
                    <w:t>6.5~9.0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3" w:type="pct"/>
                  <w:vAlign w:val="center"/>
                </w:tcPr>
                <w:p>
                  <w:pPr>
                    <w:jc w:val="center"/>
                    <w:rPr>
                      <w:color w:val="auto"/>
                    </w:rPr>
                  </w:pPr>
                  <w:r>
                    <w:rPr>
                      <w:color w:val="auto"/>
                    </w:rPr>
                    <w:t>2</w:t>
                  </w:r>
                </w:p>
              </w:tc>
              <w:tc>
                <w:tcPr>
                  <w:tcW w:w="1447" w:type="pct"/>
                  <w:vAlign w:val="center"/>
                </w:tcPr>
                <w:p>
                  <w:pPr>
                    <w:jc w:val="center"/>
                    <w:rPr>
                      <w:color w:val="auto"/>
                    </w:rPr>
                  </w:pPr>
                  <w:r>
                    <w:rPr>
                      <w:color w:val="auto"/>
                    </w:rPr>
                    <w:t>悬浮物（SS）</w:t>
                  </w:r>
                </w:p>
              </w:tc>
              <w:tc>
                <w:tcPr>
                  <w:tcW w:w="1194" w:type="pct"/>
                  <w:vAlign w:val="center"/>
                </w:tcPr>
                <w:p>
                  <w:pPr>
                    <w:jc w:val="center"/>
                    <w:rPr>
                      <w:color w:val="auto"/>
                    </w:rPr>
                  </w:pPr>
                  <w:r>
                    <w:rPr>
                      <w:color w:val="auto"/>
                    </w:rPr>
                    <w:t>≤30</w:t>
                  </w:r>
                </w:p>
              </w:tc>
              <w:tc>
                <w:tcPr>
                  <w:tcW w:w="1130" w:type="pct"/>
                  <w:vAlign w:val="center"/>
                </w:tcPr>
                <w:p>
                  <w:pPr>
                    <w:jc w:val="center"/>
                    <w:rPr>
                      <w:color w:val="auto"/>
                    </w:rPr>
                  </w:pPr>
                  <w:r>
                    <w:rPr>
                      <w:color w:val="auto"/>
                    </w:rPr>
                    <w:t>≤30</w:t>
                  </w:r>
                </w:p>
              </w:tc>
              <w:tc>
                <w:tcPr>
                  <w:tcW w:w="806" w:type="pct"/>
                  <w:vAlign w:val="center"/>
                </w:tcPr>
                <w:p>
                  <w:pPr>
                    <w:jc w:val="center"/>
                    <w:rPr>
                      <w:color w:val="auto"/>
                    </w:rPr>
                  </w:pPr>
                  <w:r>
                    <w:rPr>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3" w:type="pct"/>
                  <w:vAlign w:val="center"/>
                </w:tcPr>
                <w:p>
                  <w:pPr>
                    <w:jc w:val="center"/>
                    <w:rPr>
                      <w:color w:val="auto"/>
                    </w:rPr>
                  </w:pPr>
                  <w:r>
                    <w:rPr>
                      <w:color w:val="auto"/>
                    </w:rPr>
                    <w:t>3</w:t>
                  </w:r>
                </w:p>
              </w:tc>
              <w:tc>
                <w:tcPr>
                  <w:tcW w:w="1447" w:type="pct"/>
                  <w:vAlign w:val="center"/>
                </w:tcPr>
                <w:p>
                  <w:pPr>
                    <w:jc w:val="center"/>
                    <w:rPr>
                      <w:color w:val="auto"/>
                    </w:rPr>
                  </w:pPr>
                  <w:r>
                    <w:rPr>
                      <w:color w:val="auto"/>
                    </w:rPr>
                    <w:t>色度</w:t>
                  </w:r>
                </w:p>
              </w:tc>
              <w:tc>
                <w:tcPr>
                  <w:tcW w:w="1194" w:type="pct"/>
                  <w:vAlign w:val="center"/>
                </w:tcPr>
                <w:p>
                  <w:pPr>
                    <w:jc w:val="center"/>
                    <w:rPr>
                      <w:color w:val="auto"/>
                    </w:rPr>
                  </w:pPr>
                  <w:r>
                    <w:rPr>
                      <w:color w:val="auto"/>
                    </w:rPr>
                    <w:t>≤30</w:t>
                  </w:r>
                </w:p>
              </w:tc>
              <w:tc>
                <w:tcPr>
                  <w:tcW w:w="1130" w:type="pct"/>
                  <w:vAlign w:val="center"/>
                </w:tcPr>
                <w:p>
                  <w:pPr>
                    <w:jc w:val="center"/>
                    <w:rPr>
                      <w:color w:val="auto"/>
                    </w:rPr>
                  </w:pPr>
                  <w:r>
                    <w:rPr>
                      <w:color w:val="auto"/>
                    </w:rPr>
                    <w:t>≤30</w:t>
                  </w:r>
                </w:p>
              </w:tc>
              <w:tc>
                <w:tcPr>
                  <w:tcW w:w="806" w:type="pct"/>
                  <w:vAlign w:val="center"/>
                </w:tcPr>
                <w:p>
                  <w:pPr>
                    <w:jc w:val="center"/>
                    <w:rPr>
                      <w:color w:val="auto"/>
                    </w:rPr>
                  </w:pPr>
                  <w:r>
                    <w:rPr>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3" w:type="pct"/>
                  <w:vAlign w:val="center"/>
                </w:tcPr>
                <w:p>
                  <w:pPr>
                    <w:jc w:val="center"/>
                    <w:rPr>
                      <w:color w:val="auto"/>
                    </w:rPr>
                  </w:pPr>
                  <w:r>
                    <w:rPr>
                      <w:color w:val="auto"/>
                    </w:rPr>
                    <w:t>4</w:t>
                  </w:r>
                </w:p>
              </w:tc>
              <w:tc>
                <w:tcPr>
                  <w:tcW w:w="1447" w:type="pct"/>
                  <w:vAlign w:val="center"/>
                </w:tcPr>
                <w:p>
                  <w:pPr>
                    <w:jc w:val="center"/>
                    <w:rPr>
                      <w:color w:val="auto"/>
                    </w:rPr>
                  </w:pPr>
                  <w:r>
                    <w:rPr>
                      <w:color w:val="auto"/>
                    </w:rPr>
                    <w:t>生化需氧量（BOD</w:t>
                  </w:r>
                  <w:r>
                    <w:rPr>
                      <w:color w:val="auto"/>
                      <w:vertAlign w:val="subscript"/>
                    </w:rPr>
                    <w:t>5</w:t>
                  </w:r>
                  <w:r>
                    <w:rPr>
                      <w:color w:val="auto"/>
                    </w:rPr>
                    <w:t>）</w:t>
                  </w:r>
                </w:p>
              </w:tc>
              <w:tc>
                <w:tcPr>
                  <w:tcW w:w="1194" w:type="pct"/>
                  <w:vAlign w:val="center"/>
                </w:tcPr>
                <w:p>
                  <w:pPr>
                    <w:jc w:val="center"/>
                    <w:rPr>
                      <w:color w:val="auto"/>
                    </w:rPr>
                  </w:pPr>
                  <w:r>
                    <w:rPr>
                      <w:color w:val="auto"/>
                    </w:rPr>
                    <w:t>≤30</w:t>
                  </w:r>
                </w:p>
              </w:tc>
              <w:tc>
                <w:tcPr>
                  <w:tcW w:w="1130" w:type="pct"/>
                  <w:vAlign w:val="center"/>
                </w:tcPr>
                <w:p>
                  <w:pPr>
                    <w:jc w:val="center"/>
                    <w:rPr>
                      <w:color w:val="auto"/>
                    </w:rPr>
                  </w:pPr>
                  <w:r>
                    <w:rPr>
                      <w:color w:val="auto"/>
                    </w:rPr>
                    <w:t>≤30</w:t>
                  </w:r>
                </w:p>
              </w:tc>
              <w:tc>
                <w:tcPr>
                  <w:tcW w:w="806" w:type="pct"/>
                  <w:vAlign w:val="center"/>
                </w:tcPr>
                <w:p>
                  <w:pPr>
                    <w:jc w:val="center"/>
                    <w:rPr>
                      <w:color w:val="auto"/>
                    </w:rPr>
                  </w:pPr>
                  <w:r>
                    <w:rPr>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3" w:type="pct"/>
                  <w:vAlign w:val="center"/>
                </w:tcPr>
                <w:p>
                  <w:pPr>
                    <w:jc w:val="center"/>
                    <w:rPr>
                      <w:color w:val="auto"/>
                    </w:rPr>
                  </w:pPr>
                  <w:r>
                    <w:rPr>
                      <w:color w:val="auto"/>
                    </w:rPr>
                    <w:t>5</w:t>
                  </w:r>
                </w:p>
              </w:tc>
              <w:tc>
                <w:tcPr>
                  <w:tcW w:w="1447" w:type="pct"/>
                  <w:vAlign w:val="center"/>
                </w:tcPr>
                <w:p>
                  <w:pPr>
                    <w:jc w:val="center"/>
                    <w:rPr>
                      <w:color w:val="auto"/>
                    </w:rPr>
                  </w:pPr>
                  <w:r>
                    <w:rPr>
                      <w:color w:val="auto"/>
                    </w:rPr>
                    <w:t>CODcr</w:t>
                  </w:r>
                </w:p>
              </w:tc>
              <w:tc>
                <w:tcPr>
                  <w:tcW w:w="1194" w:type="pct"/>
                  <w:vAlign w:val="center"/>
                </w:tcPr>
                <w:p>
                  <w:pPr>
                    <w:jc w:val="center"/>
                    <w:rPr>
                      <w:color w:val="auto"/>
                    </w:rPr>
                  </w:pPr>
                  <w:r>
                    <w:rPr>
                      <w:color w:val="auto"/>
                    </w:rPr>
                    <w:t>≤60</w:t>
                  </w:r>
                </w:p>
              </w:tc>
              <w:tc>
                <w:tcPr>
                  <w:tcW w:w="1130" w:type="pct"/>
                  <w:vAlign w:val="center"/>
                </w:tcPr>
                <w:p>
                  <w:pPr>
                    <w:jc w:val="center"/>
                    <w:rPr>
                      <w:color w:val="auto"/>
                    </w:rPr>
                  </w:pPr>
                  <w:r>
                    <w:rPr>
                      <w:color w:val="auto"/>
                    </w:rPr>
                    <w:t>—</w:t>
                  </w:r>
                </w:p>
              </w:tc>
              <w:tc>
                <w:tcPr>
                  <w:tcW w:w="806" w:type="pct"/>
                  <w:vAlign w:val="center"/>
                </w:tcPr>
                <w:p>
                  <w:pPr>
                    <w:jc w:val="center"/>
                    <w:rPr>
                      <w:color w:val="auto"/>
                    </w:rPr>
                  </w:pPr>
                  <w:r>
                    <w:rPr>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3" w:type="pct"/>
                  <w:vAlign w:val="center"/>
                </w:tcPr>
                <w:p>
                  <w:pPr>
                    <w:jc w:val="center"/>
                    <w:rPr>
                      <w:color w:val="auto"/>
                    </w:rPr>
                  </w:pPr>
                  <w:r>
                    <w:rPr>
                      <w:color w:val="auto"/>
                    </w:rPr>
                    <w:t>6</w:t>
                  </w:r>
                </w:p>
              </w:tc>
              <w:tc>
                <w:tcPr>
                  <w:tcW w:w="1447" w:type="pct"/>
                  <w:vAlign w:val="center"/>
                </w:tcPr>
                <w:p>
                  <w:pPr>
                    <w:jc w:val="center"/>
                    <w:rPr>
                      <w:color w:val="auto"/>
                    </w:rPr>
                  </w:pPr>
                  <w:r>
                    <w:rPr>
                      <w:color w:val="auto"/>
                    </w:rPr>
                    <w:t>总硬度（以CaCO</w:t>
                  </w:r>
                  <w:r>
                    <w:rPr>
                      <w:color w:val="auto"/>
                      <w:vertAlign w:val="subscript"/>
                    </w:rPr>
                    <w:t>3</w:t>
                  </w:r>
                  <w:r>
                    <w:rPr>
                      <w:color w:val="auto"/>
                    </w:rPr>
                    <w:t>计）</w:t>
                  </w:r>
                </w:p>
              </w:tc>
              <w:tc>
                <w:tcPr>
                  <w:tcW w:w="1194" w:type="pct"/>
                  <w:vAlign w:val="center"/>
                </w:tcPr>
                <w:p>
                  <w:pPr>
                    <w:jc w:val="center"/>
                    <w:rPr>
                      <w:color w:val="auto"/>
                    </w:rPr>
                  </w:pPr>
                  <w:r>
                    <w:rPr>
                      <w:color w:val="auto"/>
                    </w:rPr>
                    <w:t>≤450</w:t>
                  </w:r>
                </w:p>
              </w:tc>
              <w:tc>
                <w:tcPr>
                  <w:tcW w:w="1130" w:type="pct"/>
                  <w:vAlign w:val="center"/>
                </w:tcPr>
                <w:p>
                  <w:pPr>
                    <w:jc w:val="center"/>
                    <w:rPr>
                      <w:color w:val="auto"/>
                    </w:rPr>
                  </w:pPr>
                  <w:r>
                    <w:rPr>
                      <w:color w:val="auto"/>
                    </w:rPr>
                    <w:t>≤450</w:t>
                  </w:r>
                </w:p>
              </w:tc>
              <w:tc>
                <w:tcPr>
                  <w:tcW w:w="806" w:type="pct"/>
                  <w:vAlign w:val="center"/>
                </w:tcPr>
                <w:p>
                  <w:pPr>
                    <w:jc w:val="center"/>
                    <w:rPr>
                      <w:color w:val="auto"/>
                    </w:rPr>
                  </w:pPr>
                  <w:r>
                    <w:rPr>
                      <w:color w:val="auto"/>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3" w:type="pct"/>
                  <w:vAlign w:val="center"/>
                </w:tcPr>
                <w:p>
                  <w:pPr>
                    <w:jc w:val="center"/>
                    <w:rPr>
                      <w:color w:val="auto"/>
                    </w:rPr>
                  </w:pPr>
                  <w:r>
                    <w:rPr>
                      <w:color w:val="auto"/>
                    </w:rPr>
                    <w:t>7</w:t>
                  </w:r>
                </w:p>
              </w:tc>
              <w:tc>
                <w:tcPr>
                  <w:tcW w:w="1447" w:type="pct"/>
                  <w:vAlign w:val="center"/>
                </w:tcPr>
                <w:p>
                  <w:pPr>
                    <w:jc w:val="center"/>
                    <w:rPr>
                      <w:color w:val="auto"/>
                    </w:rPr>
                  </w:pPr>
                  <w:r>
                    <w:rPr>
                      <w:color w:val="auto"/>
                    </w:rPr>
                    <w:t>氯离子</w:t>
                  </w:r>
                </w:p>
              </w:tc>
              <w:tc>
                <w:tcPr>
                  <w:tcW w:w="1194" w:type="pct"/>
                  <w:vAlign w:val="center"/>
                </w:tcPr>
                <w:p>
                  <w:pPr>
                    <w:jc w:val="center"/>
                    <w:rPr>
                      <w:color w:val="auto"/>
                    </w:rPr>
                  </w:pPr>
                  <w:r>
                    <w:rPr>
                      <w:color w:val="auto"/>
                    </w:rPr>
                    <w:t>≤250</w:t>
                  </w:r>
                </w:p>
              </w:tc>
              <w:tc>
                <w:tcPr>
                  <w:tcW w:w="1130" w:type="pct"/>
                  <w:vAlign w:val="center"/>
                </w:tcPr>
                <w:p>
                  <w:pPr>
                    <w:jc w:val="center"/>
                    <w:rPr>
                      <w:color w:val="auto"/>
                    </w:rPr>
                  </w:pPr>
                  <w:r>
                    <w:rPr>
                      <w:color w:val="auto"/>
                    </w:rPr>
                    <w:t>≤250</w:t>
                  </w:r>
                </w:p>
              </w:tc>
              <w:tc>
                <w:tcPr>
                  <w:tcW w:w="806" w:type="pct"/>
                  <w:vAlign w:val="center"/>
                </w:tcPr>
                <w:p>
                  <w:pPr>
                    <w:jc w:val="center"/>
                    <w:rPr>
                      <w:color w:val="auto"/>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3" w:type="pct"/>
                  <w:vAlign w:val="center"/>
                </w:tcPr>
                <w:p>
                  <w:pPr>
                    <w:jc w:val="center"/>
                    <w:rPr>
                      <w:color w:val="auto"/>
                    </w:rPr>
                  </w:pPr>
                  <w:r>
                    <w:rPr>
                      <w:color w:val="auto"/>
                    </w:rPr>
                    <w:t>8</w:t>
                  </w:r>
                </w:p>
              </w:tc>
              <w:tc>
                <w:tcPr>
                  <w:tcW w:w="1447" w:type="pct"/>
                  <w:vAlign w:val="center"/>
                </w:tcPr>
                <w:p>
                  <w:pPr>
                    <w:jc w:val="center"/>
                    <w:rPr>
                      <w:color w:val="auto"/>
                    </w:rPr>
                  </w:pPr>
                  <w:r>
                    <w:rPr>
                      <w:color w:val="auto"/>
                    </w:rPr>
                    <w:t>硫酸盐</w:t>
                  </w:r>
                </w:p>
              </w:tc>
              <w:tc>
                <w:tcPr>
                  <w:tcW w:w="1194" w:type="pct"/>
                  <w:vAlign w:val="center"/>
                </w:tcPr>
                <w:p>
                  <w:pPr>
                    <w:jc w:val="center"/>
                    <w:rPr>
                      <w:color w:val="auto"/>
                    </w:rPr>
                  </w:pPr>
                  <w:r>
                    <w:rPr>
                      <w:color w:val="auto"/>
                    </w:rPr>
                    <w:t>≤600</w:t>
                  </w:r>
                </w:p>
              </w:tc>
              <w:tc>
                <w:tcPr>
                  <w:tcW w:w="1130" w:type="pct"/>
                  <w:vAlign w:val="center"/>
                </w:tcPr>
                <w:p>
                  <w:pPr>
                    <w:jc w:val="center"/>
                    <w:rPr>
                      <w:color w:val="auto"/>
                    </w:rPr>
                  </w:pPr>
                  <w:r>
                    <w:rPr>
                      <w:color w:val="auto"/>
                    </w:rPr>
                    <w:t>≤250</w:t>
                  </w:r>
                </w:p>
              </w:tc>
              <w:tc>
                <w:tcPr>
                  <w:tcW w:w="806" w:type="pct"/>
                  <w:vAlign w:val="center"/>
                </w:tcPr>
                <w:p>
                  <w:pPr>
                    <w:jc w:val="center"/>
                    <w:rPr>
                      <w:color w:val="auto"/>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3" w:type="pct"/>
                  <w:vAlign w:val="center"/>
                </w:tcPr>
                <w:p>
                  <w:pPr>
                    <w:jc w:val="center"/>
                    <w:rPr>
                      <w:color w:val="auto"/>
                    </w:rPr>
                  </w:pPr>
                  <w:r>
                    <w:rPr>
                      <w:color w:val="auto"/>
                    </w:rPr>
                    <w:t>9</w:t>
                  </w:r>
                </w:p>
              </w:tc>
              <w:tc>
                <w:tcPr>
                  <w:tcW w:w="1447" w:type="pct"/>
                  <w:vAlign w:val="center"/>
                </w:tcPr>
                <w:p>
                  <w:pPr>
                    <w:jc w:val="center"/>
                    <w:rPr>
                      <w:color w:val="auto"/>
                    </w:rPr>
                  </w:pPr>
                  <w:r>
                    <w:rPr>
                      <w:color w:val="auto"/>
                    </w:rPr>
                    <w:t>溶解性总固体</w:t>
                  </w:r>
                </w:p>
              </w:tc>
              <w:tc>
                <w:tcPr>
                  <w:tcW w:w="1194" w:type="pct"/>
                  <w:vAlign w:val="center"/>
                </w:tcPr>
                <w:p>
                  <w:pPr>
                    <w:jc w:val="center"/>
                    <w:rPr>
                      <w:color w:val="auto"/>
                    </w:rPr>
                  </w:pPr>
                  <w:r>
                    <w:rPr>
                      <w:color w:val="auto"/>
                    </w:rPr>
                    <w:t>≤1000</w:t>
                  </w:r>
                </w:p>
              </w:tc>
              <w:tc>
                <w:tcPr>
                  <w:tcW w:w="1130" w:type="pct"/>
                  <w:vAlign w:val="center"/>
                </w:tcPr>
                <w:p>
                  <w:pPr>
                    <w:jc w:val="center"/>
                    <w:rPr>
                      <w:color w:val="auto"/>
                    </w:rPr>
                  </w:pPr>
                  <w:r>
                    <w:rPr>
                      <w:color w:val="auto"/>
                    </w:rPr>
                    <w:t>≤1000</w:t>
                  </w:r>
                </w:p>
              </w:tc>
              <w:tc>
                <w:tcPr>
                  <w:tcW w:w="806" w:type="pct"/>
                  <w:vAlign w:val="center"/>
                </w:tcPr>
                <w:p>
                  <w:pPr>
                    <w:jc w:val="center"/>
                    <w:rPr>
                      <w:color w:val="auto"/>
                    </w:rPr>
                  </w:pPr>
                  <w:r>
                    <w:rPr>
                      <w:color w:val="auto"/>
                    </w:rPr>
                    <w:t>≤1000</w:t>
                  </w:r>
                </w:p>
              </w:tc>
            </w:tr>
          </w:tbl>
          <w:p>
            <w:pPr>
              <w:adjustRightInd w:val="0"/>
              <w:snapToGrid w:val="0"/>
              <w:jc w:val="center"/>
              <w:rPr>
                <w:b/>
                <w:color w:val="auto"/>
                <w:sz w:val="24"/>
              </w:rPr>
            </w:pPr>
            <w:r>
              <w:rPr>
                <w:rFonts w:hint="eastAsia"/>
                <w:b/>
                <w:color w:val="auto"/>
                <w:sz w:val="24"/>
              </w:rPr>
              <w:t>表3-11   城市污水再生利用城市杂用水水质标准</w:t>
            </w:r>
          </w:p>
          <w:tbl>
            <w:tblPr>
              <w:tblStyle w:val="30"/>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24"/>
              <w:gridCol w:w="2941"/>
              <w:gridCol w:w="39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31" w:type="pct"/>
                  <w:vAlign w:val="center"/>
                </w:tcPr>
                <w:p>
                  <w:pPr>
                    <w:adjustRightInd w:val="0"/>
                    <w:snapToGrid w:val="0"/>
                    <w:jc w:val="center"/>
                    <w:rPr>
                      <w:color w:val="auto"/>
                    </w:rPr>
                  </w:pPr>
                  <w:r>
                    <w:rPr>
                      <w:color w:val="auto"/>
                    </w:rPr>
                    <w:t>序号</w:t>
                  </w:r>
                </w:p>
              </w:tc>
              <w:tc>
                <w:tcPr>
                  <w:tcW w:w="1896" w:type="pct"/>
                  <w:vAlign w:val="center"/>
                </w:tcPr>
                <w:p>
                  <w:pPr>
                    <w:adjustRightInd w:val="0"/>
                    <w:snapToGrid w:val="0"/>
                    <w:jc w:val="center"/>
                    <w:rPr>
                      <w:color w:val="auto"/>
                    </w:rPr>
                  </w:pPr>
                  <w:r>
                    <w:rPr>
                      <w:color w:val="auto"/>
                    </w:rPr>
                    <w:t>项目指标</w:t>
                  </w:r>
                </w:p>
              </w:tc>
              <w:tc>
                <w:tcPr>
                  <w:tcW w:w="2573" w:type="pct"/>
                  <w:vAlign w:val="center"/>
                </w:tcPr>
                <w:p>
                  <w:pPr>
                    <w:adjustRightInd w:val="0"/>
                    <w:snapToGrid w:val="0"/>
                    <w:jc w:val="center"/>
                    <w:rPr>
                      <w:color w:val="auto"/>
                    </w:rPr>
                  </w:pPr>
                  <w:r>
                    <w:rPr>
                      <w:color w:val="auto"/>
                    </w:rPr>
                    <w:t>城市绿化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31" w:type="pct"/>
                  <w:vAlign w:val="center"/>
                </w:tcPr>
                <w:p>
                  <w:pPr>
                    <w:adjustRightInd w:val="0"/>
                    <w:snapToGrid w:val="0"/>
                    <w:jc w:val="center"/>
                    <w:rPr>
                      <w:color w:val="auto"/>
                    </w:rPr>
                  </w:pPr>
                  <w:r>
                    <w:rPr>
                      <w:color w:val="auto"/>
                    </w:rPr>
                    <w:t>1</w:t>
                  </w:r>
                </w:p>
              </w:tc>
              <w:tc>
                <w:tcPr>
                  <w:tcW w:w="1896" w:type="pct"/>
                  <w:vAlign w:val="center"/>
                </w:tcPr>
                <w:p>
                  <w:pPr>
                    <w:adjustRightInd w:val="0"/>
                    <w:snapToGrid w:val="0"/>
                    <w:jc w:val="center"/>
                    <w:rPr>
                      <w:color w:val="auto"/>
                    </w:rPr>
                  </w:pPr>
                  <w:r>
                    <w:rPr>
                      <w:color w:val="auto"/>
                    </w:rPr>
                    <w:t>pH</w:t>
                  </w:r>
                </w:p>
              </w:tc>
              <w:tc>
                <w:tcPr>
                  <w:tcW w:w="2573" w:type="pct"/>
                  <w:vAlign w:val="center"/>
                </w:tcPr>
                <w:p>
                  <w:pPr>
                    <w:adjustRightInd w:val="0"/>
                    <w:snapToGrid w:val="0"/>
                    <w:jc w:val="center"/>
                    <w:rPr>
                      <w:color w:val="auto"/>
                    </w:rPr>
                  </w:pPr>
                  <w:r>
                    <w:rPr>
                      <w:color w:val="auto"/>
                    </w:rPr>
                    <w:t>6.0～9.0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31" w:type="pct"/>
                  <w:vAlign w:val="center"/>
                </w:tcPr>
                <w:p>
                  <w:pPr>
                    <w:adjustRightInd w:val="0"/>
                    <w:snapToGrid w:val="0"/>
                    <w:jc w:val="center"/>
                    <w:rPr>
                      <w:color w:val="auto"/>
                    </w:rPr>
                  </w:pPr>
                  <w:r>
                    <w:rPr>
                      <w:color w:val="auto"/>
                    </w:rPr>
                    <w:t>2</w:t>
                  </w:r>
                </w:p>
              </w:tc>
              <w:tc>
                <w:tcPr>
                  <w:tcW w:w="1896" w:type="pct"/>
                  <w:vAlign w:val="center"/>
                </w:tcPr>
                <w:p>
                  <w:pPr>
                    <w:adjustRightInd w:val="0"/>
                    <w:snapToGrid w:val="0"/>
                    <w:jc w:val="center"/>
                    <w:rPr>
                      <w:color w:val="auto"/>
                    </w:rPr>
                  </w:pPr>
                  <w:r>
                    <w:rPr>
                      <w:color w:val="auto"/>
                    </w:rPr>
                    <w:t>色（度）≤</w:t>
                  </w:r>
                </w:p>
              </w:tc>
              <w:tc>
                <w:tcPr>
                  <w:tcW w:w="2573" w:type="pct"/>
                  <w:vAlign w:val="center"/>
                </w:tcPr>
                <w:p>
                  <w:pPr>
                    <w:adjustRightInd w:val="0"/>
                    <w:snapToGrid w:val="0"/>
                    <w:jc w:val="center"/>
                    <w:rPr>
                      <w:color w:val="auto"/>
                    </w:rPr>
                  </w:pPr>
                  <w:r>
                    <w:rPr>
                      <w:color w:val="auto"/>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31" w:type="pct"/>
                  <w:vAlign w:val="center"/>
                </w:tcPr>
                <w:p>
                  <w:pPr>
                    <w:adjustRightInd w:val="0"/>
                    <w:snapToGrid w:val="0"/>
                    <w:jc w:val="center"/>
                    <w:rPr>
                      <w:color w:val="auto"/>
                    </w:rPr>
                  </w:pPr>
                  <w:r>
                    <w:rPr>
                      <w:color w:val="auto"/>
                    </w:rPr>
                    <w:t>3</w:t>
                  </w:r>
                </w:p>
              </w:tc>
              <w:tc>
                <w:tcPr>
                  <w:tcW w:w="1896" w:type="pct"/>
                  <w:vAlign w:val="center"/>
                </w:tcPr>
                <w:p>
                  <w:pPr>
                    <w:adjustRightInd w:val="0"/>
                    <w:snapToGrid w:val="0"/>
                    <w:jc w:val="center"/>
                    <w:rPr>
                      <w:color w:val="auto"/>
                    </w:rPr>
                  </w:pPr>
                  <w:r>
                    <w:rPr>
                      <w:color w:val="auto"/>
                    </w:rPr>
                    <w:t>嗅</w:t>
                  </w:r>
                </w:p>
              </w:tc>
              <w:tc>
                <w:tcPr>
                  <w:tcW w:w="2573" w:type="pct"/>
                  <w:vAlign w:val="center"/>
                </w:tcPr>
                <w:p>
                  <w:pPr>
                    <w:adjustRightInd w:val="0"/>
                    <w:snapToGrid w:val="0"/>
                    <w:jc w:val="center"/>
                    <w:rPr>
                      <w:color w:val="auto"/>
                    </w:rPr>
                  </w:pPr>
                  <w:r>
                    <w:rPr>
                      <w:color w:val="auto"/>
                    </w:rPr>
                    <w:t>无不快感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31" w:type="pct"/>
                  <w:vAlign w:val="center"/>
                </w:tcPr>
                <w:p>
                  <w:pPr>
                    <w:adjustRightInd w:val="0"/>
                    <w:snapToGrid w:val="0"/>
                    <w:jc w:val="center"/>
                    <w:rPr>
                      <w:color w:val="auto"/>
                    </w:rPr>
                  </w:pPr>
                  <w:r>
                    <w:rPr>
                      <w:color w:val="auto"/>
                    </w:rPr>
                    <w:t>4</w:t>
                  </w:r>
                </w:p>
              </w:tc>
              <w:tc>
                <w:tcPr>
                  <w:tcW w:w="1896" w:type="pct"/>
                  <w:vAlign w:val="center"/>
                </w:tcPr>
                <w:p>
                  <w:pPr>
                    <w:adjustRightInd w:val="0"/>
                    <w:snapToGrid w:val="0"/>
                    <w:jc w:val="center"/>
                    <w:rPr>
                      <w:color w:val="auto"/>
                    </w:rPr>
                  </w:pPr>
                  <w:r>
                    <w:rPr>
                      <w:color w:val="auto"/>
                    </w:rPr>
                    <w:t>浊度（NTU）≤</w:t>
                  </w:r>
                </w:p>
              </w:tc>
              <w:tc>
                <w:tcPr>
                  <w:tcW w:w="2573" w:type="pct"/>
                  <w:vAlign w:val="center"/>
                </w:tcPr>
                <w:p>
                  <w:pPr>
                    <w:adjustRightInd w:val="0"/>
                    <w:snapToGrid w:val="0"/>
                    <w:jc w:val="center"/>
                    <w:rPr>
                      <w:color w:val="auto"/>
                    </w:rPr>
                  </w:pPr>
                  <w:r>
                    <w:rPr>
                      <w:color w:val="auto"/>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31" w:type="pct"/>
                  <w:vAlign w:val="center"/>
                </w:tcPr>
                <w:p>
                  <w:pPr>
                    <w:adjustRightInd w:val="0"/>
                    <w:snapToGrid w:val="0"/>
                    <w:jc w:val="center"/>
                    <w:rPr>
                      <w:color w:val="auto"/>
                    </w:rPr>
                  </w:pPr>
                  <w:r>
                    <w:rPr>
                      <w:color w:val="auto"/>
                    </w:rPr>
                    <w:t>5</w:t>
                  </w:r>
                </w:p>
              </w:tc>
              <w:tc>
                <w:tcPr>
                  <w:tcW w:w="1896" w:type="pct"/>
                  <w:vAlign w:val="center"/>
                </w:tcPr>
                <w:p>
                  <w:pPr>
                    <w:adjustRightInd w:val="0"/>
                    <w:snapToGrid w:val="0"/>
                    <w:jc w:val="center"/>
                    <w:rPr>
                      <w:color w:val="auto"/>
                    </w:rPr>
                  </w:pPr>
                  <w:r>
                    <w:rPr>
                      <w:color w:val="auto"/>
                    </w:rPr>
                    <w:t>溶解性总固体（mg/L）≤</w:t>
                  </w:r>
                </w:p>
              </w:tc>
              <w:tc>
                <w:tcPr>
                  <w:tcW w:w="2573" w:type="pct"/>
                  <w:vAlign w:val="center"/>
                </w:tcPr>
                <w:p>
                  <w:pPr>
                    <w:adjustRightInd w:val="0"/>
                    <w:snapToGrid w:val="0"/>
                    <w:jc w:val="center"/>
                    <w:rPr>
                      <w:color w:val="auto"/>
                    </w:rPr>
                  </w:pPr>
                  <w:r>
                    <w:rPr>
                      <w:color w:val="auto"/>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31" w:type="pct"/>
                  <w:vAlign w:val="center"/>
                </w:tcPr>
                <w:p>
                  <w:pPr>
                    <w:adjustRightInd w:val="0"/>
                    <w:snapToGrid w:val="0"/>
                    <w:jc w:val="center"/>
                    <w:rPr>
                      <w:color w:val="auto"/>
                    </w:rPr>
                  </w:pPr>
                  <w:r>
                    <w:rPr>
                      <w:color w:val="auto"/>
                    </w:rPr>
                    <w:t>6</w:t>
                  </w:r>
                </w:p>
              </w:tc>
              <w:tc>
                <w:tcPr>
                  <w:tcW w:w="1896" w:type="pct"/>
                  <w:vAlign w:val="center"/>
                </w:tcPr>
                <w:p>
                  <w:pPr>
                    <w:adjustRightInd w:val="0"/>
                    <w:snapToGrid w:val="0"/>
                    <w:jc w:val="center"/>
                    <w:rPr>
                      <w:color w:val="auto"/>
                    </w:rPr>
                  </w:pPr>
                  <w:r>
                    <w:rPr>
                      <w:color w:val="auto"/>
                    </w:rPr>
                    <w:t>BOD</w:t>
                  </w:r>
                  <w:r>
                    <w:rPr>
                      <w:color w:val="auto"/>
                      <w:vertAlign w:val="subscript"/>
                    </w:rPr>
                    <w:t>5</w:t>
                  </w:r>
                  <w:r>
                    <w:rPr>
                      <w:color w:val="auto"/>
                    </w:rPr>
                    <w:t>（mg/L）≤</w:t>
                  </w:r>
                </w:p>
              </w:tc>
              <w:tc>
                <w:tcPr>
                  <w:tcW w:w="2573" w:type="pct"/>
                  <w:vAlign w:val="center"/>
                </w:tcPr>
                <w:p>
                  <w:pPr>
                    <w:adjustRightInd w:val="0"/>
                    <w:snapToGrid w:val="0"/>
                    <w:jc w:val="center"/>
                    <w:rPr>
                      <w:color w:val="auto"/>
                    </w:rPr>
                  </w:pPr>
                  <w:r>
                    <w:rPr>
                      <w:rFonts w:hint="eastAsia"/>
                      <w:color w:val="auto"/>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31" w:type="pct"/>
                  <w:vAlign w:val="center"/>
                </w:tcPr>
                <w:p>
                  <w:pPr>
                    <w:adjustRightInd w:val="0"/>
                    <w:snapToGrid w:val="0"/>
                    <w:jc w:val="center"/>
                    <w:rPr>
                      <w:color w:val="auto"/>
                    </w:rPr>
                  </w:pPr>
                  <w:r>
                    <w:rPr>
                      <w:color w:val="auto"/>
                    </w:rPr>
                    <w:t>7</w:t>
                  </w:r>
                </w:p>
              </w:tc>
              <w:tc>
                <w:tcPr>
                  <w:tcW w:w="1896" w:type="pct"/>
                  <w:vAlign w:val="center"/>
                </w:tcPr>
                <w:p>
                  <w:pPr>
                    <w:adjustRightInd w:val="0"/>
                    <w:snapToGrid w:val="0"/>
                    <w:jc w:val="center"/>
                    <w:rPr>
                      <w:color w:val="auto"/>
                    </w:rPr>
                  </w:pPr>
                  <w:r>
                    <w:rPr>
                      <w:color w:val="auto"/>
                    </w:rPr>
                    <w:t>氨氮（mg/L）≤</w:t>
                  </w:r>
                </w:p>
              </w:tc>
              <w:tc>
                <w:tcPr>
                  <w:tcW w:w="2573" w:type="pct"/>
                  <w:vAlign w:val="center"/>
                </w:tcPr>
                <w:p>
                  <w:pPr>
                    <w:adjustRightInd w:val="0"/>
                    <w:snapToGrid w:val="0"/>
                    <w:jc w:val="center"/>
                    <w:rPr>
                      <w:color w:val="auto"/>
                    </w:rPr>
                  </w:pPr>
                  <w:r>
                    <w:rPr>
                      <w:rFonts w:hint="eastAsia"/>
                      <w:color w:val="auto"/>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31" w:type="pct"/>
                  <w:vAlign w:val="center"/>
                </w:tcPr>
                <w:p>
                  <w:pPr>
                    <w:adjustRightInd w:val="0"/>
                    <w:snapToGrid w:val="0"/>
                    <w:jc w:val="center"/>
                    <w:rPr>
                      <w:color w:val="auto"/>
                    </w:rPr>
                  </w:pPr>
                  <w:r>
                    <w:rPr>
                      <w:color w:val="auto"/>
                    </w:rPr>
                    <w:t>8</w:t>
                  </w:r>
                </w:p>
              </w:tc>
              <w:tc>
                <w:tcPr>
                  <w:tcW w:w="1896" w:type="pct"/>
                  <w:vAlign w:val="center"/>
                </w:tcPr>
                <w:p>
                  <w:pPr>
                    <w:adjustRightInd w:val="0"/>
                    <w:snapToGrid w:val="0"/>
                    <w:jc w:val="center"/>
                    <w:rPr>
                      <w:color w:val="auto"/>
                    </w:rPr>
                  </w:pPr>
                  <w:r>
                    <w:rPr>
                      <w:color w:val="auto"/>
                    </w:rPr>
                    <w:t>阴离子表面活性剂（mg/L）≤</w:t>
                  </w:r>
                </w:p>
              </w:tc>
              <w:tc>
                <w:tcPr>
                  <w:tcW w:w="2573" w:type="pct"/>
                  <w:vAlign w:val="center"/>
                </w:tcPr>
                <w:p>
                  <w:pPr>
                    <w:adjustRightInd w:val="0"/>
                    <w:snapToGrid w:val="0"/>
                    <w:jc w:val="center"/>
                    <w:rPr>
                      <w:color w:val="auto"/>
                    </w:rPr>
                  </w:pPr>
                  <w:r>
                    <w:rPr>
                      <w:rFonts w:hint="eastAsia"/>
                      <w:color w:val="auto"/>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31" w:type="pct"/>
                  <w:vAlign w:val="center"/>
                </w:tcPr>
                <w:p>
                  <w:pPr>
                    <w:adjustRightInd w:val="0"/>
                    <w:snapToGrid w:val="0"/>
                    <w:jc w:val="center"/>
                    <w:rPr>
                      <w:color w:val="auto"/>
                    </w:rPr>
                  </w:pPr>
                  <w:r>
                    <w:rPr>
                      <w:color w:val="auto"/>
                    </w:rPr>
                    <w:t>9</w:t>
                  </w:r>
                </w:p>
              </w:tc>
              <w:tc>
                <w:tcPr>
                  <w:tcW w:w="1896" w:type="pct"/>
                  <w:vAlign w:val="center"/>
                </w:tcPr>
                <w:p>
                  <w:pPr>
                    <w:adjustRightInd w:val="0"/>
                    <w:snapToGrid w:val="0"/>
                    <w:jc w:val="center"/>
                    <w:rPr>
                      <w:color w:val="auto"/>
                    </w:rPr>
                  </w:pPr>
                  <w:r>
                    <w:rPr>
                      <w:color w:val="auto"/>
                    </w:rPr>
                    <w:t>溶解氧≥</w:t>
                  </w:r>
                </w:p>
              </w:tc>
              <w:tc>
                <w:tcPr>
                  <w:tcW w:w="2573" w:type="pct"/>
                  <w:vAlign w:val="center"/>
                </w:tcPr>
                <w:p>
                  <w:pPr>
                    <w:adjustRightInd w:val="0"/>
                    <w:snapToGrid w:val="0"/>
                    <w:jc w:val="center"/>
                    <w:rPr>
                      <w:color w:val="auto"/>
                    </w:rPr>
                  </w:pPr>
                  <w:r>
                    <w:rPr>
                      <w:rFonts w:hint="eastAsia"/>
                      <w:color w:val="auto"/>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31" w:type="pct"/>
                  <w:vAlign w:val="center"/>
                </w:tcPr>
                <w:p>
                  <w:pPr>
                    <w:adjustRightInd w:val="0"/>
                    <w:snapToGrid w:val="0"/>
                    <w:jc w:val="center"/>
                    <w:rPr>
                      <w:color w:val="auto"/>
                    </w:rPr>
                  </w:pPr>
                  <w:r>
                    <w:rPr>
                      <w:color w:val="auto"/>
                    </w:rPr>
                    <w:t>10</w:t>
                  </w:r>
                </w:p>
              </w:tc>
              <w:tc>
                <w:tcPr>
                  <w:tcW w:w="1896" w:type="pct"/>
                  <w:vAlign w:val="center"/>
                </w:tcPr>
                <w:p>
                  <w:pPr>
                    <w:adjustRightInd w:val="0"/>
                    <w:snapToGrid w:val="0"/>
                    <w:jc w:val="center"/>
                    <w:rPr>
                      <w:color w:val="auto"/>
                    </w:rPr>
                  </w:pPr>
                  <w:r>
                    <w:rPr>
                      <w:color w:val="auto"/>
                    </w:rPr>
                    <w:t>总余氯</w:t>
                  </w:r>
                </w:p>
              </w:tc>
              <w:tc>
                <w:tcPr>
                  <w:tcW w:w="2573" w:type="pct"/>
                  <w:vAlign w:val="center"/>
                </w:tcPr>
                <w:p>
                  <w:pPr>
                    <w:adjustRightInd w:val="0"/>
                    <w:snapToGrid w:val="0"/>
                    <w:jc w:val="center"/>
                    <w:rPr>
                      <w:color w:val="auto"/>
                    </w:rPr>
                  </w:pPr>
                  <w:r>
                    <w:rPr>
                      <w:color w:val="auto"/>
                    </w:rPr>
                    <w:t>≥1.0</w:t>
                  </w:r>
                  <w:r>
                    <w:rPr>
                      <w:rFonts w:hint="eastAsia"/>
                      <w:color w:val="auto"/>
                    </w:rPr>
                    <w:t>（出厂）</w:t>
                  </w:r>
                  <w:r>
                    <w:rPr>
                      <w:color w:val="auto"/>
                    </w:rPr>
                    <w:t>，≥0.2</w:t>
                  </w:r>
                  <w:r>
                    <w:rPr>
                      <w:rFonts w:hint="eastAsia"/>
                      <w:color w:val="auto"/>
                    </w:rPr>
                    <w:t>（</w:t>
                  </w:r>
                  <w:r>
                    <w:rPr>
                      <w:color w:val="auto"/>
                    </w:rPr>
                    <w:t>管网末端</w:t>
                  </w:r>
                  <w:r>
                    <w:rPr>
                      <w:rFonts w:hint="eastAsia"/>
                      <w:color w:val="auto"/>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31" w:type="pct"/>
                  <w:vAlign w:val="center"/>
                </w:tcPr>
                <w:p>
                  <w:pPr>
                    <w:adjustRightInd w:val="0"/>
                    <w:snapToGrid w:val="0"/>
                    <w:jc w:val="center"/>
                    <w:rPr>
                      <w:color w:val="auto"/>
                    </w:rPr>
                  </w:pPr>
                  <w:r>
                    <w:rPr>
                      <w:color w:val="auto"/>
                    </w:rPr>
                    <w:t>11</w:t>
                  </w:r>
                </w:p>
              </w:tc>
              <w:tc>
                <w:tcPr>
                  <w:tcW w:w="1896" w:type="pct"/>
                  <w:vAlign w:val="center"/>
                </w:tcPr>
                <w:p>
                  <w:pPr>
                    <w:adjustRightInd w:val="0"/>
                    <w:snapToGrid w:val="0"/>
                    <w:jc w:val="center"/>
                    <w:rPr>
                      <w:color w:val="auto"/>
                    </w:rPr>
                  </w:pPr>
                  <w:r>
                    <w:rPr>
                      <w:rFonts w:hint="eastAsia"/>
                      <w:color w:val="auto"/>
                    </w:rPr>
                    <w:t>大肠埃希氏菌</w:t>
                  </w:r>
                  <w:r>
                    <w:rPr>
                      <w:color w:val="auto"/>
                    </w:rPr>
                    <w:t>（</w:t>
                  </w:r>
                  <w:r>
                    <w:rPr>
                      <w:rFonts w:hint="eastAsia"/>
                      <w:color w:val="auto"/>
                    </w:rPr>
                    <w:t>MPN</w:t>
                  </w:r>
                  <w:r>
                    <w:rPr>
                      <w:color w:val="auto"/>
                    </w:rPr>
                    <w:t>/</w:t>
                  </w:r>
                  <w:r>
                    <w:rPr>
                      <w:rFonts w:hint="eastAsia"/>
                      <w:color w:val="auto"/>
                    </w:rPr>
                    <w:t>100m</w:t>
                  </w:r>
                  <w:r>
                    <w:rPr>
                      <w:color w:val="auto"/>
                    </w:rPr>
                    <w:t>L）≤</w:t>
                  </w:r>
                </w:p>
              </w:tc>
              <w:tc>
                <w:tcPr>
                  <w:tcW w:w="2573" w:type="pct"/>
                  <w:vAlign w:val="center"/>
                </w:tcPr>
                <w:p>
                  <w:pPr>
                    <w:adjustRightInd w:val="0"/>
                    <w:snapToGrid w:val="0"/>
                    <w:jc w:val="center"/>
                    <w:rPr>
                      <w:color w:val="auto"/>
                    </w:rPr>
                  </w:pPr>
                  <w:r>
                    <w:rPr>
                      <w:rFonts w:hint="eastAsia"/>
                      <w:color w:val="auto"/>
                    </w:rPr>
                    <w:t>无</w:t>
                  </w:r>
                </w:p>
              </w:tc>
            </w:tr>
          </w:tbl>
          <w:p>
            <w:pPr>
              <w:spacing w:line="360" w:lineRule="auto"/>
              <w:ind w:firstLine="482" w:firstLineChars="200"/>
              <w:rPr>
                <w:b/>
                <w:bCs/>
                <w:color w:val="auto"/>
                <w:sz w:val="24"/>
              </w:rPr>
            </w:pPr>
            <w:r>
              <w:rPr>
                <w:b/>
                <w:bCs/>
                <w:color w:val="auto"/>
                <w:sz w:val="24"/>
              </w:rPr>
              <w:t>3、噪声排放标准</w:t>
            </w:r>
          </w:p>
          <w:p>
            <w:pPr>
              <w:pStyle w:val="59"/>
              <w:spacing w:line="360" w:lineRule="auto"/>
              <w:ind w:firstLine="482" w:firstLineChars="200"/>
              <w:rPr>
                <w:b/>
                <w:bCs/>
                <w:color w:val="auto"/>
                <w:sz w:val="24"/>
                <w:szCs w:val="24"/>
              </w:rPr>
            </w:pPr>
            <w:r>
              <w:rPr>
                <w:b/>
                <w:bCs/>
                <w:color w:val="auto"/>
                <w:sz w:val="24"/>
                <w:szCs w:val="24"/>
              </w:rPr>
              <w:t>（1）施工期</w:t>
            </w:r>
          </w:p>
          <w:p>
            <w:pPr>
              <w:pStyle w:val="59"/>
              <w:spacing w:line="360" w:lineRule="auto"/>
              <w:ind w:firstLine="480" w:firstLineChars="200"/>
              <w:rPr>
                <w:color w:val="auto"/>
                <w:sz w:val="24"/>
                <w:szCs w:val="24"/>
              </w:rPr>
            </w:pPr>
            <w:r>
              <w:rPr>
                <w:color w:val="auto"/>
                <w:sz w:val="24"/>
                <w:szCs w:val="24"/>
              </w:rPr>
              <w:t>项目施工期噪声排放执行《建筑施工场界环境噪声排放标准》（GB12523-2011），标准值见表3-</w:t>
            </w:r>
            <w:r>
              <w:rPr>
                <w:rFonts w:hint="eastAsia"/>
                <w:color w:val="auto"/>
                <w:sz w:val="24"/>
                <w:szCs w:val="24"/>
              </w:rPr>
              <w:t>12</w:t>
            </w:r>
            <w:r>
              <w:rPr>
                <w:color w:val="auto"/>
                <w:sz w:val="24"/>
                <w:szCs w:val="24"/>
              </w:rPr>
              <w:t>所示。</w:t>
            </w:r>
          </w:p>
          <w:p>
            <w:pPr>
              <w:spacing w:line="360" w:lineRule="auto"/>
              <w:jc w:val="center"/>
              <w:rPr>
                <w:b/>
                <w:bCs/>
                <w:color w:val="auto"/>
                <w:sz w:val="24"/>
              </w:rPr>
            </w:pPr>
            <w:r>
              <w:rPr>
                <w:b/>
                <w:bCs/>
                <w:color w:val="auto"/>
                <w:sz w:val="24"/>
              </w:rPr>
              <w:t>表3-</w:t>
            </w:r>
            <w:r>
              <w:rPr>
                <w:rFonts w:hint="eastAsia"/>
                <w:b/>
                <w:bCs/>
                <w:color w:val="auto"/>
                <w:sz w:val="24"/>
              </w:rPr>
              <w:t xml:space="preserve">12  </w:t>
            </w:r>
            <w:r>
              <w:rPr>
                <w:b/>
                <w:bCs/>
                <w:color w:val="auto"/>
                <w:sz w:val="24"/>
              </w:rPr>
              <w:t>建筑施工场界环境噪声排放标准</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5"/>
              <w:gridCol w:w="3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vAlign w:val="center"/>
                </w:tcPr>
                <w:p>
                  <w:pPr>
                    <w:spacing w:line="360" w:lineRule="auto"/>
                    <w:jc w:val="center"/>
                    <w:rPr>
                      <w:b/>
                      <w:bCs/>
                      <w:color w:val="auto"/>
                      <w:szCs w:val="21"/>
                    </w:rPr>
                  </w:pPr>
                  <w:r>
                    <w:rPr>
                      <w:b/>
                      <w:bCs/>
                      <w:color w:val="auto"/>
                      <w:szCs w:val="21"/>
                    </w:rPr>
                    <w:t>昼间</w:t>
                  </w:r>
                </w:p>
              </w:tc>
              <w:tc>
                <w:tcPr>
                  <w:tcW w:w="2500" w:type="pct"/>
                  <w:vAlign w:val="center"/>
                </w:tcPr>
                <w:p>
                  <w:pPr>
                    <w:spacing w:line="360" w:lineRule="auto"/>
                    <w:jc w:val="center"/>
                    <w:rPr>
                      <w:b/>
                      <w:bCs/>
                      <w:color w:val="auto"/>
                      <w:szCs w:val="21"/>
                    </w:rPr>
                  </w:pPr>
                  <w:r>
                    <w:rPr>
                      <w:b/>
                      <w:bCs/>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vAlign w:val="center"/>
                </w:tcPr>
                <w:p>
                  <w:pPr>
                    <w:spacing w:line="360" w:lineRule="auto"/>
                    <w:jc w:val="center"/>
                    <w:rPr>
                      <w:color w:val="auto"/>
                      <w:szCs w:val="21"/>
                    </w:rPr>
                  </w:pPr>
                  <w:r>
                    <w:rPr>
                      <w:color w:val="auto"/>
                      <w:szCs w:val="21"/>
                    </w:rPr>
                    <w:t>70</w:t>
                  </w:r>
                </w:p>
              </w:tc>
              <w:tc>
                <w:tcPr>
                  <w:tcW w:w="2500" w:type="pct"/>
                  <w:vAlign w:val="center"/>
                </w:tcPr>
                <w:p>
                  <w:pPr>
                    <w:spacing w:line="360" w:lineRule="auto"/>
                    <w:jc w:val="center"/>
                    <w:rPr>
                      <w:color w:val="auto"/>
                      <w:szCs w:val="21"/>
                    </w:rPr>
                  </w:pPr>
                  <w:r>
                    <w:rPr>
                      <w:color w:val="auto"/>
                      <w:szCs w:val="21"/>
                    </w:rPr>
                    <w:t>55</w:t>
                  </w:r>
                </w:p>
              </w:tc>
            </w:tr>
          </w:tbl>
          <w:p>
            <w:pPr>
              <w:spacing w:line="360" w:lineRule="auto"/>
              <w:ind w:firstLine="482" w:firstLineChars="200"/>
              <w:rPr>
                <w:b/>
                <w:bCs/>
                <w:color w:val="auto"/>
                <w:sz w:val="24"/>
              </w:rPr>
            </w:pPr>
            <w:r>
              <w:rPr>
                <w:b/>
                <w:bCs/>
                <w:color w:val="auto"/>
                <w:sz w:val="24"/>
              </w:rPr>
              <w:t>（2）运营期</w:t>
            </w:r>
          </w:p>
          <w:p>
            <w:pPr>
              <w:spacing w:line="360" w:lineRule="auto"/>
              <w:ind w:firstLine="480" w:firstLineChars="200"/>
              <w:rPr>
                <w:color w:val="auto"/>
                <w:sz w:val="24"/>
              </w:rPr>
            </w:pPr>
            <w:r>
              <w:rPr>
                <w:color w:val="auto"/>
                <w:sz w:val="24"/>
              </w:rPr>
              <w:t>项目运营期厂界噪声排放执行《工业企业厂界环境噪声排放标准》（GB12348-2008）中</w:t>
            </w:r>
            <w:r>
              <w:rPr>
                <w:rFonts w:hint="eastAsia"/>
                <w:color w:val="auto"/>
                <w:sz w:val="24"/>
              </w:rPr>
              <w:t>3</w:t>
            </w:r>
            <w:r>
              <w:rPr>
                <w:color w:val="auto"/>
                <w:sz w:val="24"/>
              </w:rPr>
              <w:t>类标准，具体标准值见表3-</w:t>
            </w:r>
            <w:r>
              <w:rPr>
                <w:rFonts w:hint="eastAsia"/>
                <w:color w:val="auto"/>
                <w:sz w:val="24"/>
              </w:rPr>
              <w:t>13</w:t>
            </w:r>
            <w:r>
              <w:rPr>
                <w:color w:val="auto"/>
                <w:sz w:val="24"/>
              </w:rPr>
              <w:t>所示。</w:t>
            </w:r>
          </w:p>
          <w:p>
            <w:pPr>
              <w:spacing w:line="360" w:lineRule="auto"/>
              <w:jc w:val="center"/>
              <w:rPr>
                <w:b/>
                <w:bCs/>
                <w:color w:val="auto"/>
                <w:sz w:val="24"/>
              </w:rPr>
            </w:pPr>
            <w:r>
              <w:rPr>
                <w:b/>
                <w:bCs/>
                <w:color w:val="auto"/>
                <w:sz w:val="24"/>
              </w:rPr>
              <w:t>表3-</w:t>
            </w:r>
            <w:r>
              <w:rPr>
                <w:rFonts w:hint="eastAsia"/>
                <w:b/>
                <w:bCs/>
                <w:color w:val="auto"/>
                <w:sz w:val="24"/>
              </w:rPr>
              <w:t xml:space="preserve">13  </w:t>
            </w:r>
            <w:r>
              <w:rPr>
                <w:b/>
                <w:bCs/>
                <w:color w:val="auto"/>
                <w:sz w:val="24"/>
              </w:rPr>
              <w:t>工业企业厂界环境噪声排放标准</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7"/>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spacing w:line="360" w:lineRule="auto"/>
                    <w:jc w:val="center"/>
                    <w:rPr>
                      <w:b/>
                      <w:bCs/>
                      <w:color w:val="auto"/>
                      <w:szCs w:val="21"/>
                    </w:rPr>
                  </w:pPr>
                  <w:r>
                    <w:rPr>
                      <w:b/>
                      <w:bCs/>
                      <w:color w:val="auto"/>
                      <w:szCs w:val="21"/>
                    </w:rPr>
                    <w:t>昼间</w:t>
                  </w:r>
                </w:p>
              </w:tc>
              <w:tc>
                <w:tcPr>
                  <w:tcW w:w="2499" w:type="pct"/>
                  <w:vAlign w:val="center"/>
                </w:tcPr>
                <w:p>
                  <w:pPr>
                    <w:spacing w:line="360" w:lineRule="auto"/>
                    <w:jc w:val="center"/>
                    <w:rPr>
                      <w:b/>
                      <w:bCs/>
                      <w:color w:val="auto"/>
                      <w:szCs w:val="21"/>
                    </w:rPr>
                  </w:pPr>
                  <w:r>
                    <w:rPr>
                      <w:b/>
                      <w:bCs/>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spacing w:line="360" w:lineRule="auto"/>
                    <w:jc w:val="center"/>
                    <w:rPr>
                      <w:color w:val="auto"/>
                      <w:szCs w:val="21"/>
                    </w:rPr>
                  </w:pPr>
                  <w:r>
                    <w:rPr>
                      <w:rFonts w:hint="eastAsia"/>
                      <w:color w:val="auto"/>
                      <w:szCs w:val="21"/>
                    </w:rPr>
                    <w:t>65</w:t>
                  </w:r>
                </w:p>
              </w:tc>
              <w:tc>
                <w:tcPr>
                  <w:tcW w:w="2499" w:type="pct"/>
                  <w:vAlign w:val="center"/>
                </w:tcPr>
                <w:p>
                  <w:pPr>
                    <w:spacing w:line="360" w:lineRule="auto"/>
                    <w:jc w:val="center"/>
                    <w:rPr>
                      <w:color w:val="auto"/>
                      <w:szCs w:val="21"/>
                    </w:rPr>
                  </w:pPr>
                  <w:r>
                    <w:rPr>
                      <w:rFonts w:hint="eastAsia"/>
                      <w:color w:val="auto"/>
                      <w:szCs w:val="21"/>
                    </w:rPr>
                    <w:t>55</w:t>
                  </w:r>
                </w:p>
              </w:tc>
            </w:tr>
          </w:tbl>
          <w:p>
            <w:pPr>
              <w:spacing w:line="360" w:lineRule="auto"/>
              <w:ind w:firstLine="482" w:firstLineChars="200"/>
              <w:rPr>
                <w:b/>
                <w:bCs/>
                <w:color w:val="auto"/>
                <w:sz w:val="24"/>
              </w:rPr>
            </w:pPr>
            <w:r>
              <w:rPr>
                <w:b/>
                <w:bCs/>
                <w:color w:val="auto"/>
                <w:sz w:val="24"/>
              </w:rPr>
              <w:t>4、固废污染物排放标准</w:t>
            </w:r>
          </w:p>
          <w:p>
            <w:pPr>
              <w:spacing w:line="360" w:lineRule="auto"/>
              <w:ind w:firstLine="480" w:firstLineChars="200"/>
              <w:rPr>
                <w:color w:val="auto"/>
                <w:sz w:val="24"/>
              </w:rPr>
            </w:pPr>
            <w:r>
              <w:rPr>
                <w:color w:val="auto"/>
                <w:sz w:val="24"/>
              </w:rPr>
              <w:t>项目营运过程中产生的一般固体废物执行《一般工业固体废物贮存和填埋污染控制标准》（GB18599-2020）</w:t>
            </w:r>
            <w:r>
              <w:rPr>
                <w:rFonts w:hint="eastAsia"/>
                <w:color w:val="auto"/>
                <w:sz w:val="24"/>
              </w:rPr>
              <w:t>。</w:t>
            </w:r>
          </w:p>
          <w:p>
            <w:pPr>
              <w:pStyle w:val="38"/>
              <w:ind w:firstLine="480"/>
              <w:jc w:val="both"/>
              <w:rPr>
                <w:rFonts w:ascii="Times New Roman" w:hAnsi="Times New Roman" w:eastAsia="宋体" w:cs="Times New Roman"/>
                <w:color w:val="auto"/>
              </w:rPr>
            </w:pPr>
            <w:r>
              <w:rPr>
                <w:rFonts w:ascii="Times New Roman" w:hAnsi="Times New Roman" w:eastAsia="宋体" w:cs="Times New Roman"/>
                <w:color w:val="auto"/>
              </w:rPr>
              <w:t>项目危险废物执行《危险废物贮存污染控制标准》（GB18597-20</w:t>
            </w:r>
            <w:r>
              <w:rPr>
                <w:rFonts w:hint="eastAsia" w:ascii="Times New Roman" w:hAnsi="Times New Roman" w:eastAsia="宋体" w:cs="Times New Roman"/>
                <w:color w:val="auto"/>
              </w:rPr>
              <w:t>23</w:t>
            </w:r>
            <w:r>
              <w:rPr>
                <w:rFonts w:ascii="Times New Roman" w:hAnsi="Times New Roman" w:eastAsia="宋体" w:cs="Times New Roman"/>
                <w:color w:val="auto"/>
              </w:rPr>
              <w:t>）</w:t>
            </w:r>
            <w:r>
              <w:rPr>
                <w:rFonts w:hint="eastAsia" w:ascii="Times New Roman" w:hAnsi="Times New Roman" w:eastAsia="宋体" w:cs="Times New Roman"/>
                <w:color w:val="auto"/>
              </w:rPr>
              <w:t>中</w:t>
            </w:r>
            <w:r>
              <w:rPr>
                <w:rFonts w:ascii="Times New Roman" w:hAnsi="Times New Roman" w:eastAsia="宋体" w:cs="Times New Roman"/>
                <w:color w:val="auto"/>
              </w:rPr>
              <w:t>的有关规定。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752" w:type="dxa"/>
            <w:vAlign w:val="center"/>
          </w:tcPr>
          <w:p>
            <w:pPr>
              <w:spacing w:line="360" w:lineRule="auto"/>
              <w:jc w:val="center"/>
              <w:rPr>
                <w:color w:val="auto"/>
                <w:sz w:val="24"/>
              </w:rPr>
            </w:pPr>
            <w:r>
              <w:rPr>
                <w:color w:val="auto"/>
                <w:sz w:val="24"/>
              </w:rPr>
              <w:t>总量</w:t>
            </w:r>
          </w:p>
          <w:p>
            <w:pPr>
              <w:spacing w:line="360" w:lineRule="auto"/>
              <w:jc w:val="center"/>
              <w:rPr>
                <w:color w:val="auto"/>
                <w:sz w:val="24"/>
              </w:rPr>
            </w:pPr>
            <w:r>
              <w:rPr>
                <w:color w:val="auto"/>
                <w:sz w:val="24"/>
              </w:rPr>
              <w:t>控制</w:t>
            </w:r>
          </w:p>
          <w:p>
            <w:pPr>
              <w:spacing w:line="360" w:lineRule="auto"/>
              <w:jc w:val="center"/>
              <w:rPr>
                <w:color w:val="auto"/>
                <w:sz w:val="24"/>
              </w:rPr>
            </w:pPr>
            <w:r>
              <w:rPr>
                <w:color w:val="auto"/>
                <w:sz w:val="24"/>
              </w:rPr>
              <w:t>指标</w:t>
            </w:r>
          </w:p>
        </w:tc>
        <w:tc>
          <w:tcPr>
            <w:tcW w:w="7968" w:type="dxa"/>
            <w:vAlign w:val="center"/>
          </w:tcPr>
          <w:p>
            <w:pPr>
              <w:spacing w:line="360" w:lineRule="auto"/>
              <w:ind w:firstLine="480" w:firstLineChars="200"/>
              <w:rPr>
                <w:color w:val="auto"/>
                <w:sz w:val="24"/>
              </w:rPr>
            </w:pPr>
            <w:r>
              <w:rPr>
                <w:color w:val="auto"/>
                <w:sz w:val="24"/>
              </w:rPr>
              <w:t>根据本项目的排污特征，结合国家污染物排放总量控制原则，列出本项目建议执行的总量控制指标：</w:t>
            </w:r>
          </w:p>
          <w:p>
            <w:pPr>
              <w:pStyle w:val="4"/>
              <w:spacing w:before="0" w:after="0" w:line="360" w:lineRule="auto"/>
              <w:ind w:left="0" w:firstLine="482" w:firstLineChars="200"/>
              <w:rPr>
                <w:rFonts w:eastAsia="宋体"/>
                <w:color w:val="auto"/>
                <w:kern w:val="2"/>
                <w:sz w:val="24"/>
                <w:szCs w:val="24"/>
              </w:rPr>
            </w:pPr>
            <w:r>
              <w:rPr>
                <w:rFonts w:eastAsia="宋体"/>
                <w:color w:val="auto"/>
                <w:kern w:val="2"/>
                <w:sz w:val="24"/>
                <w:szCs w:val="24"/>
              </w:rPr>
              <w:t>1.废气</w:t>
            </w:r>
          </w:p>
          <w:p>
            <w:pPr>
              <w:spacing w:line="360" w:lineRule="auto"/>
              <w:ind w:firstLine="480" w:firstLineChars="200"/>
              <w:rPr>
                <w:color w:val="auto"/>
                <w:sz w:val="24"/>
              </w:rPr>
            </w:pPr>
            <w:r>
              <w:rPr>
                <w:rFonts w:hint="eastAsia"/>
                <w:color w:val="auto"/>
                <w:sz w:val="24"/>
              </w:rPr>
              <w:t>根据工程分析，本项目运营期产生的废气中，有组织废气量为2048.44万m</w:t>
            </w:r>
            <w:r>
              <w:rPr>
                <w:rFonts w:hint="eastAsia"/>
                <w:color w:val="auto"/>
                <w:sz w:val="24"/>
                <w:vertAlign w:val="superscript"/>
              </w:rPr>
              <w:t>3</w:t>
            </w:r>
            <w:r>
              <w:rPr>
                <w:rFonts w:hint="eastAsia"/>
                <w:color w:val="auto"/>
                <w:sz w:val="24"/>
              </w:rPr>
              <w:t>，有组织排放的颗粒物0.0512t/a，有组织排放的非甲烷总烃0.2867t/a；无组织排放的颗粒物0.3048t/a，无组织排放的非甲烷总烃0.3584t/a。</w:t>
            </w:r>
          </w:p>
          <w:p>
            <w:pPr>
              <w:spacing w:line="360" w:lineRule="auto"/>
              <w:ind w:firstLine="482" w:firstLineChars="200"/>
              <w:rPr>
                <w:b/>
                <w:bCs/>
                <w:color w:val="auto"/>
                <w:sz w:val="24"/>
              </w:rPr>
            </w:pPr>
            <w:r>
              <w:rPr>
                <w:b/>
                <w:bCs/>
                <w:color w:val="auto"/>
                <w:sz w:val="24"/>
              </w:rPr>
              <w:t>2.废水</w:t>
            </w:r>
          </w:p>
          <w:p>
            <w:pPr>
              <w:spacing w:line="360" w:lineRule="auto"/>
              <w:ind w:firstLine="480" w:firstLineChars="200"/>
              <w:rPr>
                <w:color w:val="auto"/>
                <w:sz w:val="24"/>
              </w:rPr>
            </w:pPr>
            <w:r>
              <w:rPr>
                <w:rFonts w:hint="eastAsia"/>
                <w:color w:val="auto"/>
                <w:kern w:val="0"/>
                <w:sz w:val="24"/>
              </w:rPr>
              <w:t>本项目产生的废水全部回用，</w:t>
            </w:r>
            <w:r>
              <w:rPr>
                <w:color w:val="auto"/>
                <w:kern w:val="0"/>
                <w:sz w:val="24"/>
              </w:rPr>
              <w:t>无废水外排，</w:t>
            </w:r>
            <w:r>
              <w:rPr>
                <w:rFonts w:hint="eastAsia"/>
                <w:color w:val="auto"/>
                <w:kern w:val="0"/>
                <w:sz w:val="24"/>
              </w:rPr>
              <w:t>无需申请总量指标。</w:t>
            </w:r>
          </w:p>
          <w:p>
            <w:pPr>
              <w:spacing w:line="360" w:lineRule="auto"/>
              <w:ind w:firstLine="482" w:firstLineChars="200"/>
              <w:rPr>
                <w:b/>
                <w:bCs/>
                <w:color w:val="auto"/>
                <w:sz w:val="24"/>
              </w:rPr>
            </w:pPr>
            <w:r>
              <w:rPr>
                <w:b/>
                <w:bCs/>
                <w:color w:val="auto"/>
                <w:sz w:val="24"/>
              </w:rPr>
              <w:t>3.固废</w:t>
            </w:r>
          </w:p>
          <w:p>
            <w:pPr>
              <w:spacing w:line="360" w:lineRule="auto"/>
              <w:ind w:firstLine="480" w:firstLineChars="200"/>
              <w:rPr>
                <w:color w:val="auto"/>
                <w:sz w:val="24"/>
              </w:rPr>
            </w:pPr>
            <w:r>
              <w:rPr>
                <w:rFonts w:hint="eastAsia"/>
                <w:color w:val="auto"/>
                <w:sz w:val="24"/>
              </w:rPr>
              <w:t>项目产生的固体废物得到合理处置，</w:t>
            </w:r>
            <w:r>
              <w:rPr>
                <w:color w:val="auto"/>
                <w:sz w:val="24"/>
              </w:rPr>
              <w:t>固体废物处置率为 100%，不设固废污染物总量控制指标。</w:t>
            </w:r>
          </w:p>
        </w:tc>
      </w:tr>
    </w:tbl>
    <w:p>
      <w:pPr>
        <w:pStyle w:val="4"/>
        <w:rPr>
          <w:rFonts w:eastAsia="宋体"/>
          <w:color w:val="auto"/>
          <w:sz w:val="21"/>
          <w:szCs w:val="21"/>
        </w:rPr>
      </w:pPr>
      <w:r>
        <w:rPr>
          <w:rFonts w:eastAsia="宋体"/>
          <w:color w:val="auto"/>
          <w:sz w:val="21"/>
          <w:szCs w:val="21"/>
        </w:rPr>
        <w:br w:type="page"/>
      </w:r>
      <w:bookmarkStart w:id="21" w:name="_Toc23658"/>
      <w:bookmarkStart w:id="22" w:name="_Toc26826"/>
      <w:bookmarkStart w:id="23" w:name="_Toc3837"/>
      <w:r>
        <w:rPr>
          <w:rFonts w:eastAsia="宋体"/>
          <w:color w:val="auto"/>
        </w:rPr>
        <w:t>四、主要环境影响和保护措施</w:t>
      </w:r>
      <w:bookmarkEnd w:id="21"/>
      <w:bookmarkEnd w:id="22"/>
      <w:bookmarkEnd w:id="23"/>
    </w:p>
    <w:tbl>
      <w:tblPr>
        <w:tblStyle w:val="30"/>
        <w:tblW w:w="898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5"/>
        <w:gridCol w:w="8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5" w:type="dxa"/>
            <w:tcMar>
              <w:left w:w="28" w:type="dxa"/>
              <w:right w:w="28" w:type="dxa"/>
            </w:tcMar>
            <w:vAlign w:val="center"/>
          </w:tcPr>
          <w:p>
            <w:pPr>
              <w:spacing w:line="360" w:lineRule="auto"/>
              <w:jc w:val="center"/>
              <w:rPr>
                <w:color w:val="auto"/>
                <w:sz w:val="24"/>
              </w:rPr>
            </w:pPr>
            <w:r>
              <w:rPr>
                <w:color w:val="auto"/>
                <w:sz w:val="24"/>
              </w:rPr>
              <w:t>施工期环境保护措施</w:t>
            </w:r>
          </w:p>
        </w:tc>
        <w:tc>
          <w:tcPr>
            <w:tcW w:w="8286" w:type="dxa"/>
            <w:vAlign w:val="center"/>
          </w:tcPr>
          <w:p>
            <w:pPr>
              <w:pStyle w:val="59"/>
              <w:spacing w:line="360" w:lineRule="auto"/>
              <w:ind w:firstLine="482" w:firstLineChars="200"/>
              <w:rPr>
                <w:b/>
                <w:bCs/>
                <w:color w:val="auto"/>
                <w:sz w:val="24"/>
                <w:szCs w:val="24"/>
              </w:rPr>
            </w:pPr>
            <w:r>
              <w:rPr>
                <w:b/>
                <w:bCs/>
                <w:color w:val="auto"/>
                <w:sz w:val="24"/>
                <w:szCs w:val="24"/>
              </w:rPr>
              <w:t>一、施工期环境影响分析</w:t>
            </w:r>
          </w:p>
          <w:p>
            <w:pPr>
              <w:spacing w:line="360" w:lineRule="auto"/>
              <w:ind w:firstLine="480" w:firstLineChars="200"/>
              <w:rPr>
                <w:color w:val="auto"/>
                <w:sz w:val="24"/>
              </w:rPr>
            </w:pPr>
            <w:r>
              <w:rPr>
                <w:color w:val="auto"/>
                <w:sz w:val="24"/>
              </w:rPr>
              <w:t>本项目租用</w:t>
            </w:r>
            <w:r>
              <w:rPr>
                <w:rFonts w:hint="eastAsia"/>
                <w:color w:val="auto"/>
                <w:sz w:val="24"/>
              </w:rPr>
              <w:t>云南鹏腾机械设备有限公司</w:t>
            </w:r>
            <w:r>
              <w:rPr>
                <w:color w:val="auto"/>
                <w:sz w:val="24"/>
              </w:rPr>
              <w:t>空闲厂房进行生产，施工期仅进行</w:t>
            </w:r>
            <w:r>
              <w:rPr>
                <w:rFonts w:hint="eastAsia"/>
                <w:color w:val="auto"/>
                <w:sz w:val="24"/>
                <w:lang w:val="en-US" w:eastAsia="zh-CN"/>
              </w:rPr>
              <w:t>厂房装修及</w:t>
            </w:r>
            <w:r>
              <w:rPr>
                <w:color w:val="auto"/>
                <w:sz w:val="24"/>
              </w:rPr>
              <w:t>设备安装，施工期主要污染物有施工扬尘、施工噪声、施工人员生活污水、建筑垃圾。</w:t>
            </w:r>
          </w:p>
          <w:p>
            <w:pPr>
              <w:spacing w:line="360" w:lineRule="auto"/>
              <w:ind w:firstLine="480" w:firstLineChars="200"/>
              <w:rPr>
                <w:color w:val="auto"/>
                <w:sz w:val="24"/>
              </w:rPr>
            </w:pPr>
            <w:r>
              <w:rPr>
                <w:color w:val="auto"/>
                <w:sz w:val="24"/>
              </w:rPr>
              <w:t>根据本项目施工期产污情况，拟采取的环境保护措施如下：</w:t>
            </w:r>
          </w:p>
          <w:p>
            <w:pPr>
              <w:spacing w:line="360" w:lineRule="auto"/>
              <w:ind w:firstLine="482" w:firstLineChars="200"/>
              <w:rPr>
                <w:b/>
                <w:bCs/>
                <w:color w:val="auto"/>
                <w:sz w:val="24"/>
              </w:rPr>
            </w:pPr>
            <w:r>
              <w:rPr>
                <w:b/>
                <w:bCs/>
                <w:color w:val="auto"/>
                <w:sz w:val="24"/>
              </w:rPr>
              <w:t>1.施工期废气污染物防治措施</w:t>
            </w:r>
          </w:p>
          <w:p>
            <w:pPr>
              <w:spacing w:line="360" w:lineRule="auto"/>
              <w:ind w:firstLine="480" w:firstLineChars="200"/>
              <w:rPr>
                <w:color w:val="auto"/>
                <w:sz w:val="24"/>
              </w:rPr>
            </w:pPr>
            <w:r>
              <w:rPr>
                <w:color w:val="auto"/>
                <w:sz w:val="24"/>
              </w:rPr>
              <w:t>施工期废气主要为</w:t>
            </w:r>
            <w:r>
              <w:rPr>
                <w:rFonts w:hint="eastAsia"/>
                <w:color w:val="auto"/>
                <w:sz w:val="24"/>
              </w:rPr>
              <w:t>车辆尾气及机械废气、</w:t>
            </w:r>
            <w:r>
              <w:rPr>
                <w:color w:val="auto"/>
                <w:sz w:val="24"/>
              </w:rPr>
              <w:t>扬尘</w:t>
            </w:r>
            <w:r>
              <w:rPr>
                <w:rFonts w:hint="eastAsia"/>
                <w:color w:val="auto"/>
                <w:sz w:val="24"/>
              </w:rPr>
              <w:t>、焊接烟尘。</w:t>
            </w:r>
          </w:p>
          <w:p>
            <w:pPr>
              <w:spacing w:line="360" w:lineRule="auto"/>
              <w:ind w:firstLine="480" w:firstLineChars="200"/>
              <w:rPr>
                <w:color w:val="auto"/>
                <w:sz w:val="24"/>
              </w:rPr>
            </w:pPr>
            <w:r>
              <w:rPr>
                <w:rFonts w:hint="eastAsia"/>
                <w:color w:val="auto"/>
                <w:sz w:val="24"/>
              </w:rPr>
              <w:t>建设单位应采取以下措施进行粉尘防治：</w:t>
            </w:r>
          </w:p>
          <w:p>
            <w:pPr>
              <w:spacing w:line="360" w:lineRule="auto"/>
              <w:ind w:firstLine="480" w:firstLineChars="200"/>
              <w:textAlignment w:val="baseline"/>
              <w:rPr>
                <w:color w:val="auto"/>
                <w:sz w:val="24"/>
                <w:lang w:val="zh-CN"/>
              </w:rPr>
            </w:pPr>
            <w:r>
              <w:rPr>
                <w:rFonts w:hint="eastAsia"/>
                <w:color w:val="auto"/>
                <w:sz w:val="24"/>
              </w:rPr>
              <w:t>①本项目在已建成的标准厂房内进行装修和安装设备，且标准厂房外有</w:t>
            </w:r>
            <w:r>
              <w:rPr>
                <w:color w:val="auto"/>
                <w:sz w:val="24"/>
              </w:rPr>
              <w:t>云南鹏腾机械设备制造有限公司</w:t>
            </w:r>
            <w:r>
              <w:rPr>
                <w:rFonts w:hint="eastAsia"/>
                <w:color w:val="auto"/>
                <w:sz w:val="24"/>
              </w:rPr>
              <w:t>的厂区围墙进行围挡，项目在施工过程中</w:t>
            </w:r>
            <w:r>
              <w:rPr>
                <w:color w:val="auto"/>
                <w:sz w:val="24"/>
              </w:rPr>
              <w:t>采取洒水抑尘措施后，对周围居民影响较小。</w:t>
            </w:r>
          </w:p>
          <w:p>
            <w:pPr>
              <w:spacing w:line="360" w:lineRule="auto"/>
              <w:ind w:firstLine="480" w:firstLineChars="200"/>
              <w:textAlignment w:val="baseline"/>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②运输建筑材料和设备的车辆不得超载，运输粒状散料车辆的装载高度不得超过挡板，并用蓬布遮盖，不得拋撒。</w:t>
            </w:r>
          </w:p>
          <w:p>
            <w:pPr>
              <w:spacing w:line="360" w:lineRule="auto"/>
              <w:ind w:firstLine="480" w:firstLineChars="200"/>
              <w:textAlignment w:val="baseline"/>
              <w:rPr>
                <w:color w:val="auto"/>
                <w:sz w:val="24"/>
                <w:lang w:val="zh-CN"/>
              </w:rPr>
            </w:pPr>
            <w:r>
              <w:rPr>
                <w:rFonts w:hint="eastAsia" w:ascii="Times New Roman" w:hAnsi="Times New Roman" w:eastAsia="宋体" w:cs="Times New Roman"/>
                <w:color w:val="auto"/>
                <w:sz w:val="24"/>
              </w:rPr>
              <w:t>③</w:t>
            </w:r>
            <w:r>
              <w:rPr>
                <w:rFonts w:hint="eastAsia" w:ascii="Times New Roman" w:hAnsi="Times New Roman" w:eastAsia="宋体" w:cs="Times New Roman"/>
                <w:color w:val="auto"/>
                <w:sz w:val="24"/>
                <w:lang w:val="zh-CN"/>
              </w:rPr>
              <w:t>施工机械的选型上考虑相应的环保型产品</w:t>
            </w:r>
            <w:r>
              <w:rPr>
                <w:color w:val="auto"/>
                <w:sz w:val="24"/>
                <w:lang w:val="zh-CN"/>
              </w:rPr>
              <w:t>，主要使用轻质柴油或电作为能源，不得使用劣质燃料。</w:t>
            </w:r>
          </w:p>
          <w:p>
            <w:pPr>
              <w:spacing w:line="360" w:lineRule="auto"/>
              <w:ind w:firstLine="480" w:firstLineChars="200"/>
              <w:rPr>
                <w:color w:val="auto"/>
                <w:sz w:val="24"/>
                <w:lang w:val="zh-CN"/>
              </w:rPr>
            </w:pPr>
            <w:r>
              <w:rPr>
                <w:rFonts w:hint="eastAsia"/>
                <w:color w:val="auto"/>
                <w:sz w:val="24"/>
              </w:rPr>
              <w:t>④</w:t>
            </w:r>
            <w:r>
              <w:rPr>
                <w:color w:val="auto"/>
                <w:sz w:val="24"/>
              </w:rPr>
              <w:t>装修过程</w:t>
            </w:r>
            <w:r>
              <w:rPr>
                <w:color w:val="auto"/>
                <w:sz w:val="24"/>
                <w:lang w:val="zh-CN"/>
              </w:rPr>
              <w:t>采用健康环保的建筑材料，可有效降低有机废气的影响。</w:t>
            </w:r>
            <w:r>
              <w:rPr>
                <w:color w:val="auto"/>
                <w:sz w:val="24"/>
              </w:rPr>
              <w:t>同时，</w:t>
            </w:r>
            <w:r>
              <w:rPr>
                <w:color w:val="auto"/>
                <w:sz w:val="24"/>
                <w:lang w:val="zh-CN"/>
              </w:rPr>
              <w:t>施工人员可佩戴防护口罩等，加强通风，减小有毒有害气体对人身的危害。</w:t>
            </w:r>
          </w:p>
          <w:p>
            <w:pPr>
              <w:spacing w:line="360" w:lineRule="auto"/>
              <w:ind w:firstLine="480" w:firstLineChars="200"/>
              <w:rPr>
                <w:color w:val="auto"/>
                <w:sz w:val="24"/>
              </w:rPr>
            </w:pPr>
            <w:r>
              <w:rPr>
                <w:rFonts w:hint="eastAsia"/>
                <w:color w:val="auto"/>
                <w:sz w:val="24"/>
              </w:rPr>
              <w:t>在采取上述措施治理后，扬尘可以得到有效控制，对周边环境影响较小。确保施工扬尘排放符合《大气污染物综合排放标准》 (GB16297- 1996)中的无组织排放监控浓度限值标准，即：颗粒物周界外浓度最高点≤1.0mg/m</w:t>
            </w:r>
            <w:r>
              <w:rPr>
                <w:rFonts w:hint="eastAsia"/>
                <w:color w:val="auto"/>
                <w:sz w:val="24"/>
                <w:vertAlign w:val="superscript"/>
              </w:rPr>
              <w:t>3</w:t>
            </w:r>
            <w:r>
              <w:rPr>
                <w:rFonts w:hint="eastAsia"/>
                <w:color w:val="auto"/>
                <w:sz w:val="24"/>
              </w:rPr>
              <w:t>，项目施工期较短，随着施工期的结束，其影响也将随之消失。综上，项目产生的扬尘对周围环境影响较小。</w:t>
            </w:r>
          </w:p>
          <w:p>
            <w:pPr>
              <w:spacing w:line="360" w:lineRule="auto"/>
              <w:ind w:firstLine="482" w:firstLineChars="200"/>
              <w:rPr>
                <w:b/>
                <w:bCs/>
                <w:color w:val="auto"/>
                <w:sz w:val="24"/>
              </w:rPr>
            </w:pPr>
            <w:r>
              <w:rPr>
                <w:b/>
                <w:bCs/>
                <w:color w:val="auto"/>
                <w:sz w:val="24"/>
              </w:rPr>
              <w:t>2.施工期水污染物防治措施</w:t>
            </w:r>
          </w:p>
          <w:p>
            <w:pPr>
              <w:spacing w:line="360" w:lineRule="auto"/>
              <w:ind w:firstLine="480" w:firstLineChars="200"/>
              <w:rPr>
                <w:color w:val="auto"/>
                <w:sz w:val="24"/>
              </w:rPr>
            </w:pPr>
            <w:r>
              <w:rPr>
                <w:rFonts w:hint="eastAsia"/>
                <w:color w:val="auto"/>
                <w:sz w:val="24"/>
              </w:rPr>
              <w:t>项目施工期不设施工营地，施工人员均不在项目区食宿，项目施工废水主要为施工人员洗手废水，主要污染物为SS。施工人员洗手废水经1个0.5m</w:t>
            </w:r>
            <w:r>
              <w:rPr>
                <w:rFonts w:hint="eastAsia"/>
                <w:color w:val="auto"/>
                <w:sz w:val="24"/>
                <w:vertAlign w:val="superscript"/>
              </w:rPr>
              <w:t>3</w:t>
            </w:r>
            <w:r>
              <w:rPr>
                <w:rFonts w:hint="eastAsia"/>
                <w:color w:val="auto"/>
                <w:sz w:val="24"/>
              </w:rPr>
              <w:t>的临时沉淀池收集后回用于施工场地</w:t>
            </w:r>
            <w:r>
              <w:rPr>
                <w:rFonts w:hint="eastAsia"/>
                <w:color w:val="auto"/>
                <w:sz w:val="24"/>
                <w:lang w:val="en-US" w:eastAsia="zh-CN"/>
              </w:rPr>
              <w:t>洒水降尘</w:t>
            </w:r>
            <w:r>
              <w:rPr>
                <w:rFonts w:hint="eastAsia"/>
                <w:color w:val="auto"/>
                <w:sz w:val="24"/>
              </w:rPr>
              <w:t>，不外排。对周围环境造成的影响很小。</w:t>
            </w:r>
          </w:p>
          <w:p>
            <w:pPr>
              <w:spacing w:line="360" w:lineRule="auto"/>
              <w:ind w:firstLine="482" w:firstLineChars="200"/>
              <w:rPr>
                <w:b/>
                <w:bCs/>
                <w:color w:val="auto"/>
                <w:sz w:val="24"/>
              </w:rPr>
            </w:pPr>
            <w:r>
              <w:rPr>
                <w:b/>
                <w:bCs/>
                <w:color w:val="auto"/>
                <w:sz w:val="24"/>
              </w:rPr>
              <w:t>3.施工期噪声污染物防治措施</w:t>
            </w:r>
          </w:p>
          <w:p>
            <w:pPr>
              <w:spacing w:line="360" w:lineRule="auto"/>
              <w:ind w:firstLine="480" w:firstLineChars="200"/>
              <w:rPr>
                <w:color w:val="auto"/>
                <w:sz w:val="24"/>
              </w:rPr>
            </w:pPr>
            <w:r>
              <w:rPr>
                <w:color w:val="auto"/>
                <w:sz w:val="24"/>
              </w:rPr>
              <w:t>为减轻施工期对周围环境影响，项目施工期需注意采取以下措施：</w:t>
            </w:r>
          </w:p>
          <w:p>
            <w:pPr>
              <w:pStyle w:val="8"/>
              <w:spacing w:line="360" w:lineRule="auto"/>
              <w:ind w:firstLine="480"/>
              <w:rPr>
                <w:color w:val="auto"/>
                <w:sz w:val="24"/>
              </w:rPr>
            </w:pPr>
            <w:r>
              <w:rPr>
                <w:color w:val="auto"/>
                <w:sz w:val="24"/>
              </w:rPr>
              <w:t>①</w:t>
            </w:r>
            <w:r>
              <w:rPr>
                <w:color w:val="auto"/>
                <w:sz w:val="24"/>
                <w:lang w:val="zh-CN"/>
              </w:rPr>
              <w:t>加强施工管理，合理安排作业时间，严格按照施工噪声管理的有关规定，避免夜间进行施工；</w:t>
            </w:r>
          </w:p>
          <w:p>
            <w:pPr>
              <w:pStyle w:val="8"/>
              <w:spacing w:line="360" w:lineRule="auto"/>
              <w:ind w:firstLine="480"/>
              <w:rPr>
                <w:color w:val="auto"/>
                <w:sz w:val="24"/>
              </w:rPr>
            </w:pPr>
            <w:r>
              <w:rPr>
                <w:color w:val="auto"/>
                <w:sz w:val="24"/>
              </w:rPr>
              <w:t>②车辆出入现场时应低速、禁鸣；</w:t>
            </w:r>
          </w:p>
          <w:p>
            <w:pPr>
              <w:pStyle w:val="8"/>
              <w:spacing w:line="360" w:lineRule="auto"/>
              <w:ind w:firstLine="480"/>
              <w:rPr>
                <w:color w:val="auto"/>
                <w:sz w:val="24"/>
              </w:rPr>
            </w:pPr>
            <w:r>
              <w:rPr>
                <w:color w:val="auto"/>
                <w:sz w:val="24"/>
              </w:rPr>
              <w:t>③加强检查、维护和保养机械设备，紧固各部件，减少运行震动噪声；</w:t>
            </w:r>
          </w:p>
          <w:p>
            <w:pPr>
              <w:pStyle w:val="8"/>
              <w:spacing w:line="360" w:lineRule="auto"/>
              <w:ind w:firstLine="480"/>
              <w:rPr>
                <w:color w:val="auto"/>
                <w:sz w:val="24"/>
              </w:rPr>
            </w:pPr>
            <w:r>
              <w:rPr>
                <w:color w:val="auto"/>
                <w:sz w:val="24"/>
              </w:rPr>
              <w:t>④选用低噪声的施工机械及施工工艺，从根本上降低源强；</w:t>
            </w:r>
          </w:p>
          <w:p>
            <w:pPr>
              <w:pStyle w:val="8"/>
              <w:spacing w:line="360" w:lineRule="auto"/>
              <w:ind w:firstLine="480"/>
              <w:rPr>
                <w:color w:val="auto"/>
                <w:sz w:val="24"/>
              </w:rPr>
            </w:pPr>
            <w:r>
              <w:rPr>
                <w:color w:val="auto"/>
                <w:sz w:val="24"/>
              </w:rPr>
              <w:t>⑤高噪声设备不集中布置，并严禁同时运行。</w:t>
            </w:r>
          </w:p>
          <w:p>
            <w:pPr>
              <w:spacing w:line="360" w:lineRule="auto"/>
              <w:ind w:firstLine="480" w:firstLineChars="200"/>
              <w:rPr>
                <w:color w:val="auto"/>
                <w:sz w:val="24"/>
              </w:rPr>
            </w:pPr>
            <w:r>
              <w:rPr>
                <w:color w:val="auto"/>
                <w:sz w:val="24"/>
              </w:rPr>
              <w:t>采取以上措施后，</w:t>
            </w:r>
            <w:r>
              <w:rPr>
                <w:rFonts w:hint="eastAsia"/>
                <w:color w:val="auto"/>
                <w:sz w:val="24"/>
              </w:rPr>
              <w:t>可以最大限度的减小施工期机械噪声对环境的影响。项目施工期较短，施工期噪声的影响符合《建筑施工场界环境噪声排放标准》（GB12523-2011）要求。</w:t>
            </w:r>
          </w:p>
          <w:p>
            <w:pPr>
              <w:spacing w:line="360" w:lineRule="auto"/>
              <w:ind w:firstLine="482" w:firstLineChars="200"/>
              <w:rPr>
                <w:b/>
                <w:bCs/>
                <w:color w:val="auto"/>
                <w:sz w:val="24"/>
              </w:rPr>
            </w:pPr>
            <w:r>
              <w:rPr>
                <w:b/>
                <w:bCs/>
                <w:color w:val="auto"/>
                <w:sz w:val="24"/>
              </w:rPr>
              <w:t>4.施工期固体废物污染物防治措施</w:t>
            </w:r>
          </w:p>
          <w:p>
            <w:pPr>
              <w:spacing w:line="360" w:lineRule="auto"/>
              <w:ind w:firstLine="480" w:firstLineChars="200"/>
              <w:rPr>
                <w:color w:val="auto"/>
                <w:sz w:val="24"/>
              </w:rPr>
            </w:pPr>
            <w:r>
              <w:rPr>
                <w:rFonts w:hint="eastAsia"/>
                <w:color w:val="auto"/>
                <w:sz w:val="24"/>
              </w:rPr>
              <w:t>项目施工期无动土工程，施工期固体废弃物主要为建筑垃圾和生活垃圾。</w:t>
            </w:r>
          </w:p>
          <w:p>
            <w:pPr>
              <w:spacing w:line="360" w:lineRule="auto"/>
              <w:ind w:firstLine="480" w:firstLineChars="200"/>
              <w:rPr>
                <w:color w:val="auto"/>
                <w:sz w:val="24"/>
              </w:rPr>
            </w:pPr>
            <w:r>
              <w:rPr>
                <w:rFonts w:hint="eastAsia"/>
                <w:color w:val="auto"/>
                <w:sz w:val="24"/>
              </w:rPr>
              <w:t>①将废包装材料和废弃施工材料进行简单分类，能够回收的回收利用，不能回收利用的运至政府部门指定地点妥善处置，禁止随意丢弃。</w:t>
            </w:r>
          </w:p>
          <w:p>
            <w:pPr>
              <w:spacing w:line="360" w:lineRule="auto"/>
              <w:ind w:firstLine="480" w:firstLineChars="200"/>
              <w:rPr>
                <w:color w:val="auto"/>
                <w:sz w:val="24"/>
              </w:rPr>
            </w:pPr>
            <w:r>
              <w:rPr>
                <w:rFonts w:hint="eastAsia"/>
                <w:color w:val="auto"/>
                <w:sz w:val="24"/>
              </w:rPr>
              <w:t>②施工人员每天产生的生活垃圾统一收集至公共垃圾房，由当地环卫部门清运、处置。</w:t>
            </w:r>
          </w:p>
          <w:p>
            <w:pPr>
              <w:spacing w:line="360" w:lineRule="auto"/>
              <w:ind w:firstLine="480" w:firstLineChars="200"/>
              <w:rPr>
                <w:color w:val="auto"/>
                <w:sz w:val="24"/>
              </w:rPr>
            </w:pPr>
            <w:r>
              <w:rPr>
                <w:rFonts w:hint="eastAsia"/>
                <w:color w:val="auto"/>
                <w:sz w:val="24"/>
              </w:rPr>
              <w:t>综上分析，施工期固体废弃物产生量较少，处置方式合理、可行，去向明确，处置率达到100%，对周围环境影响不大。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95" w:type="dxa"/>
            <w:tcMar>
              <w:left w:w="28" w:type="dxa"/>
              <w:right w:w="28" w:type="dxa"/>
            </w:tcMar>
            <w:vAlign w:val="center"/>
          </w:tcPr>
          <w:p>
            <w:pPr>
              <w:spacing w:line="360" w:lineRule="auto"/>
              <w:rPr>
                <w:color w:val="auto"/>
                <w:sz w:val="24"/>
              </w:rPr>
            </w:pPr>
            <w:r>
              <w:rPr>
                <w:color w:val="auto"/>
                <w:sz w:val="24"/>
              </w:rPr>
              <w:t>运营期环境影响和保护措施</w:t>
            </w:r>
          </w:p>
        </w:tc>
        <w:tc>
          <w:tcPr>
            <w:tcW w:w="8286" w:type="dxa"/>
            <w:vAlign w:val="center"/>
          </w:tcPr>
          <w:p>
            <w:pPr>
              <w:spacing w:line="360" w:lineRule="auto"/>
              <w:ind w:firstLine="482" w:firstLineChars="200"/>
              <w:rPr>
                <w:color w:val="auto"/>
                <w:sz w:val="24"/>
              </w:rPr>
            </w:pPr>
            <w:r>
              <w:rPr>
                <w:b/>
                <w:bCs/>
                <w:color w:val="auto"/>
                <w:sz w:val="24"/>
              </w:rPr>
              <w:t>一、运营期废气环境影响分析</w:t>
            </w:r>
          </w:p>
          <w:p>
            <w:pPr>
              <w:spacing w:line="360" w:lineRule="auto"/>
              <w:ind w:firstLine="482" w:firstLineChars="200"/>
              <w:rPr>
                <w:b/>
                <w:bCs/>
                <w:color w:val="auto"/>
                <w:sz w:val="24"/>
              </w:rPr>
            </w:pPr>
            <w:r>
              <w:rPr>
                <w:b/>
                <w:bCs/>
                <w:color w:val="auto"/>
                <w:sz w:val="24"/>
              </w:rPr>
              <w:t>1.</w:t>
            </w:r>
            <w:r>
              <w:rPr>
                <w:rFonts w:hint="eastAsia"/>
                <w:b/>
                <w:bCs/>
                <w:color w:val="auto"/>
                <w:sz w:val="24"/>
              </w:rPr>
              <w:t>污染工序及源强分析</w:t>
            </w:r>
          </w:p>
          <w:p>
            <w:pPr>
              <w:pStyle w:val="4"/>
              <w:spacing w:before="0" w:after="0" w:line="360" w:lineRule="auto"/>
              <w:ind w:left="0" w:firstLine="480" w:firstLineChars="200"/>
              <w:rPr>
                <w:rFonts w:eastAsia="宋体"/>
                <w:b w:val="0"/>
                <w:bCs w:val="0"/>
                <w:color w:val="auto"/>
                <w:kern w:val="2"/>
                <w:sz w:val="24"/>
                <w:szCs w:val="24"/>
              </w:rPr>
            </w:pPr>
            <w:r>
              <w:rPr>
                <w:rFonts w:hint="eastAsia" w:eastAsia="宋体"/>
                <w:b w:val="0"/>
                <w:bCs w:val="0"/>
                <w:color w:val="auto"/>
                <w:kern w:val="2"/>
                <w:sz w:val="24"/>
                <w:szCs w:val="24"/>
              </w:rPr>
              <w:t>本项目回收利用的原料种类为PE原料（废弃农用地膜、废编织袋等）、PP原料（一般废旧塑料）。项目严格控制废塑料来源、严格把控原材料入场条件，原料成分无氯元素，项目不使用含农药、油漆等有机物质的废塑料，不使用医疗废塑料等，不会产生苯、二甲苯等有害气体。</w:t>
            </w:r>
          </w:p>
          <w:p>
            <w:pPr>
              <w:spacing w:line="360" w:lineRule="auto"/>
              <w:ind w:firstLine="480" w:firstLineChars="200"/>
              <w:rPr>
                <w:color w:val="auto"/>
                <w:sz w:val="24"/>
              </w:rPr>
            </w:pPr>
            <w:r>
              <w:rPr>
                <w:rFonts w:hint="eastAsia"/>
                <w:color w:val="auto"/>
                <w:sz w:val="24"/>
              </w:rPr>
              <w:t>本项目废塑料破碎采用湿式破碎，同时破碎系统密闭化，因此破碎过程无粉尘产生。运营期产生的废气主要为原料</w:t>
            </w:r>
            <w:r>
              <w:rPr>
                <w:color w:val="auto"/>
                <w:sz w:val="24"/>
              </w:rPr>
              <w:t>开包、投料等作业过程中产生的粉尘</w:t>
            </w:r>
            <w:r>
              <w:rPr>
                <w:color w:val="auto"/>
                <w:sz w:val="24"/>
                <w:szCs w:val="20"/>
              </w:rPr>
              <w:t>，以及</w:t>
            </w:r>
            <w:r>
              <w:rPr>
                <w:color w:val="auto"/>
                <w:sz w:val="24"/>
              </w:rPr>
              <w:t>熔融挤出工序产生的有机废气（以非甲烷总烃计）、烟尘（颗粒物）、臭气等</w:t>
            </w:r>
            <w:r>
              <w:rPr>
                <w:color w:val="auto"/>
                <w:sz w:val="24"/>
                <w:szCs w:val="20"/>
              </w:rPr>
              <w:t>。</w:t>
            </w:r>
          </w:p>
          <w:p>
            <w:pPr>
              <w:pStyle w:val="4"/>
              <w:spacing w:before="0" w:after="0" w:line="360" w:lineRule="auto"/>
              <w:ind w:left="0" w:firstLine="482" w:firstLineChars="200"/>
              <w:rPr>
                <w:rFonts w:eastAsia="宋体"/>
                <w:color w:val="auto"/>
                <w:kern w:val="2"/>
                <w:sz w:val="24"/>
                <w:szCs w:val="24"/>
              </w:rPr>
            </w:pPr>
            <w:r>
              <w:rPr>
                <w:rFonts w:hint="eastAsia" w:eastAsia="宋体"/>
                <w:color w:val="auto"/>
                <w:kern w:val="2"/>
                <w:sz w:val="24"/>
                <w:szCs w:val="24"/>
              </w:rPr>
              <w:t>（1）原料开包投料粉尘</w:t>
            </w:r>
          </w:p>
          <w:p>
            <w:pPr>
              <w:spacing w:line="360" w:lineRule="auto"/>
              <w:ind w:firstLine="480" w:firstLineChars="200"/>
              <w:rPr>
                <w:color w:val="auto"/>
                <w:sz w:val="24"/>
                <w:szCs w:val="20"/>
              </w:rPr>
            </w:pPr>
            <w:r>
              <w:rPr>
                <w:color w:val="auto"/>
                <w:kern w:val="0"/>
                <w:sz w:val="24"/>
              </w:rPr>
              <w:t>外购原料进厂后暂存于</w:t>
            </w:r>
            <w:r>
              <w:rPr>
                <w:rFonts w:hint="eastAsia"/>
                <w:color w:val="auto"/>
                <w:kern w:val="0"/>
                <w:sz w:val="24"/>
              </w:rPr>
              <w:t>原料暂存区</w:t>
            </w:r>
            <w:r>
              <w:rPr>
                <w:color w:val="auto"/>
                <w:kern w:val="0"/>
                <w:sz w:val="24"/>
              </w:rPr>
              <w:t>，不需在厂内进行分拣</w:t>
            </w:r>
            <w:r>
              <w:rPr>
                <w:color w:val="auto"/>
                <w:sz w:val="24"/>
                <w:szCs w:val="20"/>
              </w:rPr>
              <w:t>。原料由工人用手推车运至原料预处理工段，进行开包、投料。</w:t>
            </w:r>
            <w:r>
              <w:rPr>
                <w:color w:val="auto"/>
                <w:sz w:val="24"/>
              </w:rPr>
              <w:t>原料进料采用微负压进料方式，可有效降低进料过程粉尘的起尘量。</w:t>
            </w:r>
            <w:r>
              <w:rPr>
                <w:color w:val="auto"/>
                <w:sz w:val="24"/>
                <w:szCs w:val="20"/>
              </w:rPr>
              <w:t>回收的原料夹杂一定量的杂物、尘土等颗粒物</w:t>
            </w:r>
            <w:r>
              <w:rPr>
                <w:rStyle w:val="37"/>
                <w:rFonts w:hint="eastAsia"/>
                <w:color w:val="auto"/>
                <w:kern w:val="0"/>
              </w:rPr>
              <w:t>（G1）</w:t>
            </w:r>
            <w:r>
              <w:rPr>
                <w:color w:val="auto"/>
                <w:sz w:val="24"/>
                <w:szCs w:val="20"/>
              </w:rPr>
              <w:t>，因此投料前将打包好的原料开包时，会有粉尘产生。</w:t>
            </w:r>
          </w:p>
          <w:p>
            <w:pPr>
              <w:spacing w:line="360" w:lineRule="auto"/>
              <w:ind w:firstLine="480" w:firstLineChars="200"/>
              <w:rPr>
                <w:color w:val="auto"/>
                <w:sz w:val="24"/>
                <w:szCs w:val="20"/>
              </w:rPr>
            </w:pPr>
            <w:r>
              <w:rPr>
                <w:color w:val="auto"/>
                <w:sz w:val="24"/>
                <w:szCs w:val="20"/>
              </w:rPr>
              <w:t>根据类比确定，粉尘产生量</w:t>
            </w:r>
            <w:r>
              <w:rPr>
                <w:rFonts w:hint="eastAsia"/>
                <w:color w:val="auto"/>
                <w:sz w:val="24"/>
                <w:szCs w:val="20"/>
              </w:rPr>
              <w:t>取原料量的0.01%</w:t>
            </w:r>
            <w:r>
              <w:rPr>
                <w:color w:val="auto"/>
                <w:sz w:val="24"/>
                <w:szCs w:val="20"/>
              </w:rPr>
              <w:t>，则产生粉尘量为</w:t>
            </w:r>
            <w:r>
              <w:rPr>
                <w:rFonts w:hint="eastAsia"/>
                <w:color w:val="auto"/>
                <w:sz w:val="24"/>
                <w:szCs w:val="20"/>
              </w:rPr>
              <w:t>0.512</w:t>
            </w:r>
            <w:r>
              <w:rPr>
                <w:color w:val="auto"/>
                <w:sz w:val="24"/>
                <w:szCs w:val="20"/>
              </w:rPr>
              <w:t>t/a，粉尘在车间内部自然沉降，沉降率</w:t>
            </w:r>
            <w:r>
              <w:rPr>
                <w:rFonts w:hint="eastAsia"/>
                <w:color w:val="auto"/>
                <w:sz w:val="24"/>
                <w:szCs w:val="20"/>
              </w:rPr>
              <w:t>50</w:t>
            </w:r>
            <w:r>
              <w:rPr>
                <w:color w:val="auto"/>
                <w:sz w:val="24"/>
                <w:szCs w:val="20"/>
              </w:rPr>
              <w:t>%，沉降量为</w:t>
            </w:r>
            <w:r>
              <w:rPr>
                <w:rFonts w:hint="eastAsia"/>
                <w:color w:val="auto"/>
                <w:sz w:val="24"/>
                <w:szCs w:val="20"/>
              </w:rPr>
              <w:t>0.256</w:t>
            </w:r>
            <w:r>
              <w:rPr>
                <w:color w:val="auto"/>
                <w:sz w:val="24"/>
                <w:szCs w:val="20"/>
              </w:rPr>
              <w:t>t/a，沉降后其余粉尘呈无组织，粉尘排放量为</w:t>
            </w:r>
            <w:r>
              <w:rPr>
                <w:rFonts w:hint="eastAsia"/>
                <w:color w:val="auto"/>
                <w:sz w:val="24"/>
                <w:szCs w:val="20"/>
              </w:rPr>
              <w:t>0.256</w:t>
            </w:r>
            <w:r>
              <w:rPr>
                <w:color w:val="auto"/>
                <w:sz w:val="24"/>
                <w:szCs w:val="20"/>
              </w:rPr>
              <w:t>t/a。开包、投料工序年工作</w:t>
            </w:r>
            <w:r>
              <w:rPr>
                <w:rFonts w:hint="eastAsia"/>
                <w:color w:val="auto"/>
                <w:sz w:val="24"/>
                <w:szCs w:val="20"/>
              </w:rPr>
              <w:t>24</w:t>
            </w:r>
            <w:r>
              <w:rPr>
                <w:color w:val="auto"/>
                <w:sz w:val="24"/>
                <w:szCs w:val="20"/>
              </w:rPr>
              <w:t>00h，则粉尘排放速率为</w:t>
            </w:r>
            <w:r>
              <w:rPr>
                <w:rFonts w:hint="eastAsia"/>
                <w:color w:val="auto"/>
                <w:sz w:val="24"/>
                <w:szCs w:val="20"/>
              </w:rPr>
              <w:t>0.106</w:t>
            </w:r>
            <w:r>
              <w:rPr>
                <w:color w:val="auto"/>
                <w:sz w:val="24"/>
                <w:szCs w:val="20"/>
              </w:rPr>
              <w:t>kg/h。</w:t>
            </w:r>
            <w:r>
              <w:rPr>
                <w:rFonts w:hint="eastAsia"/>
                <w:color w:val="auto"/>
                <w:sz w:val="24"/>
                <w:szCs w:val="20"/>
              </w:rPr>
              <w:t>原料暂存区</w:t>
            </w:r>
            <w:r>
              <w:rPr>
                <w:color w:val="auto"/>
                <w:sz w:val="24"/>
                <w:szCs w:val="20"/>
              </w:rPr>
              <w:t>设置排风扇，颗粒物经</w:t>
            </w:r>
            <w:r>
              <w:rPr>
                <w:rFonts w:hint="eastAsia"/>
                <w:color w:val="auto"/>
                <w:sz w:val="24"/>
                <w:szCs w:val="20"/>
              </w:rPr>
              <w:t>排风扇</w:t>
            </w:r>
            <w:r>
              <w:rPr>
                <w:color w:val="auto"/>
                <w:sz w:val="24"/>
                <w:szCs w:val="20"/>
              </w:rPr>
              <w:t>排出后在空气中稀释扩散。</w:t>
            </w:r>
          </w:p>
          <w:p>
            <w:pPr>
              <w:spacing w:line="360" w:lineRule="auto"/>
              <w:ind w:firstLine="482" w:firstLineChars="200"/>
              <w:rPr>
                <w:b/>
                <w:bCs/>
                <w:color w:val="auto"/>
                <w:kern w:val="0"/>
                <w:sz w:val="24"/>
              </w:rPr>
            </w:pPr>
            <w:r>
              <w:rPr>
                <w:b/>
                <w:bCs/>
                <w:color w:val="auto"/>
                <w:kern w:val="0"/>
                <w:sz w:val="24"/>
              </w:rPr>
              <w:t>（2）熔融</w:t>
            </w:r>
            <w:r>
              <w:rPr>
                <w:rFonts w:hint="eastAsia"/>
                <w:b/>
                <w:bCs/>
                <w:color w:val="auto"/>
                <w:kern w:val="0"/>
                <w:sz w:val="24"/>
                <w:lang w:val="en-US" w:eastAsia="zh-CN"/>
              </w:rPr>
              <w:t>挤出</w:t>
            </w:r>
            <w:r>
              <w:rPr>
                <w:b/>
                <w:bCs/>
                <w:color w:val="auto"/>
                <w:kern w:val="0"/>
                <w:sz w:val="24"/>
              </w:rPr>
              <w:t>废气（有机废气、烟尘</w:t>
            </w:r>
            <w:r>
              <w:rPr>
                <w:rFonts w:hint="eastAsia"/>
                <w:b/>
                <w:bCs/>
                <w:color w:val="auto"/>
                <w:kern w:val="0"/>
                <w:sz w:val="24"/>
              </w:rPr>
              <w:t>（G2、G3、G4</w:t>
            </w:r>
            <w:r>
              <w:rPr>
                <w:b/>
                <w:bCs/>
                <w:color w:val="auto"/>
                <w:kern w:val="0"/>
                <w:sz w:val="24"/>
              </w:rPr>
              <w:t>）</w:t>
            </w:r>
            <w:r>
              <w:rPr>
                <w:rFonts w:hint="eastAsia"/>
                <w:b/>
                <w:bCs/>
                <w:color w:val="auto"/>
                <w:kern w:val="0"/>
                <w:sz w:val="24"/>
              </w:rPr>
              <w:t>）</w:t>
            </w:r>
          </w:p>
          <w:p>
            <w:pPr>
              <w:spacing w:line="360" w:lineRule="auto"/>
              <w:ind w:firstLine="480" w:firstLineChars="200"/>
              <w:rPr>
                <w:color w:val="auto"/>
                <w:kern w:val="0"/>
                <w:sz w:val="24"/>
              </w:rPr>
            </w:pPr>
            <w:r>
              <w:rPr>
                <w:color w:val="auto"/>
                <w:kern w:val="0"/>
                <w:sz w:val="24"/>
              </w:rPr>
              <w:t>本项目原料为</w:t>
            </w:r>
            <w:r>
              <w:rPr>
                <w:bCs/>
                <w:color w:val="auto"/>
                <w:kern w:val="0"/>
                <w:sz w:val="24"/>
              </w:rPr>
              <w:t>PE原料（废弃农用地膜、废编织袋等）、PP原料（一般废旧塑料），均</w:t>
            </w:r>
            <w:r>
              <w:rPr>
                <w:color w:val="auto"/>
                <w:kern w:val="0"/>
                <w:sz w:val="24"/>
              </w:rPr>
              <w:t>无需添加色素。</w:t>
            </w:r>
          </w:p>
          <w:p>
            <w:pPr>
              <w:spacing w:line="360" w:lineRule="auto"/>
              <w:ind w:firstLine="480" w:firstLineChars="200"/>
              <w:rPr>
                <w:rFonts w:hint="default"/>
                <w:color w:val="auto"/>
                <w:kern w:val="0"/>
                <w:sz w:val="24"/>
                <w:lang w:val="en-US" w:eastAsia="zh-CN"/>
              </w:rPr>
            </w:pPr>
            <w:r>
              <w:rPr>
                <w:color w:val="auto"/>
                <w:kern w:val="0"/>
                <w:sz w:val="24"/>
              </w:rPr>
              <w:t>聚乙烯（PE）的熔点为137℃（</w:t>
            </w:r>
            <w:r>
              <w:rPr>
                <w:color w:val="auto"/>
                <w:sz w:val="24"/>
              </w:rPr>
              <w:t>裂解温度350-400℃</w:t>
            </w:r>
            <w:r>
              <w:rPr>
                <w:color w:val="auto"/>
                <w:kern w:val="0"/>
                <w:sz w:val="24"/>
              </w:rPr>
              <w:t>），聚丙烯（PP）的熔点为173℃（</w:t>
            </w:r>
            <w:r>
              <w:rPr>
                <w:color w:val="auto"/>
                <w:sz w:val="24"/>
                <w:szCs w:val="20"/>
              </w:rPr>
              <w:t>裂解温度</w:t>
            </w:r>
            <w:r>
              <w:rPr>
                <w:color w:val="auto"/>
                <w:sz w:val="24"/>
              </w:rPr>
              <w:t>260-300℃</w:t>
            </w:r>
            <w:r>
              <w:rPr>
                <w:color w:val="auto"/>
                <w:kern w:val="0"/>
                <w:sz w:val="24"/>
              </w:rPr>
              <w:t>）。</w:t>
            </w:r>
            <w:r>
              <w:rPr>
                <w:rFonts w:hint="eastAsia"/>
                <w:color w:val="auto"/>
                <w:kern w:val="0"/>
                <w:sz w:val="24"/>
                <w:lang w:val="en-US" w:eastAsia="zh-CN"/>
              </w:rPr>
              <w:t>不添加任何添加剂和其他物质，</w:t>
            </w:r>
            <w:r>
              <w:rPr>
                <w:color w:val="auto"/>
                <w:sz w:val="24"/>
                <w:szCs w:val="20"/>
              </w:rPr>
              <w:t>熔融采用电加热方式，熔融</w:t>
            </w:r>
            <w:r>
              <w:rPr>
                <w:rFonts w:hint="eastAsia"/>
                <w:color w:val="auto"/>
                <w:sz w:val="24"/>
                <w:szCs w:val="20"/>
                <w:lang w:val="en-US" w:eastAsia="zh-CN"/>
              </w:rPr>
              <w:t>挤出</w:t>
            </w:r>
            <w:r>
              <w:rPr>
                <w:color w:val="auto"/>
                <w:sz w:val="24"/>
                <w:szCs w:val="20"/>
              </w:rPr>
              <w:t>工序控制温度为180℃~200℃之间，</w:t>
            </w:r>
            <w:r>
              <w:rPr>
                <w:color w:val="auto"/>
                <w:sz w:val="24"/>
              </w:rPr>
              <w:t>远小于</w:t>
            </w:r>
            <w:r>
              <w:rPr>
                <w:color w:val="auto"/>
                <w:sz w:val="24"/>
                <w:szCs w:val="20"/>
              </w:rPr>
              <w:t>原料的裂解温度，</w:t>
            </w:r>
            <w:r>
              <w:rPr>
                <w:color w:val="auto"/>
                <w:kern w:val="0"/>
                <w:sz w:val="24"/>
              </w:rPr>
              <w:t>属于纯物理挥发过程，</w:t>
            </w:r>
            <w:r>
              <w:rPr>
                <w:rFonts w:hint="eastAsia"/>
                <w:color w:val="auto"/>
                <w:kern w:val="0"/>
                <w:sz w:val="24"/>
              </w:rPr>
              <w:t>无分解废气产生，仅有少部分小分子在加热时游离出来，</w:t>
            </w:r>
            <w:r>
              <w:rPr>
                <w:rFonts w:hint="eastAsia"/>
                <w:color w:val="auto"/>
                <w:kern w:val="0"/>
                <w:sz w:val="24"/>
                <w:lang w:val="en-US" w:eastAsia="zh-CN"/>
              </w:rPr>
              <w:t>且在该温度条件下会产生微量有机废气和烟尘，</w:t>
            </w:r>
            <w:r>
              <w:rPr>
                <w:color w:val="auto"/>
                <w:kern w:val="0"/>
                <w:sz w:val="24"/>
              </w:rPr>
              <w:t>挥发气体的主要成分为</w:t>
            </w:r>
            <w:r>
              <w:rPr>
                <w:color w:val="auto"/>
                <w:sz w:val="24"/>
                <w:szCs w:val="20"/>
              </w:rPr>
              <w:t>水蒸气及有机挥发性物质（</w:t>
            </w:r>
            <w:r>
              <w:rPr>
                <w:color w:val="auto"/>
                <w:sz w:val="24"/>
              </w:rPr>
              <w:t>以非甲烷总烃计，</w:t>
            </w:r>
            <w:r>
              <w:rPr>
                <w:color w:val="auto"/>
                <w:sz w:val="24"/>
                <w:szCs w:val="20"/>
              </w:rPr>
              <w:t>主要是C2-C8）</w:t>
            </w:r>
            <w:r>
              <w:rPr>
                <w:color w:val="auto"/>
                <w:kern w:val="0"/>
                <w:sz w:val="24"/>
              </w:rPr>
              <w:t>。由于这部分废气的成分及含量不固定，亦无相对应的具体排放标准，而其共同的特性是作为挥发性有机物质，以碳氢化合物成分为主，故这部分废气通常归纳以非甲烷总烃表示。</w:t>
            </w:r>
            <w:r>
              <w:rPr>
                <w:rFonts w:hint="eastAsia"/>
                <w:color w:val="auto"/>
                <w:kern w:val="0"/>
                <w:sz w:val="24"/>
                <w:lang w:val="en-US" w:eastAsia="zh-CN"/>
              </w:rPr>
              <w:t>另外，类比同类塑料再生颗粒生产项目以及查询相关资料，高温熔融过程中会产生烟尘，烟尘主要污染物为颗粒物。因此，熔融挤出过程产生的废气主要为非甲烷总烃和颗粒物。</w:t>
            </w:r>
          </w:p>
          <w:p>
            <w:pPr>
              <w:spacing w:line="360" w:lineRule="auto"/>
              <w:ind w:firstLine="480" w:firstLineChars="200"/>
              <w:rPr>
                <w:color w:val="auto"/>
                <w:kern w:val="0"/>
                <w:sz w:val="24"/>
              </w:rPr>
            </w:pPr>
            <w:r>
              <w:rPr>
                <w:color w:val="auto"/>
                <w:kern w:val="0"/>
                <w:sz w:val="24"/>
              </w:rPr>
              <w:t>由于二噁英一般在270~420℃温度条件下产生，且本项目不使用含卤素的原料，因此，项目熔融过程不会产生二噁英和氯化氢等气体。</w:t>
            </w:r>
          </w:p>
          <w:p>
            <w:pPr>
              <w:spacing w:line="360" w:lineRule="auto"/>
              <w:ind w:firstLine="480" w:firstLineChars="200"/>
              <w:rPr>
                <w:color w:val="auto"/>
                <w:kern w:val="0"/>
                <w:sz w:val="24"/>
              </w:rPr>
            </w:pPr>
            <w:r>
              <w:rPr>
                <w:color w:val="auto"/>
                <w:kern w:val="0"/>
                <w:sz w:val="24"/>
              </w:rPr>
              <w:t>根据《排放源统计调查产排污核算方法和系数手册》（2021年6月11日）4220 非金属废料和碎屑加工处理行业系数手册，工业废气量为4000m</w:t>
            </w:r>
            <w:r>
              <w:rPr>
                <w:color w:val="auto"/>
                <w:kern w:val="0"/>
                <w:sz w:val="24"/>
                <w:vertAlign w:val="superscript"/>
              </w:rPr>
              <w:t>3</w:t>
            </w:r>
            <w:r>
              <w:rPr>
                <w:color w:val="auto"/>
                <w:kern w:val="0"/>
                <w:sz w:val="24"/>
              </w:rPr>
              <w:t>/吨（原材料），挥发性有机物产生量350g/t（原材料）</w:t>
            </w:r>
            <w:r>
              <w:rPr>
                <w:rFonts w:hint="eastAsia"/>
                <w:color w:val="auto"/>
                <w:kern w:val="0"/>
                <w:sz w:val="24"/>
              </w:rPr>
              <w:t>，本项目进入熔融挤出工序的物料量为5012.03t/a，则本项目产生的非甲烷总烃量为1.75t/a，产生速率为0.73kg/h。单位产品非甲烷总烃产生量为0.35kg/t产品。</w:t>
            </w:r>
          </w:p>
          <w:p>
            <w:pPr>
              <w:spacing w:line="360" w:lineRule="auto"/>
              <w:ind w:firstLine="480" w:firstLineChars="200"/>
              <w:rPr>
                <w:color w:val="auto"/>
                <w:kern w:val="0"/>
                <w:sz w:val="24"/>
              </w:rPr>
            </w:pPr>
            <w:r>
              <w:rPr>
                <w:rFonts w:hint="eastAsia"/>
                <w:color w:val="auto"/>
                <w:kern w:val="0"/>
                <w:sz w:val="24"/>
              </w:rPr>
              <w:t>参考《空气污染物排放和控制手册 工业污染源调查与研究 第二辑》及中山市环境保护科学研究所使用的数据，废塑料加工行业塑化过程颗粒物产生量为0.05kg/t原料</w:t>
            </w:r>
            <w:r>
              <w:rPr>
                <w:color w:val="auto"/>
                <w:kern w:val="0"/>
                <w:sz w:val="24"/>
              </w:rPr>
              <w:t>。</w:t>
            </w:r>
          </w:p>
          <w:p>
            <w:pPr>
              <w:spacing w:line="360" w:lineRule="auto"/>
              <w:ind w:firstLine="480" w:firstLineChars="200"/>
              <w:rPr>
                <w:color w:val="auto"/>
                <w:kern w:val="0"/>
                <w:sz w:val="24"/>
              </w:rPr>
            </w:pPr>
            <w:r>
              <w:rPr>
                <w:color w:val="auto"/>
                <w:kern w:val="0"/>
                <w:sz w:val="24"/>
              </w:rPr>
              <w:t>本项目年综合利用废塑料</w:t>
            </w:r>
            <w:r>
              <w:rPr>
                <w:rFonts w:hint="eastAsia"/>
                <w:color w:val="auto"/>
                <w:kern w:val="0"/>
                <w:sz w:val="24"/>
              </w:rPr>
              <w:t>5121.1t</w:t>
            </w:r>
            <w:r>
              <w:rPr>
                <w:color w:val="auto"/>
                <w:kern w:val="0"/>
                <w:sz w:val="24"/>
              </w:rPr>
              <w:t>，则废气量为</w:t>
            </w:r>
            <w:r>
              <w:rPr>
                <w:rFonts w:hint="eastAsia"/>
                <w:color w:val="auto"/>
                <w:kern w:val="0"/>
                <w:sz w:val="24"/>
              </w:rPr>
              <w:t>2048.44</w:t>
            </w:r>
            <w:r>
              <w:rPr>
                <w:color w:val="auto"/>
                <w:kern w:val="0"/>
                <w:sz w:val="24"/>
              </w:rPr>
              <w:t>万m</w:t>
            </w:r>
            <w:r>
              <w:rPr>
                <w:color w:val="auto"/>
                <w:kern w:val="0"/>
                <w:sz w:val="24"/>
                <w:vertAlign w:val="superscript"/>
              </w:rPr>
              <w:t>3</w:t>
            </w:r>
            <w:r>
              <w:rPr>
                <w:color w:val="auto"/>
                <w:kern w:val="0"/>
                <w:sz w:val="24"/>
              </w:rPr>
              <w:t>/a（</w:t>
            </w:r>
            <w:r>
              <w:rPr>
                <w:rFonts w:hint="eastAsia"/>
                <w:color w:val="auto"/>
                <w:kern w:val="0"/>
                <w:sz w:val="24"/>
              </w:rPr>
              <w:t>8535.16</w:t>
            </w:r>
            <w:r>
              <w:rPr>
                <w:color w:val="auto"/>
                <w:kern w:val="0"/>
                <w:sz w:val="24"/>
              </w:rPr>
              <w:t>m</w:t>
            </w:r>
            <w:r>
              <w:rPr>
                <w:color w:val="auto"/>
                <w:kern w:val="0"/>
                <w:sz w:val="24"/>
                <w:vertAlign w:val="superscript"/>
              </w:rPr>
              <w:t>3</w:t>
            </w:r>
            <w:r>
              <w:rPr>
                <w:color w:val="auto"/>
                <w:kern w:val="0"/>
                <w:sz w:val="24"/>
              </w:rPr>
              <w:t>/h）</w:t>
            </w:r>
            <w:r>
              <w:rPr>
                <w:rFonts w:hint="eastAsia"/>
                <w:color w:val="auto"/>
                <w:kern w:val="0"/>
                <w:sz w:val="24"/>
              </w:rPr>
              <w:t>；</w:t>
            </w:r>
            <w:r>
              <w:rPr>
                <w:color w:val="auto"/>
                <w:kern w:val="0"/>
                <w:sz w:val="24"/>
              </w:rPr>
              <w:t>有机废气（以非甲烷总烃计）的产生量为</w:t>
            </w:r>
            <w:r>
              <w:rPr>
                <w:rFonts w:hint="eastAsia"/>
                <w:color w:val="auto"/>
                <w:kern w:val="0"/>
                <w:sz w:val="24"/>
              </w:rPr>
              <w:t>1.792</w:t>
            </w:r>
            <w:r>
              <w:rPr>
                <w:color w:val="auto"/>
                <w:kern w:val="0"/>
                <w:sz w:val="24"/>
              </w:rPr>
              <w:t>t/a，</w:t>
            </w:r>
            <w:r>
              <w:rPr>
                <w:rFonts w:hint="eastAsia"/>
                <w:color w:val="auto"/>
                <w:kern w:val="0"/>
                <w:sz w:val="24"/>
              </w:rPr>
              <w:t>产生速率为0.747kg/h，产生浓度为87.50mg/m</w:t>
            </w:r>
            <w:r>
              <w:rPr>
                <w:rFonts w:hint="eastAsia"/>
                <w:color w:val="auto"/>
                <w:kern w:val="0"/>
                <w:sz w:val="24"/>
                <w:vertAlign w:val="superscript"/>
              </w:rPr>
              <w:t>3</w:t>
            </w:r>
            <w:r>
              <w:rPr>
                <w:rFonts w:hint="eastAsia"/>
                <w:color w:val="auto"/>
                <w:kern w:val="0"/>
                <w:sz w:val="24"/>
              </w:rPr>
              <w:t>；颗粒物</w:t>
            </w:r>
            <w:r>
              <w:rPr>
                <w:color w:val="auto"/>
                <w:kern w:val="0"/>
                <w:sz w:val="24"/>
              </w:rPr>
              <w:t>产生量为</w:t>
            </w:r>
            <w:r>
              <w:rPr>
                <w:rFonts w:hint="eastAsia"/>
                <w:color w:val="auto"/>
                <w:kern w:val="0"/>
                <w:sz w:val="24"/>
              </w:rPr>
              <w:t>0.256</w:t>
            </w:r>
            <w:r>
              <w:rPr>
                <w:color w:val="auto"/>
                <w:kern w:val="0"/>
                <w:sz w:val="24"/>
              </w:rPr>
              <w:t>t/a，</w:t>
            </w:r>
            <w:r>
              <w:rPr>
                <w:rFonts w:hint="eastAsia"/>
                <w:color w:val="auto"/>
                <w:kern w:val="0"/>
                <w:sz w:val="24"/>
              </w:rPr>
              <w:t>产生速率为0.1067kg/h，产生浓度为12.50mg/m</w:t>
            </w:r>
            <w:r>
              <w:rPr>
                <w:rFonts w:hint="eastAsia"/>
                <w:color w:val="auto"/>
                <w:kern w:val="0"/>
                <w:sz w:val="24"/>
                <w:vertAlign w:val="superscript"/>
              </w:rPr>
              <w:t>3</w:t>
            </w:r>
            <w:r>
              <w:rPr>
                <w:color w:val="auto"/>
                <w:kern w:val="0"/>
                <w:sz w:val="24"/>
              </w:rPr>
              <w:t>。</w:t>
            </w:r>
          </w:p>
          <w:p>
            <w:pPr>
              <w:spacing w:line="360" w:lineRule="auto"/>
              <w:ind w:firstLine="480" w:firstLineChars="200"/>
              <w:rPr>
                <w:color w:val="auto"/>
                <w:kern w:val="0"/>
                <w:sz w:val="24"/>
              </w:rPr>
            </w:pPr>
            <w:r>
              <w:rPr>
                <w:color w:val="auto"/>
                <w:kern w:val="0"/>
                <w:sz w:val="24"/>
              </w:rPr>
              <w:t>项目生产线熔融挤出设备的废气排放点为主机排气孔</w:t>
            </w:r>
            <w:r>
              <w:rPr>
                <w:rStyle w:val="37"/>
                <w:rFonts w:hint="eastAsia"/>
                <w:color w:val="auto"/>
                <w:kern w:val="0"/>
              </w:rPr>
              <w:t>（G2）</w:t>
            </w:r>
            <w:r>
              <w:rPr>
                <w:color w:val="auto"/>
                <w:kern w:val="0"/>
                <w:sz w:val="24"/>
              </w:rPr>
              <w:t>、主机至副机进料口</w:t>
            </w:r>
            <w:r>
              <w:rPr>
                <w:rStyle w:val="37"/>
                <w:rFonts w:hint="eastAsia"/>
                <w:color w:val="auto"/>
                <w:kern w:val="0"/>
              </w:rPr>
              <w:t>（G3）</w:t>
            </w:r>
            <w:r>
              <w:rPr>
                <w:color w:val="auto"/>
                <w:kern w:val="0"/>
                <w:sz w:val="24"/>
              </w:rPr>
              <w:t>、副机挤出口</w:t>
            </w:r>
            <w:r>
              <w:rPr>
                <w:rStyle w:val="37"/>
                <w:rFonts w:hint="eastAsia"/>
                <w:color w:val="auto"/>
                <w:kern w:val="0"/>
              </w:rPr>
              <w:t>（G4）</w:t>
            </w:r>
            <w:r>
              <w:rPr>
                <w:color w:val="auto"/>
                <w:kern w:val="0"/>
                <w:sz w:val="24"/>
              </w:rPr>
              <w:t>。主机排气孔是为了避免原料可能携带的水分和挥发物对产品质量造成影响而设置的排气口，该处排气量最大，排放气体包括水蒸气和挥发性有机气体。</w:t>
            </w:r>
          </w:p>
          <w:p>
            <w:pPr>
              <w:spacing w:line="360" w:lineRule="auto"/>
              <w:ind w:firstLine="480" w:firstLineChars="200"/>
              <w:rPr>
                <w:color w:val="auto"/>
                <w:kern w:val="0"/>
                <w:sz w:val="24"/>
              </w:rPr>
            </w:pPr>
            <w:r>
              <w:rPr>
                <w:color w:val="auto"/>
                <w:kern w:val="0"/>
                <w:sz w:val="24"/>
              </w:rPr>
              <w:t>本项目拟在每条生产线熔融挤出设备各产污点上方安装集气罩对废气进行收集（每条生产线3个集气罩，共计</w:t>
            </w:r>
            <w:r>
              <w:rPr>
                <w:rFonts w:hint="eastAsia"/>
                <w:color w:val="auto"/>
                <w:kern w:val="0"/>
                <w:sz w:val="24"/>
              </w:rPr>
              <w:t>18</w:t>
            </w:r>
            <w:r>
              <w:rPr>
                <w:color w:val="auto"/>
                <w:kern w:val="0"/>
                <w:sz w:val="24"/>
              </w:rPr>
              <w:t>个集气罩），收集效率取</w:t>
            </w:r>
            <w:r>
              <w:rPr>
                <w:rFonts w:hint="eastAsia"/>
                <w:color w:val="auto"/>
                <w:kern w:val="0"/>
                <w:sz w:val="24"/>
              </w:rPr>
              <w:t>8</w:t>
            </w:r>
            <w:r>
              <w:rPr>
                <w:color w:val="auto"/>
                <w:kern w:val="0"/>
                <w:sz w:val="24"/>
              </w:rPr>
              <w:t>0%，收集废气统一经“水洗装置+除湿除雾装置+</w:t>
            </w:r>
            <w:r>
              <w:rPr>
                <w:rFonts w:hint="eastAsia"/>
                <w:color w:val="auto"/>
                <w:kern w:val="0"/>
                <w:sz w:val="24"/>
                <w:lang w:val="en-US" w:eastAsia="zh-CN"/>
              </w:rPr>
              <w:t>一级</w:t>
            </w:r>
            <w:r>
              <w:rPr>
                <w:color w:val="auto"/>
                <w:kern w:val="0"/>
                <w:sz w:val="24"/>
              </w:rPr>
              <w:t>活性炭吸附装置+光氧催化装置”处理后，通过1根</w:t>
            </w:r>
            <w:r>
              <w:rPr>
                <w:rFonts w:hint="eastAsia"/>
                <w:color w:val="auto"/>
                <w:kern w:val="0"/>
                <w:sz w:val="24"/>
              </w:rPr>
              <w:t>20</w:t>
            </w:r>
            <w:r>
              <w:rPr>
                <w:color w:val="auto"/>
                <w:kern w:val="0"/>
                <w:sz w:val="24"/>
              </w:rPr>
              <w:t>m高排气筒排放</w:t>
            </w:r>
            <w:r>
              <w:rPr>
                <w:rFonts w:hint="eastAsia"/>
                <w:color w:val="auto"/>
                <w:kern w:val="0"/>
                <w:sz w:val="24"/>
              </w:rPr>
              <w:t>；其余20%的废气以无组织形式排放。</w:t>
            </w:r>
          </w:p>
          <w:p>
            <w:pPr>
              <w:spacing w:line="360" w:lineRule="auto"/>
              <w:ind w:firstLine="480" w:firstLineChars="200"/>
              <w:rPr>
                <w:color w:val="auto"/>
                <w:kern w:val="0"/>
                <w:sz w:val="24"/>
              </w:rPr>
            </w:pPr>
            <w:r>
              <w:rPr>
                <w:rFonts w:hint="eastAsia"/>
                <w:color w:val="auto"/>
                <w:kern w:val="0"/>
                <w:sz w:val="24"/>
              </w:rPr>
              <w:t>根据《排放源统计调查产排污核算方法和系数手册》中42 废弃资源综合利用行业系数手册，</w:t>
            </w:r>
            <w:r>
              <w:rPr>
                <w:color w:val="auto"/>
                <w:kern w:val="0"/>
                <w:sz w:val="24"/>
              </w:rPr>
              <w:t>水洗装置主要去除废气中夹杂的水蒸气及烟尘（颗粒物），对烟尘（颗粒物）去除率约为</w:t>
            </w:r>
            <w:r>
              <w:rPr>
                <w:rFonts w:hint="eastAsia"/>
                <w:color w:val="auto"/>
                <w:kern w:val="0"/>
                <w:sz w:val="24"/>
              </w:rPr>
              <w:t>75</w:t>
            </w:r>
            <w:r>
              <w:rPr>
                <w:color w:val="auto"/>
                <w:kern w:val="0"/>
                <w:sz w:val="24"/>
              </w:rPr>
              <w:t>%；活性炭吸附装置对有机废气去除率按55%计</w:t>
            </w:r>
            <w:r>
              <w:rPr>
                <w:rFonts w:hint="eastAsia"/>
                <w:color w:val="auto"/>
                <w:kern w:val="0"/>
                <w:sz w:val="24"/>
              </w:rPr>
              <w:t>，</w:t>
            </w:r>
            <w:r>
              <w:rPr>
                <w:color w:val="auto"/>
                <w:kern w:val="0"/>
                <w:sz w:val="24"/>
              </w:rPr>
              <w:t>光氧催化装置对有机废气去除效率按</w:t>
            </w:r>
            <w:r>
              <w:rPr>
                <w:rFonts w:hint="eastAsia"/>
                <w:color w:val="auto"/>
                <w:kern w:val="0"/>
                <w:sz w:val="24"/>
              </w:rPr>
              <w:t>4</w:t>
            </w:r>
            <w:r>
              <w:rPr>
                <w:color w:val="auto"/>
                <w:kern w:val="0"/>
                <w:sz w:val="24"/>
              </w:rPr>
              <w:t>0%计</w:t>
            </w:r>
            <w:r>
              <w:rPr>
                <w:rFonts w:hint="eastAsia"/>
                <w:color w:val="auto"/>
                <w:kern w:val="0"/>
                <w:sz w:val="24"/>
              </w:rPr>
              <w:t>；根据</w:t>
            </w:r>
            <w:r>
              <w:rPr>
                <w:color w:val="auto"/>
                <w:kern w:val="0"/>
                <w:sz w:val="24"/>
              </w:rPr>
              <w:t>4220 非金属废料和碎屑加工处理行业系数手册</w:t>
            </w:r>
            <w:r>
              <w:rPr>
                <w:rFonts w:hint="eastAsia"/>
                <w:color w:val="auto"/>
                <w:kern w:val="0"/>
                <w:sz w:val="24"/>
              </w:rPr>
              <w:t>中</w:t>
            </w:r>
            <w:r>
              <w:rPr>
                <w:color w:val="auto"/>
                <w:kern w:val="0"/>
                <w:sz w:val="24"/>
              </w:rPr>
              <w:t>“水洗装置+除湿除雾装置+</w:t>
            </w:r>
            <w:r>
              <w:rPr>
                <w:rFonts w:hint="eastAsia"/>
                <w:color w:val="auto"/>
                <w:kern w:val="0"/>
                <w:sz w:val="24"/>
                <w:lang w:val="en-US" w:eastAsia="zh-CN"/>
              </w:rPr>
              <w:t>一级</w:t>
            </w:r>
            <w:r>
              <w:rPr>
                <w:color w:val="auto"/>
                <w:kern w:val="0"/>
                <w:sz w:val="24"/>
              </w:rPr>
              <w:t>活性炭吸附装置+光氧催化装置”处理</w:t>
            </w:r>
            <w:r>
              <w:rPr>
                <w:rFonts w:hint="eastAsia"/>
                <w:color w:val="auto"/>
                <w:kern w:val="0"/>
                <w:sz w:val="24"/>
              </w:rPr>
              <w:t>装置，本项目对颗粒物的综合去除效率取75%，对有机废气的综合去除效率取80%。</w:t>
            </w:r>
          </w:p>
          <w:p>
            <w:pPr>
              <w:spacing w:line="360" w:lineRule="auto"/>
              <w:ind w:firstLine="480" w:firstLineChars="200"/>
              <w:rPr>
                <w:color w:val="auto"/>
                <w:kern w:val="0"/>
                <w:sz w:val="24"/>
              </w:rPr>
            </w:pPr>
            <w:r>
              <w:rPr>
                <w:color w:val="auto"/>
                <w:kern w:val="0"/>
                <w:sz w:val="24"/>
              </w:rPr>
              <w:t>则</w:t>
            </w:r>
            <w:r>
              <w:rPr>
                <w:rFonts w:hint="eastAsia"/>
                <w:color w:val="auto"/>
                <w:kern w:val="0"/>
                <w:sz w:val="24"/>
              </w:rPr>
              <w:t>本项目</w:t>
            </w:r>
            <w:r>
              <w:rPr>
                <w:color w:val="auto"/>
                <w:kern w:val="0"/>
                <w:sz w:val="24"/>
              </w:rPr>
              <w:t>有组织排放的有机废气（以非甲烷总烃计）排放量为</w:t>
            </w:r>
            <w:r>
              <w:rPr>
                <w:rFonts w:hint="eastAsia"/>
                <w:color w:val="auto"/>
                <w:kern w:val="0"/>
                <w:sz w:val="24"/>
              </w:rPr>
              <w:t>0.2867</w:t>
            </w:r>
            <w:r>
              <w:rPr>
                <w:color w:val="auto"/>
                <w:kern w:val="0"/>
                <w:sz w:val="24"/>
              </w:rPr>
              <w:t>t/a，排放速率为</w:t>
            </w:r>
            <w:r>
              <w:rPr>
                <w:rFonts w:hint="eastAsia"/>
                <w:color w:val="auto"/>
                <w:kern w:val="0"/>
                <w:sz w:val="24"/>
              </w:rPr>
              <w:t>0.1195</w:t>
            </w:r>
            <w:r>
              <w:rPr>
                <w:color w:val="auto"/>
                <w:kern w:val="0"/>
                <w:sz w:val="24"/>
              </w:rPr>
              <w:t>kg/h，</w:t>
            </w:r>
            <w:r>
              <w:rPr>
                <w:rFonts w:hint="eastAsia"/>
                <w:color w:val="auto"/>
                <w:kern w:val="0"/>
                <w:sz w:val="24"/>
              </w:rPr>
              <w:t>单位产品非甲烷总烃排放量为0.057kg/t产品，远小于标准限值0.5kg/t产品，</w:t>
            </w:r>
            <w:r>
              <w:rPr>
                <w:color w:val="auto"/>
                <w:kern w:val="0"/>
                <w:sz w:val="24"/>
              </w:rPr>
              <w:t>排放浓度为</w:t>
            </w:r>
            <w:r>
              <w:rPr>
                <w:rFonts w:hint="eastAsia"/>
                <w:color w:val="auto"/>
                <w:kern w:val="0"/>
                <w:sz w:val="24"/>
              </w:rPr>
              <w:t>13.99</w:t>
            </w:r>
            <w:r>
              <w:rPr>
                <w:color w:val="auto"/>
                <w:kern w:val="0"/>
                <w:sz w:val="24"/>
              </w:rPr>
              <w:t>mg/m</w:t>
            </w:r>
            <w:r>
              <w:rPr>
                <w:color w:val="auto"/>
                <w:kern w:val="0"/>
                <w:sz w:val="24"/>
                <w:vertAlign w:val="superscript"/>
              </w:rPr>
              <w:t>3</w:t>
            </w:r>
            <w:r>
              <w:rPr>
                <w:color w:val="auto"/>
                <w:kern w:val="0"/>
                <w:sz w:val="24"/>
              </w:rPr>
              <w:t>；</w:t>
            </w:r>
            <w:r>
              <w:rPr>
                <w:rFonts w:hint="eastAsia"/>
                <w:color w:val="auto"/>
                <w:kern w:val="0"/>
                <w:sz w:val="24"/>
              </w:rPr>
              <w:t>有组织</w:t>
            </w:r>
            <w:r>
              <w:rPr>
                <w:color w:val="auto"/>
                <w:kern w:val="0"/>
                <w:sz w:val="24"/>
              </w:rPr>
              <w:t>颗粒物排放量为</w:t>
            </w:r>
            <w:r>
              <w:rPr>
                <w:rFonts w:hint="eastAsia"/>
                <w:color w:val="auto"/>
                <w:kern w:val="0"/>
                <w:sz w:val="24"/>
              </w:rPr>
              <w:t>0.0512</w:t>
            </w:r>
            <w:r>
              <w:rPr>
                <w:color w:val="auto"/>
                <w:kern w:val="0"/>
                <w:sz w:val="24"/>
              </w:rPr>
              <w:t>t/a，排放速率为</w:t>
            </w:r>
            <w:r>
              <w:rPr>
                <w:rFonts w:hint="eastAsia"/>
                <w:color w:val="auto"/>
                <w:kern w:val="0"/>
                <w:sz w:val="24"/>
              </w:rPr>
              <w:t>0.0213</w:t>
            </w:r>
            <w:r>
              <w:rPr>
                <w:color w:val="auto"/>
                <w:kern w:val="0"/>
                <w:sz w:val="24"/>
              </w:rPr>
              <w:t>kg/h，排放浓度为</w:t>
            </w:r>
            <w:r>
              <w:rPr>
                <w:rFonts w:hint="eastAsia"/>
                <w:color w:val="auto"/>
                <w:kern w:val="0"/>
                <w:sz w:val="24"/>
              </w:rPr>
              <w:t>2.50</w:t>
            </w:r>
            <w:r>
              <w:rPr>
                <w:color w:val="auto"/>
                <w:kern w:val="0"/>
                <w:sz w:val="24"/>
              </w:rPr>
              <w:t>mg/m</w:t>
            </w:r>
            <w:r>
              <w:rPr>
                <w:color w:val="auto"/>
                <w:kern w:val="0"/>
                <w:sz w:val="24"/>
                <w:vertAlign w:val="superscript"/>
              </w:rPr>
              <w:t>3</w:t>
            </w:r>
            <w:r>
              <w:rPr>
                <w:color w:val="auto"/>
                <w:kern w:val="0"/>
                <w:sz w:val="24"/>
              </w:rPr>
              <w:t>。</w:t>
            </w:r>
            <w:r>
              <w:rPr>
                <w:rFonts w:hint="eastAsia"/>
                <w:color w:val="auto"/>
                <w:kern w:val="0"/>
                <w:sz w:val="24"/>
              </w:rPr>
              <w:t>无组织非甲烷总烃的排放量为0.3584t/a，排放速率为0.149kg/h；无组织颗粒物的排放量为0.0512t/a，排放速率为0.0213kg/h。</w:t>
            </w:r>
          </w:p>
          <w:p>
            <w:pPr>
              <w:pStyle w:val="2"/>
              <w:spacing w:before="0" w:after="0" w:line="360" w:lineRule="auto"/>
              <w:ind w:right="0" w:firstLine="480" w:firstLineChars="200"/>
              <w:rPr>
                <w:color w:val="auto"/>
              </w:rPr>
            </w:pPr>
            <w:r>
              <w:rPr>
                <w:color w:val="auto"/>
                <w:sz w:val="24"/>
              </w:rPr>
              <w:t>项目有机废气（以非甲烷总烃计）、烟尘（颗粒物）排放浓度和排放量均满足《合成树脂工业污染物排放标准》（GB31572-2015）表4大气污染物排放限值（非甲烷总烃排放限值100mg/m</w:t>
            </w:r>
            <w:r>
              <w:rPr>
                <w:color w:val="auto"/>
                <w:sz w:val="24"/>
                <w:vertAlign w:val="superscript"/>
              </w:rPr>
              <w:t>3</w:t>
            </w:r>
            <w:r>
              <w:rPr>
                <w:color w:val="auto"/>
                <w:sz w:val="24"/>
              </w:rPr>
              <w:t>，单位产品非甲烷总烃排放限值0.5kg/t产品；颗粒物排放限值30mg/m</w:t>
            </w:r>
            <w:r>
              <w:rPr>
                <w:color w:val="auto"/>
                <w:sz w:val="24"/>
                <w:vertAlign w:val="superscript"/>
              </w:rPr>
              <w:t>3</w:t>
            </w:r>
            <w:r>
              <w:rPr>
                <w:color w:val="auto"/>
                <w:sz w:val="24"/>
              </w:rPr>
              <w:t>）。</w:t>
            </w:r>
          </w:p>
          <w:p>
            <w:pPr>
              <w:spacing w:line="360" w:lineRule="auto"/>
              <w:ind w:firstLine="482" w:firstLineChars="200"/>
              <w:rPr>
                <w:b/>
                <w:bCs/>
                <w:color w:val="auto"/>
                <w:sz w:val="24"/>
                <w:szCs w:val="20"/>
              </w:rPr>
            </w:pPr>
            <w:r>
              <w:rPr>
                <w:rFonts w:hint="eastAsia"/>
                <w:b/>
                <w:bCs/>
                <w:color w:val="auto"/>
                <w:sz w:val="24"/>
                <w:szCs w:val="20"/>
              </w:rPr>
              <w:t>（3）恶臭</w:t>
            </w:r>
          </w:p>
          <w:p>
            <w:pPr>
              <w:spacing w:line="360" w:lineRule="auto"/>
              <w:ind w:firstLine="480" w:firstLineChars="200"/>
              <w:rPr>
                <w:rFonts w:hint="default" w:eastAsia="宋体"/>
                <w:color w:val="auto"/>
                <w:sz w:val="24"/>
                <w:szCs w:val="20"/>
                <w:lang w:val="en-US" w:eastAsia="zh-CN"/>
              </w:rPr>
            </w:pPr>
            <w:r>
              <w:rPr>
                <w:rFonts w:hint="eastAsia"/>
                <w:color w:val="auto"/>
                <w:sz w:val="24"/>
                <w:szCs w:val="20"/>
                <w:lang w:val="en-US" w:eastAsia="zh-CN"/>
              </w:rPr>
              <w:t>项目熔融挤出工序、</w:t>
            </w:r>
            <w:r>
              <w:rPr>
                <w:rFonts w:ascii="宋体" w:hAnsi="宋体" w:eastAsia="宋体" w:cs="宋体"/>
                <w:color w:val="auto"/>
                <w:sz w:val="24"/>
                <w:szCs w:val="24"/>
              </w:rPr>
              <w:t>污水处理设施及污泥池</w:t>
            </w:r>
            <w:r>
              <w:rPr>
                <w:rFonts w:hint="eastAsia" w:ascii="宋体" w:hAnsi="宋体" w:eastAsia="宋体" w:cs="宋体"/>
                <w:color w:val="auto"/>
                <w:sz w:val="24"/>
                <w:szCs w:val="24"/>
                <w:lang w:val="en-US" w:eastAsia="zh-CN"/>
              </w:rPr>
              <w:t>等会产生少量恶臭。</w:t>
            </w:r>
            <w:r>
              <w:rPr>
                <w:rFonts w:hint="eastAsia"/>
                <w:color w:val="auto"/>
                <w:sz w:val="24"/>
                <w:szCs w:val="20"/>
              </w:rPr>
              <w:t>项目熔融挤出工序产生的有机废气成分比较复杂，在排放过程中会产生令人不愉快的异味；熔融挤出阶段产生的恶臭经集气罩收集后通过“活性炭吸附装置+光氧催化装置”处理后高空排放；其余少量恶臭气体呈无组织逸散，从而产生少量异味</w:t>
            </w:r>
            <w:r>
              <w:rPr>
                <w:rFonts w:hint="eastAsia"/>
                <w:color w:val="auto"/>
                <w:sz w:val="24"/>
                <w:szCs w:val="20"/>
                <w:lang w:eastAsia="zh-CN"/>
              </w:rPr>
              <w:t>；</w:t>
            </w:r>
            <w:r>
              <w:rPr>
                <w:rFonts w:hint="eastAsia"/>
                <w:color w:val="auto"/>
                <w:sz w:val="24"/>
                <w:szCs w:val="20"/>
                <w:lang w:val="en-US" w:eastAsia="zh-CN"/>
              </w:rPr>
              <w:t>污水处理设施及污泥池池顶设置盖板；采取以上措施后，恶臭的产生和排放量少，排放浓度低，呈无组织形式排放。</w:t>
            </w:r>
          </w:p>
          <w:p>
            <w:pPr>
              <w:spacing w:line="360" w:lineRule="auto"/>
              <w:ind w:firstLine="480" w:firstLineChars="200"/>
              <w:rPr>
                <w:color w:val="auto"/>
                <w:sz w:val="24"/>
                <w:szCs w:val="20"/>
              </w:rPr>
            </w:pPr>
            <w:r>
              <w:rPr>
                <w:rFonts w:hint="eastAsia"/>
                <w:color w:val="auto"/>
                <w:sz w:val="24"/>
                <w:szCs w:val="20"/>
              </w:rPr>
              <w:t>本项目臭气浓度类比河北科盈环境检测服务有限公司2021年7月3日至7月4日对张家口聚力塑料加工有限公司《废旧塑料回收造粒项目检测报告》（科盈环检字（2021）第Y046号检测报告），该验收报告已通过验收。根据张家口聚力塑料加工有限公司编制的《废旧塑料回收造粒项目竣工环境保护验收监测报告》显示，该项目采用废编织袋、废塑料布等原材料生产再生塑料颗粒，热熔挤出废气通过集气罩收集后经喷淋塔+UV光氧催化装置净化+活性炭吸附处理后，通过1根15m高排气筒排放，该项目采用的原辅料、生产工艺与本项目类似，且该项目所采用的废气处理工艺与本项目基本一致，具有可类比性。有组织臭气浓度监测数据见下表。</w:t>
            </w:r>
          </w:p>
          <w:p>
            <w:pPr>
              <w:pStyle w:val="6"/>
              <w:jc w:val="center"/>
              <w:rPr>
                <w:color w:val="auto"/>
                <w:szCs w:val="20"/>
              </w:rPr>
            </w:pPr>
            <w:r>
              <w:rPr>
                <w:rFonts w:hint="eastAsia"/>
                <w:color w:val="auto"/>
                <w:szCs w:val="20"/>
              </w:rPr>
              <w:t>表4-1  有组织臭气浓度监测值</w:t>
            </w:r>
          </w:p>
          <w:p>
            <w:pPr>
              <w:rPr>
                <w:color w:val="auto"/>
              </w:rPr>
            </w:pPr>
          </w:p>
          <w:tbl>
            <w:tblPr>
              <w:tblStyle w:val="31"/>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1470"/>
              <w:gridCol w:w="1095"/>
              <w:gridCol w:w="915"/>
              <w:gridCol w:w="810"/>
              <w:gridCol w:w="75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6" w:type="dxa"/>
                  <w:vMerge w:val="restart"/>
                </w:tcPr>
                <w:p>
                  <w:pPr>
                    <w:jc w:val="center"/>
                    <w:rPr>
                      <w:color w:val="auto"/>
                      <w:szCs w:val="21"/>
                    </w:rPr>
                  </w:pPr>
                  <w:r>
                    <w:rPr>
                      <w:rFonts w:hint="eastAsia"/>
                      <w:color w:val="auto"/>
                      <w:szCs w:val="21"/>
                    </w:rPr>
                    <w:t>检测点位</w:t>
                  </w:r>
                </w:p>
              </w:tc>
              <w:tc>
                <w:tcPr>
                  <w:tcW w:w="1470" w:type="dxa"/>
                  <w:vMerge w:val="restart"/>
                </w:tcPr>
                <w:p>
                  <w:pPr>
                    <w:jc w:val="center"/>
                    <w:rPr>
                      <w:color w:val="auto"/>
                      <w:szCs w:val="21"/>
                    </w:rPr>
                  </w:pPr>
                  <w:r>
                    <w:rPr>
                      <w:rFonts w:hint="eastAsia"/>
                      <w:color w:val="auto"/>
                      <w:szCs w:val="21"/>
                    </w:rPr>
                    <w:t>检测时间</w:t>
                  </w:r>
                </w:p>
              </w:tc>
              <w:tc>
                <w:tcPr>
                  <w:tcW w:w="1095" w:type="dxa"/>
                  <w:vMerge w:val="restart"/>
                </w:tcPr>
                <w:p>
                  <w:pPr>
                    <w:jc w:val="center"/>
                    <w:rPr>
                      <w:color w:val="auto"/>
                      <w:szCs w:val="21"/>
                    </w:rPr>
                  </w:pPr>
                  <w:r>
                    <w:rPr>
                      <w:rFonts w:hint="eastAsia"/>
                      <w:color w:val="auto"/>
                      <w:szCs w:val="21"/>
                    </w:rPr>
                    <w:t>检测项目</w:t>
                  </w:r>
                </w:p>
              </w:tc>
              <w:tc>
                <w:tcPr>
                  <w:tcW w:w="915" w:type="dxa"/>
                  <w:vMerge w:val="restart"/>
                </w:tcPr>
                <w:p>
                  <w:pPr>
                    <w:jc w:val="center"/>
                    <w:rPr>
                      <w:color w:val="auto"/>
                      <w:szCs w:val="21"/>
                    </w:rPr>
                  </w:pPr>
                  <w:r>
                    <w:rPr>
                      <w:rFonts w:hint="eastAsia"/>
                      <w:color w:val="auto"/>
                      <w:szCs w:val="21"/>
                    </w:rPr>
                    <w:t>单位</w:t>
                  </w:r>
                </w:p>
              </w:tc>
              <w:tc>
                <w:tcPr>
                  <w:tcW w:w="2224" w:type="dxa"/>
                  <w:gridSpan w:val="3"/>
                </w:tcPr>
                <w:p>
                  <w:pPr>
                    <w:jc w:val="center"/>
                    <w:rPr>
                      <w:color w:val="auto"/>
                      <w:szCs w:val="21"/>
                    </w:rPr>
                  </w:pPr>
                  <w:r>
                    <w:rPr>
                      <w:rFonts w:hint="eastAsia"/>
                      <w:color w:val="auto"/>
                      <w:szCs w:val="21"/>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6" w:type="dxa"/>
                  <w:vMerge w:val="continue"/>
                </w:tcPr>
                <w:p>
                  <w:pPr>
                    <w:jc w:val="center"/>
                    <w:rPr>
                      <w:color w:val="auto"/>
                      <w:szCs w:val="21"/>
                    </w:rPr>
                  </w:pPr>
                </w:p>
              </w:tc>
              <w:tc>
                <w:tcPr>
                  <w:tcW w:w="1470" w:type="dxa"/>
                  <w:vMerge w:val="continue"/>
                </w:tcPr>
                <w:p>
                  <w:pPr>
                    <w:jc w:val="center"/>
                    <w:rPr>
                      <w:color w:val="auto"/>
                      <w:szCs w:val="21"/>
                    </w:rPr>
                  </w:pPr>
                </w:p>
              </w:tc>
              <w:tc>
                <w:tcPr>
                  <w:tcW w:w="1095" w:type="dxa"/>
                  <w:vMerge w:val="continue"/>
                </w:tcPr>
                <w:p>
                  <w:pPr>
                    <w:jc w:val="center"/>
                    <w:rPr>
                      <w:color w:val="auto"/>
                      <w:szCs w:val="21"/>
                    </w:rPr>
                  </w:pPr>
                </w:p>
              </w:tc>
              <w:tc>
                <w:tcPr>
                  <w:tcW w:w="915" w:type="dxa"/>
                  <w:vMerge w:val="continue"/>
                </w:tcPr>
                <w:p>
                  <w:pPr>
                    <w:jc w:val="center"/>
                    <w:rPr>
                      <w:color w:val="auto"/>
                      <w:szCs w:val="21"/>
                    </w:rPr>
                  </w:pPr>
                </w:p>
              </w:tc>
              <w:tc>
                <w:tcPr>
                  <w:tcW w:w="810" w:type="dxa"/>
                </w:tcPr>
                <w:p>
                  <w:pPr>
                    <w:jc w:val="center"/>
                    <w:rPr>
                      <w:color w:val="auto"/>
                      <w:szCs w:val="21"/>
                    </w:rPr>
                  </w:pPr>
                  <w:r>
                    <w:rPr>
                      <w:rFonts w:hint="eastAsia"/>
                      <w:color w:val="auto"/>
                      <w:szCs w:val="21"/>
                    </w:rPr>
                    <w:t>1</w:t>
                  </w:r>
                </w:p>
              </w:tc>
              <w:tc>
                <w:tcPr>
                  <w:tcW w:w="750" w:type="dxa"/>
                </w:tcPr>
                <w:p>
                  <w:pPr>
                    <w:jc w:val="center"/>
                    <w:rPr>
                      <w:color w:val="auto"/>
                      <w:szCs w:val="21"/>
                    </w:rPr>
                  </w:pPr>
                  <w:r>
                    <w:rPr>
                      <w:rFonts w:hint="eastAsia"/>
                      <w:color w:val="auto"/>
                      <w:szCs w:val="21"/>
                    </w:rPr>
                    <w:t>2</w:t>
                  </w:r>
                </w:p>
              </w:tc>
              <w:tc>
                <w:tcPr>
                  <w:tcW w:w="664" w:type="dxa"/>
                </w:tcPr>
                <w:p>
                  <w:pPr>
                    <w:jc w:val="center"/>
                    <w:rPr>
                      <w:color w:val="auto"/>
                      <w:szCs w:val="21"/>
                    </w:rPr>
                  </w:pPr>
                  <w:r>
                    <w:rPr>
                      <w:rFonts w:hint="eastAsia"/>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6" w:type="dxa"/>
                  <w:vMerge w:val="restart"/>
                </w:tcPr>
                <w:p>
                  <w:pPr>
                    <w:jc w:val="center"/>
                    <w:rPr>
                      <w:color w:val="auto"/>
                      <w:szCs w:val="21"/>
                    </w:rPr>
                  </w:pPr>
                  <w:r>
                    <w:rPr>
                      <w:rFonts w:hint="eastAsia"/>
                      <w:color w:val="auto"/>
                      <w:szCs w:val="21"/>
                    </w:rPr>
                    <w:t>东车间热熔挤出“喷淋塔+光氧催化+活性炭吸附”进口（G01）</w:t>
                  </w:r>
                </w:p>
              </w:tc>
              <w:tc>
                <w:tcPr>
                  <w:tcW w:w="1470" w:type="dxa"/>
                </w:tcPr>
                <w:p>
                  <w:pPr>
                    <w:jc w:val="center"/>
                    <w:rPr>
                      <w:color w:val="auto"/>
                      <w:szCs w:val="21"/>
                    </w:rPr>
                  </w:pPr>
                  <w:r>
                    <w:rPr>
                      <w:rFonts w:hint="eastAsia"/>
                      <w:color w:val="auto"/>
                      <w:szCs w:val="21"/>
                    </w:rPr>
                    <w:t>2021.07.03</w:t>
                  </w:r>
                </w:p>
              </w:tc>
              <w:tc>
                <w:tcPr>
                  <w:tcW w:w="1095" w:type="dxa"/>
                  <w:vMerge w:val="restart"/>
                </w:tcPr>
                <w:p>
                  <w:pPr>
                    <w:jc w:val="center"/>
                    <w:rPr>
                      <w:color w:val="auto"/>
                      <w:szCs w:val="21"/>
                    </w:rPr>
                  </w:pPr>
                  <w:r>
                    <w:rPr>
                      <w:rFonts w:hint="eastAsia"/>
                      <w:color w:val="auto"/>
                      <w:szCs w:val="21"/>
                    </w:rPr>
                    <w:t>臭气浓度</w:t>
                  </w:r>
                </w:p>
              </w:tc>
              <w:tc>
                <w:tcPr>
                  <w:tcW w:w="915" w:type="dxa"/>
                  <w:vMerge w:val="restart"/>
                </w:tcPr>
                <w:p>
                  <w:pPr>
                    <w:jc w:val="center"/>
                    <w:rPr>
                      <w:color w:val="auto"/>
                      <w:szCs w:val="21"/>
                    </w:rPr>
                  </w:pPr>
                  <w:r>
                    <w:rPr>
                      <w:rFonts w:hint="eastAsia"/>
                      <w:color w:val="auto"/>
                      <w:szCs w:val="21"/>
                    </w:rPr>
                    <w:t>无量纲</w:t>
                  </w:r>
                </w:p>
              </w:tc>
              <w:tc>
                <w:tcPr>
                  <w:tcW w:w="810" w:type="dxa"/>
                </w:tcPr>
                <w:p>
                  <w:pPr>
                    <w:jc w:val="center"/>
                    <w:rPr>
                      <w:color w:val="auto"/>
                      <w:szCs w:val="21"/>
                    </w:rPr>
                  </w:pPr>
                  <w:r>
                    <w:rPr>
                      <w:rFonts w:hint="eastAsia"/>
                      <w:color w:val="auto"/>
                      <w:szCs w:val="21"/>
                    </w:rPr>
                    <w:t>3090</w:t>
                  </w:r>
                </w:p>
              </w:tc>
              <w:tc>
                <w:tcPr>
                  <w:tcW w:w="750" w:type="dxa"/>
                </w:tcPr>
                <w:p>
                  <w:pPr>
                    <w:jc w:val="center"/>
                    <w:rPr>
                      <w:color w:val="auto"/>
                      <w:szCs w:val="21"/>
                    </w:rPr>
                  </w:pPr>
                  <w:r>
                    <w:rPr>
                      <w:rFonts w:hint="eastAsia"/>
                      <w:color w:val="auto"/>
                      <w:szCs w:val="21"/>
                    </w:rPr>
                    <w:t>3090</w:t>
                  </w:r>
                </w:p>
              </w:tc>
              <w:tc>
                <w:tcPr>
                  <w:tcW w:w="664" w:type="dxa"/>
                </w:tcPr>
                <w:p>
                  <w:pPr>
                    <w:jc w:val="center"/>
                    <w:rPr>
                      <w:color w:val="auto"/>
                      <w:szCs w:val="21"/>
                    </w:rPr>
                  </w:pPr>
                  <w:r>
                    <w:rPr>
                      <w:rFonts w:hint="eastAsia"/>
                      <w:color w:val="auto"/>
                      <w:szCs w:val="21"/>
                    </w:rPr>
                    <w:t>2290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6" w:type="dxa"/>
                  <w:vMerge w:val="continue"/>
                </w:tcPr>
                <w:p>
                  <w:pPr>
                    <w:jc w:val="center"/>
                    <w:rPr>
                      <w:color w:val="auto"/>
                      <w:szCs w:val="21"/>
                    </w:rPr>
                  </w:pPr>
                </w:p>
              </w:tc>
              <w:tc>
                <w:tcPr>
                  <w:tcW w:w="1470" w:type="dxa"/>
                </w:tcPr>
                <w:p>
                  <w:pPr>
                    <w:jc w:val="center"/>
                    <w:rPr>
                      <w:color w:val="auto"/>
                      <w:szCs w:val="21"/>
                    </w:rPr>
                  </w:pPr>
                  <w:r>
                    <w:rPr>
                      <w:rFonts w:hint="eastAsia"/>
                      <w:color w:val="auto"/>
                      <w:szCs w:val="21"/>
                    </w:rPr>
                    <w:t>2021.07.04</w:t>
                  </w:r>
                </w:p>
              </w:tc>
              <w:tc>
                <w:tcPr>
                  <w:tcW w:w="1095" w:type="dxa"/>
                  <w:vMerge w:val="continue"/>
                </w:tcPr>
                <w:p>
                  <w:pPr>
                    <w:jc w:val="center"/>
                    <w:rPr>
                      <w:color w:val="auto"/>
                      <w:szCs w:val="21"/>
                    </w:rPr>
                  </w:pPr>
                </w:p>
              </w:tc>
              <w:tc>
                <w:tcPr>
                  <w:tcW w:w="915" w:type="dxa"/>
                  <w:vMerge w:val="continue"/>
                </w:tcPr>
                <w:p>
                  <w:pPr>
                    <w:jc w:val="center"/>
                    <w:rPr>
                      <w:color w:val="auto"/>
                      <w:szCs w:val="21"/>
                    </w:rPr>
                  </w:pPr>
                </w:p>
              </w:tc>
              <w:tc>
                <w:tcPr>
                  <w:tcW w:w="810" w:type="dxa"/>
                </w:tcPr>
                <w:p>
                  <w:pPr>
                    <w:jc w:val="center"/>
                    <w:rPr>
                      <w:color w:val="auto"/>
                      <w:szCs w:val="21"/>
                    </w:rPr>
                  </w:pPr>
                  <w:r>
                    <w:rPr>
                      <w:rFonts w:hint="eastAsia"/>
                      <w:color w:val="auto"/>
                      <w:szCs w:val="21"/>
                    </w:rPr>
                    <w:t>2290</w:t>
                  </w:r>
                </w:p>
              </w:tc>
              <w:tc>
                <w:tcPr>
                  <w:tcW w:w="750" w:type="dxa"/>
                </w:tcPr>
                <w:p>
                  <w:pPr>
                    <w:jc w:val="center"/>
                    <w:rPr>
                      <w:color w:val="auto"/>
                      <w:szCs w:val="21"/>
                    </w:rPr>
                  </w:pPr>
                  <w:r>
                    <w:rPr>
                      <w:rFonts w:hint="eastAsia"/>
                      <w:color w:val="auto"/>
                      <w:szCs w:val="21"/>
                    </w:rPr>
                    <w:t>3090</w:t>
                  </w:r>
                </w:p>
              </w:tc>
              <w:tc>
                <w:tcPr>
                  <w:tcW w:w="664" w:type="dxa"/>
                </w:tcPr>
                <w:p>
                  <w:pPr>
                    <w:jc w:val="center"/>
                    <w:rPr>
                      <w:color w:val="auto"/>
                      <w:szCs w:val="21"/>
                    </w:rPr>
                  </w:pPr>
                  <w:r>
                    <w:rPr>
                      <w:rFonts w:hint="eastAsia"/>
                      <w:color w:val="auto"/>
                      <w:szCs w:val="21"/>
                    </w:rPr>
                    <w:t>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366" w:type="dxa"/>
                  <w:vMerge w:val="restart"/>
                </w:tcPr>
                <w:p>
                  <w:pPr>
                    <w:jc w:val="center"/>
                    <w:rPr>
                      <w:color w:val="auto"/>
                      <w:szCs w:val="21"/>
                    </w:rPr>
                  </w:pPr>
                  <w:r>
                    <w:rPr>
                      <w:rFonts w:hint="eastAsia"/>
                      <w:color w:val="auto"/>
                      <w:szCs w:val="21"/>
                    </w:rPr>
                    <w:t>东车间热熔挤出“喷淋塔+光氧催化+活性炭吸附”出口（G02）</w:t>
                  </w:r>
                </w:p>
              </w:tc>
              <w:tc>
                <w:tcPr>
                  <w:tcW w:w="1470" w:type="dxa"/>
                </w:tcPr>
                <w:p>
                  <w:pPr>
                    <w:jc w:val="center"/>
                    <w:rPr>
                      <w:color w:val="auto"/>
                      <w:szCs w:val="21"/>
                    </w:rPr>
                  </w:pPr>
                  <w:r>
                    <w:rPr>
                      <w:rFonts w:hint="eastAsia"/>
                      <w:color w:val="auto"/>
                      <w:szCs w:val="21"/>
                    </w:rPr>
                    <w:t>2021.07.03</w:t>
                  </w:r>
                </w:p>
              </w:tc>
              <w:tc>
                <w:tcPr>
                  <w:tcW w:w="1095" w:type="dxa"/>
                  <w:vMerge w:val="continue"/>
                </w:tcPr>
                <w:p>
                  <w:pPr>
                    <w:jc w:val="center"/>
                    <w:rPr>
                      <w:color w:val="auto"/>
                      <w:szCs w:val="21"/>
                    </w:rPr>
                  </w:pPr>
                </w:p>
              </w:tc>
              <w:tc>
                <w:tcPr>
                  <w:tcW w:w="915" w:type="dxa"/>
                  <w:vMerge w:val="continue"/>
                </w:tcPr>
                <w:p>
                  <w:pPr>
                    <w:jc w:val="center"/>
                    <w:rPr>
                      <w:color w:val="auto"/>
                      <w:szCs w:val="21"/>
                    </w:rPr>
                  </w:pPr>
                </w:p>
              </w:tc>
              <w:tc>
                <w:tcPr>
                  <w:tcW w:w="810" w:type="dxa"/>
                </w:tcPr>
                <w:p>
                  <w:pPr>
                    <w:jc w:val="center"/>
                    <w:rPr>
                      <w:color w:val="auto"/>
                      <w:szCs w:val="21"/>
                    </w:rPr>
                  </w:pPr>
                  <w:r>
                    <w:rPr>
                      <w:rFonts w:hint="eastAsia"/>
                      <w:color w:val="auto"/>
                      <w:szCs w:val="21"/>
                    </w:rPr>
                    <w:t>1318</w:t>
                  </w:r>
                </w:p>
              </w:tc>
              <w:tc>
                <w:tcPr>
                  <w:tcW w:w="750" w:type="dxa"/>
                </w:tcPr>
                <w:p>
                  <w:pPr>
                    <w:jc w:val="center"/>
                    <w:rPr>
                      <w:color w:val="auto"/>
                      <w:szCs w:val="21"/>
                    </w:rPr>
                  </w:pPr>
                  <w:r>
                    <w:rPr>
                      <w:rFonts w:hint="eastAsia"/>
                      <w:color w:val="auto"/>
                      <w:szCs w:val="21"/>
                    </w:rPr>
                    <w:t>977</w:t>
                  </w:r>
                </w:p>
              </w:tc>
              <w:tc>
                <w:tcPr>
                  <w:tcW w:w="664" w:type="dxa"/>
                </w:tcPr>
                <w:p>
                  <w:pPr>
                    <w:jc w:val="center"/>
                    <w:rPr>
                      <w:color w:val="auto"/>
                      <w:szCs w:val="21"/>
                    </w:rPr>
                  </w:pPr>
                  <w:r>
                    <w:rPr>
                      <w:rFonts w:hint="eastAsia"/>
                      <w:color w:val="auto"/>
                      <w:szCs w:val="21"/>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6" w:type="dxa"/>
                  <w:vMerge w:val="continue"/>
                </w:tcPr>
                <w:p>
                  <w:pPr>
                    <w:jc w:val="center"/>
                    <w:rPr>
                      <w:color w:val="auto"/>
                      <w:szCs w:val="21"/>
                    </w:rPr>
                  </w:pPr>
                </w:p>
              </w:tc>
              <w:tc>
                <w:tcPr>
                  <w:tcW w:w="1470" w:type="dxa"/>
                </w:tcPr>
                <w:p>
                  <w:pPr>
                    <w:jc w:val="center"/>
                    <w:rPr>
                      <w:color w:val="auto"/>
                      <w:szCs w:val="21"/>
                    </w:rPr>
                  </w:pPr>
                  <w:r>
                    <w:rPr>
                      <w:rFonts w:hint="eastAsia"/>
                      <w:color w:val="auto"/>
                      <w:szCs w:val="21"/>
                    </w:rPr>
                    <w:t>2021.07.04</w:t>
                  </w:r>
                </w:p>
              </w:tc>
              <w:tc>
                <w:tcPr>
                  <w:tcW w:w="1095" w:type="dxa"/>
                  <w:vMerge w:val="continue"/>
                </w:tcPr>
                <w:p>
                  <w:pPr>
                    <w:jc w:val="center"/>
                    <w:rPr>
                      <w:color w:val="auto"/>
                      <w:szCs w:val="21"/>
                    </w:rPr>
                  </w:pPr>
                </w:p>
              </w:tc>
              <w:tc>
                <w:tcPr>
                  <w:tcW w:w="915" w:type="dxa"/>
                  <w:vMerge w:val="continue"/>
                </w:tcPr>
                <w:p>
                  <w:pPr>
                    <w:jc w:val="center"/>
                    <w:rPr>
                      <w:color w:val="auto"/>
                      <w:szCs w:val="21"/>
                    </w:rPr>
                  </w:pPr>
                </w:p>
              </w:tc>
              <w:tc>
                <w:tcPr>
                  <w:tcW w:w="810" w:type="dxa"/>
                </w:tcPr>
                <w:p>
                  <w:pPr>
                    <w:jc w:val="center"/>
                    <w:rPr>
                      <w:color w:val="auto"/>
                      <w:szCs w:val="21"/>
                    </w:rPr>
                  </w:pPr>
                  <w:r>
                    <w:rPr>
                      <w:rFonts w:hint="eastAsia"/>
                      <w:color w:val="auto"/>
                      <w:szCs w:val="21"/>
                    </w:rPr>
                    <w:t>977</w:t>
                  </w:r>
                </w:p>
              </w:tc>
              <w:tc>
                <w:tcPr>
                  <w:tcW w:w="750" w:type="dxa"/>
                </w:tcPr>
                <w:p>
                  <w:pPr>
                    <w:jc w:val="center"/>
                    <w:rPr>
                      <w:color w:val="auto"/>
                      <w:szCs w:val="21"/>
                    </w:rPr>
                  </w:pPr>
                  <w:r>
                    <w:rPr>
                      <w:rFonts w:hint="eastAsia"/>
                      <w:color w:val="auto"/>
                      <w:szCs w:val="21"/>
                    </w:rPr>
                    <w:t>1318</w:t>
                  </w:r>
                </w:p>
              </w:tc>
              <w:tc>
                <w:tcPr>
                  <w:tcW w:w="664" w:type="dxa"/>
                </w:tcPr>
                <w:p>
                  <w:pPr>
                    <w:jc w:val="center"/>
                    <w:rPr>
                      <w:color w:val="auto"/>
                      <w:szCs w:val="21"/>
                    </w:rPr>
                  </w:pPr>
                  <w:r>
                    <w:rPr>
                      <w:rFonts w:hint="eastAsia"/>
                      <w:color w:val="auto"/>
                      <w:szCs w:val="21"/>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vMerge w:val="restart"/>
                </w:tcPr>
                <w:p>
                  <w:pPr>
                    <w:jc w:val="center"/>
                    <w:rPr>
                      <w:color w:val="auto"/>
                      <w:szCs w:val="21"/>
                    </w:rPr>
                  </w:pPr>
                  <w:r>
                    <w:rPr>
                      <w:rFonts w:hint="eastAsia"/>
                      <w:color w:val="auto"/>
                      <w:szCs w:val="21"/>
                    </w:rPr>
                    <w:t>西车间热熔挤出“喷淋塔+光氧催化+活性炭吸附”进口（G03）</w:t>
                  </w:r>
                </w:p>
              </w:tc>
              <w:tc>
                <w:tcPr>
                  <w:tcW w:w="1470" w:type="dxa"/>
                </w:tcPr>
                <w:p>
                  <w:pPr>
                    <w:jc w:val="center"/>
                    <w:rPr>
                      <w:color w:val="auto"/>
                      <w:szCs w:val="21"/>
                    </w:rPr>
                  </w:pPr>
                  <w:r>
                    <w:rPr>
                      <w:rFonts w:hint="eastAsia"/>
                      <w:color w:val="auto"/>
                      <w:szCs w:val="21"/>
                    </w:rPr>
                    <w:t>2021.07.03</w:t>
                  </w:r>
                </w:p>
              </w:tc>
              <w:tc>
                <w:tcPr>
                  <w:tcW w:w="1095" w:type="dxa"/>
                  <w:vMerge w:val="continue"/>
                </w:tcPr>
                <w:p>
                  <w:pPr>
                    <w:jc w:val="center"/>
                    <w:rPr>
                      <w:color w:val="auto"/>
                      <w:szCs w:val="21"/>
                    </w:rPr>
                  </w:pPr>
                </w:p>
              </w:tc>
              <w:tc>
                <w:tcPr>
                  <w:tcW w:w="915" w:type="dxa"/>
                  <w:vMerge w:val="continue"/>
                </w:tcPr>
                <w:p>
                  <w:pPr>
                    <w:jc w:val="center"/>
                    <w:rPr>
                      <w:color w:val="auto"/>
                      <w:szCs w:val="21"/>
                    </w:rPr>
                  </w:pPr>
                </w:p>
              </w:tc>
              <w:tc>
                <w:tcPr>
                  <w:tcW w:w="810" w:type="dxa"/>
                </w:tcPr>
                <w:p>
                  <w:pPr>
                    <w:jc w:val="center"/>
                    <w:rPr>
                      <w:color w:val="auto"/>
                      <w:szCs w:val="21"/>
                    </w:rPr>
                  </w:pPr>
                  <w:r>
                    <w:rPr>
                      <w:rFonts w:hint="eastAsia"/>
                      <w:color w:val="auto"/>
                      <w:szCs w:val="21"/>
                    </w:rPr>
                    <w:t>3090</w:t>
                  </w:r>
                </w:p>
              </w:tc>
              <w:tc>
                <w:tcPr>
                  <w:tcW w:w="750" w:type="dxa"/>
                </w:tcPr>
                <w:p>
                  <w:pPr>
                    <w:jc w:val="center"/>
                    <w:rPr>
                      <w:color w:val="auto"/>
                      <w:szCs w:val="21"/>
                    </w:rPr>
                  </w:pPr>
                  <w:r>
                    <w:rPr>
                      <w:rFonts w:hint="eastAsia"/>
                      <w:color w:val="auto"/>
                      <w:szCs w:val="21"/>
                    </w:rPr>
                    <w:t>3090</w:t>
                  </w:r>
                </w:p>
              </w:tc>
              <w:tc>
                <w:tcPr>
                  <w:tcW w:w="664" w:type="dxa"/>
                </w:tcPr>
                <w:p>
                  <w:pPr>
                    <w:jc w:val="center"/>
                    <w:rPr>
                      <w:color w:val="auto"/>
                      <w:szCs w:val="21"/>
                    </w:rPr>
                  </w:pPr>
                  <w:r>
                    <w:rPr>
                      <w:rFonts w:hint="eastAsia"/>
                      <w:color w:val="auto"/>
                      <w:szCs w:val="21"/>
                    </w:rPr>
                    <w:t>2290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vMerge w:val="continue"/>
                </w:tcPr>
                <w:p>
                  <w:pPr>
                    <w:jc w:val="center"/>
                    <w:rPr>
                      <w:color w:val="auto"/>
                      <w:szCs w:val="21"/>
                    </w:rPr>
                  </w:pPr>
                </w:p>
              </w:tc>
              <w:tc>
                <w:tcPr>
                  <w:tcW w:w="1470" w:type="dxa"/>
                </w:tcPr>
                <w:p>
                  <w:pPr>
                    <w:jc w:val="center"/>
                    <w:rPr>
                      <w:color w:val="auto"/>
                      <w:szCs w:val="21"/>
                    </w:rPr>
                  </w:pPr>
                  <w:r>
                    <w:rPr>
                      <w:rFonts w:hint="eastAsia"/>
                      <w:color w:val="auto"/>
                      <w:szCs w:val="21"/>
                    </w:rPr>
                    <w:t>2021.07.04</w:t>
                  </w:r>
                </w:p>
              </w:tc>
              <w:tc>
                <w:tcPr>
                  <w:tcW w:w="1095" w:type="dxa"/>
                  <w:vMerge w:val="continue"/>
                </w:tcPr>
                <w:p>
                  <w:pPr>
                    <w:jc w:val="center"/>
                    <w:rPr>
                      <w:color w:val="auto"/>
                      <w:szCs w:val="21"/>
                    </w:rPr>
                  </w:pPr>
                </w:p>
              </w:tc>
              <w:tc>
                <w:tcPr>
                  <w:tcW w:w="915" w:type="dxa"/>
                  <w:vMerge w:val="continue"/>
                </w:tcPr>
                <w:p>
                  <w:pPr>
                    <w:jc w:val="center"/>
                    <w:rPr>
                      <w:color w:val="auto"/>
                      <w:szCs w:val="21"/>
                    </w:rPr>
                  </w:pPr>
                </w:p>
              </w:tc>
              <w:tc>
                <w:tcPr>
                  <w:tcW w:w="810" w:type="dxa"/>
                </w:tcPr>
                <w:p>
                  <w:pPr>
                    <w:jc w:val="center"/>
                    <w:rPr>
                      <w:color w:val="auto"/>
                      <w:szCs w:val="21"/>
                    </w:rPr>
                  </w:pPr>
                  <w:r>
                    <w:rPr>
                      <w:rFonts w:hint="eastAsia"/>
                      <w:color w:val="auto"/>
                      <w:szCs w:val="21"/>
                    </w:rPr>
                    <w:t>2290</w:t>
                  </w:r>
                </w:p>
              </w:tc>
              <w:tc>
                <w:tcPr>
                  <w:tcW w:w="750" w:type="dxa"/>
                </w:tcPr>
                <w:p>
                  <w:pPr>
                    <w:jc w:val="center"/>
                    <w:rPr>
                      <w:color w:val="auto"/>
                      <w:szCs w:val="21"/>
                    </w:rPr>
                  </w:pPr>
                  <w:r>
                    <w:rPr>
                      <w:rFonts w:hint="eastAsia"/>
                      <w:color w:val="auto"/>
                      <w:szCs w:val="21"/>
                    </w:rPr>
                    <w:t>3090</w:t>
                  </w:r>
                </w:p>
              </w:tc>
              <w:tc>
                <w:tcPr>
                  <w:tcW w:w="664" w:type="dxa"/>
                </w:tcPr>
                <w:p>
                  <w:pPr>
                    <w:jc w:val="center"/>
                    <w:rPr>
                      <w:color w:val="auto"/>
                      <w:szCs w:val="21"/>
                    </w:rPr>
                  </w:pPr>
                  <w:r>
                    <w:rPr>
                      <w:rFonts w:hint="eastAsia"/>
                      <w:color w:val="auto"/>
                      <w:szCs w:val="21"/>
                    </w:rPr>
                    <w:t>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vMerge w:val="restart"/>
                </w:tcPr>
                <w:p>
                  <w:pPr>
                    <w:jc w:val="center"/>
                    <w:rPr>
                      <w:color w:val="auto"/>
                      <w:szCs w:val="21"/>
                    </w:rPr>
                  </w:pPr>
                  <w:r>
                    <w:rPr>
                      <w:rFonts w:hint="eastAsia"/>
                      <w:color w:val="auto"/>
                      <w:szCs w:val="21"/>
                    </w:rPr>
                    <w:t>西车间热熔挤出“喷淋塔+光氧催化+活性炭吸附”出口（G04）</w:t>
                  </w:r>
                </w:p>
              </w:tc>
              <w:tc>
                <w:tcPr>
                  <w:tcW w:w="1470" w:type="dxa"/>
                </w:tcPr>
                <w:p>
                  <w:pPr>
                    <w:jc w:val="center"/>
                    <w:rPr>
                      <w:color w:val="auto"/>
                      <w:szCs w:val="21"/>
                    </w:rPr>
                  </w:pPr>
                  <w:r>
                    <w:rPr>
                      <w:rFonts w:hint="eastAsia"/>
                      <w:color w:val="auto"/>
                      <w:szCs w:val="21"/>
                    </w:rPr>
                    <w:t>2021.07.03</w:t>
                  </w:r>
                </w:p>
              </w:tc>
              <w:tc>
                <w:tcPr>
                  <w:tcW w:w="1095" w:type="dxa"/>
                  <w:vMerge w:val="continue"/>
                </w:tcPr>
                <w:p>
                  <w:pPr>
                    <w:jc w:val="center"/>
                    <w:rPr>
                      <w:color w:val="auto"/>
                      <w:szCs w:val="21"/>
                    </w:rPr>
                  </w:pPr>
                </w:p>
              </w:tc>
              <w:tc>
                <w:tcPr>
                  <w:tcW w:w="915" w:type="dxa"/>
                  <w:vMerge w:val="continue"/>
                </w:tcPr>
                <w:p>
                  <w:pPr>
                    <w:jc w:val="center"/>
                    <w:rPr>
                      <w:color w:val="auto"/>
                      <w:szCs w:val="21"/>
                    </w:rPr>
                  </w:pPr>
                </w:p>
              </w:tc>
              <w:tc>
                <w:tcPr>
                  <w:tcW w:w="810" w:type="dxa"/>
                </w:tcPr>
                <w:p>
                  <w:pPr>
                    <w:jc w:val="center"/>
                    <w:rPr>
                      <w:color w:val="auto"/>
                      <w:szCs w:val="21"/>
                    </w:rPr>
                  </w:pPr>
                  <w:r>
                    <w:rPr>
                      <w:rFonts w:hint="eastAsia"/>
                      <w:color w:val="auto"/>
                      <w:szCs w:val="21"/>
                    </w:rPr>
                    <w:t>1318</w:t>
                  </w:r>
                </w:p>
              </w:tc>
              <w:tc>
                <w:tcPr>
                  <w:tcW w:w="750" w:type="dxa"/>
                </w:tcPr>
                <w:p>
                  <w:pPr>
                    <w:jc w:val="center"/>
                    <w:rPr>
                      <w:color w:val="auto"/>
                      <w:szCs w:val="21"/>
                    </w:rPr>
                  </w:pPr>
                  <w:r>
                    <w:rPr>
                      <w:rFonts w:hint="eastAsia"/>
                      <w:color w:val="auto"/>
                      <w:szCs w:val="21"/>
                    </w:rPr>
                    <w:t>977</w:t>
                  </w:r>
                </w:p>
              </w:tc>
              <w:tc>
                <w:tcPr>
                  <w:tcW w:w="664" w:type="dxa"/>
                </w:tcPr>
                <w:p>
                  <w:pPr>
                    <w:jc w:val="center"/>
                    <w:rPr>
                      <w:color w:val="auto"/>
                      <w:szCs w:val="21"/>
                    </w:rPr>
                  </w:pPr>
                  <w:r>
                    <w:rPr>
                      <w:rFonts w:hint="eastAsia"/>
                      <w:color w:val="auto"/>
                      <w:szCs w:val="21"/>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vMerge w:val="continue"/>
                </w:tcPr>
                <w:p>
                  <w:pPr>
                    <w:jc w:val="center"/>
                    <w:rPr>
                      <w:color w:val="auto"/>
                      <w:szCs w:val="21"/>
                    </w:rPr>
                  </w:pPr>
                </w:p>
              </w:tc>
              <w:tc>
                <w:tcPr>
                  <w:tcW w:w="1470" w:type="dxa"/>
                </w:tcPr>
                <w:p>
                  <w:pPr>
                    <w:jc w:val="center"/>
                    <w:rPr>
                      <w:color w:val="auto"/>
                      <w:szCs w:val="21"/>
                    </w:rPr>
                  </w:pPr>
                  <w:r>
                    <w:rPr>
                      <w:rFonts w:hint="eastAsia"/>
                      <w:color w:val="auto"/>
                      <w:szCs w:val="21"/>
                    </w:rPr>
                    <w:t>2021.07.04</w:t>
                  </w:r>
                </w:p>
              </w:tc>
              <w:tc>
                <w:tcPr>
                  <w:tcW w:w="1095" w:type="dxa"/>
                  <w:vMerge w:val="continue"/>
                </w:tcPr>
                <w:p>
                  <w:pPr>
                    <w:jc w:val="center"/>
                    <w:rPr>
                      <w:color w:val="auto"/>
                      <w:szCs w:val="21"/>
                    </w:rPr>
                  </w:pPr>
                </w:p>
              </w:tc>
              <w:tc>
                <w:tcPr>
                  <w:tcW w:w="915" w:type="dxa"/>
                  <w:vMerge w:val="continue"/>
                </w:tcPr>
                <w:p>
                  <w:pPr>
                    <w:jc w:val="center"/>
                    <w:rPr>
                      <w:color w:val="auto"/>
                      <w:szCs w:val="21"/>
                    </w:rPr>
                  </w:pPr>
                </w:p>
              </w:tc>
              <w:tc>
                <w:tcPr>
                  <w:tcW w:w="810" w:type="dxa"/>
                </w:tcPr>
                <w:p>
                  <w:pPr>
                    <w:jc w:val="center"/>
                    <w:rPr>
                      <w:color w:val="auto"/>
                      <w:szCs w:val="21"/>
                    </w:rPr>
                  </w:pPr>
                  <w:r>
                    <w:rPr>
                      <w:rFonts w:hint="eastAsia"/>
                      <w:color w:val="auto"/>
                      <w:szCs w:val="21"/>
                    </w:rPr>
                    <w:t>977</w:t>
                  </w:r>
                </w:p>
              </w:tc>
              <w:tc>
                <w:tcPr>
                  <w:tcW w:w="750" w:type="dxa"/>
                </w:tcPr>
                <w:p>
                  <w:pPr>
                    <w:jc w:val="center"/>
                    <w:rPr>
                      <w:color w:val="auto"/>
                      <w:szCs w:val="21"/>
                    </w:rPr>
                  </w:pPr>
                  <w:r>
                    <w:rPr>
                      <w:rFonts w:hint="eastAsia"/>
                      <w:color w:val="auto"/>
                      <w:szCs w:val="21"/>
                    </w:rPr>
                    <w:t>1318</w:t>
                  </w:r>
                </w:p>
              </w:tc>
              <w:tc>
                <w:tcPr>
                  <w:tcW w:w="664" w:type="dxa"/>
                </w:tcPr>
                <w:p>
                  <w:pPr>
                    <w:jc w:val="center"/>
                    <w:rPr>
                      <w:color w:val="auto"/>
                      <w:szCs w:val="21"/>
                    </w:rPr>
                  </w:pPr>
                  <w:r>
                    <w:rPr>
                      <w:rFonts w:hint="eastAsia"/>
                      <w:color w:val="auto"/>
                      <w:szCs w:val="21"/>
                    </w:rPr>
                    <w:t>977</w:t>
                  </w:r>
                </w:p>
              </w:tc>
            </w:tr>
          </w:tbl>
          <w:p>
            <w:pPr>
              <w:spacing w:line="360" w:lineRule="auto"/>
              <w:ind w:firstLine="480" w:firstLineChars="200"/>
              <w:rPr>
                <w:color w:val="auto"/>
                <w:sz w:val="24"/>
                <w:szCs w:val="20"/>
              </w:rPr>
            </w:pPr>
            <w:r>
              <w:rPr>
                <w:rFonts w:hint="eastAsia"/>
                <w:color w:val="auto"/>
                <w:sz w:val="24"/>
                <w:szCs w:val="20"/>
              </w:rPr>
              <w:t>根据上表分析，项目熔融挤出废气经水洗装置+除湿除雾装置+</w:t>
            </w:r>
            <w:r>
              <w:rPr>
                <w:rFonts w:hint="eastAsia"/>
                <w:color w:val="auto"/>
                <w:sz w:val="24"/>
                <w:szCs w:val="20"/>
                <w:lang w:val="en-US" w:eastAsia="zh-CN"/>
              </w:rPr>
              <w:t>一级</w:t>
            </w:r>
            <w:r>
              <w:rPr>
                <w:rFonts w:hint="eastAsia"/>
                <w:color w:val="auto"/>
                <w:sz w:val="24"/>
                <w:szCs w:val="20"/>
              </w:rPr>
              <w:t>活性炭吸附装置+光氧催化装置处理后通过20m高排气筒排放，臭气浓度能够满足《恶臭污染物排放标准》（GB14554-93）表2排放限值要求</w:t>
            </w:r>
            <w:r>
              <w:rPr>
                <w:rFonts w:hint="eastAsia"/>
                <w:color w:val="auto"/>
                <w:sz w:val="24"/>
                <w:szCs w:val="20"/>
                <w:lang w:eastAsia="zh-CN"/>
              </w:rPr>
              <w:t>；</w:t>
            </w:r>
            <w:r>
              <w:rPr>
                <w:rFonts w:hint="eastAsia"/>
                <w:color w:val="auto"/>
                <w:sz w:val="24"/>
                <w:szCs w:val="20"/>
                <w:lang w:val="en-US" w:eastAsia="zh-CN"/>
              </w:rPr>
              <w:t>项目无组织臭气产生和排放量少，排放浓度低，能够满足</w:t>
            </w:r>
            <w:r>
              <w:rPr>
                <w:rFonts w:hint="eastAsia"/>
                <w:color w:val="auto"/>
                <w:sz w:val="24"/>
                <w:szCs w:val="20"/>
              </w:rPr>
              <w:t>《恶臭污染物排放标准》（GB14554-93）</w:t>
            </w:r>
            <w:r>
              <w:rPr>
                <w:rFonts w:hint="eastAsia"/>
                <w:color w:val="auto"/>
                <w:sz w:val="24"/>
                <w:szCs w:val="20"/>
                <w:lang w:val="en-US" w:eastAsia="zh-CN"/>
              </w:rPr>
              <w:t>要求，</w:t>
            </w:r>
            <w:r>
              <w:rPr>
                <w:rFonts w:hint="eastAsia"/>
                <w:color w:val="auto"/>
                <w:sz w:val="24"/>
                <w:szCs w:val="20"/>
              </w:rPr>
              <w:t>对周边大气环境的影响不大。</w:t>
            </w:r>
          </w:p>
          <w:p>
            <w:pPr>
              <w:spacing w:line="360" w:lineRule="auto"/>
              <w:ind w:firstLine="482" w:firstLineChars="200"/>
              <w:rPr>
                <w:b/>
                <w:bCs/>
                <w:color w:val="auto"/>
                <w:sz w:val="24"/>
              </w:rPr>
            </w:pPr>
            <w:r>
              <w:rPr>
                <w:rFonts w:hint="eastAsia"/>
                <w:b/>
                <w:bCs/>
                <w:color w:val="auto"/>
                <w:sz w:val="24"/>
              </w:rPr>
              <w:t>（</w:t>
            </w:r>
            <w:r>
              <w:rPr>
                <w:rFonts w:hint="eastAsia"/>
                <w:b/>
                <w:bCs/>
                <w:color w:val="auto"/>
                <w:sz w:val="24"/>
                <w:lang w:val="en-US" w:eastAsia="zh-CN"/>
              </w:rPr>
              <w:t>4</w:t>
            </w:r>
            <w:r>
              <w:rPr>
                <w:rFonts w:hint="eastAsia"/>
                <w:b/>
                <w:bCs/>
                <w:color w:val="auto"/>
                <w:sz w:val="24"/>
              </w:rPr>
              <w:t>）食堂油烟</w:t>
            </w:r>
          </w:p>
          <w:p>
            <w:pPr>
              <w:adjustRightInd w:val="0"/>
              <w:snapToGrid w:val="0"/>
              <w:spacing w:line="360" w:lineRule="auto"/>
              <w:ind w:firstLine="480" w:firstLineChars="200"/>
              <w:rPr>
                <w:color w:val="auto"/>
                <w:sz w:val="24"/>
              </w:rPr>
            </w:pPr>
            <w:r>
              <w:rPr>
                <w:rFonts w:hint="eastAsia"/>
                <w:color w:val="auto"/>
                <w:sz w:val="24"/>
              </w:rPr>
              <w:t>项目建成后，设有食堂，食堂设有1个灶头，每日就餐人数为10人。食堂采用清洁燃料，因此食堂仅产生少量食堂油烟。按平衡膳食推荐的以每人每天食用30g食用油计，则用油量为300g/d。根据类比调查，油的平均挥发量为总耗油量的2.83%，经估算，本项目食堂产生油烟量为0.0085kg/d，2.55kg/a，每天平均烹调作业4小时计，则油烟产生速率为0.002kg/h。项目依托云南鹏腾机械设备有限公司内已有食堂，食堂产生的油烟依托云南鹏腾机械设备有限公司已建油烟净化器进行处理，油烟净化器的风量为2000m</w:t>
            </w:r>
            <w:r>
              <w:rPr>
                <w:rFonts w:hint="eastAsia"/>
                <w:color w:val="auto"/>
                <w:sz w:val="24"/>
                <w:vertAlign w:val="superscript"/>
              </w:rPr>
              <w:t>3</w:t>
            </w:r>
            <w:r>
              <w:rPr>
                <w:rFonts w:hint="eastAsia"/>
                <w:color w:val="auto"/>
                <w:sz w:val="24"/>
              </w:rPr>
              <w:t>/h，油烟去除效率为60%，则食堂油烟的排放量为1.02kg/a，排放速率为0.0009kg/h，排放浓度为0.45mg/m</w:t>
            </w:r>
            <w:r>
              <w:rPr>
                <w:rFonts w:hint="eastAsia"/>
                <w:color w:val="auto"/>
                <w:sz w:val="24"/>
                <w:vertAlign w:val="superscript"/>
              </w:rPr>
              <w:t>3</w:t>
            </w:r>
            <w:r>
              <w:rPr>
                <w:rFonts w:hint="eastAsia"/>
                <w:color w:val="auto"/>
                <w:sz w:val="24"/>
              </w:rPr>
              <w:t>。</w:t>
            </w:r>
            <w:r>
              <w:rPr>
                <w:color w:val="auto"/>
                <w:sz w:val="24"/>
              </w:rPr>
              <w:t>食堂油烟经</w:t>
            </w:r>
            <w:r>
              <w:rPr>
                <w:color w:val="auto"/>
                <w:sz w:val="24"/>
                <w:lang w:val="zh-CN"/>
              </w:rPr>
              <w:t>油烟净化器</w:t>
            </w:r>
            <w:r>
              <w:rPr>
                <w:color w:val="auto"/>
                <w:sz w:val="24"/>
              </w:rPr>
              <w:t>处理满足GB18483-2001《饮食业油烟排放标准</w:t>
            </w:r>
            <w:r>
              <w:rPr>
                <w:rFonts w:hint="eastAsia"/>
                <w:color w:val="auto"/>
                <w:sz w:val="24"/>
              </w:rPr>
              <w:t>（试行）</w:t>
            </w:r>
            <w:r>
              <w:rPr>
                <w:color w:val="auto"/>
                <w:sz w:val="24"/>
              </w:rPr>
              <w:t>》中最高允许排放浓度≤2mg/m</w:t>
            </w:r>
            <w:r>
              <w:rPr>
                <w:color w:val="auto"/>
                <w:sz w:val="24"/>
                <w:vertAlign w:val="superscript"/>
              </w:rPr>
              <w:t>3</w:t>
            </w:r>
            <w:r>
              <w:rPr>
                <w:color w:val="auto"/>
                <w:sz w:val="24"/>
              </w:rPr>
              <w:t>的要求</w:t>
            </w:r>
            <w:r>
              <w:rPr>
                <w:rFonts w:hint="eastAsia"/>
                <w:color w:val="auto"/>
                <w:sz w:val="24"/>
              </w:rPr>
              <w:t>后</w:t>
            </w:r>
            <w:r>
              <w:rPr>
                <w:color w:val="auto"/>
                <w:sz w:val="24"/>
              </w:rPr>
              <w:t>，</w:t>
            </w:r>
            <w:r>
              <w:rPr>
                <w:rFonts w:hint="eastAsia"/>
                <w:color w:val="auto"/>
                <w:sz w:val="24"/>
              </w:rPr>
              <w:t>由楼顶排气筒排放，</w:t>
            </w:r>
            <w:r>
              <w:rPr>
                <w:color w:val="auto"/>
                <w:sz w:val="24"/>
              </w:rPr>
              <w:t>对周边环境空气影响较小。</w:t>
            </w:r>
          </w:p>
          <w:p>
            <w:pPr>
              <w:spacing w:line="360" w:lineRule="auto"/>
              <w:ind w:firstLine="480" w:firstLineChars="200"/>
              <w:rPr>
                <w:b/>
                <w:color w:val="auto"/>
                <w:sz w:val="24"/>
              </w:rPr>
            </w:pPr>
            <w:r>
              <w:rPr>
                <w:rFonts w:hint="eastAsia"/>
                <w:color w:val="auto"/>
                <w:sz w:val="24"/>
              </w:rPr>
              <w:t>综上，本项目废气排放情况汇总见下表。</w:t>
            </w:r>
          </w:p>
          <w:p>
            <w:pPr>
              <w:pStyle w:val="2"/>
              <w:spacing w:before="0" w:after="0" w:line="360" w:lineRule="auto"/>
              <w:ind w:right="0"/>
              <w:jc w:val="center"/>
              <w:rPr>
                <w:b/>
                <w:color w:val="auto"/>
              </w:rPr>
            </w:pPr>
            <w:r>
              <w:rPr>
                <w:rFonts w:hint="eastAsia"/>
                <w:b/>
                <w:color w:val="auto"/>
                <w:kern w:val="2"/>
                <w:sz w:val="24"/>
                <w:szCs w:val="24"/>
              </w:rPr>
              <w:t>表4-1  项目运营期废气产生及排放情况表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1065"/>
              <w:gridCol w:w="675"/>
              <w:gridCol w:w="735"/>
              <w:gridCol w:w="810"/>
              <w:gridCol w:w="750"/>
              <w:gridCol w:w="765"/>
              <w:gridCol w:w="735"/>
              <w:gridCol w:w="930"/>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gridSpan w:val="2"/>
                  <w:vAlign w:val="center"/>
                </w:tcPr>
                <w:p>
                  <w:pPr>
                    <w:jc w:val="center"/>
                    <w:rPr>
                      <w:color w:val="auto"/>
                      <w:szCs w:val="21"/>
                    </w:rPr>
                  </w:pPr>
                  <w:r>
                    <w:rPr>
                      <w:color w:val="auto"/>
                      <w:szCs w:val="21"/>
                    </w:rPr>
                    <w:t>产污排污环节</w:t>
                  </w:r>
                </w:p>
              </w:tc>
              <w:tc>
                <w:tcPr>
                  <w:tcW w:w="2220" w:type="dxa"/>
                  <w:gridSpan w:val="3"/>
                  <w:vAlign w:val="center"/>
                </w:tcPr>
                <w:p>
                  <w:pPr>
                    <w:jc w:val="center"/>
                    <w:rPr>
                      <w:color w:val="auto"/>
                      <w:szCs w:val="21"/>
                    </w:rPr>
                  </w:pPr>
                  <w:r>
                    <w:rPr>
                      <w:rFonts w:hint="eastAsia"/>
                      <w:color w:val="auto"/>
                      <w:szCs w:val="21"/>
                    </w:rPr>
                    <w:t>熔融挤出废气</w:t>
                  </w:r>
                </w:p>
              </w:tc>
              <w:tc>
                <w:tcPr>
                  <w:tcW w:w="2250" w:type="dxa"/>
                  <w:gridSpan w:val="3"/>
                  <w:vAlign w:val="center"/>
                </w:tcPr>
                <w:p>
                  <w:pPr>
                    <w:jc w:val="center"/>
                    <w:rPr>
                      <w:color w:val="auto"/>
                      <w:szCs w:val="21"/>
                    </w:rPr>
                  </w:pPr>
                  <w:r>
                    <w:rPr>
                      <w:rFonts w:hint="eastAsia"/>
                      <w:color w:val="auto"/>
                      <w:szCs w:val="21"/>
                    </w:rPr>
                    <w:t>熔融挤出</w:t>
                  </w:r>
                </w:p>
              </w:tc>
              <w:tc>
                <w:tcPr>
                  <w:tcW w:w="930" w:type="dxa"/>
                  <w:vAlign w:val="center"/>
                </w:tcPr>
                <w:p>
                  <w:pPr>
                    <w:jc w:val="center"/>
                    <w:rPr>
                      <w:color w:val="auto"/>
                      <w:szCs w:val="21"/>
                    </w:rPr>
                  </w:pPr>
                  <w:r>
                    <w:rPr>
                      <w:rFonts w:hint="eastAsia"/>
                      <w:color w:val="auto"/>
                      <w:szCs w:val="21"/>
                    </w:rPr>
                    <w:t>开包、投料</w:t>
                  </w:r>
                </w:p>
              </w:tc>
              <w:tc>
                <w:tcPr>
                  <w:tcW w:w="1209" w:type="dxa"/>
                  <w:vAlign w:val="center"/>
                </w:tcPr>
                <w:p>
                  <w:pPr>
                    <w:jc w:val="center"/>
                    <w:rPr>
                      <w:color w:val="auto"/>
                      <w:szCs w:val="21"/>
                    </w:rPr>
                  </w:pPr>
                  <w:r>
                    <w:rPr>
                      <w:rFonts w:hint="eastAsia"/>
                      <w:color w:val="auto"/>
                      <w:szCs w:val="21"/>
                    </w:rPr>
                    <w:t>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gridSpan w:val="2"/>
                  <w:vAlign w:val="center"/>
                </w:tcPr>
                <w:p>
                  <w:pPr>
                    <w:jc w:val="center"/>
                    <w:rPr>
                      <w:color w:val="auto"/>
                      <w:szCs w:val="21"/>
                    </w:rPr>
                  </w:pPr>
                  <w:r>
                    <w:rPr>
                      <w:color w:val="auto"/>
                      <w:szCs w:val="21"/>
                    </w:rPr>
                    <w:t>污染物种类</w:t>
                  </w:r>
                </w:p>
              </w:tc>
              <w:tc>
                <w:tcPr>
                  <w:tcW w:w="675" w:type="dxa"/>
                  <w:vAlign w:val="center"/>
                </w:tcPr>
                <w:p>
                  <w:pPr>
                    <w:jc w:val="center"/>
                    <w:rPr>
                      <w:color w:val="auto"/>
                      <w:szCs w:val="21"/>
                    </w:rPr>
                  </w:pPr>
                  <w:r>
                    <w:rPr>
                      <w:color w:val="auto"/>
                      <w:szCs w:val="21"/>
                    </w:rPr>
                    <w:t>颗粒物</w:t>
                  </w:r>
                </w:p>
              </w:tc>
              <w:tc>
                <w:tcPr>
                  <w:tcW w:w="735" w:type="dxa"/>
                  <w:vAlign w:val="center"/>
                </w:tcPr>
                <w:p>
                  <w:pPr>
                    <w:jc w:val="center"/>
                    <w:rPr>
                      <w:color w:val="auto"/>
                      <w:szCs w:val="21"/>
                    </w:rPr>
                  </w:pPr>
                  <w:r>
                    <w:rPr>
                      <w:rFonts w:hint="eastAsia"/>
                      <w:color w:val="auto"/>
                      <w:szCs w:val="21"/>
                    </w:rPr>
                    <w:t>非甲烷总烃</w:t>
                  </w:r>
                </w:p>
              </w:tc>
              <w:tc>
                <w:tcPr>
                  <w:tcW w:w="810" w:type="dxa"/>
                  <w:vAlign w:val="center"/>
                </w:tcPr>
                <w:p>
                  <w:pPr>
                    <w:jc w:val="center"/>
                    <w:rPr>
                      <w:color w:val="auto"/>
                      <w:szCs w:val="21"/>
                    </w:rPr>
                  </w:pPr>
                  <w:r>
                    <w:rPr>
                      <w:rFonts w:hint="eastAsia"/>
                      <w:color w:val="auto"/>
                      <w:szCs w:val="21"/>
                    </w:rPr>
                    <w:t>臭气浓度</w:t>
                  </w:r>
                </w:p>
              </w:tc>
              <w:tc>
                <w:tcPr>
                  <w:tcW w:w="750" w:type="dxa"/>
                  <w:vAlign w:val="center"/>
                </w:tcPr>
                <w:p>
                  <w:pPr>
                    <w:jc w:val="center"/>
                    <w:rPr>
                      <w:color w:val="auto"/>
                      <w:szCs w:val="21"/>
                    </w:rPr>
                  </w:pPr>
                  <w:r>
                    <w:rPr>
                      <w:color w:val="auto"/>
                      <w:szCs w:val="21"/>
                    </w:rPr>
                    <w:t>颗粒物</w:t>
                  </w:r>
                </w:p>
              </w:tc>
              <w:tc>
                <w:tcPr>
                  <w:tcW w:w="765" w:type="dxa"/>
                  <w:vAlign w:val="center"/>
                </w:tcPr>
                <w:p>
                  <w:pPr>
                    <w:jc w:val="center"/>
                    <w:rPr>
                      <w:color w:val="auto"/>
                      <w:szCs w:val="21"/>
                    </w:rPr>
                  </w:pPr>
                  <w:r>
                    <w:rPr>
                      <w:rFonts w:hint="eastAsia"/>
                      <w:color w:val="auto"/>
                      <w:szCs w:val="21"/>
                    </w:rPr>
                    <w:t>非甲烷总烃</w:t>
                  </w:r>
                </w:p>
              </w:tc>
              <w:tc>
                <w:tcPr>
                  <w:tcW w:w="735" w:type="dxa"/>
                  <w:vAlign w:val="center"/>
                </w:tcPr>
                <w:p>
                  <w:pPr>
                    <w:jc w:val="center"/>
                    <w:rPr>
                      <w:color w:val="auto"/>
                      <w:szCs w:val="21"/>
                    </w:rPr>
                  </w:pPr>
                  <w:r>
                    <w:rPr>
                      <w:rFonts w:hint="eastAsia"/>
                      <w:color w:val="auto"/>
                      <w:szCs w:val="21"/>
                    </w:rPr>
                    <w:t>臭气浓度</w:t>
                  </w:r>
                </w:p>
              </w:tc>
              <w:tc>
                <w:tcPr>
                  <w:tcW w:w="930" w:type="dxa"/>
                  <w:vAlign w:val="center"/>
                </w:tcPr>
                <w:p>
                  <w:pPr>
                    <w:jc w:val="center"/>
                    <w:rPr>
                      <w:color w:val="auto"/>
                      <w:szCs w:val="21"/>
                    </w:rPr>
                  </w:pPr>
                  <w:r>
                    <w:rPr>
                      <w:rFonts w:hint="eastAsia"/>
                      <w:color w:val="auto"/>
                      <w:szCs w:val="21"/>
                    </w:rPr>
                    <w:t>颗粒物</w:t>
                  </w:r>
                </w:p>
              </w:tc>
              <w:tc>
                <w:tcPr>
                  <w:tcW w:w="1209" w:type="dxa"/>
                  <w:vAlign w:val="center"/>
                </w:tcPr>
                <w:p>
                  <w:pPr>
                    <w:jc w:val="center"/>
                    <w:rPr>
                      <w:color w:val="auto"/>
                      <w:szCs w:val="21"/>
                    </w:rPr>
                  </w:pPr>
                  <w:r>
                    <w:rPr>
                      <w:rFonts w:hint="eastAsia"/>
                      <w:color w:val="auto"/>
                      <w:szCs w:val="21"/>
                    </w:rPr>
                    <w:t>油烟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gridSpan w:val="2"/>
                  <w:vAlign w:val="center"/>
                </w:tcPr>
                <w:p>
                  <w:pPr>
                    <w:jc w:val="center"/>
                    <w:rPr>
                      <w:color w:val="auto"/>
                      <w:szCs w:val="21"/>
                    </w:rPr>
                  </w:pPr>
                  <w:r>
                    <w:rPr>
                      <w:color w:val="auto"/>
                      <w:szCs w:val="21"/>
                    </w:rPr>
                    <w:t>污染物产生量（t/a）</w:t>
                  </w:r>
                </w:p>
              </w:tc>
              <w:tc>
                <w:tcPr>
                  <w:tcW w:w="675" w:type="dxa"/>
                  <w:vAlign w:val="center"/>
                </w:tcPr>
                <w:p>
                  <w:pPr>
                    <w:jc w:val="center"/>
                    <w:rPr>
                      <w:color w:val="auto"/>
                      <w:szCs w:val="21"/>
                    </w:rPr>
                  </w:pPr>
                  <w:r>
                    <w:rPr>
                      <w:rFonts w:hint="eastAsia"/>
                      <w:color w:val="auto"/>
                      <w:szCs w:val="21"/>
                    </w:rPr>
                    <w:t>0.256</w:t>
                  </w:r>
                </w:p>
              </w:tc>
              <w:tc>
                <w:tcPr>
                  <w:tcW w:w="735" w:type="dxa"/>
                  <w:vAlign w:val="center"/>
                </w:tcPr>
                <w:p>
                  <w:pPr>
                    <w:jc w:val="center"/>
                    <w:rPr>
                      <w:color w:val="auto"/>
                      <w:szCs w:val="21"/>
                    </w:rPr>
                  </w:pPr>
                  <w:r>
                    <w:rPr>
                      <w:rFonts w:hint="eastAsia"/>
                      <w:color w:val="auto"/>
                      <w:szCs w:val="21"/>
                    </w:rPr>
                    <w:t>1.792</w:t>
                  </w:r>
                </w:p>
              </w:tc>
              <w:tc>
                <w:tcPr>
                  <w:tcW w:w="810" w:type="dxa"/>
                  <w:vAlign w:val="center"/>
                </w:tcPr>
                <w:p>
                  <w:pPr>
                    <w:jc w:val="center"/>
                    <w:rPr>
                      <w:color w:val="auto"/>
                      <w:szCs w:val="21"/>
                    </w:rPr>
                  </w:pPr>
                  <w:r>
                    <w:rPr>
                      <w:rFonts w:hint="eastAsia"/>
                      <w:color w:val="auto"/>
                      <w:szCs w:val="21"/>
                    </w:rPr>
                    <w:t>/</w:t>
                  </w:r>
                </w:p>
              </w:tc>
              <w:tc>
                <w:tcPr>
                  <w:tcW w:w="750" w:type="dxa"/>
                  <w:vAlign w:val="center"/>
                </w:tcPr>
                <w:p>
                  <w:pPr>
                    <w:jc w:val="center"/>
                    <w:rPr>
                      <w:color w:val="auto"/>
                      <w:szCs w:val="21"/>
                    </w:rPr>
                  </w:pPr>
                  <w:r>
                    <w:rPr>
                      <w:rFonts w:hint="eastAsia"/>
                      <w:color w:val="auto"/>
                      <w:szCs w:val="21"/>
                    </w:rPr>
                    <w:t>0.0512</w:t>
                  </w:r>
                </w:p>
              </w:tc>
              <w:tc>
                <w:tcPr>
                  <w:tcW w:w="765" w:type="dxa"/>
                  <w:vAlign w:val="center"/>
                </w:tcPr>
                <w:p>
                  <w:pPr>
                    <w:jc w:val="center"/>
                    <w:rPr>
                      <w:color w:val="auto"/>
                      <w:szCs w:val="21"/>
                    </w:rPr>
                  </w:pPr>
                  <w:r>
                    <w:rPr>
                      <w:rFonts w:hint="eastAsia"/>
                      <w:color w:val="auto"/>
                      <w:szCs w:val="21"/>
                    </w:rPr>
                    <w:t>0.3584</w:t>
                  </w:r>
                </w:p>
              </w:tc>
              <w:tc>
                <w:tcPr>
                  <w:tcW w:w="735" w:type="dxa"/>
                  <w:vAlign w:val="center"/>
                </w:tcPr>
                <w:p>
                  <w:pPr>
                    <w:jc w:val="center"/>
                    <w:rPr>
                      <w:color w:val="auto"/>
                      <w:szCs w:val="21"/>
                    </w:rPr>
                  </w:pPr>
                  <w:r>
                    <w:rPr>
                      <w:rFonts w:hint="eastAsia"/>
                      <w:color w:val="auto"/>
                      <w:szCs w:val="21"/>
                    </w:rPr>
                    <w:t>/</w:t>
                  </w:r>
                </w:p>
              </w:tc>
              <w:tc>
                <w:tcPr>
                  <w:tcW w:w="930" w:type="dxa"/>
                  <w:vAlign w:val="center"/>
                </w:tcPr>
                <w:p>
                  <w:pPr>
                    <w:jc w:val="center"/>
                    <w:rPr>
                      <w:color w:val="auto"/>
                      <w:szCs w:val="21"/>
                    </w:rPr>
                  </w:pPr>
                  <w:r>
                    <w:rPr>
                      <w:rFonts w:hint="eastAsia"/>
                      <w:color w:val="auto"/>
                      <w:szCs w:val="21"/>
                    </w:rPr>
                    <w:t>0.512</w:t>
                  </w:r>
                </w:p>
              </w:tc>
              <w:tc>
                <w:tcPr>
                  <w:tcW w:w="1209" w:type="dxa"/>
                  <w:vAlign w:val="center"/>
                </w:tcPr>
                <w:p>
                  <w:pPr>
                    <w:jc w:val="center"/>
                    <w:rPr>
                      <w:color w:val="auto"/>
                      <w:szCs w:val="21"/>
                    </w:rPr>
                  </w:pPr>
                  <w:r>
                    <w:rPr>
                      <w:rFonts w:hint="eastAsia"/>
                      <w:color w:val="auto"/>
                      <w:szCs w:val="21"/>
                    </w:rPr>
                    <w:t>0.00255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gridSpan w:val="2"/>
                  <w:vAlign w:val="center"/>
                </w:tcPr>
                <w:p>
                  <w:pPr>
                    <w:jc w:val="center"/>
                    <w:rPr>
                      <w:color w:val="auto"/>
                      <w:szCs w:val="21"/>
                    </w:rPr>
                  </w:pPr>
                  <w:r>
                    <w:rPr>
                      <w:color w:val="auto"/>
                      <w:szCs w:val="21"/>
                    </w:rPr>
                    <w:t>污染物产生浓度（mg/m</w:t>
                  </w:r>
                  <w:r>
                    <w:rPr>
                      <w:color w:val="auto"/>
                      <w:szCs w:val="21"/>
                      <w:vertAlign w:val="superscript"/>
                    </w:rPr>
                    <w:t>3</w:t>
                  </w:r>
                  <w:r>
                    <w:rPr>
                      <w:color w:val="auto"/>
                      <w:szCs w:val="21"/>
                    </w:rPr>
                    <w:t>）</w:t>
                  </w:r>
                </w:p>
              </w:tc>
              <w:tc>
                <w:tcPr>
                  <w:tcW w:w="675" w:type="dxa"/>
                  <w:vAlign w:val="center"/>
                </w:tcPr>
                <w:p>
                  <w:pPr>
                    <w:jc w:val="center"/>
                    <w:rPr>
                      <w:color w:val="auto"/>
                      <w:szCs w:val="21"/>
                    </w:rPr>
                  </w:pPr>
                  <w:r>
                    <w:rPr>
                      <w:rFonts w:hint="eastAsia"/>
                      <w:color w:val="auto"/>
                      <w:szCs w:val="21"/>
                    </w:rPr>
                    <w:t>12.5</w:t>
                  </w:r>
                </w:p>
              </w:tc>
              <w:tc>
                <w:tcPr>
                  <w:tcW w:w="735" w:type="dxa"/>
                  <w:vAlign w:val="center"/>
                </w:tcPr>
                <w:p>
                  <w:pPr>
                    <w:jc w:val="center"/>
                    <w:rPr>
                      <w:color w:val="auto"/>
                      <w:szCs w:val="21"/>
                    </w:rPr>
                  </w:pPr>
                  <w:r>
                    <w:rPr>
                      <w:rFonts w:hint="eastAsia"/>
                      <w:color w:val="auto"/>
                      <w:szCs w:val="21"/>
                    </w:rPr>
                    <w:t>87.5</w:t>
                  </w:r>
                </w:p>
              </w:tc>
              <w:tc>
                <w:tcPr>
                  <w:tcW w:w="810" w:type="dxa"/>
                  <w:vAlign w:val="center"/>
                </w:tcPr>
                <w:p>
                  <w:pPr>
                    <w:jc w:val="center"/>
                    <w:rPr>
                      <w:color w:val="auto"/>
                      <w:szCs w:val="21"/>
                    </w:rPr>
                  </w:pPr>
                  <w:r>
                    <w:rPr>
                      <w:rFonts w:hint="eastAsia"/>
                      <w:color w:val="auto"/>
                      <w:szCs w:val="21"/>
                    </w:rPr>
                    <w:t>3090（无量纲）</w:t>
                  </w:r>
                </w:p>
              </w:tc>
              <w:tc>
                <w:tcPr>
                  <w:tcW w:w="750" w:type="dxa"/>
                  <w:vAlign w:val="center"/>
                </w:tcPr>
                <w:p>
                  <w:pPr>
                    <w:jc w:val="center"/>
                    <w:rPr>
                      <w:color w:val="auto"/>
                      <w:szCs w:val="21"/>
                    </w:rPr>
                  </w:pPr>
                  <w:r>
                    <w:rPr>
                      <w:rFonts w:hint="eastAsia"/>
                      <w:color w:val="auto"/>
                      <w:szCs w:val="21"/>
                    </w:rPr>
                    <w:t>/</w:t>
                  </w:r>
                </w:p>
              </w:tc>
              <w:tc>
                <w:tcPr>
                  <w:tcW w:w="765" w:type="dxa"/>
                  <w:vAlign w:val="center"/>
                </w:tcPr>
                <w:p>
                  <w:pPr>
                    <w:jc w:val="center"/>
                    <w:rPr>
                      <w:color w:val="auto"/>
                      <w:szCs w:val="21"/>
                    </w:rPr>
                  </w:pPr>
                  <w:r>
                    <w:rPr>
                      <w:rFonts w:hint="eastAsia"/>
                      <w:color w:val="auto"/>
                      <w:szCs w:val="21"/>
                    </w:rPr>
                    <w:t>/</w:t>
                  </w:r>
                </w:p>
              </w:tc>
              <w:tc>
                <w:tcPr>
                  <w:tcW w:w="735" w:type="dxa"/>
                  <w:vAlign w:val="center"/>
                </w:tcPr>
                <w:p>
                  <w:pPr>
                    <w:jc w:val="center"/>
                    <w:rPr>
                      <w:color w:val="auto"/>
                      <w:szCs w:val="21"/>
                    </w:rPr>
                  </w:pPr>
                  <w:r>
                    <w:rPr>
                      <w:rFonts w:hint="eastAsia"/>
                      <w:color w:val="auto"/>
                      <w:szCs w:val="21"/>
                    </w:rPr>
                    <w:t>/</w:t>
                  </w:r>
                </w:p>
              </w:tc>
              <w:tc>
                <w:tcPr>
                  <w:tcW w:w="930" w:type="dxa"/>
                  <w:vAlign w:val="center"/>
                </w:tcPr>
                <w:p>
                  <w:pPr>
                    <w:jc w:val="center"/>
                    <w:rPr>
                      <w:color w:val="auto"/>
                      <w:szCs w:val="21"/>
                    </w:rPr>
                  </w:pPr>
                  <w:r>
                    <w:rPr>
                      <w:rFonts w:hint="eastAsia"/>
                      <w:color w:val="auto"/>
                      <w:szCs w:val="21"/>
                    </w:rPr>
                    <w:t>/</w:t>
                  </w:r>
                </w:p>
              </w:tc>
              <w:tc>
                <w:tcPr>
                  <w:tcW w:w="1209" w:type="dxa"/>
                  <w:vAlign w:val="center"/>
                </w:tcPr>
                <w:p>
                  <w:pPr>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gridSpan w:val="2"/>
                  <w:vAlign w:val="center"/>
                </w:tcPr>
                <w:p>
                  <w:pPr>
                    <w:jc w:val="center"/>
                    <w:rPr>
                      <w:color w:val="auto"/>
                      <w:szCs w:val="21"/>
                    </w:rPr>
                  </w:pPr>
                  <w:r>
                    <w:rPr>
                      <w:color w:val="auto"/>
                      <w:szCs w:val="21"/>
                    </w:rPr>
                    <w:t>排放形式</w:t>
                  </w:r>
                </w:p>
              </w:tc>
              <w:tc>
                <w:tcPr>
                  <w:tcW w:w="2220" w:type="dxa"/>
                  <w:gridSpan w:val="3"/>
                  <w:vAlign w:val="center"/>
                </w:tcPr>
                <w:p>
                  <w:pPr>
                    <w:jc w:val="center"/>
                    <w:rPr>
                      <w:color w:val="auto"/>
                      <w:szCs w:val="21"/>
                    </w:rPr>
                  </w:pPr>
                  <w:r>
                    <w:rPr>
                      <w:color w:val="auto"/>
                      <w:szCs w:val="21"/>
                    </w:rPr>
                    <w:t>有组织（DA00</w:t>
                  </w:r>
                  <w:r>
                    <w:rPr>
                      <w:rFonts w:hint="eastAsia"/>
                      <w:color w:val="auto"/>
                      <w:szCs w:val="21"/>
                    </w:rPr>
                    <w:t>1</w:t>
                  </w:r>
                  <w:r>
                    <w:rPr>
                      <w:color w:val="auto"/>
                      <w:szCs w:val="21"/>
                    </w:rPr>
                    <w:t>）</w:t>
                  </w:r>
                </w:p>
              </w:tc>
              <w:tc>
                <w:tcPr>
                  <w:tcW w:w="3180" w:type="dxa"/>
                  <w:gridSpan w:val="4"/>
                  <w:vAlign w:val="center"/>
                </w:tcPr>
                <w:p>
                  <w:pPr>
                    <w:jc w:val="center"/>
                    <w:rPr>
                      <w:color w:val="auto"/>
                      <w:szCs w:val="21"/>
                    </w:rPr>
                  </w:pPr>
                  <w:r>
                    <w:rPr>
                      <w:rFonts w:hint="eastAsia"/>
                      <w:color w:val="auto"/>
                      <w:szCs w:val="21"/>
                    </w:rPr>
                    <w:t>无组织</w:t>
                  </w:r>
                </w:p>
              </w:tc>
              <w:tc>
                <w:tcPr>
                  <w:tcW w:w="1209" w:type="dxa"/>
                  <w:vAlign w:val="center"/>
                </w:tcPr>
                <w:p>
                  <w:pPr>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vMerge w:val="restart"/>
                  <w:vAlign w:val="center"/>
                </w:tcPr>
                <w:p>
                  <w:pPr>
                    <w:jc w:val="center"/>
                    <w:rPr>
                      <w:color w:val="auto"/>
                      <w:szCs w:val="21"/>
                    </w:rPr>
                  </w:pPr>
                  <w:r>
                    <w:rPr>
                      <w:color w:val="auto"/>
                      <w:szCs w:val="21"/>
                    </w:rPr>
                    <w:t>治理设施</w:t>
                  </w:r>
                </w:p>
              </w:tc>
              <w:tc>
                <w:tcPr>
                  <w:tcW w:w="1065" w:type="dxa"/>
                  <w:vAlign w:val="center"/>
                </w:tcPr>
                <w:p>
                  <w:pPr>
                    <w:jc w:val="center"/>
                    <w:rPr>
                      <w:color w:val="auto"/>
                      <w:szCs w:val="21"/>
                    </w:rPr>
                  </w:pPr>
                  <w:r>
                    <w:rPr>
                      <w:color w:val="auto"/>
                      <w:szCs w:val="21"/>
                    </w:rPr>
                    <w:t>处理能力</w:t>
                  </w:r>
                </w:p>
              </w:tc>
              <w:tc>
                <w:tcPr>
                  <w:tcW w:w="2220" w:type="dxa"/>
                  <w:gridSpan w:val="3"/>
                  <w:vAlign w:val="center"/>
                </w:tcPr>
                <w:p>
                  <w:pPr>
                    <w:jc w:val="center"/>
                    <w:rPr>
                      <w:color w:val="auto"/>
                      <w:szCs w:val="21"/>
                    </w:rPr>
                  </w:pPr>
                  <w:r>
                    <w:rPr>
                      <w:rFonts w:hint="eastAsia"/>
                      <w:color w:val="auto"/>
                      <w:szCs w:val="21"/>
                    </w:rPr>
                    <w:t>8535.16m</w:t>
                  </w:r>
                  <w:r>
                    <w:rPr>
                      <w:rFonts w:hint="eastAsia"/>
                      <w:color w:val="auto"/>
                      <w:szCs w:val="21"/>
                      <w:vertAlign w:val="superscript"/>
                    </w:rPr>
                    <w:t>3</w:t>
                  </w:r>
                  <w:r>
                    <w:rPr>
                      <w:rFonts w:hint="eastAsia"/>
                      <w:color w:val="auto"/>
                      <w:szCs w:val="21"/>
                    </w:rPr>
                    <w:t>/h</w:t>
                  </w:r>
                </w:p>
              </w:tc>
              <w:tc>
                <w:tcPr>
                  <w:tcW w:w="3180" w:type="dxa"/>
                  <w:gridSpan w:val="4"/>
                  <w:vAlign w:val="center"/>
                </w:tcPr>
                <w:p>
                  <w:pPr>
                    <w:jc w:val="center"/>
                    <w:rPr>
                      <w:color w:val="auto"/>
                      <w:szCs w:val="21"/>
                    </w:rPr>
                  </w:pPr>
                  <w:r>
                    <w:rPr>
                      <w:rFonts w:hint="eastAsia"/>
                      <w:color w:val="auto"/>
                      <w:szCs w:val="21"/>
                    </w:rPr>
                    <w:t>/</w:t>
                  </w:r>
                </w:p>
              </w:tc>
              <w:tc>
                <w:tcPr>
                  <w:tcW w:w="1209" w:type="dxa"/>
                  <w:vAlign w:val="center"/>
                </w:tcPr>
                <w:p>
                  <w:pPr>
                    <w:jc w:val="center"/>
                    <w:rPr>
                      <w:color w:val="auto"/>
                    </w:rPr>
                  </w:pPr>
                  <w:r>
                    <w:rPr>
                      <w:rFonts w:hint="eastAsia"/>
                      <w:color w:val="auto"/>
                    </w:rPr>
                    <w:t>2000m</w:t>
                  </w:r>
                  <w:r>
                    <w:rPr>
                      <w:rFonts w:hint="eastAsia"/>
                      <w:color w:val="auto"/>
                      <w:vertAlign w:val="superscript"/>
                    </w:rPr>
                    <w:t>3</w:t>
                  </w:r>
                  <w:r>
                    <w:rPr>
                      <w:rFonts w:hint="eastAsia"/>
                      <w:color w:val="auto"/>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vMerge w:val="continue"/>
                  <w:vAlign w:val="center"/>
                </w:tcPr>
                <w:p>
                  <w:pPr>
                    <w:jc w:val="center"/>
                    <w:rPr>
                      <w:color w:val="auto"/>
                      <w:szCs w:val="21"/>
                    </w:rPr>
                  </w:pPr>
                </w:p>
              </w:tc>
              <w:tc>
                <w:tcPr>
                  <w:tcW w:w="1065" w:type="dxa"/>
                  <w:vAlign w:val="center"/>
                </w:tcPr>
                <w:p>
                  <w:pPr>
                    <w:jc w:val="center"/>
                    <w:rPr>
                      <w:color w:val="auto"/>
                      <w:szCs w:val="21"/>
                    </w:rPr>
                  </w:pPr>
                  <w:r>
                    <w:rPr>
                      <w:color w:val="auto"/>
                      <w:szCs w:val="21"/>
                    </w:rPr>
                    <w:t>收集效率</w:t>
                  </w:r>
                </w:p>
              </w:tc>
              <w:tc>
                <w:tcPr>
                  <w:tcW w:w="2220" w:type="dxa"/>
                  <w:gridSpan w:val="3"/>
                  <w:vAlign w:val="center"/>
                </w:tcPr>
                <w:p>
                  <w:pPr>
                    <w:jc w:val="center"/>
                    <w:rPr>
                      <w:color w:val="auto"/>
                      <w:szCs w:val="21"/>
                    </w:rPr>
                  </w:pPr>
                  <w:r>
                    <w:rPr>
                      <w:rFonts w:hint="eastAsia"/>
                      <w:color w:val="auto"/>
                      <w:szCs w:val="21"/>
                    </w:rPr>
                    <w:t>80%</w:t>
                  </w:r>
                </w:p>
              </w:tc>
              <w:tc>
                <w:tcPr>
                  <w:tcW w:w="750" w:type="dxa"/>
                  <w:vAlign w:val="center"/>
                </w:tcPr>
                <w:p>
                  <w:pPr>
                    <w:jc w:val="center"/>
                    <w:rPr>
                      <w:color w:val="auto"/>
                      <w:szCs w:val="21"/>
                    </w:rPr>
                  </w:pPr>
                  <w:r>
                    <w:rPr>
                      <w:rFonts w:hint="eastAsia"/>
                      <w:color w:val="auto"/>
                      <w:szCs w:val="21"/>
                    </w:rPr>
                    <w:t>/</w:t>
                  </w:r>
                </w:p>
              </w:tc>
              <w:tc>
                <w:tcPr>
                  <w:tcW w:w="765" w:type="dxa"/>
                  <w:vAlign w:val="center"/>
                </w:tcPr>
                <w:p>
                  <w:pPr>
                    <w:jc w:val="center"/>
                    <w:rPr>
                      <w:color w:val="auto"/>
                      <w:szCs w:val="21"/>
                    </w:rPr>
                  </w:pPr>
                  <w:r>
                    <w:rPr>
                      <w:rFonts w:hint="eastAsia"/>
                      <w:color w:val="auto"/>
                      <w:szCs w:val="21"/>
                    </w:rPr>
                    <w:t>/</w:t>
                  </w:r>
                </w:p>
              </w:tc>
              <w:tc>
                <w:tcPr>
                  <w:tcW w:w="735" w:type="dxa"/>
                  <w:vAlign w:val="center"/>
                </w:tcPr>
                <w:p>
                  <w:pPr>
                    <w:jc w:val="center"/>
                    <w:rPr>
                      <w:color w:val="auto"/>
                      <w:szCs w:val="21"/>
                    </w:rPr>
                  </w:pPr>
                  <w:r>
                    <w:rPr>
                      <w:rFonts w:hint="eastAsia"/>
                      <w:color w:val="auto"/>
                      <w:szCs w:val="21"/>
                    </w:rPr>
                    <w:t>/</w:t>
                  </w:r>
                </w:p>
              </w:tc>
              <w:tc>
                <w:tcPr>
                  <w:tcW w:w="930" w:type="dxa"/>
                  <w:vAlign w:val="center"/>
                </w:tcPr>
                <w:p>
                  <w:pPr>
                    <w:jc w:val="center"/>
                    <w:rPr>
                      <w:color w:val="auto"/>
                      <w:szCs w:val="21"/>
                    </w:rPr>
                  </w:pPr>
                  <w:r>
                    <w:rPr>
                      <w:rFonts w:hint="eastAsia"/>
                      <w:color w:val="auto"/>
                      <w:szCs w:val="21"/>
                    </w:rPr>
                    <w:t>/</w:t>
                  </w:r>
                </w:p>
              </w:tc>
              <w:tc>
                <w:tcPr>
                  <w:tcW w:w="1209" w:type="dxa"/>
                  <w:vAlign w:val="center"/>
                </w:tcPr>
                <w:p>
                  <w:pPr>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6" w:type="dxa"/>
                  <w:vMerge w:val="continue"/>
                  <w:vAlign w:val="center"/>
                </w:tcPr>
                <w:p>
                  <w:pPr>
                    <w:jc w:val="center"/>
                    <w:rPr>
                      <w:color w:val="auto"/>
                      <w:szCs w:val="21"/>
                    </w:rPr>
                  </w:pPr>
                </w:p>
              </w:tc>
              <w:tc>
                <w:tcPr>
                  <w:tcW w:w="1065" w:type="dxa"/>
                  <w:vAlign w:val="center"/>
                </w:tcPr>
                <w:p>
                  <w:pPr>
                    <w:jc w:val="center"/>
                    <w:rPr>
                      <w:color w:val="auto"/>
                      <w:szCs w:val="21"/>
                    </w:rPr>
                  </w:pPr>
                  <w:r>
                    <w:rPr>
                      <w:color w:val="auto"/>
                      <w:szCs w:val="21"/>
                    </w:rPr>
                    <w:t>治理工艺</w:t>
                  </w:r>
                </w:p>
              </w:tc>
              <w:tc>
                <w:tcPr>
                  <w:tcW w:w="2220" w:type="dxa"/>
                  <w:gridSpan w:val="3"/>
                  <w:vAlign w:val="center"/>
                </w:tcPr>
                <w:p>
                  <w:pPr>
                    <w:jc w:val="center"/>
                    <w:rPr>
                      <w:color w:val="auto"/>
                      <w:szCs w:val="21"/>
                    </w:rPr>
                  </w:pPr>
                  <w:r>
                    <w:rPr>
                      <w:rFonts w:hint="eastAsia"/>
                      <w:color w:val="auto"/>
                      <w:szCs w:val="21"/>
                    </w:rPr>
                    <w:t>水洗装置+除湿除雾+</w:t>
                  </w:r>
                  <w:r>
                    <w:rPr>
                      <w:rFonts w:hint="eastAsia"/>
                      <w:color w:val="auto"/>
                      <w:szCs w:val="21"/>
                      <w:lang w:val="en-US" w:eastAsia="zh-CN"/>
                    </w:rPr>
                    <w:t>一级</w:t>
                  </w:r>
                  <w:r>
                    <w:rPr>
                      <w:rFonts w:hint="eastAsia"/>
                      <w:color w:val="auto"/>
                      <w:szCs w:val="21"/>
                    </w:rPr>
                    <w:t>活性炭吸附+光氧催化装置</w:t>
                  </w:r>
                </w:p>
              </w:tc>
              <w:tc>
                <w:tcPr>
                  <w:tcW w:w="750" w:type="dxa"/>
                  <w:vAlign w:val="center"/>
                </w:tcPr>
                <w:p>
                  <w:pPr>
                    <w:jc w:val="center"/>
                    <w:rPr>
                      <w:color w:val="auto"/>
                      <w:szCs w:val="21"/>
                    </w:rPr>
                  </w:pPr>
                  <w:r>
                    <w:rPr>
                      <w:rFonts w:hint="eastAsia"/>
                      <w:color w:val="auto"/>
                      <w:szCs w:val="21"/>
                    </w:rPr>
                    <w:t>/</w:t>
                  </w:r>
                </w:p>
              </w:tc>
              <w:tc>
                <w:tcPr>
                  <w:tcW w:w="765" w:type="dxa"/>
                  <w:vAlign w:val="center"/>
                </w:tcPr>
                <w:p>
                  <w:pPr>
                    <w:jc w:val="center"/>
                    <w:rPr>
                      <w:color w:val="auto"/>
                      <w:szCs w:val="21"/>
                    </w:rPr>
                  </w:pPr>
                  <w:r>
                    <w:rPr>
                      <w:rFonts w:hint="eastAsia"/>
                      <w:color w:val="auto"/>
                      <w:szCs w:val="21"/>
                    </w:rPr>
                    <w:t>/</w:t>
                  </w:r>
                </w:p>
              </w:tc>
              <w:tc>
                <w:tcPr>
                  <w:tcW w:w="735" w:type="dxa"/>
                  <w:vAlign w:val="center"/>
                </w:tcPr>
                <w:p>
                  <w:pPr>
                    <w:jc w:val="center"/>
                    <w:rPr>
                      <w:color w:val="auto"/>
                      <w:szCs w:val="21"/>
                    </w:rPr>
                  </w:pPr>
                  <w:r>
                    <w:rPr>
                      <w:rFonts w:hint="eastAsia"/>
                      <w:color w:val="auto"/>
                      <w:szCs w:val="21"/>
                    </w:rPr>
                    <w:t>/</w:t>
                  </w:r>
                </w:p>
              </w:tc>
              <w:tc>
                <w:tcPr>
                  <w:tcW w:w="930" w:type="dxa"/>
                  <w:vAlign w:val="center"/>
                </w:tcPr>
                <w:p>
                  <w:pPr>
                    <w:jc w:val="center"/>
                    <w:rPr>
                      <w:color w:val="auto"/>
                      <w:szCs w:val="21"/>
                    </w:rPr>
                  </w:pPr>
                  <w:r>
                    <w:rPr>
                      <w:rFonts w:hint="eastAsia"/>
                      <w:color w:val="auto"/>
                      <w:szCs w:val="21"/>
                    </w:rPr>
                    <w:t>车间内自然沉降</w:t>
                  </w:r>
                </w:p>
              </w:tc>
              <w:tc>
                <w:tcPr>
                  <w:tcW w:w="1209" w:type="dxa"/>
                  <w:vAlign w:val="center"/>
                </w:tcPr>
                <w:p>
                  <w:pPr>
                    <w:jc w:val="center"/>
                    <w:rPr>
                      <w:color w:val="auto"/>
                      <w:szCs w:val="21"/>
                    </w:rPr>
                  </w:pPr>
                  <w:r>
                    <w:rPr>
                      <w:rFonts w:hint="eastAsia"/>
                      <w:color w:val="auto"/>
                      <w:szCs w:val="21"/>
                    </w:rPr>
                    <w:t>油烟净化器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vMerge w:val="continue"/>
                  <w:vAlign w:val="center"/>
                </w:tcPr>
                <w:p>
                  <w:pPr>
                    <w:jc w:val="center"/>
                    <w:rPr>
                      <w:color w:val="auto"/>
                      <w:szCs w:val="21"/>
                    </w:rPr>
                  </w:pPr>
                </w:p>
              </w:tc>
              <w:tc>
                <w:tcPr>
                  <w:tcW w:w="1065" w:type="dxa"/>
                  <w:vAlign w:val="center"/>
                </w:tcPr>
                <w:p>
                  <w:pPr>
                    <w:jc w:val="center"/>
                    <w:rPr>
                      <w:color w:val="auto"/>
                      <w:szCs w:val="21"/>
                    </w:rPr>
                  </w:pPr>
                  <w:r>
                    <w:rPr>
                      <w:color w:val="auto"/>
                      <w:szCs w:val="21"/>
                    </w:rPr>
                    <w:t>治理工艺去除率</w:t>
                  </w:r>
                </w:p>
              </w:tc>
              <w:tc>
                <w:tcPr>
                  <w:tcW w:w="675" w:type="dxa"/>
                  <w:vAlign w:val="center"/>
                </w:tcPr>
                <w:p>
                  <w:pPr>
                    <w:jc w:val="center"/>
                    <w:rPr>
                      <w:color w:val="auto"/>
                      <w:szCs w:val="21"/>
                    </w:rPr>
                  </w:pPr>
                  <w:r>
                    <w:rPr>
                      <w:rFonts w:hint="eastAsia"/>
                      <w:color w:val="auto"/>
                      <w:szCs w:val="21"/>
                    </w:rPr>
                    <w:t>75%</w:t>
                  </w:r>
                </w:p>
              </w:tc>
              <w:tc>
                <w:tcPr>
                  <w:tcW w:w="735" w:type="dxa"/>
                  <w:vAlign w:val="center"/>
                </w:tcPr>
                <w:p>
                  <w:pPr>
                    <w:jc w:val="center"/>
                    <w:rPr>
                      <w:color w:val="auto"/>
                      <w:szCs w:val="21"/>
                    </w:rPr>
                  </w:pPr>
                  <w:r>
                    <w:rPr>
                      <w:rFonts w:hint="eastAsia"/>
                      <w:color w:val="auto"/>
                      <w:szCs w:val="21"/>
                    </w:rPr>
                    <w:t>80%</w:t>
                  </w:r>
                </w:p>
              </w:tc>
              <w:tc>
                <w:tcPr>
                  <w:tcW w:w="810" w:type="dxa"/>
                  <w:vAlign w:val="center"/>
                </w:tcPr>
                <w:p>
                  <w:pPr>
                    <w:jc w:val="center"/>
                    <w:rPr>
                      <w:color w:val="auto"/>
                      <w:szCs w:val="21"/>
                    </w:rPr>
                  </w:pPr>
                  <w:r>
                    <w:rPr>
                      <w:rFonts w:hint="eastAsia"/>
                      <w:color w:val="auto"/>
                      <w:szCs w:val="21"/>
                    </w:rPr>
                    <w:t>/</w:t>
                  </w:r>
                </w:p>
              </w:tc>
              <w:tc>
                <w:tcPr>
                  <w:tcW w:w="750" w:type="dxa"/>
                  <w:vAlign w:val="center"/>
                </w:tcPr>
                <w:p>
                  <w:pPr>
                    <w:jc w:val="center"/>
                    <w:rPr>
                      <w:color w:val="auto"/>
                      <w:szCs w:val="21"/>
                    </w:rPr>
                  </w:pPr>
                  <w:r>
                    <w:rPr>
                      <w:rFonts w:hint="eastAsia"/>
                      <w:color w:val="auto"/>
                      <w:szCs w:val="21"/>
                    </w:rPr>
                    <w:t>/</w:t>
                  </w:r>
                </w:p>
              </w:tc>
              <w:tc>
                <w:tcPr>
                  <w:tcW w:w="765" w:type="dxa"/>
                  <w:vAlign w:val="center"/>
                </w:tcPr>
                <w:p>
                  <w:pPr>
                    <w:jc w:val="center"/>
                    <w:rPr>
                      <w:color w:val="auto"/>
                      <w:szCs w:val="21"/>
                    </w:rPr>
                  </w:pPr>
                  <w:r>
                    <w:rPr>
                      <w:rFonts w:hint="eastAsia"/>
                      <w:color w:val="auto"/>
                      <w:szCs w:val="21"/>
                    </w:rPr>
                    <w:t>/</w:t>
                  </w:r>
                </w:p>
              </w:tc>
              <w:tc>
                <w:tcPr>
                  <w:tcW w:w="735" w:type="dxa"/>
                  <w:vAlign w:val="center"/>
                </w:tcPr>
                <w:p>
                  <w:pPr>
                    <w:jc w:val="center"/>
                    <w:rPr>
                      <w:color w:val="auto"/>
                      <w:szCs w:val="21"/>
                    </w:rPr>
                  </w:pPr>
                  <w:r>
                    <w:rPr>
                      <w:rFonts w:hint="eastAsia"/>
                      <w:color w:val="auto"/>
                      <w:szCs w:val="21"/>
                    </w:rPr>
                    <w:t>/</w:t>
                  </w:r>
                </w:p>
              </w:tc>
              <w:tc>
                <w:tcPr>
                  <w:tcW w:w="930" w:type="dxa"/>
                  <w:vAlign w:val="center"/>
                </w:tcPr>
                <w:p>
                  <w:pPr>
                    <w:jc w:val="center"/>
                    <w:rPr>
                      <w:color w:val="auto"/>
                      <w:szCs w:val="21"/>
                    </w:rPr>
                  </w:pPr>
                  <w:r>
                    <w:rPr>
                      <w:rFonts w:hint="eastAsia"/>
                      <w:color w:val="auto"/>
                      <w:szCs w:val="21"/>
                    </w:rPr>
                    <w:t>50%</w:t>
                  </w:r>
                </w:p>
              </w:tc>
              <w:tc>
                <w:tcPr>
                  <w:tcW w:w="1209" w:type="dxa"/>
                  <w:vAlign w:val="center"/>
                </w:tcPr>
                <w:p>
                  <w:pPr>
                    <w:jc w:val="center"/>
                    <w:rPr>
                      <w:color w:val="auto"/>
                      <w:szCs w:val="21"/>
                    </w:rPr>
                  </w:pPr>
                  <w:r>
                    <w:rPr>
                      <w:rFonts w:hint="eastAsia"/>
                      <w:color w:val="auto"/>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vMerge w:val="continue"/>
                  <w:vAlign w:val="center"/>
                </w:tcPr>
                <w:p>
                  <w:pPr>
                    <w:jc w:val="center"/>
                    <w:rPr>
                      <w:color w:val="auto"/>
                      <w:szCs w:val="21"/>
                    </w:rPr>
                  </w:pPr>
                </w:p>
              </w:tc>
              <w:tc>
                <w:tcPr>
                  <w:tcW w:w="1065" w:type="dxa"/>
                  <w:vAlign w:val="center"/>
                </w:tcPr>
                <w:p>
                  <w:pPr>
                    <w:jc w:val="center"/>
                    <w:rPr>
                      <w:color w:val="auto"/>
                      <w:szCs w:val="21"/>
                    </w:rPr>
                  </w:pPr>
                  <w:r>
                    <w:rPr>
                      <w:color w:val="auto"/>
                      <w:szCs w:val="21"/>
                    </w:rPr>
                    <w:t>是否为可行技术</w:t>
                  </w:r>
                </w:p>
              </w:tc>
              <w:tc>
                <w:tcPr>
                  <w:tcW w:w="2220" w:type="dxa"/>
                  <w:gridSpan w:val="3"/>
                  <w:vAlign w:val="center"/>
                </w:tcPr>
                <w:p>
                  <w:pPr>
                    <w:jc w:val="center"/>
                    <w:rPr>
                      <w:color w:val="auto"/>
                      <w:szCs w:val="21"/>
                    </w:rPr>
                  </w:pPr>
                  <w:r>
                    <w:rPr>
                      <w:rFonts w:hint="eastAsia"/>
                      <w:color w:val="auto"/>
                      <w:szCs w:val="21"/>
                    </w:rPr>
                    <w:t>是</w:t>
                  </w:r>
                </w:p>
              </w:tc>
              <w:tc>
                <w:tcPr>
                  <w:tcW w:w="750" w:type="dxa"/>
                  <w:vAlign w:val="center"/>
                </w:tcPr>
                <w:p>
                  <w:pPr>
                    <w:jc w:val="center"/>
                    <w:rPr>
                      <w:color w:val="auto"/>
                      <w:szCs w:val="21"/>
                    </w:rPr>
                  </w:pPr>
                  <w:r>
                    <w:rPr>
                      <w:rFonts w:hint="eastAsia"/>
                      <w:color w:val="auto"/>
                      <w:szCs w:val="21"/>
                    </w:rPr>
                    <w:t>/</w:t>
                  </w:r>
                </w:p>
              </w:tc>
              <w:tc>
                <w:tcPr>
                  <w:tcW w:w="765" w:type="dxa"/>
                  <w:vAlign w:val="center"/>
                </w:tcPr>
                <w:p>
                  <w:pPr>
                    <w:jc w:val="center"/>
                    <w:rPr>
                      <w:color w:val="auto"/>
                      <w:szCs w:val="21"/>
                    </w:rPr>
                  </w:pPr>
                  <w:r>
                    <w:rPr>
                      <w:rFonts w:hint="eastAsia"/>
                      <w:color w:val="auto"/>
                      <w:szCs w:val="21"/>
                    </w:rPr>
                    <w:t>/</w:t>
                  </w:r>
                </w:p>
              </w:tc>
              <w:tc>
                <w:tcPr>
                  <w:tcW w:w="735" w:type="dxa"/>
                  <w:vAlign w:val="center"/>
                </w:tcPr>
                <w:p>
                  <w:pPr>
                    <w:jc w:val="center"/>
                    <w:rPr>
                      <w:color w:val="auto"/>
                      <w:szCs w:val="21"/>
                    </w:rPr>
                  </w:pPr>
                  <w:r>
                    <w:rPr>
                      <w:rFonts w:hint="eastAsia"/>
                      <w:color w:val="auto"/>
                      <w:szCs w:val="21"/>
                    </w:rPr>
                    <w:t>/</w:t>
                  </w:r>
                </w:p>
              </w:tc>
              <w:tc>
                <w:tcPr>
                  <w:tcW w:w="930" w:type="dxa"/>
                  <w:vAlign w:val="center"/>
                </w:tcPr>
                <w:p>
                  <w:pPr>
                    <w:jc w:val="center"/>
                    <w:rPr>
                      <w:color w:val="auto"/>
                      <w:szCs w:val="21"/>
                    </w:rPr>
                  </w:pPr>
                  <w:r>
                    <w:rPr>
                      <w:rFonts w:hint="eastAsia"/>
                      <w:color w:val="auto"/>
                      <w:szCs w:val="21"/>
                    </w:rPr>
                    <w:t>是</w:t>
                  </w:r>
                </w:p>
              </w:tc>
              <w:tc>
                <w:tcPr>
                  <w:tcW w:w="1209" w:type="dxa"/>
                  <w:vAlign w:val="center"/>
                </w:tcPr>
                <w:p>
                  <w:pPr>
                    <w:jc w:val="center"/>
                    <w:rPr>
                      <w:color w:val="auto"/>
                      <w:szCs w:val="21"/>
                    </w:rPr>
                  </w:pPr>
                  <w:r>
                    <w:rPr>
                      <w:rFonts w:hint="eastAsia"/>
                      <w:color w:val="auto"/>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386" w:type="dxa"/>
                  <w:vMerge w:val="continue"/>
                  <w:vAlign w:val="center"/>
                </w:tcPr>
                <w:p>
                  <w:pPr>
                    <w:jc w:val="center"/>
                    <w:rPr>
                      <w:color w:val="auto"/>
                      <w:szCs w:val="21"/>
                    </w:rPr>
                  </w:pPr>
                </w:p>
              </w:tc>
              <w:tc>
                <w:tcPr>
                  <w:tcW w:w="1065" w:type="dxa"/>
                  <w:vAlign w:val="center"/>
                </w:tcPr>
                <w:p>
                  <w:pPr>
                    <w:jc w:val="center"/>
                    <w:rPr>
                      <w:color w:val="auto"/>
                      <w:szCs w:val="21"/>
                    </w:rPr>
                  </w:pPr>
                  <w:r>
                    <w:rPr>
                      <w:color w:val="auto"/>
                      <w:szCs w:val="21"/>
                    </w:rPr>
                    <w:t>污染物排放浓度（mg/m</w:t>
                  </w:r>
                  <w:r>
                    <w:rPr>
                      <w:color w:val="auto"/>
                      <w:szCs w:val="21"/>
                      <w:vertAlign w:val="superscript"/>
                    </w:rPr>
                    <w:t>3</w:t>
                  </w:r>
                  <w:r>
                    <w:rPr>
                      <w:color w:val="auto"/>
                      <w:szCs w:val="21"/>
                    </w:rPr>
                    <w:t>）</w:t>
                  </w:r>
                </w:p>
              </w:tc>
              <w:tc>
                <w:tcPr>
                  <w:tcW w:w="675" w:type="dxa"/>
                  <w:vAlign w:val="center"/>
                </w:tcPr>
                <w:p>
                  <w:pPr>
                    <w:jc w:val="center"/>
                    <w:rPr>
                      <w:color w:val="auto"/>
                      <w:szCs w:val="21"/>
                    </w:rPr>
                  </w:pPr>
                  <w:r>
                    <w:rPr>
                      <w:rFonts w:hint="eastAsia"/>
                      <w:color w:val="auto"/>
                      <w:szCs w:val="21"/>
                    </w:rPr>
                    <w:t>2.5</w:t>
                  </w:r>
                </w:p>
              </w:tc>
              <w:tc>
                <w:tcPr>
                  <w:tcW w:w="735" w:type="dxa"/>
                  <w:vAlign w:val="center"/>
                </w:tcPr>
                <w:p>
                  <w:pPr>
                    <w:jc w:val="center"/>
                    <w:rPr>
                      <w:color w:val="auto"/>
                      <w:szCs w:val="21"/>
                    </w:rPr>
                  </w:pPr>
                  <w:r>
                    <w:rPr>
                      <w:rFonts w:hint="eastAsia"/>
                      <w:color w:val="auto"/>
                      <w:szCs w:val="21"/>
                    </w:rPr>
                    <w:t>13.99</w:t>
                  </w:r>
                </w:p>
              </w:tc>
              <w:tc>
                <w:tcPr>
                  <w:tcW w:w="810" w:type="dxa"/>
                  <w:vAlign w:val="center"/>
                </w:tcPr>
                <w:p>
                  <w:pPr>
                    <w:jc w:val="center"/>
                    <w:rPr>
                      <w:color w:val="auto"/>
                      <w:szCs w:val="21"/>
                    </w:rPr>
                  </w:pPr>
                  <w:r>
                    <w:rPr>
                      <w:rFonts w:hint="eastAsia"/>
                      <w:color w:val="auto"/>
                      <w:szCs w:val="21"/>
                    </w:rPr>
                    <w:t>1318（无量纲）</w:t>
                  </w:r>
                </w:p>
              </w:tc>
              <w:tc>
                <w:tcPr>
                  <w:tcW w:w="750" w:type="dxa"/>
                  <w:vAlign w:val="center"/>
                </w:tcPr>
                <w:p>
                  <w:pPr>
                    <w:jc w:val="center"/>
                    <w:rPr>
                      <w:color w:val="auto"/>
                      <w:szCs w:val="21"/>
                    </w:rPr>
                  </w:pPr>
                  <w:r>
                    <w:rPr>
                      <w:rFonts w:hint="eastAsia"/>
                      <w:color w:val="auto"/>
                      <w:szCs w:val="21"/>
                    </w:rPr>
                    <w:t>/</w:t>
                  </w:r>
                </w:p>
              </w:tc>
              <w:tc>
                <w:tcPr>
                  <w:tcW w:w="765" w:type="dxa"/>
                  <w:vAlign w:val="center"/>
                </w:tcPr>
                <w:p>
                  <w:pPr>
                    <w:jc w:val="center"/>
                    <w:rPr>
                      <w:color w:val="auto"/>
                      <w:szCs w:val="21"/>
                    </w:rPr>
                  </w:pPr>
                  <w:r>
                    <w:rPr>
                      <w:rFonts w:hint="eastAsia"/>
                      <w:color w:val="auto"/>
                      <w:szCs w:val="21"/>
                    </w:rPr>
                    <w:t>/</w:t>
                  </w:r>
                </w:p>
              </w:tc>
              <w:tc>
                <w:tcPr>
                  <w:tcW w:w="735" w:type="dxa"/>
                  <w:vAlign w:val="center"/>
                </w:tcPr>
                <w:p>
                  <w:pPr>
                    <w:jc w:val="center"/>
                    <w:rPr>
                      <w:color w:val="auto"/>
                      <w:szCs w:val="21"/>
                    </w:rPr>
                  </w:pPr>
                  <w:r>
                    <w:rPr>
                      <w:rFonts w:hint="eastAsia"/>
                      <w:color w:val="auto"/>
                      <w:szCs w:val="21"/>
                    </w:rPr>
                    <w:t>/</w:t>
                  </w:r>
                </w:p>
              </w:tc>
              <w:tc>
                <w:tcPr>
                  <w:tcW w:w="930" w:type="dxa"/>
                  <w:vAlign w:val="center"/>
                </w:tcPr>
                <w:p>
                  <w:pPr>
                    <w:jc w:val="center"/>
                    <w:rPr>
                      <w:color w:val="auto"/>
                      <w:szCs w:val="21"/>
                    </w:rPr>
                  </w:pPr>
                  <w:r>
                    <w:rPr>
                      <w:rFonts w:hint="eastAsia"/>
                      <w:color w:val="auto"/>
                      <w:szCs w:val="21"/>
                    </w:rPr>
                    <w:t>/</w:t>
                  </w:r>
                </w:p>
              </w:tc>
              <w:tc>
                <w:tcPr>
                  <w:tcW w:w="1209" w:type="dxa"/>
                  <w:vAlign w:val="center"/>
                </w:tcPr>
                <w:p>
                  <w:pPr>
                    <w:jc w:val="center"/>
                    <w:rPr>
                      <w:color w:val="auto"/>
                      <w:szCs w:val="21"/>
                    </w:rPr>
                  </w:pPr>
                  <w:r>
                    <w:rPr>
                      <w:rFonts w:hint="eastAsia"/>
                      <w:color w:val="auto"/>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vMerge w:val="continue"/>
                  <w:vAlign w:val="center"/>
                </w:tcPr>
                <w:p>
                  <w:pPr>
                    <w:jc w:val="center"/>
                    <w:rPr>
                      <w:color w:val="auto"/>
                      <w:szCs w:val="21"/>
                    </w:rPr>
                  </w:pPr>
                </w:p>
              </w:tc>
              <w:tc>
                <w:tcPr>
                  <w:tcW w:w="1065" w:type="dxa"/>
                  <w:vAlign w:val="center"/>
                </w:tcPr>
                <w:p>
                  <w:pPr>
                    <w:jc w:val="center"/>
                    <w:rPr>
                      <w:color w:val="auto"/>
                      <w:szCs w:val="21"/>
                    </w:rPr>
                  </w:pPr>
                  <w:r>
                    <w:rPr>
                      <w:color w:val="auto"/>
                      <w:szCs w:val="21"/>
                    </w:rPr>
                    <w:t>污染物排放速率（kg/h）</w:t>
                  </w:r>
                </w:p>
              </w:tc>
              <w:tc>
                <w:tcPr>
                  <w:tcW w:w="675" w:type="dxa"/>
                  <w:vAlign w:val="center"/>
                </w:tcPr>
                <w:p>
                  <w:pPr>
                    <w:jc w:val="center"/>
                    <w:rPr>
                      <w:color w:val="auto"/>
                      <w:szCs w:val="21"/>
                    </w:rPr>
                  </w:pPr>
                  <w:r>
                    <w:rPr>
                      <w:rFonts w:hint="eastAsia"/>
                      <w:color w:val="auto"/>
                      <w:szCs w:val="21"/>
                    </w:rPr>
                    <w:t>0.0213</w:t>
                  </w:r>
                </w:p>
              </w:tc>
              <w:tc>
                <w:tcPr>
                  <w:tcW w:w="735" w:type="dxa"/>
                  <w:vAlign w:val="center"/>
                </w:tcPr>
                <w:p>
                  <w:pPr>
                    <w:jc w:val="center"/>
                    <w:rPr>
                      <w:color w:val="auto"/>
                      <w:szCs w:val="21"/>
                    </w:rPr>
                  </w:pPr>
                  <w:r>
                    <w:rPr>
                      <w:rFonts w:hint="eastAsia"/>
                      <w:color w:val="auto"/>
                      <w:szCs w:val="21"/>
                    </w:rPr>
                    <w:t>0.1195</w:t>
                  </w:r>
                </w:p>
              </w:tc>
              <w:tc>
                <w:tcPr>
                  <w:tcW w:w="810" w:type="dxa"/>
                  <w:vAlign w:val="center"/>
                </w:tcPr>
                <w:p>
                  <w:pPr>
                    <w:jc w:val="center"/>
                    <w:rPr>
                      <w:color w:val="auto"/>
                      <w:szCs w:val="21"/>
                    </w:rPr>
                  </w:pPr>
                  <w:r>
                    <w:rPr>
                      <w:rFonts w:hint="eastAsia"/>
                      <w:color w:val="auto"/>
                      <w:szCs w:val="21"/>
                    </w:rPr>
                    <w:t>/</w:t>
                  </w:r>
                </w:p>
              </w:tc>
              <w:tc>
                <w:tcPr>
                  <w:tcW w:w="750" w:type="dxa"/>
                  <w:vAlign w:val="center"/>
                </w:tcPr>
                <w:p>
                  <w:pPr>
                    <w:jc w:val="center"/>
                    <w:rPr>
                      <w:color w:val="auto"/>
                      <w:szCs w:val="21"/>
                    </w:rPr>
                  </w:pPr>
                  <w:r>
                    <w:rPr>
                      <w:rFonts w:hint="eastAsia"/>
                      <w:color w:val="auto"/>
                      <w:szCs w:val="21"/>
                    </w:rPr>
                    <w:t>0.0213</w:t>
                  </w:r>
                </w:p>
              </w:tc>
              <w:tc>
                <w:tcPr>
                  <w:tcW w:w="765" w:type="dxa"/>
                  <w:vAlign w:val="center"/>
                </w:tcPr>
                <w:p>
                  <w:pPr>
                    <w:jc w:val="center"/>
                    <w:rPr>
                      <w:color w:val="auto"/>
                      <w:szCs w:val="21"/>
                    </w:rPr>
                  </w:pPr>
                  <w:r>
                    <w:rPr>
                      <w:rFonts w:hint="eastAsia"/>
                      <w:color w:val="auto"/>
                      <w:szCs w:val="21"/>
                    </w:rPr>
                    <w:t>0.149</w:t>
                  </w:r>
                </w:p>
              </w:tc>
              <w:tc>
                <w:tcPr>
                  <w:tcW w:w="735" w:type="dxa"/>
                  <w:vAlign w:val="center"/>
                </w:tcPr>
                <w:p>
                  <w:pPr>
                    <w:jc w:val="center"/>
                    <w:rPr>
                      <w:color w:val="auto"/>
                      <w:szCs w:val="21"/>
                    </w:rPr>
                  </w:pPr>
                  <w:r>
                    <w:rPr>
                      <w:rFonts w:hint="eastAsia"/>
                      <w:color w:val="auto"/>
                      <w:szCs w:val="21"/>
                    </w:rPr>
                    <w:t>/</w:t>
                  </w:r>
                </w:p>
              </w:tc>
              <w:tc>
                <w:tcPr>
                  <w:tcW w:w="930" w:type="dxa"/>
                  <w:vAlign w:val="center"/>
                </w:tcPr>
                <w:p>
                  <w:pPr>
                    <w:jc w:val="center"/>
                    <w:rPr>
                      <w:color w:val="auto"/>
                      <w:szCs w:val="21"/>
                    </w:rPr>
                  </w:pPr>
                  <w:r>
                    <w:rPr>
                      <w:rFonts w:hint="eastAsia"/>
                      <w:color w:val="auto"/>
                      <w:szCs w:val="21"/>
                    </w:rPr>
                    <w:t>0.106</w:t>
                  </w:r>
                </w:p>
              </w:tc>
              <w:tc>
                <w:tcPr>
                  <w:tcW w:w="1209" w:type="dxa"/>
                  <w:vAlign w:val="center"/>
                </w:tcPr>
                <w:p>
                  <w:pPr>
                    <w:jc w:val="center"/>
                    <w:rPr>
                      <w:color w:val="auto"/>
                      <w:szCs w:val="21"/>
                    </w:rPr>
                  </w:pPr>
                  <w:r>
                    <w:rPr>
                      <w:rFonts w:hint="eastAsia"/>
                      <w:color w:val="auto"/>
                      <w:szCs w:val="21"/>
                    </w:rPr>
                    <w:t>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vMerge w:val="continue"/>
                  <w:vAlign w:val="center"/>
                </w:tcPr>
                <w:p>
                  <w:pPr>
                    <w:jc w:val="center"/>
                    <w:rPr>
                      <w:color w:val="auto"/>
                      <w:szCs w:val="21"/>
                    </w:rPr>
                  </w:pPr>
                </w:p>
              </w:tc>
              <w:tc>
                <w:tcPr>
                  <w:tcW w:w="1065" w:type="dxa"/>
                  <w:vAlign w:val="center"/>
                </w:tcPr>
                <w:p>
                  <w:pPr>
                    <w:jc w:val="center"/>
                    <w:rPr>
                      <w:color w:val="auto"/>
                      <w:szCs w:val="21"/>
                    </w:rPr>
                  </w:pPr>
                  <w:r>
                    <w:rPr>
                      <w:color w:val="auto"/>
                      <w:szCs w:val="21"/>
                    </w:rPr>
                    <w:t>污染物排放量（t/a）</w:t>
                  </w:r>
                </w:p>
              </w:tc>
              <w:tc>
                <w:tcPr>
                  <w:tcW w:w="675" w:type="dxa"/>
                  <w:vAlign w:val="center"/>
                </w:tcPr>
                <w:p>
                  <w:pPr>
                    <w:jc w:val="center"/>
                    <w:rPr>
                      <w:color w:val="auto"/>
                      <w:szCs w:val="21"/>
                    </w:rPr>
                  </w:pPr>
                  <w:r>
                    <w:rPr>
                      <w:rFonts w:hint="eastAsia"/>
                      <w:color w:val="auto"/>
                      <w:szCs w:val="21"/>
                    </w:rPr>
                    <w:t>0.0512</w:t>
                  </w:r>
                </w:p>
              </w:tc>
              <w:tc>
                <w:tcPr>
                  <w:tcW w:w="735" w:type="dxa"/>
                  <w:vAlign w:val="center"/>
                </w:tcPr>
                <w:p>
                  <w:pPr>
                    <w:jc w:val="center"/>
                    <w:rPr>
                      <w:color w:val="auto"/>
                      <w:szCs w:val="21"/>
                    </w:rPr>
                  </w:pPr>
                  <w:r>
                    <w:rPr>
                      <w:rFonts w:hint="eastAsia"/>
                      <w:color w:val="auto"/>
                      <w:szCs w:val="21"/>
                    </w:rPr>
                    <w:t>0.2867</w:t>
                  </w:r>
                </w:p>
              </w:tc>
              <w:tc>
                <w:tcPr>
                  <w:tcW w:w="810" w:type="dxa"/>
                  <w:vAlign w:val="center"/>
                </w:tcPr>
                <w:p>
                  <w:pPr>
                    <w:jc w:val="center"/>
                    <w:rPr>
                      <w:color w:val="auto"/>
                      <w:szCs w:val="21"/>
                    </w:rPr>
                  </w:pPr>
                  <w:r>
                    <w:rPr>
                      <w:rFonts w:hint="eastAsia"/>
                      <w:color w:val="auto"/>
                      <w:szCs w:val="21"/>
                    </w:rPr>
                    <w:t>/</w:t>
                  </w:r>
                </w:p>
              </w:tc>
              <w:tc>
                <w:tcPr>
                  <w:tcW w:w="750" w:type="dxa"/>
                  <w:vAlign w:val="center"/>
                </w:tcPr>
                <w:p>
                  <w:pPr>
                    <w:jc w:val="center"/>
                    <w:rPr>
                      <w:color w:val="auto"/>
                      <w:szCs w:val="21"/>
                    </w:rPr>
                  </w:pPr>
                  <w:r>
                    <w:rPr>
                      <w:rFonts w:hint="eastAsia"/>
                      <w:color w:val="auto"/>
                      <w:szCs w:val="21"/>
                    </w:rPr>
                    <w:t>0.0512</w:t>
                  </w:r>
                </w:p>
              </w:tc>
              <w:tc>
                <w:tcPr>
                  <w:tcW w:w="765" w:type="dxa"/>
                  <w:vAlign w:val="center"/>
                </w:tcPr>
                <w:p>
                  <w:pPr>
                    <w:jc w:val="center"/>
                    <w:rPr>
                      <w:color w:val="auto"/>
                      <w:szCs w:val="21"/>
                    </w:rPr>
                  </w:pPr>
                  <w:r>
                    <w:rPr>
                      <w:rFonts w:hint="eastAsia"/>
                      <w:color w:val="auto"/>
                      <w:szCs w:val="21"/>
                    </w:rPr>
                    <w:t>0.3584</w:t>
                  </w:r>
                </w:p>
              </w:tc>
              <w:tc>
                <w:tcPr>
                  <w:tcW w:w="735" w:type="dxa"/>
                  <w:vAlign w:val="center"/>
                </w:tcPr>
                <w:p>
                  <w:pPr>
                    <w:jc w:val="center"/>
                    <w:rPr>
                      <w:color w:val="auto"/>
                      <w:szCs w:val="21"/>
                    </w:rPr>
                  </w:pPr>
                  <w:r>
                    <w:rPr>
                      <w:rFonts w:hint="eastAsia"/>
                      <w:color w:val="auto"/>
                      <w:szCs w:val="21"/>
                    </w:rPr>
                    <w:t>/</w:t>
                  </w:r>
                </w:p>
              </w:tc>
              <w:tc>
                <w:tcPr>
                  <w:tcW w:w="930" w:type="dxa"/>
                  <w:vAlign w:val="center"/>
                </w:tcPr>
                <w:p>
                  <w:pPr>
                    <w:jc w:val="center"/>
                    <w:rPr>
                      <w:color w:val="auto"/>
                      <w:szCs w:val="21"/>
                    </w:rPr>
                  </w:pPr>
                  <w:r>
                    <w:rPr>
                      <w:rFonts w:hint="eastAsia"/>
                      <w:color w:val="auto"/>
                      <w:szCs w:val="21"/>
                    </w:rPr>
                    <w:t>0.256</w:t>
                  </w:r>
                </w:p>
              </w:tc>
              <w:tc>
                <w:tcPr>
                  <w:tcW w:w="1209" w:type="dxa"/>
                  <w:vAlign w:val="center"/>
                </w:tcPr>
                <w:p>
                  <w:pPr>
                    <w:jc w:val="center"/>
                    <w:rPr>
                      <w:color w:val="auto"/>
                      <w:szCs w:val="21"/>
                    </w:rPr>
                  </w:pPr>
                  <w:r>
                    <w:rPr>
                      <w:rFonts w:hint="eastAsia"/>
                      <w:color w:val="auto"/>
                      <w:szCs w:val="21"/>
                    </w:rPr>
                    <w:t>0.00102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vMerge w:val="restart"/>
                  <w:vAlign w:val="center"/>
                </w:tcPr>
                <w:p>
                  <w:pPr>
                    <w:jc w:val="center"/>
                    <w:rPr>
                      <w:color w:val="auto"/>
                      <w:szCs w:val="21"/>
                    </w:rPr>
                  </w:pPr>
                  <w:r>
                    <w:rPr>
                      <w:color w:val="auto"/>
                      <w:szCs w:val="21"/>
                    </w:rPr>
                    <w:t>排放口基本情况</w:t>
                  </w:r>
                </w:p>
              </w:tc>
              <w:tc>
                <w:tcPr>
                  <w:tcW w:w="1065" w:type="dxa"/>
                  <w:vAlign w:val="center"/>
                </w:tcPr>
                <w:p>
                  <w:pPr>
                    <w:jc w:val="center"/>
                    <w:rPr>
                      <w:color w:val="auto"/>
                      <w:szCs w:val="21"/>
                    </w:rPr>
                  </w:pPr>
                  <w:r>
                    <w:rPr>
                      <w:color w:val="auto"/>
                      <w:szCs w:val="21"/>
                    </w:rPr>
                    <w:t>排气筒高度</w:t>
                  </w:r>
                </w:p>
              </w:tc>
              <w:tc>
                <w:tcPr>
                  <w:tcW w:w="2220" w:type="dxa"/>
                  <w:gridSpan w:val="3"/>
                  <w:vAlign w:val="center"/>
                </w:tcPr>
                <w:p>
                  <w:pPr>
                    <w:jc w:val="center"/>
                    <w:rPr>
                      <w:color w:val="auto"/>
                    </w:rPr>
                  </w:pPr>
                  <w:r>
                    <w:rPr>
                      <w:rFonts w:hint="eastAsia"/>
                      <w:color w:val="auto"/>
                    </w:rPr>
                    <w:t>20m</w:t>
                  </w:r>
                </w:p>
              </w:tc>
              <w:tc>
                <w:tcPr>
                  <w:tcW w:w="750" w:type="dxa"/>
                  <w:vAlign w:val="center"/>
                </w:tcPr>
                <w:p>
                  <w:pPr>
                    <w:jc w:val="center"/>
                    <w:rPr>
                      <w:color w:val="auto"/>
                      <w:szCs w:val="21"/>
                    </w:rPr>
                  </w:pPr>
                  <w:r>
                    <w:rPr>
                      <w:rFonts w:hint="eastAsia"/>
                      <w:color w:val="auto"/>
                      <w:szCs w:val="21"/>
                    </w:rPr>
                    <w:t>/</w:t>
                  </w:r>
                </w:p>
              </w:tc>
              <w:tc>
                <w:tcPr>
                  <w:tcW w:w="765" w:type="dxa"/>
                  <w:vAlign w:val="center"/>
                </w:tcPr>
                <w:p>
                  <w:pPr>
                    <w:jc w:val="center"/>
                    <w:rPr>
                      <w:color w:val="auto"/>
                      <w:szCs w:val="21"/>
                    </w:rPr>
                  </w:pPr>
                  <w:r>
                    <w:rPr>
                      <w:rFonts w:hint="eastAsia"/>
                      <w:color w:val="auto"/>
                      <w:szCs w:val="21"/>
                    </w:rPr>
                    <w:t>/</w:t>
                  </w:r>
                </w:p>
              </w:tc>
              <w:tc>
                <w:tcPr>
                  <w:tcW w:w="735" w:type="dxa"/>
                  <w:vAlign w:val="center"/>
                </w:tcPr>
                <w:p>
                  <w:pPr>
                    <w:jc w:val="center"/>
                    <w:rPr>
                      <w:color w:val="auto"/>
                      <w:szCs w:val="21"/>
                    </w:rPr>
                  </w:pPr>
                  <w:r>
                    <w:rPr>
                      <w:rFonts w:hint="eastAsia"/>
                      <w:color w:val="auto"/>
                      <w:szCs w:val="21"/>
                    </w:rPr>
                    <w:t>/</w:t>
                  </w:r>
                </w:p>
              </w:tc>
              <w:tc>
                <w:tcPr>
                  <w:tcW w:w="930" w:type="dxa"/>
                  <w:vAlign w:val="center"/>
                </w:tcPr>
                <w:p>
                  <w:pPr>
                    <w:jc w:val="center"/>
                    <w:rPr>
                      <w:color w:val="auto"/>
                      <w:szCs w:val="21"/>
                    </w:rPr>
                  </w:pPr>
                  <w:r>
                    <w:rPr>
                      <w:rFonts w:hint="eastAsia"/>
                      <w:color w:val="auto"/>
                      <w:szCs w:val="21"/>
                    </w:rPr>
                    <w:t>/</w:t>
                  </w:r>
                </w:p>
              </w:tc>
              <w:tc>
                <w:tcPr>
                  <w:tcW w:w="1209" w:type="dxa"/>
                  <w:vAlign w:val="center"/>
                </w:tcPr>
                <w:p>
                  <w:pPr>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vMerge w:val="continue"/>
                  <w:vAlign w:val="center"/>
                </w:tcPr>
                <w:p>
                  <w:pPr>
                    <w:jc w:val="center"/>
                    <w:rPr>
                      <w:color w:val="auto"/>
                      <w:szCs w:val="21"/>
                    </w:rPr>
                  </w:pPr>
                </w:p>
              </w:tc>
              <w:tc>
                <w:tcPr>
                  <w:tcW w:w="1065" w:type="dxa"/>
                  <w:vAlign w:val="center"/>
                </w:tcPr>
                <w:p>
                  <w:pPr>
                    <w:jc w:val="center"/>
                    <w:rPr>
                      <w:color w:val="auto"/>
                      <w:szCs w:val="21"/>
                    </w:rPr>
                  </w:pPr>
                  <w:r>
                    <w:rPr>
                      <w:color w:val="auto"/>
                      <w:szCs w:val="21"/>
                    </w:rPr>
                    <w:t>排气筒内径</w:t>
                  </w:r>
                </w:p>
              </w:tc>
              <w:tc>
                <w:tcPr>
                  <w:tcW w:w="2220" w:type="dxa"/>
                  <w:gridSpan w:val="3"/>
                  <w:vAlign w:val="center"/>
                </w:tcPr>
                <w:p>
                  <w:pPr>
                    <w:jc w:val="center"/>
                    <w:rPr>
                      <w:color w:val="auto"/>
                      <w:szCs w:val="21"/>
                    </w:rPr>
                  </w:pPr>
                  <w:r>
                    <w:rPr>
                      <w:rFonts w:hint="eastAsia"/>
                      <w:color w:val="auto"/>
                      <w:szCs w:val="21"/>
                    </w:rPr>
                    <w:t>0.5m</w:t>
                  </w:r>
                </w:p>
              </w:tc>
              <w:tc>
                <w:tcPr>
                  <w:tcW w:w="750" w:type="dxa"/>
                  <w:vAlign w:val="center"/>
                </w:tcPr>
                <w:p>
                  <w:pPr>
                    <w:jc w:val="center"/>
                    <w:rPr>
                      <w:color w:val="auto"/>
                      <w:szCs w:val="21"/>
                    </w:rPr>
                  </w:pPr>
                  <w:r>
                    <w:rPr>
                      <w:rFonts w:hint="eastAsia"/>
                      <w:color w:val="auto"/>
                      <w:szCs w:val="21"/>
                    </w:rPr>
                    <w:t>/</w:t>
                  </w:r>
                </w:p>
              </w:tc>
              <w:tc>
                <w:tcPr>
                  <w:tcW w:w="765" w:type="dxa"/>
                  <w:vAlign w:val="center"/>
                </w:tcPr>
                <w:p>
                  <w:pPr>
                    <w:jc w:val="center"/>
                    <w:rPr>
                      <w:color w:val="auto"/>
                      <w:szCs w:val="21"/>
                    </w:rPr>
                  </w:pPr>
                  <w:r>
                    <w:rPr>
                      <w:rFonts w:hint="eastAsia"/>
                      <w:color w:val="auto"/>
                      <w:szCs w:val="21"/>
                    </w:rPr>
                    <w:t>/</w:t>
                  </w:r>
                </w:p>
              </w:tc>
              <w:tc>
                <w:tcPr>
                  <w:tcW w:w="735" w:type="dxa"/>
                  <w:vAlign w:val="center"/>
                </w:tcPr>
                <w:p>
                  <w:pPr>
                    <w:jc w:val="center"/>
                    <w:rPr>
                      <w:color w:val="auto"/>
                      <w:szCs w:val="21"/>
                    </w:rPr>
                  </w:pPr>
                  <w:r>
                    <w:rPr>
                      <w:rFonts w:hint="eastAsia"/>
                      <w:color w:val="auto"/>
                      <w:szCs w:val="21"/>
                    </w:rPr>
                    <w:t>/</w:t>
                  </w:r>
                </w:p>
              </w:tc>
              <w:tc>
                <w:tcPr>
                  <w:tcW w:w="930" w:type="dxa"/>
                  <w:vAlign w:val="center"/>
                </w:tcPr>
                <w:p>
                  <w:pPr>
                    <w:jc w:val="center"/>
                    <w:rPr>
                      <w:color w:val="auto"/>
                      <w:szCs w:val="21"/>
                    </w:rPr>
                  </w:pPr>
                  <w:r>
                    <w:rPr>
                      <w:rFonts w:hint="eastAsia"/>
                      <w:color w:val="auto"/>
                      <w:szCs w:val="21"/>
                    </w:rPr>
                    <w:t>/</w:t>
                  </w:r>
                </w:p>
              </w:tc>
              <w:tc>
                <w:tcPr>
                  <w:tcW w:w="1209" w:type="dxa"/>
                  <w:vAlign w:val="center"/>
                </w:tcPr>
                <w:p>
                  <w:pPr>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vMerge w:val="continue"/>
                  <w:vAlign w:val="center"/>
                </w:tcPr>
                <w:p>
                  <w:pPr>
                    <w:jc w:val="center"/>
                    <w:rPr>
                      <w:color w:val="auto"/>
                      <w:szCs w:val="21"/>
                    </w:rPr>
                  </w:pPr>
                </w:p>
              </w:tc>
              <w:tc>
                <w:tcPr>
                  <w:tcW w:w="1065" w:type="dxa"/>
                  <w:vAlign w:val="center"/>
                </w:tcPr>
                <w:p>
                  <w:pPr>
                    <w:jc w:val="center"/>
                    <w:rPr>
                      <w:color w:val="auto"/>
                      <w:szCs w:val="21"/>
                    </w:rPr>
                  </w:pPr>
                  <w:r>
                    <w:rPr>
                      <w:color w:val="auto"/>
                      <w:szCs w:val="21"/>
                    </w:rPr>
                    <w:t>温度</w:t>
                  </w:r>
                </w:p>
              </w:tc>
              <w:tc>
                <w:tcPr>
                  <w:tcW w:w="2220" w:type="dxa"/>
                  <w:gridSpan w:val="3"/>
                  <w:vAlign w:val="center"/>
                </w:tcPr>
                <w:p>
                  <w:pPr>
                    <w:jc w:val="center"/>
                    <w:rPr>
                      <w:color w:val="auto"/>
                      <w:szCs w:val="21"/>
                    </w:rPr>
                  </w:pPr>
                  <w:r>
                    <w:rPr>
                      <w:rFonts w:hint="eastAsia"/>
                      <w:color w:val="auto"/>
                      <w:szCs w:val="21"/>
                    </w:rPr>
                    <w:t>25℃</w:t>
                  </w:r>
                </w:p>
              </w:tc>
              <w:tc>
                <w:tcPr>
                  <w:tcW w:w="750" w:type="dxa"/>
                  <w:vAlign w:val="center"/>
                </w:tcPr>
                <w:p>
                  <w:pPr>
                    <w:jc w:val="center"/>
                    <w:rPr>
                      <w:color w:val="auto"/>
                      <w:szCs w:val="21"/>
                    </w:rPr>
                  </w:pPr>
                  <w:r>
                    <w:rPr>
                      <w:rFonts w:hint="eastAsia"/>
                      <w:color w:val="auto"/>
                      <w:szCs w:val="21"/>
                    </w:rPr>
                    <w:t>/</w:t>
                  </w:r>
                </w:p>
              </w:tc>
              <w:tc>
                <w:tcPr>
                  <w:tcW w:w="765" w:type="dxa"/>
                  <w:vAlign w:val="center"/>
                </w:tcPr>
                <w:p>
                  <w:pPr>
                    <w:jc w:val="center"/>
                    <w:rPr>
                      <w:color w:val="auto"/>
                      <w:szCs w:val="21"/>
                    </w:rPr>
                  </w:pPr>
                  <w:r>
                    <w:rPr>
                      <w:rFonts w:hint="eastAsia"/>
                      <w:color w:val="auto"/>
                      <w:szCs w:val="21"/>
                    </w:rPr>
                    <w:t>/</w:t>
                  </w:r>
                </w:p>
              </w:tc>
              <w:tc>
                <w:tcPr>
                  <w:tcW w:w="735" w:type="dxa"/>
                  <w:vAlign w:val="center"/>
                </w:tcPr>
                <w:p>
                  <w:pPr>
                    <w:jc w:val="center"/>
                    <w:rPr>
                      <w:color w:val="auto"/>
                      <w:szCs w:val="21"/>
                    </w:rPr>
                  </w:pPr>
                  <w:r>
                    <w:rPr>
                      <w:rFonts w:hint="eastAsia"/>
                      <w:color w:val="auto"/>
                      <w:szCs w:val="21"/>
                    </w:rPr>
                    <w:t>/</w:t>
                  </w:r>
                </w:p>
              </w:tc>
              <w:tc>
                <w:tcPr>
                  <w:tcW w:w="930" w:type="dxa"/>
                  <w:vAlign w:val="center"/>
                </w:tcPr>
                <w:p>
                  <w:pPr>
                    <w:jc w:val="center"/>
                    <w:rPr>
                      <w:color w:val="auto"/>
                      <w:szCs w:val="21"/>
                    </w:rPr>
                  </w:pPr>
                  <w:r>
                    <w:rPr>
                      <w:rFonts w:hint="eastAsia"/>
                      <w:color w:val="auto"/>
                      <w:szCs w:val="21"/>
                    </w:rPr>
                    <w:t>/</w:t>
                  </w:r>
                </w:p>
              </w:tc>
              <w:tc>
                <w:tcPr>
                  <w:tcW w:w="1209" w:type="dxa"/>
                  <w:vAlign w:val="center"/>
                </w:tcPr>
                <w:p>
                  <w:pPr>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86" w:type="dxa"/>
                  <w:vMerge w:val="continue"/>
                  <w:vAlign w:val="center"/>
                </w:tcPr>
                <w:p>
                  <w:pPr>
                    <w:jc w:val="center"/>
                    <w:rPr>
                      <w:color w:val="auto"/>
                      <w:szCs w:val="21"/>
                    </w:rPr>
                  </w:pPr>
                </w:p>
              </w:tc>
              <w:tc>
                <w:tcPr>
                  <w:tcW w:w="1065" w:type="dxa"/>
                  <w:vAlign w:val="center"/>
                </w:tcPr>
                <w:p>
                  <w:pPr>
                    <w:jc w:val="center"/>
                    <w:rPr>
                      <w:color w:val="auto"/>
                      <w:szCs w:val="21"/>
                    </w:rPr>
                  </w:pPr>
                  <w:r>
                    <w:rPr>
                      <w:color w:val="auto"/>
                      <w:szCs w:val="21"/>
                    </w:rPr>
                    <w:t>编号</w:t>
                  </w:r>
                </w:p>
              </w:tc>
              <w:tc>
                <w:tcPr>
                  <w:tcW w:w="2220" w:type="dxa"/>
                  <w:gridSpan w:val="3"/>
                  <w:vAlign w:val="center"/>
                </w:tcPr>
                <w:p>
                  <w:pPr>
                    <w:jc w:val="center"/>
                    <w:rPr>
                      <w:color w:val="auto"/>
                      <w:szCs w:val="21"/>
                    </w:rPr>
                  </w:pPr>
                  <w:r>
                    <w:rPr>
                      <w:rFonts w:hint="eastAsia"/>
                      <w:color w:val="auto"/>
                      <w:szCs w:val="21"/>
                    </w:rPr>
                    <w:t>DA001</w:t>
                  </w:r>
                </w:p>
              </w:tc>
              <w:tc>
                <w:tcPr>
                  <w:tcW w:w="750" w:type="dxa"/>
                  <w:vAlign w:val="center"/>
                </w:tcPr>
                <w:p>
                  <w:pPr>
                    <w:jc w:val="center"/>
                    <w:rPr>
                      <w:color w:val="auto"/>
                      <w:szCs w:val="21"/>
                    </w:rPr>
                  </w:pPr>
                  <w:r>
                    <w:rPr>
                      <w:rFonts w:hint="eastAsia"/>
                      <w:color w:val="auto"/>
                      <w:szCs w:val="21"/>
                    </w:rPr>
                    <w:t>/</w:t>
                  </w:r>
                </w:p>
              </w:tc>
              <w:tc>
                <w:tcPr>
                  <w:tcW w:w="765" w:type="dxa"/>
                  <w:vAlign w:val="center"/>
                </w:tcPr>
                <w:p>
                  <w:pPr>
                    <w:jc w:val="center"/>
                    <w:rPr>
                      <w:color w:val="auto"/>
                      <w:szCs w:val="21"/>
                    </w:rPr>
                  </w:pPr>
                  <w:r>
                    <w:rPr>
                      <w:rFonts w:hint="eastAsia"/>
                      <w:color w:val="auto"/>
                      <w:szCs w:val="21"/>
                    </w:rPr>
                    <w:t>/</w:t>
                  </w:r>
                </w:p>
              </w:tc>
              <w:tc>
                <w:tcPr>
                  <w:tcW w:w="735" w:type="dxa"/>
                  <w:vAlign w:val="center"/>
                </w:tcPr>
                <w:p>
                  <w:pPr>
                    <w:jc w:val="center"/>
                    <w:rPr>
                      <w:color w:val="auto"/>
                      <w:szCs w:val="21"/>
                    </w:rPr>
                  </w:pPr>
                  <w:r>
                    <w:rPr>
                      <w:rFonts w:hint="eastAsia"/>
                      <w:color w:val="auto"/>
                      <w:szCs w:val="21"/>
                    </w:rPr>
                    <w:t>/</w:t>
                  </w:r>
                </w:p>
              </w:tc>
              <w:tc>
                <w:tcPr>
                  <w:tcW w:w="930" w:type="dxa"/>
                  <w:vAlign w:val="center"/>
                </w:tcPr>
                <w:p>
                  <w:pPr>
                    <w:jc w:val="center"/>
                    <w:rPr>
                      <w:color w:val="auto"/>
                      <w:szCs w:val="21"/>
                    </w:rPr>
                  </w:pPr>
                  <w:r>
                    <w:rPr>
                      <w:rFonts w:hint="eastAsia"/>
                      <w:color w:val="auto"/>
                      <w:szCs w:val="21"/>
                    </w:rPr>
                    <w:t>/</w:t>
                  </w:r>
                </w:p>
              </w:tc>
              <w:tc>
                <w:tcPr>
                  <w:tcW w:w="1209" w:type="dxa"/>
                  <w:vAlign w:val="center"/>
                </w:tcPr>
                <w:p>
                  <w:pPr>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vMerge w:val="continue"/>
                  <w:vAlign w:val="center"/>
                </w:tcPr>
                <w:p>
                  <w:pPr>
                    <w:jc w:val="center"/>
                    <w:rPr>
                      <w:color w:val="auto"/>
                      <w:szCs w:val="21"/>
                    </w:rPr>
                  </w:pPr>
                </w:p>
              </w:tc>
              <w:tc>
                <w:tcPr>
                  <w:tcW w:w="1065" w:type="dxa"/>
                  <w:vAlign w:val="center"/>
                </w:tcPr>
                <w:p>
                  <w:pPr>
                    <w:jc w:val="center"/>
                    <w:rPr>
                      <w:color w:val="auto"/>
                      <w:szCs w:val="21"/>
                    </w:rPr>
                  </w:pPr>
                  <w:r>
                    <w:rPr>
                      <w:color w:val="auto"/>
                      <w:szCs w:val="21"/>
                    </w:rPr>
                    <w:t>类型</w:t>
                  </w:r>
                </w:p>
              </w:tc>
              <w:tc>
                <w:tcPr>
                  <w:tcW w:w="2220" w:type="dxa"/>
                  <w:gridSpan w:val="3"/>
                  <w:vAlign w:val="center"/>
                </w:tcPr>
                <w:p>
                  <w:pPr>
                    <w:jc w:val="center"/>
                    <w:rPr>
                      <w:color w:val="auto"/>
                      <w:szCs w:val="21"/>
                    </w:rPr>
                  </w:pPr>
                  <w:r>
                    <w:rPr>
                      <w:color w:val="auto"/>
                      <w:szCs w:val="21"/>
                    </w:rPr>
                    <w:t>一般排放口</w:t>
                  </w:r>
                </w:p>
              </w:tc>
              <w:tc>
                <w:tcPr>
                  <w:tcW w:w="750" w:type="dxa"/>
                  <w:vAlign w:val="center"/>
                </w:tcPr>
                <w:p>
                  <w:pPr>
                    <w:jc w:val="center"/>
                    <w:rPr>
                      <w:color w:val="auto"/>
                      <w:szCs w:val="21"/>
                    </w:rPr>
                  </w:pPr>
                  <w:r>
                    <w:rPr>
                      <w:rFonts w:hint="eastAsia"/>
                      <w:color w:val="auto"/>
                      <w:szCs w:val="21"/>
                    </w:rPr>
                    <w:t>/</w:t>
                  </w:r>
                </w:p>
              </w:tc>
              <w:tc>
                <w:tcPr>
                  <w:tcW w:w="765" w:type="dxa"/>
                  <w:vAlign w:val="center"/>
                </w:tcPr>
                <w:p>
                  <w:pPr>
                    <w:jc w:val="center"/>
                    <w:rPr>
                      <w:color w:val="auto"/>
                      <w:szCs w:val="21"/>
                    </w:rPr>
                  </w:pPr>
                  <w:r>
                    <w:rPr>
                      <w:rFonts w:hint="eastAsia"/>
                      <w:color w:val="auto"/>
                      <w:szCs w:val="21"/>
                    </w:rPr>
                    <w:t>/</w:t>
                  </w:r>
                </w:p>
              </w:tc>
              <w:tc>
                <w:tcPr>
                  <w:tcW w:w="735" w:type="dxa"/>
                  <w:vAlign w:val="center"/>
                </w:tcPr>
                <w:p>
                  <w:pPr>
                    <w:jc w:val="center"/>
                    <w:rPr>
                      <w:color w:val="auto"/>
                      <w:szCs w:val="21"/>
                    </w:rPr>
                  </w:pPr>
                  <w:r>
                    <w:rPr>
                      <w:rFonts w:hint="eastAsia"/>
                      <w:color w:val="auto"/>
                      <w:szCs w:val="21"/>
                    </w:rPr>
                    <w:t>/</w:t>
                  </w:r>
                </w:p>
              </w:tc>
              <w:tc>
                <w:tcPr>
                  <w:tcW w:w="930" w:type="dxa"/>
                  <w:vAlign w:val="center"/>
                </w:tcPr>
                <w:p>
                  <w:pPr>
                    <w:jc w:val="center"/>
                    <w:rPr>
                      <w:color w:val="auto"/>
                      <w:szCs w:val="21"/>
                    </w:rPr>
                  </w:pPr>
                  <w:r>
                    <w:rPr>
                      <w:rFonts w:hint="eastAsia"/>
                      <w:color w:val="auto"/>
                      <w:szCs w:val="21"/>
                    </w:rPr>
                    <w:t>/</w:t>
                  </w:r>
                </w:p>
              </w:tc>
              <w:tc>
                <w:tcPr>
                  <w:tcW w:w="1209" w:type="dxa"/>
                  <w:vAlign w:val="center"/>
                </w:tcPr>
                <w:p>
                  <w:pPr>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vMerge w:val="continue"/>
                  <w:vAlign w:val="center"/>
                </w:tcPr>
                <w:p>
                  <w:pPr>
                    <w:jc w:val="center"/>
                    <w:rPr>
                      <w:color w:val="auto"/>
                      <w:szCs w:val="21"/>
                    </w:rPr>
                  </w:pPr>
                </w:p>
              </w:tc>
              <w:tc>
                <w:tcPr>
                  <w:tcW w:w="1065" w:type="dxa"/>
                  <w:vAlign w:val="center"/>
                </w:tcPr>
                <w:p>
                  <w:pPr>
                    <w:jc w:val="center"/>
                    <w:rPr>
                      <w:color w:val="auto"/>
                      <w:szCs w:val="21"/>
                    </w:rPr>
                  </w:pPr>
                  <w:r>
                    <w:rPr>
                      <w:color w:val="auto"/>
                      <w:szCs w:val="21"/>
                    </w:rPr>
                    <w:t>地理坐标</w:t>
                  </w:r>
                </w:p>
              </w:tc>
              <w:tc>
                <w:tcPr>
                  <w:tcW w:w="2220" w:type="dxa"/>
                  <w:gridSpan w:val="3"/>
                  <w:vAlign w:val="center"/>
                </w:tcPr>
                <w:p>
                  <w:pPr>
                    <w:jc w:val="center"/>
                    <w:rPr>
                      <w:color w:val="auto"/>
                      <w:szCs w:val="21"/>
                    </w:rPr>
                  </w:pPr>
                  <w:r>
                    <w:rPr>
                      <w:color w:val="auto"/>
                      <w:szCs w:val="21"/>
                    </w:rPr>
                    <w:t>103.090637°，25.283267°</w:t>
                  </w:r>
                </w:p>
              </w:tc>
              <w:tc>
                <w:tcPr>
                  <w:tcW w:w="750" w:type="dxa"/>
                  <w:vAlign w:val="center"/>
                </w:tcPr>
                <w:p>
                  <w:pPr>
                    <w:jc w:val="center"/>
                    <w:rPr>
                      <w:color w:val="auto"/>
                      <w:szCs w:val="21"/>
                    </w:rPr>
                  </w:pPr>
                  <w:r>
                    <w:rPr>
                      <w:rFonts w:hint="eastAsia"/>
                      <w:color w:val="auto"/>
                      <w:szCs w:val="21"/>
                    </w:rPr>
                    <w:t>/</w:t>
                  </w:r>
                </w:p>
              </w:tc>
              <w:tc>
                <w:tcPr>
                  <w:tcW w:w="765" w:type="dxa"/>
                  <w:vAlign w:val="center"/>
                </w:tcPr>
                <w:p>
                  <w:pPr>
                    <w:jc w:val="center"/>
                    <w:rPr>
                      <w:color w:val="auto"/>
                      <w:szCs w:val="21"/>
                    </w:rPr>
                  </w:pPr>
                  <w:r>
                    <w:rPr>
                      <w:rFonts w:hint="eastAsia"/>
                      <w:color w:val="auto"/>
                      <w:szCs w:val="21"/>
                    </w:rPr>
                    <w:t>/</w:t>
                  </w:r>
                </w:p>
              </w:tc>
              <w:tc>
                <w:tcPr>
                  <w:tcW w:w="735" w:type="dxa"/>
                  <w:vAlign w:val="center"/>
                </w:tcPr>
                <w:p>
                  <w:pPr>
                    <w:jc w:val="center"/>
                    <w:rPr>
                      <w:color w:val="auto"/>
                      <w:szCs w:val="21"/>
                    </w:rPr>
                  </w:pPr>
                  <w:r>
                    <w:rPr>
                      <w:rFonts w:hint="eastAsia"/>
                      <w:color w:val="auto"/>
                      <w:szCs w:val="21"/>
                    </w:rPr>
                    <w:t>/</w:t>
                  </w:r>
                </w:p>
              </w:tc>
              <w:tc>
                <w:tcPr>
                  <w:tcW w:w="930" w:type="dxa"/>
                  <w:vAlign w:val="center"/>
                </w:tcPr>
                <w:p>
                  <w:pPr>
                    <w:jc w:val="center"/>
                    <w:rPr>
                      <w:color w:val="auto"/>
                      <w:szCs w:val="21"/>
                    </w:rPr>
                  </w:pPr>
                  <w:r>
                    <w:rPr>
                      <w:rFonts w:hint="eastAsia"/>
                      <w:color w:val="auto"/>
                      <w:szCs w:val="21"/>
                    </w:rPr>
                    <w:t>/</w:t>
                  </w:r>
                </w:p>
              </w:tc>
              <w:tc>
                <w:tcPr>
                  <w:tcW w:w="1209" w:type="dxa"/>
                  <w:vAlign w:val="center"/>
                </w:tcPr>
                <w:p>
                  <w:pPr>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gridSpan w:val="2"/>
                  <w:vAlign w:val="center"/>
                </w:tcPr>
                <w:p>
                  <w:pPr>
                    <w:jc w:val="center"/>
                    <w:rPr>
                      <w:color w:val="auto"/>
                      <w:szCs w:val="21"/>
                    </w:rPr>
                  </w:pPr>
                  <w:r>
                    <w:rPr>
                      <w:color w:val="auto"/>
                      <w:szCs w:val="21"/>
                    </w:rPr>
                    <w:t>排放标准</w:t>
                  </w:r>
                </w:p>
              </w:tc>
              <w:tc>
                <w:tcPr>
                  <w:tcW w:w="1410" w:type="dxa"/>
                  <w:gridSpan w:val="2"/>
                  <w:vAlign w:val="center"/>
                </w:tcPr>
                <w:p>
                  <w:pPr>
                    <w:jc w:val="center"/>
                    <w:rPr>
                      <w:color w:val="auto"/>
                      <w:szCs w:val="21"/>
                    </w:rPr>
                  </w:pPr>
                  <w:r>
                    <w:rPr>
                      <w:rFonts w:hint="eastAsia"/>
                      <w:color w:val="auto"/>
                      <w:szCs w:val="21"/>
                    </w:rPr>
                    <w:t>GB31572-2015</w:t>
                  </w:r>
                </w:p>
              </w:tc>
              <w:tc>
                <w:tcPr>
                  <w:tcW w:w="810" w:type="dxa"/>
                  <w:vAlign w:val="center"/>
                </w:tcPr>
                <w:p>
                  <w:pPr>
                    <w:jc w:val="center"/>
                    <w:rPr>
                      <w:color w:val="auto"/>
                      <w:szCs w:val="21"/>
                    </w:rPr>
                  </w:pPr>
                  <w:r>
                    <w:rPr>
                      <w:rFonts w:hint="eastAsia"/>
                      <w:color w:val="auto"/>
                      <w:szCs w:val="21"/>
                    </w:rPr>
                    <w:t>GB14554-93</w:t>
                  </w:r>
                </w:p>
              </w:tc>
              <w:tc>
                <w:tcPr>
                  <w:tcW w:w="1515" w:type="dxa"/>
                  <w:gridSpan w:val="2"/>
                  <w:vAlign w:val="center"/>
                </w:tcPr>
                <w:p>
                  <w:pPr>
                    <w:jc w:val="center"/>
                    <w:rPr>
                      <w:color w:val="auto"/>
                      <w:szCs w:val="21"/>
                    </w:rPr>
                  </w:pPr>
                  <w:r>
                    <w:rPr>
                      <w:rFonts w:hint="eastAsia"/>
                      <w:color w:val="auto"/>
                      <w:szCs w:val="21"/>
                    </w:rPr>
                    <w:t>GB31572-2015</w:t>
                  </w:r>
                </w:p>
              </w:tc>
              <w:tc>
                <w:tcPr>
                  <w:tcW w:w="735" w:type="dxa"/>
                  <w:vAlign w:val="center"/>
                </w:tcPr>
                <w:p>
                  <w:pPr>
                    <w:jc w:val="center"/>
                    <w:rPr>
                      <w:color w:val="auto"/>
                      <w:szCs w:val="21"/>
                    </w:rPr>
                  </w:pPr>
                  <w:r>
                    <w:rPr>
                      <w:rFonts w:hint="eastAsia"/>
                      <w:color w:val="auto"/>
                      <w:szCs w:val="21"/>
                    </w:rPr>
                    <w:t>GB14554-93</w:t>
                  </w:r>
                </w:p>
              </w:tc>
              <w:tc>
                <w:tcPr>
                  <w:tcW w:w="930" w:type="dxa"/>
                  <w:vAlign w:val="center"/>
                </w:tcPr>
                <w:p>
                  <w:pPr>
                    <w:jc w:val="center"/>
                    <w:rPr>
                      <w:color w:val="auto"/>
                      <w:szCs w:val="21"/>
                    </w:rPr>
                  </w:pPr>
                  <w:r>
                    <w:rPr>
                      <w:rFonts w:hint="eastAsia"/>
                      <w:color w:val="auto"/>
                      <w:szCs w:val="21"/>
                    </w:rPr>
                    <w:t>GB31572-2015</w:t>
                  </w:r>
                </w:p>
              </w:tc>
              <w:tc>
                <w:tcPr>
                  <w:tcW w:w="1209" w:type="dxa"/>
                  <w:vAlign w:val="center"/>
                </w:tcPr>
                <w:p>
                  <w:pPr>
                    <w:jc w:val="center"/>
                    <w:rPr>
                      <w:color w:val="auto"/>
                      <w:szCs w:val="21"/>
                    </w:rPr>
                  </w:pPr>
                  <w:r>
                    <w:rPr>
                      <w:rFonts w:hint="eastAsia"/>
                      <w:color w:val="auto"/>
                    </w:rPr>
                    <w:t>GB18483-2001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6" w:type="dxa"/>
                  <w:vMerge w:val="restart"/>
                  <w:vAlign w:val="center"/>
                </w:tcPr>
                <w:p>
                  <w:pPr>
                    <w:jc w:val="center"/>
                    <w:rPr>
                      <w:color w:val="auto"/>
                      <w:szCs w:val="21"/>
                    </w:rPr>
                  </w:pPr>
                  <w:r>
                    <w:rPr>
                      <w:color w:val="auto"/>
                      <w:szCs w:val="21"/>
                    </w:rPr>
                    <w:t>监测要求</w:t>
                  </w:r>
                </w:p>
              </w:tc>
              <w:tc>
                <w:tcPr>
                  <w:tcW w:w="1065" w:type="dxa"/>
                  <w:vAlign w:val="center"/>
                </w:tcPr>
                <w:p>
                  <w:pPr>
                    <w:jc w:val="center"/>
                    <w:rPr>
                      <w:color w:val="auto"/>
                      <w:szCs w:val="21"/>
                    </w:rPr>
                  </w:pPr>
                  <w:r>
                    <w:rPr>
                      <w:color w:val="auto"/>
                      <w:szCs w:val="21"/>
                    </w:rPr>
                    <w:t>监测点位</w:t>
                  </w:r>
                </w:p>
              </w:tc>
              <w:tc>
                <w:tcPr>
                  <w:tcW w:w="2220" w:type="dxa"/>
                  <w:gridSpan w:val="3"/>
                  <w:vAlign w:val="center"/>
                </w:tcPr>
                <w:p>
                  <w:pPr>
                    <w:jc w:val="center"/>
                    <w:rPr>
                      <w:color w:val="auto"/>
                      <w:szCs w:val="21"/>
                    </w:rPr>
                  </w:pPr>
                  <w:r>
                    <w:rPr>
                      <w:rFonts w:hint="eastAsia"/>
                      <w:color w:val="auto"/>
                      <w:szCs w:val="21"/>
                    </w:rPr>
                    <w:t>水洗装置+除湿除雾+</w:t>
                  </w:r>
                  <w:r>
                    <w:rPr>
                      <w:rFonts w:hint="eastAsia"/>
                      <w:color w:val="auto"/>
                      <w:szCs w:val="21"/>
                      <w:lang w:val="en-US" w:eastAsia="zh-CN"/>
                    </w:rPr>
                    <w:t>一级</w:t>
                  </w:r>
                  <w:r>
                    <w:rPr>
                      <w:rFonts w:hint="eastAsia"/>
                      <w:color w:val="auto"/>
                      <w:szCs w:val="21"/>
                    </w:rPr>
                    <w:t>活性炭吸附+光氧催化装置废气进、出口</w:t>
                  </w:r>
                </w:p>
              </w:tc>
              <w:tc>
                <w:tcPr>
                  <w:tcW w:w="3180" w:type="dxa"/>
                  <w:gridSpan w:val="4"/>
                  <w:vAlign w:val="center"/>
                </w:tcPr>
                <w:p>
                  <w:pPr>
                    <w:jc w:val="center"/>
                    <w:rPr>
                      <w:color w:val="auto"/>
                      <w:szCs w:val="21"/>
                    </w:rPr>
                  </w:pPr>
                  <w:r>
                    <w:rPr>
                      <w:rFonts w:hint="eastAsia"/>
                      <w:color w:val="auto"/>
                      <w:szCs w:val="21"/>
                    </w:rPr>
                    <w:t>厂界上风向1个点，下风向3个点</w:t>
                  </w:r>
                </w:p>
              </w:tc>
              <w:tc>
                <w:tcPr>
                  <w:tcW w:w="1209" w:type="dxa"/>
                  <w:vAlign w:val="center"/>
                </w:tcPr>
                <w:p>
                  <w:pPr>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vMerge w:val="continue"/>
                  <w:vAlign w:val="center"/>
                </w:tcPr>
                <w:p>
                  <w:pPr>
                    <w:jc w:val="center"/>
                    <w:rPr>
                      <w:color w:val="auto"/>
                      <w:szCs w:val="21"/>
                    </w:rPr>
                  </w:pPr>
                </w:p>
              </w:tc>
              <w:tc>
                <w:tcPr>
                  <w:tcW w:w="1065" w:type="dxa"/>
                  <w:vAlign w:val="center"/>
                </w:tcPr>
                <w:p>
                  <w:pPr>
                    <w:jc w:val="center"/>
                    <w:rPr>
                      <w:color w:val="auto"/>
                      <w:szCs w:val="21"/>
                    </w:rPr>
                  </w:pPr>
                  <w:r>
                    <w:rPr>
                      <w:color w:val="auto"/>
                      <w:szCs w:val="21"/>
                    </w:rPr>
                    <w:t>监测因子</w:t>
                  </w:r>
                </w:p>
              </w:tc>
              <w:tc>
                <w:tcPr>
                  <w:tcW w:w="2220" w:type="dxa"/>
                  <w:gridSpan w:val="3"/>
                  <w:vAlign w:val="center"/>
                </w:tcPr>
                <w:p>
                  <w:pPr>
                    <w:jc w:val="center"/>
                    <w:rPr>
                      <w:color w:val="auto"/>
                      <w:szCs w:val="21"/>
                    </w:rPr>
                  </w:pPr>
                  <w:r>
                    <w:rPr>
                      <w:color w:val="auto"/>
                      <w:szCs w:val="21"/>
                    </w:rPr>
                    <w:t>颗粒物</w:t>
                  </w:r>
                  <w:r>
                    <w:rPr>
                      <w:rFonts w:hint="eastAsia"/>
                      <w:color w:val="auto"/>
                      <w:szCs w:val="21"/>
                    </w:rPr>
                    <w:t>、非甲烷总烃、臭气浓度</w:t>
                  </w:r>
                </w:p>
              </w:tc>
              <w:tc>
                <w:tcPr>
                  <w:tcW w:w="3180" w:type="dxa"/>
                  <w:gridSpan w:val="4"/>
                  <w:vAlign w:val="center"/>
                </w:tcPr>
                <w:p>
                  <w:pPr>
                    <w:jc w:val="center"/>
                    <w:rPr>
                      <w:color w:val="auto"/>
                      <w:szCs w:val="21"/>
                    </w:rPr>
                  </w:pPr>
                  <w:r>
                    <w:rPr>
                      <w:color w:val="auto"/>
                      <w:szCs w:val="21"/>
                    </w:rPr>
                    <w:t>颗粒物</w:t>
                  </w:r>
                  <w:r>
                    <w:rPr>
                      <w:rFonts w:hint="eastAsia"/>
                      <w:color w:val="auto"/>
                      <w:szCs w:val="21"/>
                    </w:rPr>
                    <w:t>、非甲烷总烃、臭气浓度</w:t>
                  </w:r>
                </w:p>
              </w:tc>
              <w:tc>
                <w:tcPr>
                  <w:tcW w:w="1209" w:type="dxa"/>
                  <w:vAlign w:val="center"/>
                </w:tcPr>
                <w:p>
                  <w:pPr>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vMerge w:val="continue"/>
                  <w:vAlign w:val="center"/>
                </w:tcPr>
                <w:p>
                  <w:pPr>
                    <w:jc w:val="center"/>
                    <w:rPr>
                      <w:color w:val="auto"/>
                      <w:szCs w:val="21"/>
                    </w:rPr>
                  </w:pPr>
                </w:p>
              </w:tc>
              <w:tc>
                <w:tcPr>
                  <w:tcW w:w="1065" w:type="dxa"/>
                  <w:vAlign w:val="center"/>
                </w:tcPr>
                <w:p>
                  <w:pPr>
                    <w:jc w:val="center"/>
                    <w:rPr>
                      <w:color w:val="auto"/>
                      <w:szCs w:val="21"/>
                    </w:rPr>
                  </w:pPr>
                  <w:r>
                    <w:rPr>
                      <w:color w:val="auto"/>
                      <w:szCs w:val="21"/>
                    </w:rPr>
                    <w:t>监测频次</w:t>
                  </w:r>
                </w:p>
              </w:tc>
              <w:tc>
                <w:tcPr>
                  <w:tcW w:w="2220" w:type="dxa"/>
                  <w:gridSpan w:val="3"/>
                  <w:vAlign w:val="center"/>
                </w:tcPr>
                <w:p>
                  <w:pPr>
                    <w:jc w:val="center"/>
                    <w:rPr>
                      <w:color w:val="auto"/>
                      <w:szCs w:val="21"/>
                    </w:rPr>
                  </w:pPr>
                  <w:r>
                    <w:rPr>
                      <w:rFonts w:hint="eastAsia"/>
                      <w:color w:val="auto"/>
                      <w:szCs w:val="21"/>
                    </w:rPr>
                    <w:t>一次/半年</w:t>
                  </w:r>
                </w:p>
              </w:tc>
              <w:tc>
                <w:tcPr>
                  <w:tcW w:w="3180" w:type="dxa"/>
                  <w:gridSpan w:val="4"/>
                  <w:vAlign w:val="center"/>
                </w:tcPr>
                <w:p>
                  <w:pPr>
                    <w:jc w:val="center"/>
                    <w:rPr>
                      <w:color w:val="auto"/>
                      <w:szCs w:val="21"/>
                    </w:rPr>
                  </w:pPr>
                  <w:r>
                    <w:rPr>
                      <w:rFonts w:hint="eastAsia"/>
                      <w:color w:val="auto"/>
                      <w:szCs w:val="21"/>
                    </w:rPr>
                    <w:t>一次/年</w:t>
                  </w:r>
                </w:p>
              </w:tc>
              <w:tc>
                <w:tcPr>
                  <w:tcW w:w="1209" w:type="dxa"/>
                  <w:vAlign w:val="center"/>
                </w:tcPr>
                <w:p>
                  <w:pPr>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dxa"/>
                  <w:vMerge w:val="continue"/>
                  <w:vAlign w:val="center"/>
                </w:tcPr>
                <w:p>
                  <w:pPr>
                    <w:jc w:val="center"/>
                    <w:rPr>
                      <w:color w:val="auto"/>
                      <w:szCs w:val="21"/>
                    </w:rPr>
                  </w:pPr>
                </w:p>
              </w:tc>
              <w:tc>
                <w:tcPr>
                  <w:tcW w:w="1065" w:type="dxa"/>
                  <w:vAlign w:val="center"/>
                </w:tcPr>
                <w:p>
                  <w:pPr>
                    <w:jc w:val="center"/>
                    <w:rPr>
                      <w:color w:val="auto"/>
                      <w:szCs w:val="21"/>
                    </w:rPr>
                  </w:pPr>
                  <w:r>
                    <w:rPr>
                      <w:rFonts w:hint="eastAsia"/>
                      <w:color w:val="auto"/>
                      <w:szCs w:val="21"/>
                    </w:rPr>
                    <w:t>监测依据</w:t>
                  </w:r>
                </w:p>
              </w:tc>
              <w:tc>
                <w:tcPr>
                  <w:tcW w:w="5400" w:type="dxa"/>
                  <w:gridSpan w:val="7"/>
                  <w:vAlign w:val="center"/>
                </w:tcPr>
                <w:p>
                  <w:pPr>
                    <w:jc w:val="center"/>
                    <w:rPr>
                      <w:color w:val="auto"/>
                      <w:szCs w:val="21"/>
                    </w:rPr>
                  </w:pPr>
                  <w:r>
                    <w:rPr>
                      <w:rFonts w:hint="eastAsia"/>
                      <w:color w:val="auto"/>
                      <w:szCs w:val="21"/>
                    </w:rPr>
                    <w:t xml:space="preserve">《排污许可证申请与核发技术规范 </w:t>
                  </w:r>
                  <w:r>
                    <w:rPr>
                      <w:color w:val="auto"/>
                      <w:szCs w:val="21"/>
                    </w:rPr>
                    <w:t>废弃资源加工工业》（HJ1034-2019）</w:t>
                  </w:r>
                </w:p>
              </w:tc>
              <w:tc>
                <w:tcPr>
                  <w:tcW w:w="1209" w:type="dxa"/>
                  <w:vAlign w:val="center"/>
                </w:tcPr>
                <w:p>
                  <w:pPr>
                    <w:jc w:val="center"/>
                    <w:rPr>
                      <w:color w:val="auto"/>
                      <w:szCs w:val="21"/>
                    </w:rPr>
                  </w:pPr>
                  <w:r>
                    <w:rPr>
                      <w:rFonts w:hint="eastAsia"/>
                      <w:color w:val="auto"/>
                      <w:szCs w:val="21"/>
                    </w:rPr>
                    <w:t>/</w:t>
                  </w:r>
                </w:p>
              </w:tc>
            </w:tr>
          </w:tbl>
          <w:p>
            <w:pPr>
              <w:rPr>
                <w:color w:val="auto"/>
              </w:rPr>
            </w:pPr>
          </w:p>
          <w:p>
            <w:pPr>
              <w:spacing w:line="360" w:lineRule="auto"/>
              <w:ind w:firstLine="482" w:firstLineChars="200"/>
              <w:rPr>
                <w:b/>
                <w:bCs/>
                <w:color w:val="auto"/>
                <w:sz w:val="24"/>
              </w:rPr>
            </w:pPr>
            <w:r>
              <w:rPr>
                <w:rFonts w:hint="eastAsia"/>
                <w:b/>
                <w:bCs/>
                <w:color w:val="auto"/>
                <w:sz w:val="24"/>
              </w:rPr>
              <w:t>2、非正常排放</w:t>
            </w:r>
          </w:p>
          <w:p>
            <w:pPr>
              <w:spacing w:line="360" w:lineRule="auto"/>
              <w:ind w:firstLine="480" w:firstLineChars="200"/>
              <w:rPr>
                <w:color w:val="auto"/>
                <w:sz w:val="24"/>
                <w:szCs w:val="20"/>
              </w:rPr>
            </w:pPr>
            <w:r>
              <w:rPr>
                <w:rFonts w:hint="eastAsia"/>
                <w:color w:val="auto"/>
                <w:sz w:val="24"/>
                <w:szCs w:val="20"/>
              </w:rPr>
              <w:t>项目废气非正常排放主要包括设备检修、污染物排放控制措施达不到应有效率、工艺设备运转异常时，应立即停产进行维修，避免对周围环境造成污染。废气非正常工况源强情况见下表。</w:t>
            </w:r>
          </w:p>
          <w:p>
            <w:pPr>
              <w:spacing w:line="360" w:lineRule="auto"/>
              <w:ind w:firstLine="422"/>
              <w:jc w:val="center"/>
              <w:rPr>
                <w:b/>
                <w:color w:val="auto"/>
                <w:sz w:val="24"/>
              </w:rPr>
            </w:pPr>
            <w:r>
              <w:rPr>
                <w:b/>
                <w:color w:val="auto"/>
                <w:sz w:val="24"/>
              </w:rPr>
              <w:t>表</w:t>
            </w:r>
            <w:r>
              <w:rPr>
                <w:rFonts w:hint="eastAsia"/>
                <w:b/>
                <w:color w:val="auto"/>
                <w:sz w:val="24"/>
              </w:rPr>
              <w:t xml:space="preserve">4-2 </w:t>
            </w:r>
            <w:r>
              <w:rPr>
                <w:b/>
                <w:color w:val="auto"/>
                <w:sz w:val="24"/>
              </w:rPr>
              <w:t xml:space="preserve"> </w:t>
            </w:r>
            <w:r>
              <w:rPr>
                <w:rFonts w:hint="eastAsia"/>
                <w:b/>
                <w:color w:val="auto"/>
                <w:sz w:val="24"/>
              </w:rPr>
              <w:t>废气</w:t>
            </w:r>
            <w:r>
              <w:rPr>
                <w:b/>
                <w:color w:val="auto"/>
                <w:sz w:val="24"/>
              </w:rPr>
              <w:t>非正常工况</w:t>
            </w:r>
            <w:r>
              <w:rPr>
                <w:rFonts w:hint="eastAsia"/>
                <w:b/>
                <w:color w:val="auto"/>
                <w:sz w:val="24"/>
              </w:rPr>
              <w:t>排放量核算</w:t>
            </w:r>
            <w:r>
              <w:rPr>
                <w:b/>
                <w:color w:val="auto"/>
                <w:sz w:val="24"/>
              </w:rPr>
              <w:t>表</w:t>
            </w:r>
          </w:p>
          <w:tbl>
            <w:tblPr>
              <w:tblStyle w:val="31"/>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914"/>
              <w:gridCol w:w="1854"/>
              <w:gridCol w:w="982"/>
              <w:gridCol w:w="968"/>
              <w:gridCol w:w="873"/>
              <w:gridCol w:w="791"/>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9" w:type="dxa"/>
                </w:tcPr>
                <w:p>
                  <w:pPr>
                    <w:jc w:val="center"/>
                    <w:rPr>
                      <w:color w:val="auto"/>
                      <w:szCs w:val="21"/>
                    </w:rPr>
                  </w:pPr>
                  <w:r>
                    <w:rPr>
                      <w:rFonts w:hint="eastAsia"/>
                      <w:color w:val="auto"/>
                      <w:szCs w:val="21"/>
                    </w:rPr>
                    <w:t>序号</w:t>
                  </w:r>
                </w:p>
              </w:tc>
              <w:tc>
                <w:tcPr>
                  <w:tcW w:w="914" w:type="dxa"/>
                </w:tcPr>
                <w:p>
                  <w:pPr>
                    <w:jc w:val="center"/>
                    <w:rPr>
                      <w:color w:val="auto"/>
                      <w:szCs w:val="21"/>
                    </w:rPr>
                  </w:pPr>
                  <w:r>
                    <w:rPr>
                      <w:rFonts w:hint="eastAsia"/>
                      <w:color w:val="auto"/>
                      <w:szCs w:val="21"/>
                    </w:rPr>
                    <w:t>污染源</w:t>
                  </w:r>
                </w:p>
              </w:tc>
              <w:tc>
                <w:tcPr>
                  <w:tcW w:w="1854" w:type="dxa"/>
                </w:tcPr>
                <w:p>
                  <w:pPr>
                    <w:jc w:val="center"/>
                    <w:rPr>
                      <w:color w:val="auto"/>
                      <w:szCs w:val="21"/>
                    </w:rPr>
                  </w:pPr>
                  <w:r>
                    <w:rPr>
                      <w:rFonts w:hint="eastAsia"/>
                      <w:color w:val="auto"/>
                      <w:szCs w:val="21"/>
                    </w:rPr>
                    <w:t>非正常排放原因</w:t>
                  </w:r>
                </w:p>
              </w:tc>
              <w:tc>
                <w:tcPr>
                  <w:tcW w:w="982" w:type="dxa"/>
                </w:tcPr>
                <w:p>
                  <w:pPr>
                    <w:jc w:val="center"/>
                    <w:rPr>
                      <w:color w:val="auto"/>
                      <w:szCs w:val="21"/>
                    </w:rPr>
                  </w:pPr>
                  <w:r>
                    <w:rPr>
                      <w:rFonts w:hint="eastAsia"/>
                      <w:color w:val="auto"/>
                      <w:szCs w:val="21"/>
                    </w:rPr>
                    <w:t>污染物</w:t>
                  </w:r>
                </w:p>
              </w:tc>
              <w:tc>
                <w:tcPr>
                  <w:tcW w:w="968" w:type="dxa"/>
                </w:tcPr>
                <w:p>
                  <w:pPr>
                    <w:jc w:val="center"/>
                    <w:rPr>
                      <w:color w:val="auto"/>
                      <w:szCs w:val="21"/>
                    </w:rPr>
                  </w:pPr>
                  <w:r>
                    <w:rPr>
                      <w:rFonts w:hint="eastAsia"/>
                      <w:color w:val="auto"/>
                      <w:szCs w:val="21"/>
                    </w:rPr>
                    <w:t>非正常排放量（t/a）</w:t>
                  </w:r>
                </w:p>
              </w:tc>
              <w:tc>
                <w:tcPr>
                  <w:tcW w:w="873" w:type="dxa"/>
                </w:tcPr>
                <w:p>
                  <w:pPr>
                    <w:jc w:val="center"/>
                    <w:rPr>
                      <w:color w:val="auto"/>
                      <w:szCs w:val="21"/>
                    </w:rPr>
                  </w:pPr>
                  <w:r>
                    <w:rPr>
                      <w:rFonts w:hint="eastAsia"/>
                      <w:color w:val="auto"/>
                      <w:szCs w:val="21"/>
                    </w:rPr>
                    <w:t>单次持续时间/h</w:t>
                  </w:r>
                </w:p>
              </w:tc>
              <w:tc>
                <w:tcPr>
                  <w:tcW w:w="791" w:type="dxa"/>
                </w:tcPr>
                <w:p>
                  <w:pPr>
                    <w:jc w:val="center"/>
                    <w:rPr>
                      <w:color w:val="auto"/>
                      <w:szCs w:val="21"/>
                    </w:rPr>
                  </w:pPr>
                  <w:r>
                    <w:rPr>
                      <w:rFonts w:hint="eastAsia"/>
                      <w:color w:val="auto"/>
                      <w:szCs w:val="21"/>
                    </w:rPr>
                    <w:t>年发生频次/次</w:t>
                  </w:r>
                </w:p>
              </w:tc>
              <w:tc>
                <w:tcPr>
                  <w:tcW w:w="1189" w:type="dxa"/>
                </w:tcPr>
                <w:p>
                  <w:pPr>
                    <w:jc w:val="center"/>
                    <w:rPr>
                      <w:color w:val="auto"/>
                      <w:szCs w:val="21"/>
                    </w:rPr>
                  </w:pPr>
                  <w:r>
                    <w:rPr>
                      <w:rFonts w:hint="eastAsia"/>
                      <w:color w:val="auto"/>
                      <w:szCs w:val="21"/>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trPr>
              <w:tc>
                <w:tcPr>
                  <w:tcW w:w="499" w:type="dxa"/>
                </w:tcPr>
                <w:p>
                  <w:pPr>
                    <w:jc w:val="center"/>
                    <w:rPr>
                      <w:color w:val="auto"/>
                      <w:szCs w:val="21"/>
                    </w:rPr>
                  </w:pPr>
                  <w:r>
                    <w:rPr>
                      <w:rFonts w:hint="eastAsia"/>
                      <w:color w:val="auto"/>
                      <w:szCs w:val="21"/>
                    </w:rPr>
                    <w:t>1</w:t>
                  </w:r>
                </w:p>
              </w:tc>
              <w:tc>
                <w:tcPr>
                  <w:tcW w:w="914" w:type="dxa"/>
                  <w:vMerge w:val="restart"/>
                </w:tcPr>
                <w:p>
                  <w:pPr>
                    <w:jc w:val="center"/>
                    <w:rPr>
                      <w:color w:val="auto"/>
                      <w:szCs w:val="21"/>
                    </w:rPr>
                  </w:pPr>
                  <w:r>
                    <w:rPr>
                      <w:rFonts w:hint="eastAsia"/>
                      <w:color w:val="auto"/>
                      <w:szCs w:val="21"/>
                    </w:rPr>
                    <w:t>熔融挤出工段</w:t>
                  </w:r>
                </w:p>
              </w:tc>
              <w:tc>
                <w:tcPr>
                  <w:tcW w:w="1854" w:type="dxa"/>
                  <w:vMerge w:val="restart"/>
                </w:tcPr>
                <w:p>
                  <w:pPr>
                    <w:jc w:val="center"/>
                    <w:rPr>
                      <w:color w:val="auto"/>
                      <w:szCs w:val="21"/>
                    </w:rPr>
                  </w:pPr>
                  <w:r>
                    <w:rPr>
                      <w:rFonts w:hint="eastAsia"/>
                      <w:color w:val="auto"/>
                      <w:szCs w:val="21"/>
                    </w:rPr>
                    <w:t>设备检修、污染物排放控制措施达不到应有效率、工艺设备运转异常，处理效率降为30%</w:t>
                  </w:r>
                </w:p>
              </w:tc>
              <w:tc>
                <w:tcPr>
                  <w:tcW w:w="982" w:type="dxa"/>
                </w:tcPr>
                <w:p>
                  <w:pPr>
                    <w:jc w:val="center"/>
                    <w:rPr>
                      <w:color w:val="auto"/>
                      <w:szCs w:val="21"/>
                    </w:rPr>
                  </w:pPr>
                  <w:r>
                    <w:rPr>
                      <w:rFonts w:hint="eastAsia"/>
                      <w:color w:val="auto"/>
                      <w:szCs w:val="21"/>
                    </w:rPr>
                    <w:t>颗粒物</w:t>
                  </w:r>
                </w:p>
              </w:tc>
              <w:tc>
                <w:tcPr>
                  <w:tcW w:w="968" w:type="dxa"/>
                </w:tcPr>
                <w:p>
                  <w:pPr>
                    <w:jc w:val="center"/>
                    <w:rPr>
                      <w:color w:val="auto"/>
                      <w:szCs w:val="21"/>
                    </w:rPr>
                  </w:pPr>
                  <w:r>
                    <w:rPr>
                      <w:rFonts w:hint="eastAsia"/>
                      <w:color w:val="auto"/>
                      <w:szCs w:val="21"/>
                    </w:rPr>
                    <w:t>0.1792</w:t>
                  </w:r>
                </w:p>
              </w:tc>
              <w:tc>
                <w:tcPr>
                  <w:tcW w:w="873" w:type="dxa"/>
                  <w:vMerge w:val="restart"/>
                </w:tcPr>
                <w:p>
                  <w:pPr>
                    <w:jc w:val="center"/>
                    <w:rPr>
                      <w:color w:val="auto"/>
                      <w:szCs w:val="21"/>
                    </w:rPr>
                  </w:pPr>
                  <w:r>
                    <w:rPr>
                      <w:rFonts w:hint="eastAsia"/>
                      <w:color w:val="auto"/>
                      <w:szCs w:val="21"/>
                    </w:rPr>
                    <w:t>0.5</w:t>
                  </w:r>
                </w:p>
              </w:tc>
              <w:tc>
                <w:tcPr>
                  <w:tcW w:w="791" w:type="dxa"/>
                  <w:vMerge w:val="restart"/>
                </w:tcPr>
                <w:p>
                  <w:pPr>
                    <w:jc w:val="center"/>
                    <w:rPr>
                      <w:color w:val="auto"/>
                      <w:szCs w:val="21"/>
                    </w:rPr>
                  </w:pPr>
                  <w:r>
                    <w:rPr>
                      <w:rFonts w:hint="eastAsia"/>
                      <w:color w:val="auto"/>
                      <w:szCs w:val="21"/>
                    </w:rPr>
                    <w:t>1</w:t>
                  </w:r>
                </w:p>
              </w:tc>
              <w:tc>
                <w:tcPr>
                  <w:tcW w:w="1189" w:type="dxa"/>
                  <w:vMerge w:val="restart"/>
                </w:tcPr>
                <w:p>
                  <w:pPr>
                    <w:jc w:val="center"/>
                    <w:rPr>
                      <w:color w:val="auto"/>
                      <w:szCs w:val="21"/>
                    </w:rPr>
                  </w:pPr>
                  <w:r>
                    <w:rPr>
                      <w:rFonts w:hint="eastAsia"/>
                      <w:color w:val="auto"/>
                      <w:szCs w:val="21"/>
                    </w:rPr>
                    <w:t>立即停止生产，及时检修废气处理装置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pPr>
                    <w:jc w:val="center"/>
                    <w:rPr>
                      <w:color w:val="auto"/>
                      <w:szCs w:val="21"/>
                    </w:rPr>
                  </w:pPr>
                  <w:r>
                    <w:rPr>
                      <w:rFonts w:hint="eastAsia"/>
                      <w:color w:val="auto"/>
                      <w:szCs w:val="21"/>
                    </w:rPr>
                    <w:t>2</w:t>
                  </w:r>
                </w:p>
              </w:tc>
              <w:tc>
                <w:tcPr>
                  <w:tcW w:w="914" w:type="dxa"/>
                  <w:vMerge w:val="continue"/>
                </w:tcPr>
                <w:p>
                  <w:pPr>
                    <w:jc w:val="center"/>
                    <w:rPr>
                      <w:color w:val="auto"/>
                      <w:szCs w:val="21"/>
                    </w:rPr>
                  </w:pPr>
                </w:p>
              </w:tc>
              <w:tc>
                <w:tcPr>
                  <w:tcW w:w="1854" w:type="dxa"/>
                  <w:vMerge w:val="continue"/>
                </w:tcPr>
                <w:p>
                  <w:pPr>
                    <w:jc w:val="center"/>
                    <w:rPr>
                      <w:color w:val="auto"/>
                      <w:szCs w:val="21"/>
                    </w:rPr>
                  </w:pPr>
                </w:p>
              </w:tc>
              <w:tc>
                <w:tcPr>
                  <w:tcW w:w="982" w:type="dxa"/>
                </w:tcPr>
                <w:p>
                  <w:pPr>
                    <w:jc w:val="center"/>
                    <w:rPr>
                      <w:color w:val="auto"/>
                      <w:szCs w:val="21"/>
                    </w:rPr>
                  </w:pPr>
                  <w:r>
                    <w:rPr>
                      <w:rFonts w:hint="eastAsia"/>
                      <w:color w:val="auto"/>
                      <w:szCs w:val="21"/>
                    </w:rPr>
                    <w:t>非甲烷总烃</w:t>
                  </w:r>
                </w:p>
              </w:tc>
              <w:tc>
                <w:tcPr>
                  <w:tcW w:w="968" w:type="dxa"/>
                </w:tcPr>
                <w:p>
                  <w:pPr>
                    <w:jc w:val="center"/>
                    <w:rPr>
                      <w:color w:val="auto"/>
                      <w:szCs w:val="21"/>
                    </w:rPr>
                  </w:pPr>
                  <w:r>
                    <w:rPr>
                      <w:rFonts w:hint="eastAsia"/>
                      <w:color w:val="auto"/>
                      <w:szCs w:val="21"/>
                    </w:rPr>
                    <w:t>1.2544</w:t>
                  </w:r>
                </w:p>
              </w:tc>
              <w:tc>
                <w:tcPr>
                  <w:tcW w:w="873" w:type="dxa"/>
                  <w:vMerge w:val="continue"/>
                </w:tcPr>
                <w:p>
                  <w:pPr>
                    <w:jc w:val="center"/>
                    <w:rPr>
                      <w:color w:val="auto"/>
                      <w:szCs w:val="21"/>
                    </w:rPr>
                  </w:pPr>
                </w:p>
              </w:tc>
              <w:tc>
                <w:tcPr>
                  <w:tcW w:w="791" w:type="dxa"/>
                  <w:vMerge w:val="continue"/>
                </w:tcPr>
                <w:p>
                  <w:pPr>
                    <w:jc w:val="center"/>
                    <w:rPr>
                      <w:color w:val="auto"/>
                      <w:szCs w:val="21"/>
                    </w:rPr>
                  </w:pPr>
                </w:p>
              </w:tc>
              <w:tc>
                <w:tcPr>
                  <w:tcW w:w="1189" w:type="dxa"/>
                  <w:vMerge w:val="continue"/>
                </w:tcPr>
                <w:p>
                  <w:pPr>
                    <w:jc w:val="center"/>
                    <w:rPr>
                      <w:color w:val="auto"/>
                      <w:szCs w:val="21"/>
                    </w:rPr>
                  </w:pPr>
                </w:p>
              </w:tc>
            </w:tr>
          </w:tbl>
          <w:p>
            <w:pPr>
              <w:spacing w:line="360" w:lineRule="auto"/>
              <w:ind w:firstLine="480" w:firstLineChars="200"/>
              <w:rPr>
                <w:b/>
                <w:bCs/>
                <w:color w:val="auto"/>
                <w:sz w:val="24"/>
              </w:rPr>
            </w:pPr>
            <w:r>
              <w:rPr>
                <w:color w:val="auto"/>
                <w:sz w:val="24"/>
              </w:rPr>
              <w:t>由上表可见，本项目废气处理装置失效时，非甲烷总烃</w:t>
            </w:r>
            <w:r>
              <w:rPr>
                <w:rFonts w:hint="eastAsia"/>
                <w:color w:val="auto"/>
                <w:sz w:val="24"/>
              </w:rPr>
              <w:t>和颗粒物</w:t>
            </w:r>
            <w:r>
              <w:rPr>
                <w:color w:val="auto"/>
                <w:sz w:val="24"/>
              </w:rPr>
              <w:t>的</w:t>
            </w:r>
            <w:r>
              <w:rPr>
                <w:rFonts w:hint="eastAsia"/>
                <w:color w:val="auto"/>
                <w:sz w:val="24"/>
              </w:rPr>
              <w:t>排放量</w:t>
            </w:r>
            <w:r>
              <w:rPr>
                <w:color w:val="auto"/>
                <w:sz w:val="24"/>
              </w:rPr>
              <w:t>较正常状态下超出较多。因此，建设单位应定期定时检修和维护废气处理装置，避免和减少非正常工况的发生，减少对周围大气环境的影响。企业要确保设备在良好状态下运行，运行过程中一旦发现异常立即启动车间紧急停车，并查明事故工段，派专业维修人员进行维修，缩短非正常工况的运行时间。</w:t>
            </w:r>
          </w:p>
          <w:p>
            <w:pPr>
              <w:spacing w:line="360" w:lineRule="auto"/>
              <w:ind w:firstLine="482" w:firstLineChars="200"/>
              <w:rPr>
                <w:b/>
                <w:bCs/>
                <w:color w:val="auto"/>
                <w:sz w:val="24"/>
              </w:rPr>
            </w:pPr>
            <w:r>
              <w:rPr>
                <w:rFonts w:hint="eastAsia"/>
                <w:b/>
                <w:bCs/>
                <w:color w:val="auto"/>
                <w:sz w:val="24"/>
              </w:rPr>
              <w:t>3、</w:t>
            </w:r>
            <w:r>
              <w:rPr>
                <w:b/>
                <w:bCs/>
                <w:color w:val="auto"/>
                <w:sz w:val="24"/>
              </w:rPr>
              <w:t>废气防治措施</w:t>
            </w:r>
          </w:p>
          <w:p>
            <w:pPr>
              <w:spacing w:line="360" w:lineRule="auto"/>
              <w:ind w:firstLine="480" w:firstLineChars="200"/>
              <w:rPr>
                <w:color w:val="auto"/>
                <w:sz w:val="24"/>
              </w:rPr>
            </w:pPr>
            <w:r>
              <w:rPr>
                <w:rFonts w:hint="eastAsia"/>
                <w:color w:val="auto"/>
                <w:sz w:val="24"/>
              </w:rPr>
              <w:t>（1）项目开包、投料粉尘在车间内部自然沉降，通过规范生产操作，并在原料暂存区设置排风扇加强通风来控制无组织粉尘的排放。</w:t>
            </w:r>
          </w:p>
          <w:p>
            <w:pPr>
              <w:spacing w:line="360" w:lineRule="auto"/>
              <w:ind w:firstLine="480"/>
              <w:rPr>
                <w:color w:val="auto"/>
                <w:sz w:val="24"/>
              </w:rPr>
            </w:pPr>
            <w:r>
              <w:rPr>
                <w:rFonts w:hint="eastAsia"/>
                <w:color w:val="auto"/>
                <w:sz w:val="24"/>
              </w:rPr>
              <w:t>（2）项目熔融造粒挤出废气经18个集气罩（3熔融机（主机、副机、主机至副机进料口）上方分别设置1个)+“水洗装置+除湿除雾装置+</w:t>
            </w:r>
            <w:r>
              <w:rPr>
                <w:rFonts w:hint="eastAsia"/>
                <w:color w:val="auto"/>
                <w:sz w:val="24"/>
                <w:lang w:val="en-US" w:eastAsia="zh-CN"/>
              </w:rPr>
              <w:t>一级</w:t>
            </w:r>
            <w:r>
              <w:rPr>
                <w:rFonts w:hint="eastAsia"/>
                <w:color w:val="auto"/>
                <w:sz w:val="24"/>
              </w:rPr>
              <w:t>活性炭</w:t>
            </w:r>
            <w:r>
              <w:rPr>
                <w:rFonts w:hint="eastAsia"/>
                <w:color w:val="auto"/>
                <w:sz w:val="24"/>
                <w:lang w:val="en-US" w:eastAsia="zh-CN"/>
              </w:rPr>
              <w:t>吸附</w:t>
            </w:r>
            <w:r>
              <w:rPr>
                <w:rFonts w:hint="eastAsia"/>
                <w:color w:val="auto"/>
                <w:sz w:val="24"/>
              </w:rPr>
              <w:t>装置+光氧催化装置”处理后由一根20m高排气筒（预留标准的采样检测口)）(DA001）排放。集气罩收集效率不低于80%，风机总风量8535.16m</w:t>
            </w:r>
            <w:r>
              <w:rPr>
                <w:rFonts w:hint="eastAsia"/>
                <w:color w:val="auto"/>
                <w:sz w:val="24"/>
                <w:vertAlign w:val="superscript"/>
              </w:rPr>
              <w:t>3</w:t>
            </w:r>
            <w:r>
              <w:rPr>
                <w:rFonts w:hint="eastAsia"/>
                <w:color w:val="auto"/>
                <w:sz w:val="24"/>
              </w:rPr>
              <w:t>/h，颗粒物处理效率75%，有机废气处理效率80%。</w:t>
            </w:r>
          </w:p>
          <w:p>
            <w:pPr>
              <w:spacing w:line="360" w:lineRule="auto"/>
              <w:ind w:firstLine="480"/>
              <w:rPr>
                <w:color w:val="auto"/>
                <w:sz w:val="24"/>
              </w:rPr>
            </w:pPr>
            <w:r>
              <w:rPr>
                <w:rFonts w:hint="eastAsia"/>
                <w:color w:val="auto"/>
                <w:sz w:val="24"/>
              </w:rPr>
              <w:t>（3）通过规范生产操作，并在车间及原料暂存区设置排风扇，颗粒物经排风扇排出；同时要求员工做好个人防护措施，以尽量减轻粉尘排放对员工健康的影响。</w:t>
            </w:r>
          </w:p>
          <w:p>
            <w:pPr>
              <w:spacing w:line="360" w:lineRule="auto"/>
              <w:ind w:firstLine="480" w:firstLineChars="200"/>
              <w:rPr>
                <w:color w:val="auto"/>
                <w:sz w:val="24"/>
              </w:rPr>
            </w:pPr>
            <w:r>
              <w:rPr>
                <w:rFonts w:hint="eastAsia"/>
                <w:color w:val="auto"/>
                <w:sz w:val="24"/>
              </w:rPr>
              <w:t>（4）本项目废气处理设施与生产设备同步运行，废气处理设施故障时及时关停生产设备。此外废气输送管道密闭设置且废气处理设施在负压状态下运行。</w:t>
            </w:r>
          </w:p>
          <w:p>
            <w:pPr>
              <w:spacing w:line="360" w:lineRule="auto"/>
              <w:ind w:firstLine="480" w:firstLineChars="200"/>
              <w:rPr>
                <w:color w:val="auto"/>
                <w:sz w:val="24"/>
              </w:rPr>
            </w:pPr>
            <w:r>
              <w:rPr>
                <w:color w:val="auto"/>
                <w:sz w:val="24"/>
              </w:rPr>
              <w:t>通过上述控制措施，可有效降低项目区废气对环境的影响。</w:t>
            </w:r>
          </w:p>
          <w:p>
            <w:pPr>
              <w:pStyle w:val="4"/>
              <w:spacing w:before="0" w:after="0" w:line="360" w:lineRule="auto"/>
              <w:ind w:left="0" w:firstLine="482" w:firstLineChars="200"/>
              <w:rPr>
                <w:rFonts w:eastAsia="宋体"/>
                <w:color w:val="auto"/>
                <w:kern w:val="2"/>
                <w:sz w:val="24"/>
                <w:szCs w:val="24"/>
              </w:rPr>
            </w:pPr>
            <w:r>
              <w:rPr>
                <w:rFonts w:hint="eastAsia" w:eastAsia="宋体"/>
                <w:color w:val="auto"/>
                <w:kern w:val="2"/>
                <w:sz w:val="24"/>
                <w:szCs w:val="24"/>
              </w:rPr>
              <w:t>4</w:t>
            </w:r>
            <w:r>
              <w:rPr>
                <w:rFonts w:eastAsia="宋体"/>
                <w:color w:val="auto"/>
                <w:kern w:val="2"/>
                <w:sz w:val="24"/>
                <w:szCs w:val="24"/>
              </w:rPr>
              <w:t>、废气防治措施可行性分析</w:t>
            </w:r>
          </w:p>
          <w:p>
            <w:pPr>
              <w:pStyle w:val="4"/>
              <w:spacing w:before="0" w:after="0" w:line="360" w:lineRule="auto"/>
              <w:ind w:left="0" w:firstLine="480" w:firstLineChars="200"/>
              <w:rPr>
                <w:rFonts w:eastAsia="宋体"/>
                <w:b w:val="0"/>
                <w:bCs w:val="0"/>
                <w:color w:val="auto"/>
                <w:kern w:val="2"/>
                <w:sz w:val="24"/>
                <w:szCs w:val="24"/>
              </w:rPr>
            </w:pPr>
            <w:r>
              <w:rPr>
                <w:rFonts w:eastAsia="宋体"/>
                <w:b w:val="0"/>
                <w:bCs w:val="0"/>
                <w:color w:val="auto"/>
                <w:kern w:val="2"/>
                <w:sz w:val="24"/>
                <w:szCs w:val="24"/>
              </w:rPr>
              <w:t>本项目生产过程中控制温度远小于塑料分解温度，产生的废气主要为挥发性有机物(VOCs），其成分以碳氢化合物为主，浓度、温度均不高，项目生产过程使用废旧塑料产品为原料，因此有恶臭异味物，采用光氧催化措施，同时为确保废气净化效率，本项目考虑采用组合工艺，废气经集气罩收集后进行水洗降温，在活性炭吸附净化后进行光氧催化氧化。故本次环评提出，项目废旧塑料颗粒生产车间内安装1套“水洗装置+除湿除雾装置+</w:t>
            </w:r>
            <w:r>
              <w:rPr>
                <w:rFonts w:hint="eastAsia" w:eastAsia="宋体"/>
                <w:b w:val="0"/>
                <w:bCs w:val="0"/>
                <w:color w:val="auto"/>
                <w:kern w:val="2"/>
                <w:sz w:val="24"/>
                <w:szCs w:val="24"/>
                <w:lang w:val="en-US" w:eastAsia="zh-CN"/>
              </w:rPr>
              <w:t>一级</w:t>
            </w:r>
            <w:r>
              <w:rPr>
                <w:rFonts w:eastAsia="宋体"/>
                <w:b w:val="0"/>
                <w:bCs w:val="0"/>
                <w:color w:val="auto"/>
                <w:kern w:val="2"/>
                <w:sz w:val="24"/>
                <w:szCs w:val="24"/>
              </w:rPr>
              <w:t>活性炭吸附装置+光氧催化装置”对颗粒物和非甲烷总经进行处理后排放。根据《排污许可证申请与核发技术规范 废弃资源加工工业》（HJ1034-2019），颗粒物采用喷淋降尘，非甲烷总烃采用活性炭吸附属于可行技术。</w:t>
            </w:r>
          </w:p>
          <w:p>
            <w:pPr>
              <w:pStyle w:val="4"/>
              <w:spacing w:before="0" w:after="0" w:line="360" w:lineRule="auto"/>
              <w:ind w:left="0" w:firstLine="480" w:firstLineChars="200"/>
              <w:rPr>
                <w:rFonts w:eastAsia="宋体"/>
                <w:b w:val="0"/>
                <w:bCs w:val="0"/>
                <w:color w:val="auto"/>
                <w:kern w:val="2"/>
                <w:sz w:val="24"/>
                <w:szCs w:val="24"/>
              </w:rPr>
            </w:pPr>
            <w:r>
              <w:rPr>
                <w:rFonts w:hint="eastAsia" w:eastAsia="宋体"/>
                <w:b w:val="0"/>
                <w:bCs w:val="0"/>
                <w:color w:val="auto"/>
                <w:kern w:val="2"/>
                <w:sz w:val="24"/>
                <w:szCs w:val="24"/>
              </w:rPr>
              <w:t>根据《2020 年挥发性有机物治理攻坚方案》提出的要求：采用活性炭吸附治理技术的，应采用碘值不低于800mg/g的活性炭，并按照废气治理设计要求足量添加、及时更换。本环评提出，项目应按照要求采用碘值不低于800mg/g的活性炭，并按照废气治理设计要求对光氧管和活性炭足量添加、及时更换。</w:t>
            </w:r>
          </w:p>
          <w:p>
            <w:pPr>
              <w:spacing w:line="360" w:lineRule="auto"/>
              <w:ind w:firstLine="480" w:firstLineChars="200"/>
              <w:rPr>
                <w:color w:val="auto"/>
                <w:sz w:val="24"/>
              </w:rPr>
            </w:pPr>
            <w:r>
              <w:rPr>
                <w:rFonts w:hint="eastAsia"/>
                <w:color w:val="auto"/>
                <w:sz w:val="24"/>
              </w:rPr>
              <w:t>无组织颗粒物主要产生于部分原料开包过程及熔融挤出和过程无法收集的一部分废气，</w:t>
            </w:r>
            <w:r>
              <w:rPr>
                <w:color w:val="auto"/>
                <w:sz w:val="24"/>
                <w:szCs w:val="20"/>
              </w:rPr>
              <w:t>通过规范生产操作，并在车间及</w:t>
            </w:r>
            <w:r>
              <w:rPr>
                <w:rFonts w:hint="eastAsia"/>
                <w:color w:val="auto"/>
                <w:sz w:val="24"/>
                <w:szCs w:val="20"/>
              </w:rPr>
              <w:t>原料暂存区</w:t>
            </w:r>
            <w:r>
              <w:rPr>
                <w:color w:val="auto"/>
                <w:sz w:val="24"/>
                <w:szCs w:val="20"/>
              </w:rPr>
              <w:t>设置排风扇，颗粒物经</w:t>
            </w:r>
            <w:r>
              <w:rPr>
                <w:rFonts w:hint="eastAsia"/>
                <w:color w:val="auto"/>
                <w:sz w:val="24"/>
                <w:szCs w:val="20"/>
              </w:rPr>
              <w:t>排风扇</w:t>
            </w:r>
            <w:r>
              <w:rPr>
                <w:color w:val="auto"/>
                <w:sz w:val="24"/>
                <w:szCs w:val="20"/>
              </w:rPr>
              <w:t>排出；</w:t>
            </w:r>
            <w:r>
              <w:rPr>
                <w:color w:val="auto"/>
                <w:sz w:val="24"/>
              </w:rPr>
              <w:t>同时要求员工做好个人防护措施，以尽量减轻粉尘排放对员工健康的影响。</w:t>
            </w:r>
            <w:r>
              <w:rPr>
                <w:rFonts w:hint="eastAsia"/>
                <w:color w:val="auto"/>
                <w:sz w:val="24"/>
              </w:rPr>
              <w:t>经预测分析，项目厂界无组织颗粒物可实现达标排放，故采取的无组织废气治理设施有效可行。根据《挥发性有机物无组织排放控制标准》（GB37882-2019)10.1.2VOCs废气收集处理系统应与生产工艺设备同步运行。VOCs废气收集处理系统发生故障或检修时，对应的生产工艺设备应停止运行，待检修完毕后同步投入使用；生产工艺设备不能停止运行或不能及时停止运行的，应设置废气应急处理设施或采取其他替代措施。本项目废气处理设施与生产设备同步运行，废气处理设施故障时可及时关停生产设备。此外废气输送管道密闭设置且废气处理设施在负压状态下运行，可有效控制无组织非甲烷总经的产生。</w:t>
            </w:r>
          </w:p>
          <w:p>
            <w:pPr>
              <w:pStyle w:val="4"/>
              <w:spacing w:before="0" w:after="0" w:line="360" w:lineRule="auto"/>
              <w:ind w:left="0" w:firstLine="480" w:firstLineChars="200"/>
              <w:rPr>
                <w:color w:val="auto"/>
              </w:rPr>
            </w:pPr>
            <w:r>
              <w:rPr>
                <w:rFonts w:eastAsia="宋体"/>
                <w:b w:val="0"/>
                <w:bCs w:val="0"/>
                <w:color w:val="auto"/>
                <w:kern w:val="2"/>
                <w:sz w:val="24"/>
                <w:szCs w:val="24"/>
              </w:rPr>
              <w:t>故本次环评认为，项目采取的废气防治措施可行。</w:t>
            </w:r>
          </w:p>
          <w:p>
            <w:pPr>
              <w:spacing w:line="360" w:lineRule="auto"/>
              <w:ind w:firstLine="482" w:firstLineChars="200"/>
              <w:rPr>
                <w:b/>
                <w:bCs/>
                <w:color w:val="auto"/>
                <w:sz w:val="24"/>
              </w:rPr>
            </w:pPr>
            <w:r>
              <w:rPr>
                <w:rFonts w:hint="eastAsia"/>
                <w:b/>
                <w:bCs/>
                <w:color w:val="auto"/>
                <w:sz w:val="24"/>
              </w:rPr>
              <w:t>5、</w:t>
            </w:r>
            <w:r>
              <w:rPr>
                <w:b/>
                <w:bCs/>
                <w:color w:val="auto"/>
                <w:sz w:val="24"/>
              </w:rPr>
              <w:t>废气环境影响分析</w:t>
            </w:r>
          </w:p>
          <w:p>
            <w:pPr>
              <w:spacing w:line="360" w:lineRule="auto"/>
              <w:ind w:firstLine="480" w:firstLineChars="200"/>
              <w:rPr>
                <w:rFonts w:hint="default" w:eastAsia="宋体"/>
                <w:color w:val="auto"/>
                <w:sz w:val="24"/>
                <w:lang w:val="en-US" w:eastAsia="zh-CN"/>
              </w:rPr>
            </w:pPr>
            <w:r>
              <w:rPr>
                <w:rFonts w:hint="eastAsia"/>
                <w:color w:val="auto"/>
                <w:sz w:val="24"/>
              </w:rPr>
              <w:t>根据前文核算，项目有组织废气中非甲烷总烃的排放浓度为13.99mg/m</w:t>
            </w:r>
            <w:r>
              <w:rPr>
                <w:rFonts w:hint="eastAsia"/>
                <w:color w:val="auto"/>
                <w:sz w:val="24"/>
                <w:vertAlign w:val="superscript"/>
              </w:rPr>
              <w:t>3</w:t>
            </w:r>
            <w:r>
              <w:rPr>
                <w:rFonts w:hint="eastAsia"/>
                <w:color w:val="auto"/>
                <w:sz w:val="24"/>
              </w:rPr>
              <w:t>，颗粒物的排放浓度为2.5mg/m</w:t>
            </w:r>
            <w:r>
              <w:rPr>
                <w:rFonts w:hint="eastAsia"/>
                <w:color w:val="auto"/>
                <w:sz w:val="24"/>
                <w:vertAlign w:val="superscript"/>
              </w:rPr>
              <w:t>3</w:t>
            </w:r>
            <w:r>
              <w:rPr>
                <w:rFonts w:hint="eastAsia"/>
                <w:color w:val="auto"/>
                <w:sz w:val="24"/>
              </w:rPr>
              <w:t>，均满足《合成树脂工业污染物排放标准》(GB31572-2015) 中有组织排放浓度及速率限值要求，即满足“非甲烷总烃最高排放浓度100mg/m</w:t>
            </w:r>
            <w:r>
              <w:rPr>
                <w:rFonts w:hint="eastAsia"/>
                <w:color w:val="auto"/>
                <w:sz w:val="24"/>
                <w:vertAlign w:val="superscript"/>
              </w:rPr>
              <w:t>3</w:t>
            </w:r>
            <w:r>
              <w:rPr>
                <w:rFonts w:hint="eastAsia"/>
                <w:color w:val="auto"/>
                <w:sz w:val="24"/>
              </w:rPr>
              <w:t>；颗粒物最高排放浓度30mg/m</w:t>
            </w:r>
            <w:r>
              <w:rPr>
                <w:rFonts w:hint="eastAsia"/>
                <w:color w:val="auto"/>
                <w:sz w:val="24"/>
                <w:vertAlign w:val="superscript"/>
              </w:rPr>
              <w:t>3</w:t>
            </w:r>
            <w:r>
              <w:rPr>
                <w:rFonts w:hint="eastAsia"/>
                <w:color w:val="auto"/>
                <w:sz w:val="24"/>
              </w:rPr>
              <w:t>”的要求</w:t>
            </w:r>
            <w:r>
              <w:rPr>
                <w:rFonts w:hint="eastAsia"/>
                <w:color w:val="auto"/>
                <w:sz w:val="24"/>
                <w:lang w:eastAsia="zh-CN"/>
              </w:rPr>
              <w:t>；</w:t>
            </w:r>
            <w:r>
              <w:rPr>
                <w:rFonts w:hint="eastAsia"/>
                <w:color w:val="auto"/>
                <w:sz w:val="24"/>
                <w:lang w:val="en-US" w:eastAsia="zh-CN"/>
              </w:rPr>
              <w:t>有组织废气中臭气浓度类比同类项目采用的同种污染治理设施的排放浓度，满足</w:t>
            </w:r>
            <w:r>
              <w:rPr>
                <w:rFonts w:hint="eastAsia"/>
                <w:color w:val="auto"/>
                <w:sz w:val="24"/>
                <w:szCs w:val="20"/>
              </w:rPr>
              <w:t>《恶臭污染物排放标准》（GB14554-93）表2排放限值要求</w:t>
            </w:r>
            <w:r>
              <w:rPr>
                <w:rFonts w:hint="eastAsia"/>
                <w:color w:val="auto"/>
                <w:sz w:val="24"/>
                <w:szCs w:val="20"/>
                <w:lang w:eastAsia="zh-CN"/>
              </w:rPr>
              <w:t>；</w:t>
            </w:r>
            <w:r>
              <w:rPr>
                <w:rFonts w:hint="eastAsia"/>
                <w:color w:val="auto"/>
                <w:sz w:val="24"/>
              </w:rPr>
              <w:t>项目运营期无组织废气主要为非甲烷总烃</w:t>
            </w:r>
            <w:r>
              <w:rPr>
                <w:rFonts w:hint="eastAsia"/>
                <w:color w:val="auto"/>
                <w:sz w:val="24"/>
                <w:lang w:eastAsia="zh-CN"/>
              </w:rPr>
              <w:t>、</w:t>
            </w:r>
            <w:r>
              <w:rPr>
                <w:rFonts w:hint="eastAsia"/>
                <w:color w:val="auto"/>
                <w:sz w:val="24"/>
              </w:rPr>
              <w:t>颗粒物</w:t>
            </w:r>
            <w:r>
              <w:rPr>
                <w:rFonts w:hint="eastAsia"/>
                <w:color w:val="auto"/>
                <w:sz w:val="24"/>
                <w:lang w:val="en-US" w:eastAsia="zh-CN"/>
              </w:rPr>
              <w:t>及臭气浓度</w:t>
            </w:r>
            <w:r>
              <w:rPr>
                <w:rFonts w:hint="eastAsia"/>
                <w:color w:val="auto"/>
                <w:sz w:val="24"/>
              </w:rPr>
              <w:t>。根据前文核算，项目熔融挤出工序产生的非甲烷总烃、颗粒物经采取“水洗装置+除湿除雾+</w:t>
            </w:r>
            <w:r>
              <w:rPr>
                <w:rFonts w:hint="eastAsia"/>
                <w:color w:val="auto"/>
                <w:sz w:val="24"/>
                <w:lang w:val="en-US" w:eastAsia="zh-CN"/>
              </w:rPr>
              <w:t>一级</w:t>
            </w:r>
            <w:r>
              <w:rPr>
                <w:rFonts w:hint="eastAsia"/>
                <w:color w:val="auto"/>
                <w:sz w:val="24"/>
              </w:rPr>
              <w:t>活性炭吸附+光氧催化装置”处理后，无组织排放量较小。根据《环境影响评价技术导则大气环境》(HJ2.2-2018)，本次环评利用估算模式AERSCREEN对无组织排放进行预测得知：颗粒物最大排放浓度为0.0155mg/m</w:t>
            </w:r>
            <w:r>
              <w:rPr>
                <w:rFonts w:hint="eastAsia"/>
                <w:color w:val="auto"/>
                <w:sz w:val="24"/>
                <w:vertAlign w:val="superscript"/>
              </w:rPr>
              <w:t>3</w:t>
            </w:r>
            <w:r>
              <w:rPr>
                <w:rFonts w:hint="eastAsia"/>
                <w:color w:val="auto"/>
                <w:sz w:val="24"/>
              </w:rPr>
              <w:t>、非甲烷总烃最大排放浓度为0.1084mg/m</w:t>
            </w:r>
            <w:r>
              <w:rPr>
                <w:rFonts w:hint="eastAsia"/>
                <w:color w:val="auto"/>
                <w:sz w:val="24"/>
                <w:vertAlign w:val="superscript"/>
              </w:rPr>
              <w:t>3</w:t>
            </w:r>
            <w:r>
              <w:rPr>
                <w:rFonts w:hint="eastAsia"/>
                <w:color w:val="auto"/>
                <w:sz w:val="24"/>
              </w:rPr>
              <w:t>。颗粒物、非甲烷总烃运营期无组织排放满足《合成树脂工业污染物排放标准》(GB31572-2015) 中无组织排放监控浓度值，即满足“无组织排放监控浓度限值颗粒物≤1.0mg/m</w:t>
            </w:r>
            <w:r>
              <w:rPr>
                <w:rFonts w:hint="eastAsia"/>
                <w:color w:val="auto"/>
                <w:sz w:val="24"/>
                <w:vertAlign w:val="superscript"/>
              </w:rPr>
              <w:t>3</w:t>
            </w:r>
            <w:r>
              <w:rPr>
                <w:rFonts w:hint="eastAsia"/>
                <w:color w:val="auto"/>
                <w:sz w:val="24"/>
              </w:rPr>
              <w:t>，非甲烷总烃≤4mg/m</w:t>
            </w:r>
            <w:r>
              <w:rPr>
                <w:rFonts w:hint="eastAsia"/>
                <w:color w:val="auto"/>
                <w:sz w:val="24"/>
                <w:vertAlign w:val="superscript"/>
              </w:rPr>
              <w:t>3</w:t>
            </w:r>
            <w:r>
              <w:rPr>
                <w:rFonts w:hint="eastAsia"/>
                <w:color w:val="auto"/>
                <w:sz w:val="24"/>
              </w:rPr>
              <w:t>”的要求；厂区内无组织排放挥发性有机物满足《挥发性有机物无组织排放控制标准》(GB37822-2019) 浓度限值，即满足“监控点处lh平均浓度≤10mg/m</w:t>
            </w:r>
            <w:r>
              <w:rPr>
                <w:rFonts w:hint="eastAsia"/>
                <w:color w:val="auto"/>
                <w:sz w:val="24"/>
                <w:vertAlign w:val="superscript"/>
              </w:rPr>
              <w:t>3</w:t>
            </w:r>
            <w:r>
              <w:rPr>
                <w:rFonts w:hint="eastAsia"/>
                <w:color w:val="auto"/>
                <w:sz w:val="24"/>
              </w:rPr>
              <w:t>，监控点处任意一次浓度≤30mg/m</w:t>
            </w:r>
            <w:r>
              <w:rPr>
                <w:rFonts w:hint="eastAsia"/>
                <w:color w:val="auto"/>
                <w:sz w:val="24"/>
                <w:vertAlign w:val="superscript"/>
              </w:rPr>
              <w:t>3</w:t>
            </w:r>
            <w:r>
              <w:rPr>
                <w:rFonts w:hint="eastAsia"/>
                <w:color w:val="auto"/>
                <w:sz w:val="24"/>
              </w:rPr>
              <w:t>”的要求</w:t>
            </w:r>
            <w:r>
              <w:rPr>
                <w:rFonts w:hint="eastAsia"/>
                <w:color w:val="auto"/>
                <w:sz w:val="24"/>
                <w:lang w:eastAsia="zh-CN"/>
              </w:rPr>
              <w:t>；</w:t>
            </w:r>
            <w:r>
              <w:rPr>
                <w:rFonts w:hint="eastAsia"/>
                <w:color w:val="auto"/>
                <w:sz w:val="24"/>
                <w:szCs w:val="20"/>
                <w:lang w:val="en-US" w:eastAsia="zh-CN"/>
              </w:rPr>
              <w:t>项目无组织臭气产生和排放量少，排放浓度低，能够满足</w:t>
            </w:r>
            <w:r>
              <w:rPr>
                <w:rFonts w:hint="eastAsia"/>
                <w:color w:val="auto"/>
                <w:sz w:val="24"/>
                <w:szCs w:val="20"/>
              </w:rPr>
              <w:t>《恶臭污染物排放标准》（GB14554-93）</w:t>
            </w:r>
            <w:r>
              <w:rPr>
                <w:rFonts w:hint="eastAsia"/>
                <w:color w:val="auto"/>
                <w:sz w:val="24"/>
                <w:szCs w:val="20"/>
                <w:lang w:val="en-US" w:eastAsia="zh-CN"/>
              </w:rPr>
              <w:t>要求</w:t>
            </w:r>
            <w:r>
              <w:rPr>
                <w:rFonts w:hint="eastAsia"/>
                <w:color w:val="auto"/>
                <w:sz w:val="24"/>
              </w:rPr>
              <w:t>。</w:t>
            </w:r>
          </w:p>
          <w:p>
            <w:pPr>
              <w:spacing w:line="360" w:lineRule="auto"/>
              <w:ind w:firstLine="480" w:firstLineChars="200"/>
              <w:rPr>
                <w:color w:val="auto"/>
                <w:sz w:val="24"/>
              </w:rPr>
            </w:pPr>
            <w:r>
              <w:rPr>
                <w:rFonts w:hint="eastAsia"/>
                <w:color w:val="auto"/>
                <w:sz w:val="24"/>
              </w:rPr>
              <w:t>综上，项目运营期无组织废气经采取相关治理措施后，对周围大气环境影响小。</w:t>
            </w:r>
          </w:p>
          <w:p>
            <w:pPr>
              <w:spacing w:line="360" w:lineRule="auto"/>
              <w:ind w:firstLine="480" w:firstLineChars="200"/>
              <w:rPr>
                <w:b/>
                <w:bCs/>
                <w:color w:val="auto"/>
                <w:sz w:val="24"/>
              </w:rPr>
            </w:pPr>
            <w:r>
              <w:rPr>
                <w:rFonts w:hint="eastAsia"/>
                <w:color w:val="auto"/>
                <w:sz w:val="24"/>
              </w:rPr>
              <w:t>项目所在地区域为达标区，厂区500米范围内存在居民点，但本项目污染物经采取相应的治理措施后，排放量较小，均达标排放，对周边环境影响不大。</w:t>
            </w:r>
          </w:p>
          <w:p>
            <w:pPr>
              <w:spacing w:line="360" w:lineRule="auto"/>
              <w:ind w:firstLine="482" w:firstLineChars="200"/>
              <w:rPr>
                <w:b/>
                <w:bCs/>
                <w:color w:val="auto"/>
                <w:sz w:val="24"/>
              </w:rPr>
            </w:pPr>
            <w:r>
              <w:rPr>
                <w:b/>
                <w:bCs/>
                <w:color w:val="auto"/>
                <w:sz w:val="24"/>
              </w:rPr>
              <w:t>二、运营期废水环境影响及防治措施</w:t>
            </w:r>
          </w:p>
          <w:p>
            <w:pPr>
              <w:spacing w:line="360" w:lineRule="auto"/>
              <w:ind w:firstLine="482" w:firstLineChars="200"/>
              <w:rPr>
                <w:b/>
                <w:bCs/>
                <w:color w:val="auto"/>
                <w:sz w:val="24"/>
              </w:rPr>
            </w:pPr>
            <w:r>
              <w:rPr>
                <w:b/>
                <w:bCs/>
                <w:color w:val="auto"/>
                <w:sz w:val="24"/>
              </w:rPr>
              <w:t>1、废水产排情况</w:t>
            </w:r>
          </w:p>
          <w:p>
            <w:pPr>
              <w:spacing w:line="360" w:lineRule="auto"/>
              <w:ind w:firstLine="480" w:firstLineChars="200"/>
              <w:rPr>
                <w:color w:val="auto"/>
                <w:sz w:val="24"/>
              </w:rPr>
            </w:pPr>
            <w:r>
              <w:rPr>
                <w:rFonts w:hint="eastAsia"/>
                <w:color w:val="auto"/>
                <w:sz w:val="24"/>
              </w:rPr>
              <w:t>根据前文“水平衡”分析内容，本项目废水主要包括清洗废水、冷却水、废气处理系统废水、车间地面清洗废水，员工生活污水。</w:t>
            </w:r>
          </w:p>
          <w:p>
            <w:pPr>
              <w:spacing w:line="360" w:lineRule="auto"/>
              <w:ind w:firstLine="480" w:firstLineChars="200"/>
              <w:rPr>
                <w:color w:val="auto"/>
                <w:sz w:val="24"/>
              </w:rPr>
            </w:pPr>
            <w:r>
              <w:rPr>
                <w:color w:val="auto"/>
                <w:sz w:val="24"/>
              </w:rPr>
              <w:t>根据</w:t>
            </w:r>
            <w:r>
              <w:rPr>
                <w:rFonts w:hint="eastAsia"/>
                <w:color w:val="auto"/>
                <w:sz w:val="24"/>
              </w:rPr>
              <w:t>前文</w:t>
            </w:r>
            <w:r>
              <w:rPr>
                <w:color w:val="auto"/>
                <w:sz w:val="24"/>
              </w:rPr>
              <w:t>，</w:t>
            </w:r>
            <w:r>
              <w:rPr>
                <w:rFonts w:hint="eastAsia"/>
                <w:color w:val="auto"/>
                <w:sz w:val="24"/>
              </w:rPr>
              <w:t>本项目湿法破碎及清洗废水产生量为17.07t/d，冷却水循环使用</w:t>
            </w:r>
            <w:r>
              <w:rPr>
                <w:rFonts w:hint="eastAsia"/>
                <w:color w:val="auto"/>
                <w:sz w:val="24"/>
                <w:lang w:eastAsia="zh-CN"/>
              </w:rPr>
              <w:t>，</w:t>
            </w:r>
            <w:r>
              <w:rPr>
                <w:rFonts w:hint="eastAsia"/>
                <w:color w:val="auto"/>
                <w:sz w:val="24"/>
              </w:rPr>
              <w:t>废气处理系统废水每2天更换一次，单次排放量</w:t>
            </w:r>
            <w:r>
              <w:rPr>
                <w:rFonts w:hint="eastAsia"/>
                <w:color w:val="auto"/>
                <w:sz w:val="24"/>
                <w:lang w:val="en-US" w:eastAsia="zh-CN"/>
              </w:rPr>
              <w:t>0.48</w:t>
            </w:r>
            <w:r>
              <w:rPr>
                <w:rFonts w:hint="eastAsia"/>
                <w:color w:val="auto"/>
                <w:sz w:val="24"/>
              </w:rPr>
              <w:t>m</w:t>
            </w:r>
            <w:r>
              <w:rPr>
                <w:rFonts w:hint="eastAsia"/>
                <w:color w:val="auto"/>
                <w:sz w:val="24"/>
                <w:vertAlign w:val="superscript"/>
              </w:rPr>
              <w:t>3</w:t>
            </w:r>
            <w:r>
              <w:rPr>
                <w:rFonts w:hint="eastAsia"/>
                <w:color w:val="auto"/>
                <w:sz w:val="24"/>
              </w:rPr>
              <w:t>、地面清洗废水每5天产生一次，单次产生量为1.08m</w:t>
            </w:r>
            <w:r>
              <w:rPr>
                <w:rFonts w:hint="eastAsia"/>
                <w:color w:val="auto"/>
                <w:sz w:val="24"/>
                <w:vertAlign w:val="superscript"/>
              </w:rPr>
              <w:t>3</w:t>
            </w:r>
            <w:r>
              <w:rPr>
                <w:rFonts w:hint="eastAsia"/>
                <w:color w:val="auto"/>
                <w:sz w:val="24"/>
              </w:rPr>
              <w:t>、生活污水产生量为0.88m</w:t>
            </w:r>
            <w:r>
              <w:rPr>
                <w:rFonts w:hint="eastAsia"/>
                <w:color w:val="auto"/>
                <w:sz w:val="24"/>
                <w:vertAlign w:val="superscript"/>
              </w:rPr>
              <w:t>3</w:t>
            </w:r>
            <w:r>
              <w:rPr>
                <w:rFonts w:hint="eastAsia"/>
                <w:color w:val="auto"/>
                <w:sz w:val="24"/>
              </w:rPr>
              <w:t>/d，食堂废水产生量为0.08m</w:t>
            </w:r>
            <w:r>
              <w:rPr>
                <w:rFonts w:hint="eastAsia"/>
                <w:color w:val="auto"/>
                <w:sz w:val="24"/>
                <w:vertAlign w:val="superscript"/>
              </w:rPr>
              <w:t>3</w:t>
            </w:r>
            <w:r>
              <w:rPr>
                <w:rFonts w:hint="eastAsia"/>
                <w:color w:val="auto"/>
                <w:sz w:val="24"/>
              </w:rPr>
              <w:t>/d。考虑最大</w:t>
            </w:r>
            <w:r>
              <w:rPr>
                <w:rFonts w:hint="eastAsia"/>
                <w:color w:val="auto"/>
                <w:sz w:val="24"/>
                <w:lang w:val="en-US" w:eastAsia="zh-CN"/>
              </w:rPr>
              <w:t>生产</w:t>
            </w:r>
            <w:r>
              <w:rPr>
                <w:rFonts w:hint="eastAsia"/>
                <w:color w:val="auto"/>
                <w:sz w:val="24"/>
              </w:rPr>
              <w:t>废水产生量为</w:t>
            </w:r>
            <w:r>
              <w:rPr>
                <w:rFonts w:hint="eastAsia"/>
                <w:color w:val="auto"/>
                <w:sz w:val="24"/>
                <w:lang w:val="en-US" w:eastAsia="zh-CN"/>
              </w:rPr>
              <w:t>18.63</w:t>
            </w:r>
            <w:r>
              <w:rPr>
                <w:rFonts w:hint="eastAsia"/>
                <w:color w:val="auto"/>
                <w:sz w:val="24"/>
              </w:rPr>
              <w:t>m</w:t>
            </w:r>
            <w:r>
              <w:rPr>
                <w:rFonts w:hint="eastAsia"/>
                <w:color w:val="auto"/>
                <w:sz w:val="24"/>
                <w:vertAlign w:val="superscript"/>
              </w:rPr>
              <w:t>3</w:t>
            </w:r>
            <w:r>
              <w:rPr>
                <w:rFonts w:hint="eastAsia"/>
                <w:color w:val="auto"/>
                <w:sz w:val="24"/>
              </w:rPr>
              <w:t>/d（废气处理系统废水及地面清洁废水排放时的废水量），项目设置一座处理规模为50m</w:t>
            </w:r>
            <w:r>
              <w:rPr>
                <w:rFonts w:hint="eastAsia"/>
                <w:color w:val="auto"/>
                <w:sz w:val="24"/>
                <w:vertAlign w:val="superscript"/>
              </w:rPr>
              <w:t>3</w:t>
            </w:r>
            <w:r>
              <w:rPr>
                <w:rFonts w:hint="eastAsia"/>
                <w:color w:val="auto"/>
                <w:sz w:val="24"/>
              </w:rPr>
              <w:t>/d的</w:t>
            </w:r>
            <w:r>
              <w:rPr>
                <w:rFonts w:hint="eastAsia" w:ascii="Times New Roman" w:hAnsi="Times New Roman" w:eastAsia="宋体" w:cs="Times New Roman"/>
                <w:color w:val="auto"/>
                <w:sz w:val="24"/>
                <w:lang w:val="en-US" w:eastAsia="zh-CN"/>
              </w:rPr>
              <w:t>生产废水</w:t>
            </w:r>
            <w:r>
              <w:rPr>
                <w:rFonts w:hint="eastAsia" w:ascii="Times New Roman" w:hAnsi="Times New Roman" w:eastAsia="宋体" w:cs="Times New Roman"/>
                <w:color w:val="auto"/>
                <w:sz w:val="24"/>
              </w:rPr>
              <w:t>处理站，处理工艺为“格栅+隔油+水解+好氧沉淀”处理项</w:t>
            </w:r>
            <w:r>
              <w:rPr>
                <w:rFonts w:hint="eastAsia"/>
                <w:color w:val="auto"/>
                <w:sz w:val="24"/>
              </w:rPr>
              <w:t>目产生的生产废水，处理后的废水满足《城市污水再生利用 工业用水水质》（GB/T19923-2005）中“洗涤用水”水质标准，回用于项目生产。食堂废水及生活污水依托云南鹏腾机械设备制造有限公司已建隔油池（1个容积0.5m</w:t>
            </w:r>
            <w:r>
              <w:rPr>
                <w:rFonts w:hint="eastAsia"/>
                <w:color w:val="auto"/>
                <w:sz w:val="24"/>
                <w:vertAlign w:val="superscript"/>
              </w:rPr>
              <w:t>3</w:t>
            </w:r>
            <w:r>
              <w:rPr>
                <w:rFonts w:hint="eastAsia"/>
                <w:color w:val="auto"/>
                <w:sz w:val="24"/>
              </w:rPr>
              <w:t>）、化粪池（1个容积</w:t>
            </w:r>
            <w:r>
              <w:rPr>
                <w:rFonts w:hint="eastAsia"/>
                <w:color w:val="auto"/>
                <w:sz w:val="24"/>
                <w:lang w:val="en-US" w:eastAsia="zh-CN"/>
              </w:rPr>
              <w:t>30</w:t>
            </w:r>
            <w:r>
              <w:rPr>
                <w:rFonts w:hint="eastAsia"/>
                <w:color w:val="auto"/>
                <w:sz w:val="24"/>
              </w:rPr>
              <w:t>m</w:t>
            </w:r>
            <w:r>
              <w:rPr>
                <w:rFonts w:hint="eastAsia"/>
                <w:color w:val="auto"/>
                <w:sz w:val="24"/>
                <w:vertAlign w:val="superscript"/>
              </w:rPr>
              <w:t>3</w:t>
            </w:r>
            <w:r>
              <w:rPr>
                <w:rFonts w:hint="eastAsia"/>
                <w:color w:val="auto"/>
                <w:sz w:val="24"/>
              </w:rPr>
              <w:t>）及一体化污水处理站（1座处理规模</w:t>
            </w:r>
            <w:r>
              <w:rPr>
                <w:rFonts w:hint="eastAsia"/>
                <w:color w:val="auto"/>
                <w:sz w:val="24"/>
                <w:lang w:val="en-US" w:eastAsia="zh-CN"/>
              </w:rPr>
              <w:t>30</w:t>
            </w:r>
            <w:r>
              <w:rPr>
                <w:rFonts w:hint="eastAsia"/>
                <w:color w:val="auto"/>
                <w:sz w:val="24"/>
              </w:rPr>
              <w:t>m</w:t>
            </w:r>
            <w:r>
              <w:rPr>
                <w:rFonts w:hint="eastAsia"/>
                <w:color w:val="auto"/>
                <w:sz w:val="24"/>
                <w:vertAlign w:val="superscript"/>
              </w:rPr>
              <w:t>3</w:t>
            </w:r>
            <w:r>
              <w:rPr>
                <w:rFonts w:hint="eastAsia"/>
                <w:color w:val="auto"/>
                <w:sz w:val="24"/>
              </w:rPr>
              <w:t>/d）处理达到</w:t>
            </w:r>
            <w:r>
              <w:rPr>
                <w:color w:val="auto"/>
                <w:spacing w:val="-2"/>
                <w:sz w:val="24"/>
              </w:rPr>
              <w:t>《城市污水再生利用 城市杂用水水质》（GB</w:t>
            </w:r>
            <w:r>
              <w:rPr>
                <w:rFonts w:hint="eastAsia"/>
                <w:color w:val="auto"/>
                <w:spacing w:val="-2"/>
                <w:sz w:val="24"/>
              </w:rPr>
              <w:t>/</w:t>
            </w:r>
            <w:r>
              <w:rPr>
                <w:color w:val="auto"/>
                <w:spacing w:val="-2"/>
                <w:sz w:val="24"/>
              </w:rPr>
              <w:t>T18920-2020）</w:t>
            </w:r>
            <w:r>
              <w:rPr>
                <w:color w:val="auto"/>
                <w:sz w:val="24"/>
              </w:rPr>
              <w:t>标准后</w:t>
            </w:r>
            <w:r>
              <w:rPr>
                <w:rFonts w:hint="eastAsia"/>
                <w:color w:val="auto"/>
                <w:sz w:val="24"/>
              </w:rPr>
              <w:t>暂存于蓄水池，</w:t>
            </w:r>
            <w:r>
              <w:rPr>
                <w:color w:val="auto"/>
                <w:sz w:val="24"/>
              </w:rPr>
              <w:t>回用于绿化，不外排</w:t>
            </w:r>
            <w:r>
              <w:rPr>
                <w:rFonts w:hint="eastAsia"/>
                <w:color w:val="auto"/>
                <w:sz w:val="24"/>
              </w:rPr>
              <w:t>。</w:t>
            </w:r>
          </w:p>
          <w:p>
            <w:pPr>
              <w:spacing w:line="360" w:lineRule="auto"/>
              <w:ind w:firstLine="480" w:firstLineChars="200"/>
              <w:rPr>
                <w:color w:val="auto"/>
                <w:kern w:val="0"/>
                <w:sz w:val="24"/>
              </w:rPr>
            </w:pPr>
            <w:r>
              <w:rPr>
                <w:rFonts w:hint="eastAsia"/>
                <w:color w:val="auto"/>
                <w:sz w:val="24"/>
              </w:rPr>
              <w:t>根据《排放源统计调查产排污核算方法和系数手册》42废弃资源综合利用行业系数手册中，以废PE/PP为原料，采用清洗或湿法破碎+清洗工艺</w:t>
            </w:r>
            <w:r>
              <w:rPr>
                <w:color w:val="auto"/>
                <w:kern w:val="0"/>
                <w:sz w:val="24"/>
              </w:rPr>
              <w:t>，所有规模等级下COD产生系数为420g/t-原料、氨氮产生系数为21.2g/t-原料、石油类18.5g/t-原料、总磷1.2g/t-原料。SS类比其他同类项目浓度为500mg/L。</w:t>
            </w:r>
          </w:p>
          <w:p>
            <w:pPr>
              <w:pStyle w:val="11"/>
              <w:ind w:firstLine="496" w:firstLineChars="200"/>
              <w:rPr>
                <w:color w:val="auto"/>
              </w:rPr>
            </w:pPr>
            <w:r>
              <w:rPr>
                <w:rFonts w:hint="eastAsia"/>
                <w:color w:val="auto"/>
              </w:rPr>
              <w:t>根据水平衡分析，湿法破碎+清洗废水量为5121.1</w:t>
            </w:r>
            <w:r>
              <w:rPr>
                <w:color w:val="auto"/>
              </w:rPr>
              <w:t>t/a，则项目清洗废水污染物产生情况见下表：</w:t>
            </w:r>
          </w:p>
          <w:p>
            <w:pPr>
              <w:spacing w:line="360" w:lineRule="auto"/>
              <w:jc w:val="center"/>
              <w:rPr>
                <w:b/>
                <w:bCs/>
                <w:color w:val="auto"/>
                <w:sz w:val="24"/>
              </w:rPr>
            </w:pPr>
            <w:r>
              <w:rPr>
                <w:b/>
                <w:bCs/>
                <w:color w:val="auto"/>
                <w:sz w:val="24"/>
              </w:rPr>
              <w:t>表</w:t>
            </w:r>
            <w:r>
              <w:rPr>
                <w:rFonts w:hint="eastAsia"/>
                <w:b/>
                <w:bCs/>
                <w:color w:val="auto"/>
                <w:sz w:val="24"/>
              </w:rPr>
              <w:t>4-3</w:t>
            </w:r>
            <w:r>
              <w:rPr>
                <w:b/>
                <w:bCs/>
                <w:color w:val="auto"/>
                <w:sz w:val="24"/>
              </w:rPr>
              <w:t xml:space="preserve">  项目清洗废水污染物产生情况一览表</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726"/>
              <w:gridCol w:w="1885"/>
              <w:gridCol w:w="1499"/>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vMerge w:val="restart"/>
                  <w:vAlign w:val="center"/>
                </w:tcPr>
                <w:p>
                  <w:pPr>
                    <w:spacing w:line="360" w:lineRule="auto"/>
                    <w:jc w:val="center"/>
                    <w:rPr>
                      <w:color w:val="auto"/>
                      <w:szCs w:val="21"/>
                    </w:rPr>
                  </w:pPr>
                  <w:r>
                    <w:rPr>
                      <w:color w:val="auto"/>
                      <w:szCs w:val="21"/>
                    </w:rPr>
                    <w:t>污染物名称</w:t>
                  </w:r>
                </w:p>
              </w:tc>
              <w:tc>
                <w:tcPr>
                  <w:tcW w:w="3171" w:type="pct"/>
                  <w:gridSpan w:val="3"/>
                  <w:vAlign w:val="center"/>
                </w:tcPr>
                <w:p>
                  <w:pPr>
                    <w:spacing w:line="360" w:lineRule="auto"/>
                    <w:jc w:val="center"/>
                    <w:rPr>
                      <w:color w:val="auto"/>
                      <w:szCs w:val="21"/>
                    </w:rPr>
                  </w:pPr>
                  <w:r>
                    <w:rPr>
                      <w:color w:val="auto"/>
                      <w:szCs w:val="21"/>
                    </w:rPr>
                    <w:t>产生情况</w:t>
                  </w:r>
                </w:p>
              </w:tc>
              <w:tc>
                <w:tcPr>
                  <w:tcW w:w="971" w:type="pct"/>
                  <w:vMerge w:val="restart"/>
                  <w:vAlign w:val="center"/>
                </w:tcPr>
                <w:p>
                  <w:pPr>
                    <w:spacing w:line="360" w:lineRule="auto"/>
                    <w:jc w:val="center"/>
                    <w:rPr>
                      <w:color w:val="auto"/>
                      <w:szCs w:val="21"/>
                    </w:rPr>
                  </w:pPr>
                  <w:r>
                    <w:rPr>
                      <w:color w:val="auto"/>
                      <w:szCs w:val="21"/>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vMerge w:val="continue"/>
                  <w:vAlign w:val="center"/>
                </w:tcPr>
                <w:p>
                  <w:pPr>
                    <w:spacing w:line="360" w:lineRule="auto"/>
                    <w:jc w:val="center"/>
                    <w:rPr>
                      <w:color w:val="auto"/>
                      <w:szCs w:val="21"/>
                    </w:rPr>
                  </w:pPr>
                </w:p>
              </w:tc>
              <w:tc>
                <w:tcPr>
                  <w:tcW w:w="1071" w:type="pct"/>
                  <w:vAlign w:val="center"/>
                </w:tcPr>
                <w:p>
                  <w:pPr>
                    <w:spacing w:line="360" w:lineRule="auto"/>
                    <w:jc w:val="center"/>
                    <w:rPr>
                      <w:color w:val="auto"/>
                      <w:szCs w:val="21"/>
                    </w:rPr>
                  </w:pPr>
                  <w:r>
                    <w:rPr>
                      <w:rFonts w:hint="eastAsia"/>
                      <w:color w:val="auto"/>
                      <w:szCs w:val="21"/>
                    </w:rPr>
                    <w:t>产污系数</w:t>
                  </w:r>
                </w:p>
              </w:tc>
              <w:tc>
                <w:tcPr>
                  <w:tcW w:w="1170" w:type="pct"/>
                  <w:vAlign w:val="center"/>
                </w:tcPr>
                <w:p>
                  <w:pPr>
                    <w:spacing w:line="360" w:lineRule="auto"/>
                    <w:jc w:val="center"/>
                    <w:rPr>
                      <w:color w:val="auto"/>
                      <w:szCs w:val="21"/>
                    </w:rPr>
                  </w:pPr>
                  <w:r>
                    <w:rPr>
                      <w:color w:val="auto"/>
                      <w:szCs w:val="21"/>
                    </w:rPr>
                    <w:t>产生</w:t>
                  </w:r>
                  <w:r>
                    <w:rPr>
                      <w:rFonts w:hint="eastAsia"/>
                      <w:color w:val="auto"/>
                      <w:szCs w:val="21"/>
                    </w:rPr>
                    <w:t>浓度</w:t>
                  </w:r>
                  <w:r>
                    <w:rPr>
                      <w:color w:val="auto"/>
                      <w:szCs w:val="21"/>
                    </w:rPr>
                    <w:t>（mg/L）</w:t>
                  </w:r>
                </w:p>
              </w:tc>
              <w:tc>
                <w:tcPr>
                  <w:tcW w:w="930" w:type="pct"/>
                  <w:vAlign w:val="center"/>
                </w:tcPr>
                <w:p>
                  <w:pPr>
                    <w:spacing w:line="360" w:lineRule="auto"/>
                    <w:jc w:val="center"/>
                    <w:rPr>
                      <w:color w:val="auto"/>
                      <w:szCs w:val="21"/>
                    </w:rPr>
                  </w:pPr>
                  <w:r>
                    <w:rPr>
                      <w:color w:val="auto"/>
                      <w:szCs w:val="21"/>
                    </w:rPr>
                    <w:t>产生量（t/a）</w:t>
                  </w:r>
                </w:p>
              </w:tc>
              <w:tc>
                <w:tcPr>
                  <w:tcW w:w="971" w:type="pct"/>
                  <w:vMerge w:val="continue"/>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vAlign w:val="center"/>
                </w:tcPr>
                <w:p>
                  <w:pPr>
                    <w:spacing w:line="360" w:lineRule="auto"/>
                    <w:jc w:val="center"/>
                    <w:rPr>
                      <w:color w:val="auto"/>
                      <w:szCs w:val="21"/>
                    </w:rPr>
                  </w:pPr>
                  <w:r>
                    <w:rPr>
                      <w:color w:val="auto"/>
                      <w:szCs w:val="21"/>
                    </w:rPr>
                    <w:t>废水量</w:t>
                  </w:r>
                </w:p>
              </w:tc>
              <w:tc>
                <w:tcPr>
                  <w:tcW w:w="1071" w:type="pct"/>
                  <w:vAlign w:val="center"/>
                </w:tcPr>
                <w:p>
                  <w:pPr>
                    <w:spacing w:line="360" w:lineRule="auto"/>
                    <w:jc w:val="center"/>
                    <w:rPr>
                      <w:color w:val="auto"/>
                      <w:szCs w:val="21"/>
                    </w:rPr>
                  </w:pPr>
                  <w:r>
                    <w:rPr>
                      <w:rFonts w:hint="eastAsia"/>
                      <w:color w:val="auto"/>
                      <w:szCs w:val="21"/>
                    </w:rPr>
                    <w:t>/</w:t>
                  </w:r>
                </w:p>
              </w:tc>
              <w:tc>
                <w:tcPr>
                  <w:tcW w:w="1170" w:type="pct"/>
                  <w:vAlign w:val="center"/>
                </w:tcPr>
                <w:p>
                  <w:pPr>
                    <w:spacing w:line="360" w:lineRule="auto"/>
                    <w:jc w:val="center"/>
                    <w:rPr>
                      <w:color w:val="auto"/>
                      <w:szCs w:val="21"/>
                    </w:rPr>
                  </w:pPr>
                  <w:r>
                    <w:rPr>
                      <w:color w:val="auto"/>
                      <w:szCs w:val="21"/>
                    </w:rPr>
                    <w:t>/</w:t>
                  </w:r>
                </w:p>
              </w:tc>
              <w:tc>
                <w:tcPr>
                  <w:tcW w:w="930" w:type="pct"/>
                  <w:vAlign w:val="center"/>
                </w:tcPr>
                <w:p>
                  <w:pPr>
                    <w:spacing w:line="360" w:lineRule="auto"/>
                    <w:jc w:val="center"/>
                    <w:rPr>
                      <w:color w:val="auto"/>
                      <w:szCs w:val="21"/>
                    </w:rPr>
                  </w:pPr>
                  <w:r>
                    <w:rPr>
                      <w:rFonts w:hint="eastAsia"/>
                      <w:color w:val="auto"/>
                      <w:kern w:val="0"/>
                      <w:szCs w:val="21"/>
                    </w:rPr>
                    <w:t>5121.1</w:t>
                  </w:r>
                </w:p>
              </w:tc>
              <w:tc>
                <w:tcPr>
                  <w:tcW w:w="971" w:type="pct"/>
                  <w:vMerge w:val="restart"/>
                  <w:vAlign w:val="center"/>
                </w:tcPr>
                <w:p>
                  <w:pPr>
                    <w:spacing w:line="360" w:lineRule="auto"/>
                    <w:jc w:val="center"/>
                    <w:rPr>
                      <w:color w:val="auto"/>
                      <w:szCs w:val="21"/>
                    </w:rPr>
                  </w:pPr>
                  <w:r>
                    <w:rPr>
                      <w:color w:val="auto"/>
                      <w:szCs w:val="21"/>
                    </w:rPr>
                    <w:t>（</w:t>
                  </w:r>
                  <w:r>
                    <w:rPr>
                      <w:rFonts w:hint="eastAsia"/>
                      <w:color w:val="auto"/>
                      <w:szCs w:val="21"/>
                    </w:rPr>
                    <w:t>格栅+隔油+水解+生物接触氧化法</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vAlign w:val="center"/>
                </w:tcPr>
                <w:p>
                  <w:pPr>
                    <w:spacing w:line="360" w:lineRule="auto"/>
                    <w:jc w:val="center"/>
                    <w:rPr>
                      <w:color w:val="auto"/>
                      <w:szCs w:val="21"/>
                    </w:rPr>
                  </w:pPr>
                  <w:r>
                    <w:rPr>
                      <w:color w:val="auto"/>
                      <w:szCs w:val="21"/>
                    </w:rPr>
                    <w:t>COD</w:t>
                  </w:r>
                </w:p>
              </w:tc>
              <w:tc>
                <w:tcPr>
                  <w:tcW w:w="1071" w:type="pct"/>
                  <w:vAlign w:val="center"/>
                </w:tcPr>
                <w:p>
                  <w:pPr>
                    <w:spacing w:line="360" w:lineRule="auto"/>
                    <w:jc w:val="center"/>
                    <w:rPr>
                      <w:color w:val="auto"/>
                      <w:szCs w:val="21"/>
                    </w:rPr>
                  </w:pPr>
                  <w:r>
                    <w:rPr>
                      <w:rFonts w:hint="eastAsia"/>
                      <w:color w:val="auto"/>
                      <w:szCs w:val="21"/>
                    </w:rPr>
                    <w:t>420g/t-原料</w:t>
                  </w:r>
                </w:p>
              </w:tc>
              <w:tc>
                <w:tcPr>
                  <w:tcW w:w="1170" w:type="pct"/>
                  <w:vAlign w:val="center"/>
                </w:tcPr>
                <w:p>
                  <w:pPr>
                    <w:spacing w:line="360" w:lineRule="auto"/>
                    <w:jc w:val="center"/>
                    <w:rPr>
                      <w:color w:val="auto"/>
                      <w:szCs w:val="21"/>
                    </w:rPr>
                  </w:pPr>
                  <w:r>
                    <w:rPr>
                      <w:rFonts w:hint="eastAsia"/>
                      <w:color w:val="auto"/>
                      <w:szCs w:val="21"/>
                    </w:rPr>
                    <w:t>419.83</w:t>
                  </w:r>
                </w:p>
              </w:tc>
              <w:tc>
                <w:tcPr>
                  <w:tcW w:w="930" w:type="pct"/>
                  <w:vAlign w:val="center"/>
                </w:tcPr>
                <w:p>
                  <w:pPr>
                    <w:widowControl/>
                    <w:jc w:val="center"/>
                    <w:textAlignment w:val="center"/>
                    <w:rPr>
                      <w:color w:val="auto"/>
                      <w:szCs w:val="21"/>
                    </w:rPr>
                  </w:pPr>
                  <w:r>
                    <w:rPr>
                      <w:rFonts w:hint="eastAsia"/>
                      <w:color w:val="auto"/>
                      <w:kern w:val="0"/>
                      <w:szCs w:val="21"/>
                      <w:lang w:bidi="ar"/>
                    </w:rPr>
                    <w:t>2.15</w:t>
                  </w:r>
                </w:p>
              </w:tc>
              <w:tc>
                <w:tcPr>
                  <w:tcW w:w="971" w:type="pct"/>
                  <w:vMerge w:val="continue"/>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vAlign w:val="center"/>
                </w:tcPr>
                <w:p>
                  <w:pPr>
                    <w:spacing w:line="360" w:lineRule="auto"/>
                    <w:jc w:val="center"/>
                    <w:rPr>
                      <w:color w:val="auto"/>
                      <w:szCs w:val="21"/>
                    </w:rPr>
                  </w:pPr>
                  <w:r>
                    <w:rPr>
                      <w:color w:val="auto"/>
                      <w:szCs w:val="21"/>
                    </w:rPr>
                    <w:t>氨氮</w:t>
                  </w:r>
                </w:p>
              </w:tc>
              <w:tc>
                <w:tcPr>
                  <w:tcW w:w="1071" w:type="pct"/>
                  <w:vAlign w:val="center"/>
                </w:tcPr>
                <w:p>
                  <w:pPr>
                    <w:spacing w:line="360" w:lineRule="auto"/>
                    <w:jc w:val="center"/>
                    <w:rPr>
                      <w:color w:val="auto"/>
                      <w:szCs w:val="21"/>
                    </w:rPr>
                  </w:pPr>
                  <w:r>
                    <w:rPr>
                      <w:rFonts w:hint="eastAsia"/>
                      <w:color w:val="auto"/>
                      <w:szCs w:val="21"/>
                    </w:rPr>
                    <w:t>21.2g/t-原料</w:t>
                  </w:r>
                </w:p>
              </w:tc>
              <w:tc>
                <w:tcPr>
                  <w:tcW w:w="1170" w:type="pct"/>
                  <w:vAlign w:val="center"/>
                </w:tcPr>
                <w:p>
                  <w:pPr>
                    <w:spacing w:line="360" w:lineRule="auto"/>
                    <w:jc w:val="center"/>
                    <w:rPr>
                      <w:color w:val="auto"/>
                      <w:szCs w:val="21"/>
                    </w:rPr>
                  </w:pPr>
                  <w:r>
                    <w:rPr>
                      <w:rFonts w:hint="eastAsia"/>
                      <w:color w:val="auto"/>
                      <w:szCs w:val="21"/>
                    </w:rPr>
                    <w:t>21.48</w:t>
                  </w:r>
                </w:p>
              </w:tc>
              <w:tc>
                <w:tcPr>
                  <w:tcW w:w="930" w:type="pct"/>
                  <w:vAlign w:val="center"/>
                </w:tcPr>
                <w:p>
                  <w:pPr>
                    <w:widowControl/>
                    <w:jc w:val="center"/>
                    <w:textAlignment w:val="center"/>
                    <w:rPr>
                      <w:color w:val="auto"/>
                      <w:szCs w:val="21"/>
                    </w:rPr>
                  </w:pPr>
                  <w:r>
                    <w:rPr>
                      <w:rFonts w:hint="eastAsia"/>
                      <w:color w:val="auto"/>
                      <w:kern w:val="0"/>
                      <w:szCs w:val="21"/>
                      <w:lang w:bidi="ar"/>
                    </w:rPr>
                    <w:t>0.11</w:t>
                  </w:r>
                </w:p>
              </w:tc>
              <w:tc>
                <w:tcPr>
                  <w:tcW w:w="971" w:type="pct"/>
                  <w:vMerge w:val="continue"/>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vAlign w:val="center"/>
                </w:tcPr>
                <w:p>
                  <w:pPr>
                    <w:spacing w:line="360" w:lineRule="auto"/>
                    <w:jc w:val="center"/>
                    <w:rPr>
                      <w:color w:val="auto"/>
                      <w:szCs w:val="21"/>
                    </w:rPr>
                  </w:pPr>
                  <w:r>
                    <w:rPr>
                      <w:color w:val="auto"/>
                      <w:szCs w:val="21"/>
                    </w:rPr>
                    <w:t>石油类</w:t>
                  </w:r>
                </w:p>
              </w:tc>
              <w:tc>
                <w:tcPr>
                  <w:tcW w:w="1071" w:type="pct"/>
                  <w:vAlign w:val="center"/>
                </w:tcPr>
                <w:p>
                  <w:pPr>
                    <w:spacing w:line="360" w:lineRule="auto"/>
                    <w:jc w:val="center"/>
                    <w:rPr>
                      <w:color w:val="auto"/>
                      <w:szCs w:val="21"/>
                    </w:rPr>
                  </w:pPr>
                  <w:r>
                    <w:rPr>
                      <w:rFonts w:hint="eastAsia"/>
                      <w:color w:val="auto"/>
                      <w:szCs w:val="21"/>
                    </w:rPr>
                    <w:t>18.5g/t-原料</w:t>
                  </w:r>
                </w:p>
              </w:tc>
              <w:tc>
                <w:tcPr>
                  <w:tcW w:w="1170" w:type="pct"/>
                  <w:vAlign w:val="center"/>
                </w:tcPr>
                <w:p>
                  <w:pPr>
                    <w:spacing w:line="360" w:lineRule="auto"/>
                    <w:jc w:val="center"/>
                    <w:rPr>
                      <w:color w:val="auto"/>
                      <w:szCs w:val="21"/>
                    </w:rPr>
                  </w:pPr>
                  <w:r>
                    <w:rPr>
                      <w:rFonts w:hint="eastAsia"/>
                      <w:color w:val="auto"/>
                      <w:szCs w:val="21"/>
                    </w:rPr>
                    <w:t>18.55</w:t>
                  </w:r>
                </w:p>
              </w:tc>
              <w:tc>
                <w:tcPr>
                  <w:tcW w:w="930" w:type="pct"/>
                  <w:vAlign w:val="center"/>
                </w:tcPr>
                <w:p>
                  <w:pPr>
                    <w:widowControl/>
                    <w:jc w:val="center"/>
                    <w:textAlignment w:val="center"/>
                    <w:rPr>
                      <w:color w:val="auto"/>
                      <w:szCs w:val="21"/>
                    </w:rPr>
                  </w:pPr>
                  <w:r>
                    <w:rPr>
                      <w:rFonts w:hint="eastAsia"/>
                      <w:color w:val="auto"/>
                      <w:kern w:val="0"/>
                      <w:szCs w:val="21"/>
                      <w:lang w:bidi="ar"/>
                    </w:rPr>
                    <w:t>0.095</w:t>
                  </w:r>
                </w:p>
              </w:tc>
              <w:tc>
                <w:tcPr>
                  <w:tcW w:w="971" w:type="pct"/>
                  <w:vMerge w:val="continue"/>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vAlign w:val="center"/>
                </w:tcPr>
                <w:p>
                  <w:pPr>
                    <w:spacing w:line="360" w:lineRule="auto"/>
                    <w:jc w:val="center"/>
                    <w:rPr>
                      <w:color w:val="auto"/>
                      <w:szCs w:val="21"/>
                    </w:rPr>
                  </w:pPr>
                  <w:r>
                    <w:rPr>
                      <w:color w:val="auto"/>
                      <w:szCs w:val="21"/>
                    </w:rPr>
                    <w:t>总磷</w:t>
                  </w:r>
                </w:p>
              </w:tc>
              <w:tc>
                <w:tcPr>
                  <w:tcW w:w="1071" w:type="pct"/>
                  <w:vAlign w:val="center"/>
                </w:tcPr>
                <w:p>
                  <w:pPr>
                    <w:spacing w:line="360" w:lineRule="auto"/>
                    <w:jc w:val="center"/>
                    <w:rPr>
                      <w:color w:val="auto"/>
                      <w:szCs w:val="21"/>
                    </w:rPr>
                  </w:pPr>
                  <w:r>
                    <w:rPr>
                      <w:rFonts w:hint="eastAsia"/>
                      <w:color w:val="auto"/>
                      <w:szCs w:val="21"/>
                    </w:rPr>
                    <w:t>1.2g/t-原料</w:t>
                  </w:r>
                </w:p>
              </w:tc>
              <w:tc>
                <w:tcPr>
                  <w:tcW w:w="1170" w:type="pct"/>
                  <w:vAlign w:val="center"/>
                </w:tcPr>
                <w:p>
                  <w:pPr>
                    <w:spacing w:line="360" w:lineRule="auto"/>
                    <w:jc w:val="center"/>
                    <w:rPr>
                      <w:color w:val="auto"/>
                      <w:szCs w:val="21"/>
                    </w:rPr>
                  </w:pPr>
                  <w:r>
                    <w:rPr>
                      <w:rFonts w:hint="eastAsia"/>
                      <w:color w:val="auto"/>
                      <w:szCs w:val="21"/>
                    </w:rPr>
                    <w:t>1.17</w:t>
                  </w:r>
                </w:p>
              </w:tc>
              <w:tc>
                <w:tcPr>
                  <w:tcW w:w="930" w:type="pct"/>
                  <w:vAlign w:val="center"/>
                </w:tcPr>
                <w:p>
                  <w:pPr>
                    <w:widowControl/>
                    <w:jc w:val="center"/>
                    <w:textAlignment w:val="center"/>
                    <w:rPr>
                      <w:color w:val="auto"/>
                      <w:szCs w:val="21"/>
                    </w:rPr>
                  </w:pPr>
                  <w:r>
                    <w:rPr>
                      <w:rFonts w:hint="eastAsia"/>
                      <w:color w:val="auto"/>
                      <w:kern w:val="0"/>
                      <w:szCs w:val="21"/>
                      <w:lang w:bidi="ar"/>
                    </w:rPr>
                    <w:t>0.006</w:t>
                  </w:r>
                </w:p>
              </w:tc>
              <w:tc>
                <w:tcPr>
                  <w:tcW w:w="971" w:type="pct"/>
                  <w:vMerge w:val="continue"/>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vAlign w:val="center"/>
                </w:tcPr>
                <w:p>
                  <w:pPr>
                    <w:spacing w:line="360" w:lineRule="auto"/>
                    <w:jc w:val="center"/>
                    <w:rPr>
                      <w:color w:val="auto"/>
                      <w:szCs w:val="21"/>
                    </w:rPr>
                  </w:pPr>
                  <w:r>
                    <w:rPr>
                      <w:color w:val="auto"/>
                      <w:szCs w:val="21"/>
                    </w:rPr>
                    <w:t>SS</w:t>
                  </w:r>
                </w:p>
              </w:tc>
              <w:tc>
                <w:tcPr>
                  <w:tcW w:w="1071" w:type="pct"/>
                  <w:vAlign w:val="center"/>
                </w:tcPr>
                <w:p>
                  <w:pPr>
                    <w:spacing w:line="360" w:lineRule="auto"/>
                    <w:jc w:val="center"/>
                    <w:rPr>
                      <w:color w:val="auto"/>
                      <w:szCs w:val="21"/>
                    </w:rPr>
                  </w:pPr>
                  <w:r>
                    <w:rPr>
                      <w:rFonts w:hint="eastAsia"/>
                      <w:color w:val="auto"/>
                      <w:szCs w:val="21"/>
                    </w:rPr>
                    <w:t>/</w:t>
                  </w:r>
                </w:p>
              </w:tc>
              <w:tc>
                <w:tcPr>
                  <w:tcW w:w="1170" w:type="pct"/>
                  <w:vAlign w:val="center"/>
                </w:tcPr>
                <w:p>
                  <w:pPr>
                    <w:spacing w:line="360" w:lineRule="auto"/>
                    <w:jc w:val="center"/>
                    <w:rPr>
                      <w:color w:val="auto"/>
                      <w:szCs w:val="21"/>
                    </w:rPr>
                  </w:pPr>
                  <w:r>
                    <w:rPr>
                      <w:color w:val="auto"/>
                      <w:szCs w:val="21"/>
                    </w:rPr>
                    <w:t>500</w:t>
                  </w:r>
                </w:p>
              </w:tc>
              <w:tc>
                <w:tcPr>
                  <w:tcW w:w="930" w:type="pct"/>
                  <w:vAlign w:val="center"/>
                </w:tcPr>
                <w:p>
                  <w:pPr>
                    <w:widowControl/>
                    <w:jc w:val="center"/>
                    <w:textAlignment w:val="center"/>
                    <w:rPr>
                      <w:color w:val="auto"/>
                      <w:szCs w:val="21"/>
                    </w:rPr>
                  </w:pPr>
                  <w:r>
                    <w:rPr>
                      <w:rFonts w:hint="eastAsia"/>
                      <w:color w:val="auto"/>
                      <w:kern w:val="0"/>
                      <w:szCs w:val="21"/>
                      <w:lang w:bidi="ar"/>
                    </w:rPr>
                    <w:t>2.56</w:t>
                  </w:r>
                </w:p>
              </w:tc>
              <w:tc>
                <w:tcPr>
                  <w:tcW w:w="971" w:type="pct"/>
                  <w:vMerge w:val="continue"/>
                  <w:vAlign w:val="center"/>
                </w:tcPr>
                <w:p>
                  <w:pPr>
                    <w:spacing w:line="360" w:lineRule="auto"/>
                    <w:jc w:val="center"/>
                    <w:rPr>
                      <w:color w:val="auto"/>
                      <w:szCs w:val="21"/>
                    </w:rPr>
                  </w:pPr>
                </w:p>
              </w:tc>
            </w:tr>
          </w:tbl>
          <w:p>
            <w:pPr>
              <w:pStyle w:val="2"/>
              <w:spacing w:before="0" w:after="0" w:line="360" w:lineRule="auto"/>
              <w:ind w:right="0" w:firstLine="480" w:firstLineChars="200"/>
              <w:rPr>
                <w:color w:val="auto"/>
                <w:sz w:val="24"/>
              </w:rPr>
            </w:pPr>
            <w:r>
              <w:rPr>
                <w:rFonts w:hint="eastAsia"/>
                <w:color w:val="auto"/>
                <w:sz w:val="24"/>
              </w:rPr>
              <w:t>本项目废水出水水质浓度类比重庆大安检测技术有限公司于2022年12月对重庆凯运再生资源回收有限公司《废旧塑料回收利用项目》竣工环境保护验收监测报告（渝大安（环）检[2022]第YS217号）中的监测数据，该验收报告已通过验收。根据重庆凯运再生资源回收有限公司编制的《废旧塑料回收利用项目竣工环境保护验收监测报告》项目，该项目塑料碎片清洗废水通过污水处理设施处理后循环使用，该项目生产污水处理设施对废水的去除效率为COD87.6%、SS97%、氨氮96%、总磷77%、石油类94%，重庆凯运再生资源回收有限公司《废旧塑料回收利用项目》采用的原料、生产工艺与本项目类似，且该项目所采用的污水处理工艺与本项目采用的污水处理工艺一致，具有可类比性。污水处理站出水口水质监测数据见下表。</w:t>
            </w:r>
          </w:p>
          <w:p>
            <w:pPr>
              <w:spacing w:line="360" w:lineRule="auto"/>
              <w:jc w:val="center"/>
              <w:rPr>
                <w:b/>
                <w:bCs/>
                <w:color w:val="auto"/>
                <w:sz w:val="24"/>
              </w:rPr>
            </w:pPr>
            <w:r>
              <w:rPr>
                <w:rFonts w:hint="eastAsia"/>
                <w:b/>
                <w:bCs/>
                <w:color w:val="auto"/>
                <w:sz w:val="24"/>
              </w:rPr>
              <w:t>表4-4  污水处理站中各污染物出口浓度值</w:t>
            </w:r>
          </w:p>
          <w:tbl>
            <w:tblPr>
              <w:tblStyle w:val="31"/>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900"/>
              <w:gridCol w:w="859"/>
              <w:gridCol w:w="900"/>
              <w:gridCol w:w="930"/>
              <w:gridCol w:w="1009"/>
              <w:gridCol w:w="10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4" w:type="dxa"/>
                </w:tcPr>
                <w:p>
                  <w:pPr>
                    <w:pStyle w:val="2"/>
                    <w:spacing w:before="0" w:after="0" w:line="240" w:lineRule="auto"/>
                    <w:ind w:right="0"/>
                    <w:jc w:val="center"/>
                    <w:rPr>
                      <w:color w:val="auto"/>
                      <w:sz w:val="21"/>
                      <w:szCs w:val="21"/>
                    </w:rPr>
                  </w:pPr>
                  <w:r>
                    <w:rPr>
                      <w:rFonts w:hint="eastAsia"/>
                      <w:color w:val="auto"/>
                      <w:sz w:val="21"/>
                      <w:szCs w:val="21"/>
                    </w:rPr>
                    <w:t>检测项目</w:t>
                  </w:r>
                </w:p>
              </w:tc>
              <w:tc>
                <w:tcPr>
                  <w:tcW w:w="900" w:type="dxa"/>
                </w:tcPr>
                <w:p>
                  <w:pPr>
                    <w:pStyle w:val="2"/>
                    <w:spacing w:before="0" w:after="0" w:line="240" w:lineRule="auto"/>
                    <w:ind w:right="0"/>
                    <w:jc w:val="center"/>
                    <w:rPr>
                      <w:color w:val="auto"/>
                      <w:sz w:val="21"/>
                      <w:szCs w:val="21"/>
                    </w:rPr>
                  </w:pPr>
                  <w:r>
                    <w:rPr>
                      <w:rFonts w:hint="eastAsia"/>
                      <w:color w:val="auto"/>
                      <w:sz w:val="21"/>
                      <w:szCs w:val="21"/>
                    </w:rPr>
                    <w:t>pH</w:t>
                  </w:r>
                </w:p>
              </w:tc>
              <w:tc>
                <w:tcPr>
                  <w:tcW w:w="859" w:type="dxa"/>
                </w:tcPr>
                <w:p>
                  <w:pPr>
                    <w:pStyle w:val="2"/>
                    <w:spacing w:before="0" w:after="0" w:line="240" w:lineRule="auto"/>
                    <w:ind w:right="0"/>
                    <w:jc w:val="center"/>
                    <w:rPr>
                      <w:color w:val="auto"/>
                      <w:sz w:val="21"/>
                      <w:szCs w:val="21"/>
                    </w:rPr>
                  </w:pPr>
                  <w:r>
                    <w:rPr>
                      <w:rFonts w:hint="eastAsia"/>
                      <w:color w:val="auto"/>
                      <w:sz w:val="21"/>
                      <w:szCs w:val="21"/>
                    </w:rPr>
                    <w:t>COD</w:t>
                  </w:r>
                </w:p>
              </w:tc>
              <w:tc>
                <w:tcPr>
                  <w:tcW w:w="900" w:type="dxa"/>
                </w:tcPr>
                <w:p>
                  <w:pPr>
                    <w:pStyle w:val="2"/>
                    <w:spacing w:before="0" w:after="0" w:line="240" w:lineRule="auto"/>
                    <w:ind w:right="0"/>
                    <w:jc w:val="center"/>
                    <w:rPr>
                      <w:color w:val="auto"/>
                      <w:sz w:val="21"/>
                      <w:szCs w:val="21"/>
                    </w:rPr>
                  </w:pPr>
                  <w:r>
                    <w:rPr>
                      <w:rFonts w:hint="eastAsia"/>
                      <w:color w:val="auto"/>
                      <w:sz w:val="21"/>
                      <w:szCs w:val="21"/>
                    </w:rPr>
                    <w:t>BOD</w:t>
                  </w:r>
                  <w:r>
                    <w:rPr>
                      <w:rFonts w:hint="eastAsia"/>
                      <w:color w:val="auto"/>
                      <w:sz w:val="21"/>
                      <w:szCs w:val="21"/>
                      <w:vertAlign w:val="subscript"/>
                    </w:rPr>
                    <w:t>5</w:t>
                  </w:r>
                </w:p>
              </w:tc>
              <w:tc>
                <w:tcPr>
                  <w:tcW w:w="930" w:type="dxa"/>
                </w:tcPr>
                <w:p>
                  <w:pPr>
                    <w:pStyle w:val="2"/>
                    <w:spacing w:before="0" w:after="0" w:line="240" w:lineRule="auto"/>
                    <w:ind w:right="0"/>
                    <w:jc w:val="center"/>
                    <w:rPr>
                      <w:color w:val="auto"/>
                      <w:sz w:val="21"/>
                      <w:szCs w:val="21"/>
                    </w:rPr>
                  </w:pPr>
                  <w:r>
                    <w:rPr>
                      <w:rFonts w:hint="eastAsia"/>
                      <w:color w:val="auto"/>
                      <w:sz w:val="21"/>
                      <w:szCs w:val="21"/>
                    </w:rPr>
                    <w:t>SS</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氨氮</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总磷</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70" w:type="dxa"/>
                  <w:gridSpan w:val="8"/>
                </w:tcPr>
                <w:p>
                  <w:pPr>
                    <w:pStyle w:val="2"/>
                    <w:spacing w:before="0" w:after="0" w:line="240" w:lineRule="auto"/>
                    <w:ind w:right="0"/>
                    <w:jc w:val="center"/>
                    <w:rPr>
                      <w:color w:val="auto"/>
                      <w:sz w:val="21"/>
                      <w:szCs w:val="21"/>
                    </w:rPr>
                  </w:pPr>
                  <w:r>
                    <w:rPr>
                      <w:rFonts w:hint="eastAsia"/>
                      <w:color w:val="auto"/>
                      <w:sz w:val="21"/>
                      <w:szCs w:val="21"/>
                    </w:rPr>
                    <w:t>2022年12月12日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 w:hRule="atLeast"/>
              </w:trPr>
              <w:tc>
                <w:tcPr>
                  <w:tcW w:w="1454" w:type="dxa"/>
                  <w:vMerge w:val="restart"/>
                </w:tcPr>
                <w:p>
                  <w:pPr>
                    <w:pStyle w:val="2"/>
                    <w:spacing w:before="0" w:after="0" w:line="240" w:lineRule="auto"/>
                    <w:ind w:right="0"/>
                    <w:jc w:val="center"/>
                    <w:rPr>
                      <w:color w:val="auto"/>
                      <w:sz w:val="21"/>
                      <w:szCs w:val="21"/>
                    </w:rPr>
                  </w:pPr>
                  <w:r>
                    <w:rPr>
                      <w:rFonts w:hint="eastAsia"/>
                      <w:color w:val="auto"/>
                      <w:sz w:val="21"/>
                      <w:szCs w:val="21"/>
                    </w:rPr>
                    <w:t>出口浓度（mg/L）</w:t>
                  </w:r>
                </w:p>
              </w:tc>
              <w:tc>
                <w:tcPr>
                  <w:tcW w:w="900" w:type="dxa"/>
                </w:tcPr>
                <w:p>
                  <w:pPr>
                    <w:pStyle w:val="2"/>
                    <w:spacing w:before="0" w:after="0" w:line="240" w:lineRule="auto"/>
                    <w:ind w:right="0"/>
                    <w:jc w:val="center"/>
                    <w:rPr>
                      <w:color w:val="auto"/>
                      <w:sz w:val="21"/>
                      <w:szCs w:val="21"/>
                    </w:rPr>
                  </w:pPr>
                  <w:r>
                    <w:rPr>
                      <w:rFonts w:hint="eastAsia"/>
                      <w:color w:val="auto"/>
                      <w:sz w:val="21"/>
                      <w:szCs w:val="21"/>
                    </w:rPr>
                    <w:t>7.4</w:t>
                  </w:r>
                </w:p>
              </w:tc>
              <w:tc>
                <w:tcPr>
                  <w:tcW w:w="859" w:type="dxa"/>
                </w:tcPr>
                <w:p>
                  <w:pPr>
                    <w:pStyle w:val="2"/>
                    <w:spacing w:before="0" w:after="0" w:line="240" w:lineRule="auto"/>
                    <w:ind w:right="0"/>
                    <w:jc w:val="center"/>
                    <w:rPr>
                      <w:color w:val="auto"/>
                      <w:sz w:val="21"/>
                      <w:szCs w:val="21"/>
                    </w:rPr>
                  </w:pPr>
                  <w:r>
                    <w:rPr>
                      <w:rFonts w:hint="eastAsia"/>
                      <w:color w:val="auto"/>
                      <w:sz w:val="21"/>
                      <w:szCs w:val="21"/>
                    </w:rPr>
                    <w:t>51</w:t>
                  </w:r>
                </w:p>
              </w:tc>
              <w:tc>
                <w:tcPr>
                  <w:tcW w:w="900" w:type="dxa"/>
                </w:tcPr>
                <w:p>
                  <w:pPr>
                    <w:pStyle w:val="2"/>
                    <w:spacing w:before="0" w:after="0" w:line="240" w:lineRule="auto"/>
                    <w:ind w:right="0"/>
                    <w:jc w:val="center"/>
                    <w:rPr>
                      <w:color w:val="auto"/>
                      <w:sz w:val="21"/>
                      <w:szCs w:val="21"/>
                    </w:rPr>
                  </w:pPr>
                  <w:r>
                    <w:rPr>
                      <w:rFonts w:hint="eastAsia"/>
                      <w:color w:val="auto"/>
                      <w:sz w:val="21"/>
                      <w:szCs w:val="21"/>
                    </w:rPr>
                    <w:t>15.1</w:t>
                  </w:r>
                </w:p>
              </w:tc>
              <w:tc>
                <w:tcPr>
                  <w:tcW w:w="930" w:type="dxa"/>
                </w:tcPr>
                <w:p>
                  <w:pPr>
                    <w:pStyle w:val="2"/>
                    <w:spacing w:before="0" w:after="0" w:line="240" w:lineRule="auto"/>
                    <w:ind w:right="0"/>
                    <w:jc w:val="center"/>
                    <w:rPr>
                      <w:color w:val="auto"/>
                      <w:sz w:val="21"/>
                      <w:szCs w:val="21"/>
                    </w:rPr>
                  </w:pPr>
                  <w:r>
                    <w:rPr>
                      <w:rFonts w:hint="eastAsia"/>
                      <w:color w:val="auto"/>
                      <w:sz w:val="21"/>
                      <w:szCs w:val="21"/>
                    </w:rPr>
                    <w:t>17</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1.05</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0.16</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4" w:type="dxa"/>
                  <w:vMerge w:val="continue"/>
                </w:tcPr>
                <w:p>
                  <w:pPr>
                    <w:pStyle w:val="2"/>
                    <w:spacing w:before="0" w:after="0" w:line="240" w:lineRule="auto"/>
                    <w:ind w:right="0"/>
                    <w:jc w:val="center"/>
                    <w:rPr>
                      <w:color w:val="auto"/>
                      <w:sz w:val="21"/>
                      <w:szCs w:val="21"/>
                    </w:rPr>
                  </w:pPr>
                </w:p>
              </w:tc>
              <w:tc>
                <w:tcPr>
                  <w:tcW w:w="900" w:type="dxa"/>
                </w:tcPr>
                <w:p>
                  <w:pPr>
                    <w:pStyle w:val="2"/>
                    <w:spacing w:before="0" w:after="0" w:line="240" w:lineRule="auto"/>
                    <w:ind w:right="0"/>
                    <w:jc w:val="center"/>
                    <w:rPr>
                      <w:color w:val="auto"/>
                      <w:sz w:val="21"/>
                      <w:szCs w:val="21"/>
                    </w:rPr>
                  </w:pPr>
                  <w:r>
                    <w:rPr>
                      <w:rFonts w:hint="eastAsia"/>
                      <w:color w:val="auto"/>
                      <w:sz w:val="21"/>
                      <w:szCs w:val="21"/>
                    </w:rPr>
                    <w:t>7.4</w:t>
                  </w:r>
                </w:p>
              </w:tc>
              <w:tc>
                <w:tcPr>
                  <w:tcW w:w="859" w:type="dxa"/>
                </w:tcPr>
                <w:p>
                  <w:pPr>
                    <w:pStyle w:val="2"/>
                    <w:spacing w:before="0" w:after="0" w:line="240" w:lineRule="auto"/>
                    <w:ind w:right="0"/>
                    <w:jc w:val="center"/>
                    <w:rPr>
                      <w:color w:val="auto"/>
                      <w:sz w:val="21"/>
                      <w:szCs w:val="21"/>
                    </w:rPr>
                  </w:pPr>
                  <w:r>
                    <w:rPr>
                      <w:rFonts w:hint="eastAsia"/>
                      <w:color w:val="auto"/>
                      <w:sz w:val="21"/>
                      <w:szCs w:val="21"/>
                    </w:rPr>
                    <w:t>54</w:t>
                  </w:r>
                </w:p>
              </w:tc>
              <w:tc>
                <w:tcPr>
                  <w:tcW w:w="900" w:type="dxa"/>
                </w:tcPr>
                <w:p>
                  <w:pPr>
                    <w:pStyle w:val="2"/>
                    <w:spacing w:before="0" w:after="0" w:line="240" w:lineRule="auto"/>
                    <w:ind w:right="0"/>
                    <w:jc w:val="center"/>
                    <w:rPr>
                      <w:color w:val="auto"/>
                      <w:sz w:val="21"/>
                      <w:szCs w:val="21"/>
                    </w:rPr>
                  </w:pPr>
                  <w:r>
                    <w:rPr>
                      <w:rFonts w:hint="eastAsia"/>
                      <w:color w:val="auto"/>
                      <w:sz w:val="21"/>
                      <w:szCs w:val="21"/>
                    </w:rPr>
                    <w:t>13.5</w:t>
                  </w:r>
                </w:p>
              </w:tc>
              <w:tc>
                <w:tcPr>
                  <w:tcW w:w="930" w:type="dxa"/>
                </w:tcPr>
                <w:p>
                  <w:pPr>
                    <w:pStyle w:val="2"/>
                    <w:spacing w:before="0" w:after="0" w:line="240" w:lineRule="auto"/>
                    <w:ind w:right="0"/>
                    <w:jc w:val="center"/>
                    <w:rPr>
                      <w:color w:val="auto"/>
                      <w:sz w:val="21"/>
                      <w:szCs w:val="21"/>
                    </w:rPr>
                  </w:pPr>
                  <w:r>
                    <w:rPr>
                      <w:rFonts w:hint="eastAsia"/>
                      <w:color w:val="auto"/>
                      <w:sz w:val="21"/>
                      <w:szCs w:val="21"/>
                    </w:rPr>
                    <w:t>13</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0.85</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0.13</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4" w:type="dxa"/>
                  <w:vMerge w:val="continue"/>
                </w:tcPr>
                <w:p>
                  <w:pPr>
                    <w:pStyle w:val="2"/>
                    <w:spacing w:before="0" w:after="0" w:line="240" w:lineRule="auto"/>
                    <w:ind w:right="0"/>
                    <w:jc w:val="center"/>
                    <w:rPr>
                      <w:color w:val="auto"/>
                      <w:sz w:val="21"/>
                      <w:szCs w:val="21"/>
                    </w:rPr>
                  </w:pPr>
                </w:p>
              </w:tc>
              <w:tc>
                <w:tcPr>
                  <w:tcW w:w="900" w:type="dxa"/>
                </w:tcPr>
                <w:p>
                  <w:pPr>
                    <w:pStyle w:val="2"/>
                    <w:spacing w:before="0" w:after="0" w:line="240" w:lineRule="auto"/>
                    <w:ind w:right="0"/>
                    <w:jc w:val="center"/>
                    <w:rPr>
                      <w:color w:val="auto"/>
                      <w:sz w:val="21"/>
                      <w:szCs w:val="21"/>
                    </w:rPr>
                  </w:pPr>
                  <w:r>
                    <w:rPr>
                      <w:rFonts w:hint="eastAsia"/>
                      <w:color w:val="auto"/>
                      <w:sz w:val="21"/>
                      <w:szCs w:val="21"/>
                    </w:rPr>
                    <w:t>7.4</w:t>
                  </w:r>
                </w:p>
              </w:tc>
              <w:tc>
                <w:tcPr>
                  <w:tcW w:w="859" w:type="dxa"/>
                </w:tcPr>
                <w:p>
                  <w:pPr>
                    <w:pStyle w:val="2"/>
                    <w:spacing w:before="0" w:after="0" w:line="240" w:lineRule="auto"/>
                    <w:ind w:right="0"/>
                    <w:jc w:val="center"/>
                    <w:rPr>
                      <w:color w:val="auto"/>
                      <w:sz w:val="21"/>
                      <w:szCs w:val="21"/>
                    </w:rPr>
                  </w:pPr>
                  <w:r>
                    <w:rPr>
                      <w:rFonts w:hint="eastAsia"/>
                      <w:color w:val="auto"/>
                      <w:sz w:val="21"/>
                      <w:szCs w:val="21"/>
                    </w:rPr>
                    <w:t>50</w:t>
                  </w:r>
                </w:p>
              </w:tc>
              <w:tc>
                <w:tcPr>
                  <w:tcW w:w="900" w:type="dxa"/>
                </w:tcPr>
                <w:p>
                  <w:pPr>
                    <w:pStyle w:val="2"/>
                    <w:spacing w:before="0" w:after="0" w:line="240" w:lineRule="auto"/>
                    <w:ind w:right="0"/>
                    <w:jc w:val="center"/>
                    <w:rPr>
                      <w:color w:val="auto"/>
                      <w:sz w:val="21"/>
                      <w:szCs w:val="21"/>
                    </w:rPr>
                  </w:pPr>
                  <w:r>
                    <w:rPr>
                      <w:rFonts w:hint="eastAsia"/>
                      <w:color w:val="auto"/>
                      <w:sz w:val="21"/>
                      <w:szCs w:val="21"/>
                    </w:rPr>
                    <w:t>14.8</w:t>
                  </w:r>
                </w:p>
              </w:tc>
              <w:tc>
                <w:tcPr>
                  <w:tcW w:w="930" w:type="dxa"/>
                </w:tcPr>
                <w:p>
                  <w:pPr>
                    <w:pStyle w:val="2"/>
                    <w:spacing w:before="0" w:after="0" w:line="240" w:lineRule="auto"/>
                    <w:ind w:right="0"/>
                    <w:jc w:val="center"/>
                    <w:rPr>
                      <w:color w:val="auto"/>
                      <w:sz w:val="21"/>
                      <w:szCs w:val="21"/>
                    </w:rPr>
                  </w:pPr>
                  <w:r>
                    <w:rPr>
                      <w:rFonts w:hint="eastAsia"/>
                      <w:color w:val="auto"/>
                      <w:sz w:val="21"/>
                      <w:szCs w:val="21"/>
                    </w:rPr>
                    <w:t>18</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0.64</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0.12</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4" w:type="dxa"/>
                  <w:vMerge w:val="continue"/>
                </w:tcPr>
                <w:p>
                  <w:pPr>
                    <w:pStyle w:val="2"/>
                    <w:spacing w:before="0" w:after="0" w:line="240" w:lineRule="auto"/>
                    <w:ind w:right="0"/>
                    <w:jc w:val="center"/>
                    <w:rPr>
                      <w:color w:val="auto"/>
                      <w:sz w:val="21"/>
                      <w:szCs w:val="21"/>
                    </w:rPr>
                  </w:pPr>
                </w:p>
              </w:tc>
              <w:tc>
                <w:tcPr>
                  <w:tcW w:w="900" w:type="dxa"/>
                </w:tcPr>
                <w:p>
                  <w:pPr>
                    <w:pStyle w:val="2"/>
                    <w:spacing w:before="0" w:after="0" w:line="240" w:lineRule="auto"/>
                    <w:ind w:right="0"/>
                    <w:jc w:val="center"/>
                    <w:rPr>
                      <w:color w:val="auto"/>
                      <w:sz w:val="21"/>
                      <w:szCs w:val="21"/>
                    </w:rPr>
                  </w:pPr>
                  <w:r>
                    <w:rPr>
                      <w:rFonts w:hint="eastAsia"/>
                      <w:color w:val="auto"/>
                      <w:sz w:val="21"/>
                      <w:szCs w:val="21"/>
                    </w:rPr>
                    <w:t>7.4</w:t>
                  </w:r>
                </w:p>
              </w:tc>
              <w:tc>
                <w:tcPr>
                  <w:tcW w:w="859" w:type="dxa"/>
                </w:tcPr>
                <w:p>
                  <w:pPr>
                    <w:pStyle w:val="2"/>
                    <w:spacing w:before="0" w:after="0" w:line="240" w:lineRule="auto"/>
                    <w:ind w:right="0"/>
                    <w:jc w:val="center"/>
                    <w:rPr>
                      <w:color w:val="auto"/>
                      <w:sz w:val="21"/>
                      <w:szCs w:val="21"/>
                    </w:rPr>
                  </w:pPr>
                  <w:r>
                    <w:rPr>
                      <w:rFonts w:hint="eastAsia"/>
                      <w:color w:val="auto"/>
                      <w:sz w:val="21"/>
                      <w:szCs w:val="21"/>
                    </w:rPr>
                    <w:t>51</w:t>
                  </w:r>
                </w:p>
              </w:tc>
              <w:tc>
                <w:tcPr>
                  <w:tcW w:w="900" w:type="dxa"/>
                </w:tcPr>
                <w:p>
                  <w:pPr>
                    <w:pStyle w:val="2"/>
                    <w:spacing w:before="0" w:after="0" w:line="240" w:lineRule="auto"/>
                    <w:ind w:right="0"/>
                    <w:jc w:val="center"/>
                    <w:rPr>
                      <w:color w:val="auto"/>
                      <w:sz w:val="21"/>
                      <w:szCs w:val="21"/>
                    </w:rPr>
                  </w:pPr>
                  <w:r>
                    <w:rPr>
                      <w:rFonts w:hint="eastAsia"/>
                      <w:color w:val="auto"/>
                      <w:sz w:val="21"/>
                      <w:szCs w:val="21"/>
                    </w:rPr>
                    <w:t>12.6</w:t>
                  </w:r>
                </w:p>
              </w:tc>
              <w:tc>
                <w:tcPr>
                  <w:tcW w:w="930" w:type="dxa"/>
                </w:tcPr>
                <w:p>
                  <w:pPr>
                    <w:pStyle w:val="2"/>
                    <w:spacing w:before="0" w:after="0" w:line="240" w:lineRule="auto"/>
                    <w:ind w:right="0"/>
                    <w:jc w:val="center"/>
                    <w:rPr>
                      <w:color w:val="auto"/>
                      <w:sz w:val="21"/>
                      <w:szCs w:val="21"/>
                    </w:rPr>
                  </w:pPr>
                  <w:r>
                    <w:rPr>
                      <w:rFonts w:hint="eastAsia"/>
                      <w:color w:val="auto"/>
                      <w:sz w:val="21"/>
                      <w:szCs w:val="21"/>
                    </w:rPr>
                    <w:t>17</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0.54</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0.10</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4" w:type="dxa"/>
                </w:tcPr>
                <w:p>
                  <w:pPr>
                    <w:pStyle w:val="2"/>
                    <w:spacing w:before="0" w:after="0" w:line="240" w:lineRule="auto"/>
                    <w:ind w:right="0"/>
                    <w:jc w:val="center"/>
                    <w:rPr>
                      <w:color w:val="auto"/>
                      <w:sz w:val="21"/>
                      <w:szCs w:val="21"/>
                    </w:rPr>
                  </w:pPr>
                  <w:r>
                    <w:rPr>
                      <w:rFonts w:hint="eastAsia"/>
                      <w:color w:val="auto"/>
                      <w:sz w:val="21"/>
                      <w:szCs w:val="21"/>
                    </w:rPr>
                    <w:t>平均值（mg/L）</w:t>
                  </w:r>
                </w:p>
              </w:tc>
              <w:tc>
                <w:tcPr>
                  <w:tcW w:w="900" w:type="dxa"/>
                </w:tcPr>
                <w:p>
                  <w:pPr>
                    <w:pStyle w:val="2"/>
                    <w:spacing w:before="0" w:after="0" w:line="240" w:lineRule="auto"/>
                    <w:ind w:right="0"/>
                    <w:jc w:val="center"/>
                    <w:rPr>
                      <w:color w:val="auto"/>
                      <w:sz w:val="21"/>
                      <w:szCs w:val="21"/>
                    </w:rPr>
                  </w:pPr>
                  <w:r>
                    <w:rPr>
                      <w:rFonts w:hint="eastAsia"/>
                      <w:color w:val="auto"/>
                      <w:sz w:val="21"/>
                      <w:szCs w:val="21"/>
                    </w:rPr>
                    <w:t>7.4</w:t>
                  </w:r>
                </w:p>
              </w:tc>
              <w:tc>
                <w:tcPr>
                  <w:tcW w:w="859" w:type="dxa"/>
                </w:tcPr>
                <w:p>
                  <w:pPr>
                    <w:pStyle w:val="2"/>
                    <w:spacing w:before="0" w:after="0" w:line="240" w:lineRule="auto"/>
                    <w:ind w:right="0"/>
                    <w:jc w:val="center"/>
                    <w:rPr>
                      <w:color w:val="auto"/>
                      <w:sz w:val="21"/>
                      <w:szCs w:val="21"/>
                    </w:rPr>
                  </w:pPr>
                  <w:r>
                    <w:rPr>
                      <w:rFonts w:hint="eastAsia"/>
                      <w:color w:val="auto"/>
                      <w:sz w:val="21"/>
                      <w:szCs w:val="21"/>
                    </w:rPr>
                    <w:t>52</w:t>
                  </w:r>
                </w:p>
              </w:tc>
              <w:tc>
                <w:tcPr>
                  <w:tcW w:w="900" w:type="dxa"/>
                </w:tcPr>
                <w:p>
                  <w:pPr>
                    <w:pStyle w:val="2"/>
                    <w:spacing w:before="0" w:after="0" w:line="240" w:lineRule="auto"/>
                    <w:ind w:right="0"/>
                    <w:jc w:val="center"/>
                    <w:rPr>
                      <w:color w:val="auto"/>
                      <w:sz w:val="21"/>
                      <w:szCs w:val="21"/>
                    </w:rPr>
                  </w:pPr>
                  <w:r>
                    <w:rPr>
                      <w:rFonts w:hint="eastAsia"/>
                      <w:color w:val="auto"/>
                      <w:sz w:val="21"/>
                      <w:szCs w:val="21"/>
                    </w:rPr>
                    <w:t>14.0</w:t>
                  </w:r>
                </w:p>
              </w:tc>
              <w:tc>
                <w:tcPr>
                  <w:tcW w:w="930" w:type="dxa"/>
                </w:tcPr>
                <w:p>
                  <w:pPr>
                    <w:pStyle w:val="2"/>
                    <w:spacing w:before="0" w:after="0" w:line="240" w:lineRule="auto"/>
                    <w:ind w:right="0"/>
                    <w:jc w:val="center"/>
                    <w:rPr>
                      <w:color w:val="auto"/>
                      <w:sz w:val="21"/>
                      <w:szCs w:val="21"/>
                    </w:rPr>
                  </w:pPr>
                  <w:r>
                    <w:rPr>
                      <w:rFonts w:hint="eastAsia"/>
                      <w:color w:val="auto"/>
                      <w:sz w:val="21"/>
                      <w:szCs w:val="21"/>
                    </w:rPr>
                    <w:t>16</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0.77</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0.13</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70" w:type="dxa"/>
                  <w:gridSpan w:val="8"/>
                </w:tcPr>
                <w:p>
                  <w:pPr>
                    <w:pStyle w:val="2"/>
                    <w:spacing w:before="0" w:after="0" w:line="240" w:lineRule="auto"/>
                    <w:ind w:right="0"/>
                    <w:jc w:val="center"/>
                    <w:rPr>
                      <w:color w:val="auto"/>
                      <w:sz w:val="21"/>
                      <w:szCs w:val="21"/>
                    </w:rPr>
                  </w:pPr>
                  <w:r>
                    <w:rPr>
                      <w:rFonts w:hint="eastAsia"/>
                      <w:color w:val="auto"/>
                      <w:sz w:val="21"/>
                      <w:szCs w:val="21"/>
                    </w:rPr>
                    <w:t>2022年12月13日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Merge w:val="restart"/>
                </w:tcPr>
                <w:p>
                  <w:pPr>
                    <w:pStyle w:val="2"/>
                    <w:spacing w:before="0" w:after="0" w:line="240" w:lineRule="auto"/>
                    <w:ind w:right="0"/>
                    <w:jc w:val="center"/>
                    <w:rPr>
                      <w:color w:val="auto"/>
                      <w:sz w:val="21"/>
                      <w:szCs w:val="21"/>
                    </w:rPr>
                  </w:pPr>
                  <w:r>
                    <w:rPr>
                      <w:rFonts w:hint="eastAsia"/>
                      <w:color w:val="auto"/>
                      <w:sz w:val="21"/>
                      <w:szCs w:val="21"/>
                    </w:rPr>
                    <w:t>出口浓度（mg/L）</w:t>
                  </w:r>
                </w:p>
              </w:tc>
              <w:tc>
                <w:tcPr>
                  <w:tcW w:w="900" w:type="dxa"/>
                </w:tcPr>
                <w:p>
                  <w:pPr>
                    <w:pStyle w:val="2"/>
                    <w:spacing w:before="0" w:after="0" w:line="240" w:lineRule="auto"/>
                    <w:ind w:right="0"/>
                    <w:jc w:val="center"/>
                    <w:rPr>
                      <w:color w:val="auto"/>
                      <w:sz w:val="21"/>
                      <w:szCs w:val="21"/>
                    </w:rPr>
                  </w:pPr>
                  <w:r>
                    <w:rPr>
                      <w:rFonts w:hint="eastAsia"/>
                      <w:color w:val="auto"/>
                      <w:sz w:val="21"/>
                      <w:szCs w:val="21"/>
                    </w:rPr>
                    <w:t>7.4</w:t>
                  </w:r>
                </w:p>
              </w:tc>
              <w:tc>
                <w:tcPr>
                  <w:tcW w:w="859" w:type="dxa"/>
                </w:tcPr>
                <w:p>
                  <w:pPr>
                    <w:pStyle w:val="2"/>
                    <w:spacing w:before="0" w:after="0" w:line="240" w:lineRule="auto"/>
                    <w:ind w:right="0"/>
                    <w:jc w:val="center"/>
                    <w:rPr>
                      <w:color w:val="auto"/>
                      <w:sz w:val="21"/>
                      <w:szCs w:val="21"/>
                    </w:rPr>
                  </w:pPr>
                  <w:r>
                    <w:rPr>
                      <w:rFonts w:hint="eastAsia"/>
                      <w:color w:val="auto"/>
                      <w:sz w:val="21"/>
                      <w:szCs w:val="21"/>
                    </w:rPr>
                    <w:t>53</w:t>
                  </w:r>
                </w:p>
              </w:tc>
              <w:tc>
                <w:tcPr>
                  <w:tcW w:w="900" w:type="dxa"/>
                </w:tcPr>
                <w:p>
                  <w:pPr>
                    <w:pStyle w:val="2"/>
                    <w:spacing w:before="0" w:after="0" w:line="240" w:lineRule="auto"/>
                    <w:ind w:right="0"/>
                    <w:jc w:val="center"/>
                    <w:rPr>
                      <w:color w:val="auto"/>
                      <w:sz w:val="21"/>
                      <w:szCs w:val="21"/>
                    </w:rPr>
                  </w:pPr>
                  <w:r>
                    <w:rPr>
                      <w:rFonts w:hint="eastAsia"/>
                      <w:color w:val="auto"/>
                      <w:sz w:val="21"/>
                      <w:szCs w:val="21"/>
                    </w:rPr>
                    <w:t>15.5</w:t>
                  </w:r>
                </w:p>
              </w:tc>
              <w:tc>
                <w:tcPr>
                  <w:tcW w:w="930" w:type="dxa"/>
                </w:tcPr>
                <w:p>
                  <w:pPr>
                    <w:pStyle w:val="2"/>
                    <w:spacing w:before="0" w:after="0" w:line="240" w:lineRule="auto"/>
                    <w:ind w:right="0"/>
                    <w:jc w:val="center"/>
                    <w:rPr>
                      <w:color w:val="auto"/>
                      <w:sz w:val="21"/>
                      <w:szCs w:val="21"/>
                    </w:rPr>
                  </w:pPr>
                  <w:r>
                    <w:rPr>
                      <w:rFonts w:hint="eastAsia"/>
                      <w:color w:val="auto"/>
                      <w:sz w:val="21"/>
                      <w:szCs w:val="21"/>
                    </w:rPr>
                    <w:t>19</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1.28</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0.10</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Merge w:val="continue"/>
                </w:tcPr>
                <w:p>
                  <w:pPr>
                    <w:pStyle w:val="2"/>
                    <w:spacing w:before="0" w:after="0" w:line="240" w:lineRule="auto"/>
                    <w:ind w:right="0"/>
                    <w:jc w:val="center"/>
                    <w:rPr>
                      <w:color w:val="auto"/>
                      <w:sz w:val="21"/>
                      <w:szCs w:val="21"/>
                    </w:rPr>
                  </w:pPr>
                </w:p>
              </w:tc>
              <w:tc>
                <w:tcPr>
                  <w:tcW w:w="900" w:type="dxa"/>
                </w:tcPr>
                <w:p>
                  <w:pPr>
                    <w:pStyle w:val="2"/>
                    <w:spacing w:before="0" w:after="0" w:line="240" w:lineRule="auto"/>
                    <w:ind w:right="0"/>
                    <w:jc w:val="center"/>
                    <w:rPr>
                      <w:color w:val="auto"/>
                      <w:sz w:val="21"/>
                      <w:szCs w:val="21"/>
                    </w:rPr>
                  </w:pPr>
                  <w:r>
                    <w:rPr>
                      <w:rFonts w:hint="eastAsia"/>
                      <w:color w:val="auto"/>
                      <w:sz w:val="21"/>
                      <w:szCs w:val="21"/>
                    </w:rPr>
                    <w:t>7.4</w:t>
                  </w:r>
                </w:p>
              </w:tc>
              <w:tc>
                <w:tcPr>
                  <w:tcW w:w="859" w:type="dxa"/>
                </w:tcPr>
                <w:p>
                  <w:pPr>
                    <w:pStyle w:val="2"/>
                    <w:spacing w:before="0" w:after="0" w:line="240" w:lineRule="auto"/>
                    <w:ind w:right="0"/>
                    <w:jc w:val="center"/>
                    <w:rPr>
                      <w:color w:val="auto"/>
                      <w:sz w:val="21"/>
                      <w:szCs w:val="21"/>
                    </w:rPr>
                  </w:pPr>
                  <w:r>
                    <w:rPr>
                      <w:rFonts w:hint="eastAsia"/>
                      <w:color w:val="auto"/>
                      <w:sz w:val="21"/>
                      <w:szCs w:val="21"/>
                    </w:rPr>
                    <w:t>51</w:t>
                  </w:r>
                </w:p>
              </w:tc>
              <w:tc>
                <w:tcPr>
                  <w:tcW w:w="900" w:type="dxa"/>
                </w:tcPr>
                <w:p>
                  <w:pPr>
                    <w:pStyle w:val="2"/>
                    <w:spacing w:before="0" w:after="0" w:line="240" w:lineRule="auto"/>
                    <w:ind w:right="0"/>
                    <w:jc w:val="center"/>
                    <w:rPr>
                      <w:color w:val="auto"/>
                      <w:sz w:val="21"/>
                      <w:szCs w:val="21"/>
                    </w:rPr>
                  </w:pPr>
                  <w:r>
                    <w:rPr>
                      <w:rFonts w:hint="eastAsia"/>
                      <w:color w:val="auto"/>
                      <w:sz w:val="21"/>
                      <w:szCs w:val="21"/>
                    </w:rPr>
                    <w:t>13.7</w:t>
                  </w:r>
                </w:p>
              </w:tc>
              <w:tc>
                <w:tcPr>
                  <w:tcW w:w="930" w:type="dxa"/>
                </w:tcPr>
                <w:p>
                  <w:pPr>
                    <w:pStyle w:val="2"/>
                    <w:spacing w:before="0" w:after="0" w:line="240" w:lineRule="auto"/>
                    <w:ind w:right="0"/>
                    <w:jc w:val="center"/>
                    <w:rPr>
                      <w:color w:val="auto"/>
                      <w:sz w:val="21"/>
                      <w:szCs w:val="21"/>
                    </w:rPr>
                  </w:pPr>
                  <w:r>
                    <w:rPr>
                      <w:rFonts w:hint="eastAsia"/>
                      <w:color w:val="auto"/>
                      <w:sz w:val="21"/>
                      <w:szCs w:val="21"/>
                    </w:rPr>
                    <w:t>16</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0.75</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0.15</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Merge w:val="continue"/>
                </w:tcPr>
                <w:p>
                  <w:pPr>
                    <w:pStyle w:val="2"/>
                    <w:spacing w:before="0" w:after="0" w:line="240" w:lineRule="auto"/>
                    <w:ind w:right="0"/>
                    <w:jc w:val="center"/>
                    <w:rPr>
                      <w:color w:val="auto"/>
                      <w:sz w:val="21"/>
                      <w:szCs w:val="21"/>
                    </w:rPr>
                  </w:pPr>
                </w:p>
              </w:tc>
              <w:tc>
                <w:tcPr>
                  <w:tcW w:w="900" w:type="dxa"/>
                </w:tcPr>
                <w:p>
                  <w:pPr>
                    <w:pStyle w:val="2"/>
                    <w:spacing w:before="0" w:after="0" w:line="240" w:lineRule="auto"/>
                    <w:ind w:right="0"/>
                    <w:jc w:val="center"/>
                    <w:rPr>
                      <w:color w:val="auto"/>
                      <w:sz w:val="21"/>
                      <w:szCs w:val="21"/>
                    </w:rPr>
                  </w:pPr>
                  <w:r>
                    <w:rPr>
                      <w:rFonts w:hint="eastAsia"/>
                      <w:color w:val="auto"/>
                      <w:sz w:val="21"/>
                      <w:szCs w:val="21"/>
                    </w:rPr>
                    <w:t>7.5</w:t>
                  </w:r>
                </w:p>
              </w:tc>
              <w:tc>
                <w:tcPr>
                  <w:tcW w:w="859" w:type="dxa"/>
                </w:tcPr>
                <w:p>
                  <w:pPr>
                    <w:pStyle w:val="2"/>
                    <w:spacing w:before="0" w:after="0" w:line="240" w:lineRule="auto"/>
                    <w:ind w:right="0"/>
                    <w:jc w:val="center"/>
                    <w:rPr>
                      <w:color w:val="auto"/>
                      <w:sz w:val="21"/>
                      <w:szCs w:val="21"/>
                    </w:rPr>
                  </w:pPr>
                  <w:r>
                    <w:rPr>
                      <w:rFonts w:hint="eastAsia"/>
                      <w:color w:val="auto"/>
                      <w:sz w:val="21"/>
                      <w:szCs w:val="21"/>
                    </w:rPr>
                    <w:t>52</w:t>
                  </w:r>
                </w:p>
              </w:tc>
              <w:tc>
                <w:tcPr>
                  <w:tcW w:w="900" w:type="dxa"/>
                </w:tcPr>
                <w:p>
                  <w:pPr>
                    <w:pStyle w:val="2"/>
                    <w:spacing w:before="0" w:after="0" w:line="240" w:lineRule="auto"/>
                    <w:ind w:right="0"/>
                    <w:jc w:val="center"/>
                    <w:rPr>
                      <w:color w:val="auto"/>
                      <w:sz w:val="21"/>
                      <w:szCs w:val="21"/>
                    </w:rPr>
                  </w:pPr>
                  <w:r>
                    <w:rPr>
                      <w:rFonts w:hint="eastAsia"/>
                      <w:color w:val="auto"/>
                      <w:sz w:val="21"/>
                      <w:szCs w:val="21"/>
                    </w:rPr>
                    <w:t>15.2</w:t>
                  </w:r>
                </w:p>
              </w:tc>
              <w:tc>
                <w:tcPr>
                  <w:tcW w:w="930" w:type="dxa"/>
                </w:tcPr>
                <w:p>
                  <w:pPr>
                    <w:pStyle w:val="2"/>
                    <w:spacing w:before="0" w:after="0" w:line="240" w:lineRule="auto"/>
                    <w:ind w:right="0"/>
                    <w:jc w:val="center"/>
                    <w:rPr>
                      <w:color w:val="auto"/>
                      <w:sz w:val="21"/>
                      <w:szCs w:val="21"/>
                    </w:rPr>
                  </w:pPr>
                  <w:r>
                    <w:rPr>
                      <w:rFonts w:hint="eastAsia"/>
                      <w:color w:val="auto"/>
                      <w:sz w:val="21"/>
                      <w:szCs w:val="21"/>
                    </w:rPr>
                    <w:t>17</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0.93</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0.17</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4" w:type="dxa"/>
                  <w:vMerge w:val="continue"/>
                </w:tcPr>
                <w:p>
                  <w:pPr>
                    <w:pStyle w:val="2"/>
                    <w:spacing w:before="0" w:after="0" w:line="240" w:lineRule="auto"/>
                    <w:ind w:right="0"/>
                    <w:jc w:val="center"/>
                    <w:rPr>
                      <w:color w:val="auto"/>
                      <w:sz w:val="21"/>
                      <w:szCs w:val="21"/>
                    </w:rPr>
                  </w:pPr>
                </w:p>
              </w:tc>
              <w:tc>
                <w:tcPr>
                  <w:tcW w:w="900" w:type="dxa"/>
                </w:tcPr>
                <w:p>
                  <w:pPr>
                    <w:pStyle w:val="2"/>
                    <w:spacing w:before="0" w:after="0" w:line="240" w:lineRule="auto"/>
                    <w:ind w:right="0"/>
                    <w:jc w:val="center"/>
                    <w:rPr>
                      <w:color w:val="auto"/>
                      <w:sz w:val="21"/>
                      <w:szCs w:val="21"/>
                    </w:rPr>
                  </w:pPr>
                  <w:r>
                    <w:rPr>
                      <w:rFonts w:hint="eastAsia"/>
                      <w:color w:val="auto"/>
                      <w:sz w:val="21"/>
                      <w:szCs w:val="21"/>
                    </w:rPr>
                    <w:t>7.4</w:t>
                  </w:r>
                </w:p>
              </w:tc>
              <w:tc>
                <w:tcPr>
                  <w:tcW w:w="859" w:type="dxa"/>
                </w:tcPr>
                <w:p>
                  <w:pPr>
                    <w:pStyle w:val="2"/>
                    <w:spacing w:before="0" w:after="0" w:line="240" w:lineRule="auto"/>
                    <w:ind w:right="0"/>
                    <w:jc w:val="center"/>
                    <w:rPr>
                      <w:color w:val="auto"/>
                      <w:sz w:val="21"/>
                      <w:szCs w:val="21"/>
                    </w:rPr>
                  </w:pPr>
                  <w:r>
                    <w:rPr>
                      <w:rFonts w:hint="eastAsia"/>
                      <w:color w:val="auto"/>
                      <w:sz w:val="21"/>
                      <w:szCs w:val="21"/>
                    </w:rPr>
                    <w:t>53</w:t>
                  </w:r>
                </w:p>
              </w:tc>
              <w:tc>
                <w:tcPr>
                  <w:tcW w:w="900" w:type="dxa"/>
                </w:tcPr>
                <w:p>
                  <w:pPr>
                    <w:pStyle w:val="2"/>
                    <w:spacing w:before="0" w:after="0" w:line="240" w:lineRule="auto"/>
                    <w:ind w:right="0"/>
                    <w:jc w:val="center"/>
                    <w:rPr>
                      <w:color w:val="auto"/>
                      <w:sz w:val="21"/>
                      <w:szCs w:val="21"/>
                    </w:rPr>
                  </w:pPr>
                  <w:r>
                    <w:rPr>
                      <w:rFonts w:hint="eastAsia"/>
                      <w:color w:val="auto"/>
                      <w:sz w:val="21"/>
                      <w:szCs w:val="21"/>
                    </w:rPr>
                    <w:t>13.6</w:t>
                  </w:r>
                </w:p>
              </w:tc>
              <w:tc>
                <w:tcPr>
                  <w:tcW w:w="930" w:type="dxa"/>
                </w:tcPr>
                <w:p>
                  <w:pPr>
                    <w:pStyle w:val="2"/>
                    <w:spacing w:before="0" w:after="0" w:line="240" w:lineRule="auto"/>
                    <w:ind w:right="0"/>
                    <w:jc w:val="center"/>
                    <w:rPr>
                      <w:color w:val="auto"/>
                      <w:sz w:val="21"/>
                      <w:szCs w:val="21"/>
                    </w:rPr>
                  </w:pPr>
                  <w:r>
                    <w:rPr>
                      <w:rFonts w:hint="eastAsia"/>
                      <w:color w:val="auto"/>
                      <w:sz w:val="21"/>
                      <w:szCs w:val="21"/>
                    </w:rPr>
                    <w:t>12</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0.85</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0.13</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4" w:type="dxa"/>
                </w:tcPr>
                <w:p>
                  <w:pPr>
                    <w:pStyle w:val="2"/>
                    <w:spacing w:before="0" w:after="0" w:line="240" w:lineRule="auto"/>
                    <w:ind w:right="0"/>
                    <w:jc w:val="center"/>
                    <w:rPr>
                      <w:color w:val="auto"/>
                      <w:sz w:val="21"/>
                      <w:szCs w:val="21"/>
                    </w:rPr>
                  </w:pPr>
                  <w:r>
                    <w:rPr>
                      <w:rFonts w:hint="eastAsia"/>
                      <w:color w:val="auto"/>
                      <w:sz w:val="21"/>
                      <w:szCs w:val="21"/>
                    </w:rPr>
                    <w:t>平均值（mg/L）</w:t>
                  </w:r>
                </w:p>
              </w:tc>
              <w:tc>
                <w:tcPr>
                  <w:tcW w:w="900" w:type="dxa"/>
                </w:tcPr>
                <w:p>
                  <w:pPr>
                    <w:pStyle w:val="2"/>
                    <w:spacing w:before="0" w:after="0" w:line="240" w:lineRule="auto"/>
                    <w:ind w:right="0"/>
                    <w:jc w:val="center"/>
                    <w:rPr>
                      <w:color w:val="auto"/>
                      <w:sz w:val="21"/>
                      <w:szCs w:val="21"/>
                    </w:rPr>
                  </w:pPr>
                  <w:r>
                    <w:rPr>
                      <w:rFonts w:hint="eastAsia"/>
                      <w:color w:val="auto"/>
                      <w:sz w:val="21"/>
                      <w:szCs w:val="21"/>
                    </w:rPr>
                    <w:t>7.4</w:t>
                  </w:r>
                </w:p>
              </w:tc>
              <w:tc>
                <w:tcPr>
                  <w:tcW w:w="859" w:type="dxa"/>
                </w:tcPr>
                <w:p>
                  <w:pPr>
                    <w:pStyle w:val="2"/>
                    <w:spacing w:before="0" w:after="0" w:line="240" w:lineRule="auto"/>
                    <w:ind w:right="0"/>
                    <w:jc w:val="center"/>
                    <w:rPr>
                      <w:color w:val="auto"/>
                      <w:sz w:val="21"/>
                      <w:szCs w:val="21"/>
                    </w:rPr>
                  </w:pPr>
                  <w:r>
                    <w:rPr>
                      <w:rFonts w:hint="eastAsia"/>
                      <w:color w:val="auto"/>
                      <w:sz w:val="21"/>
                      <w:szCs w:val="21"/>
                    </w:rPr>
                    <w:t>52</w:t>
                  </w:r>
                </w:p>
              </w:tc>
              <w:tc>
                <w:tcPr>
                  <w:tcW w:w="900" w:type="dxa"/>
                </w:tcPr>
                <w:p>
                  <w:pPr>
                    <w:pStyle w:val="2"/>
                    <w:spacing w:before="0" w:after="0" w:line="240" w:lineRule="auto"/>
                    <w:ind w:right="0"/>
                    <w:jc w:val="center"/>
                    <w:rPr>
                      <w:color w:val="auto"/>
                      <w:sz w:val="21"/>
                      <w:szCs w:val="21"/>
                    </w:rPr>
                  </w:pPr>
                  <w:r>
                    <w:rPr>
                      <w:rFonts w:hint="eastAsia"/>
                      <w:color w:val="auto"/>
                      <w:sz w:val="21"/>
                      <w:szCs w:val="21"/>
                    </w:rPr>
                    <w:t>14.5</w:t>
                  </w:r>
                </w:p>
              </w:tc>
              <w:tc>
                <w:tcPr>
                  <w:tcW w:w="930" w:type="dxa"/>
                </w:tcPr>
                <w:p>
                  <w:pPr>
                    <w:pStyle w:val="2"/>
                    <w:spacing w:before="0" w:after="0" w:line="240" w:lineRule="auto"/>
                    <w:ind w:right="0"/>
                    <w:jc w:val="center"/>
                    <w:rPr>
                      <w:color w:val="auto"/>
                      <w:sz w:val="21"/>
                      <w:szCs w:val="21"/>
                    </w:rPr>
                  </w:pPr>
                  <w:r>
                    <w:rPr>
                      <w:rFonts w:hint="eastAsia"/>
                      <w:color w:val="auto"/>
                      <w:sz w:val="21"/>
                      <w:szCs w:val="21"/>
                    </w:rPr>
                    <w:t>16</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0.95</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0.14</w:t>
                  </w:r>
                </w:p>
              </w:tc>
              <w:tc>
                <w:tcPr>
                  <w:tcW w:w="1009" w:type="dxa"/>
                </w:tcPr>
                <w:p>
                  <w:pPr>
                    <w:pStyle w:val="2"/>
                    <w:spacing w:before="0" w:after="0" w:line="240" w:lineRule="auto"/>
                    <w:ind w:right="0"/>
                    <w:jc w:val="center"/>
                    <w:rPr>
                      <w:color w:val="auto"/>
                      <w:sz w:val="21"/>
                      <w:szCs w:val="21"/>
                    </w:rPr>
                  </w:pPr>
                  <w:r>
                    <w:rPr>
                      <w:rFonts w:hint="eastAsia"/>
                      <w:color w:val="auto"/>
                      <w:sz w:val="21"/>
                      <w:szCs w:val="21"/>
                    </w:rPr>
                    <w:t>0.93</w:t>
                  </w:r>
                </w:p>
              </w:tc>
            </w:tr>
          </w:tbl>
          <w:p>
            <w:pPr>
              <w:rPr>
                <w:color w:val="auto"/>
              </w:rPr>
            </w:pPr>
          </w:p>
          <w:p>
            <w:pPr>
              <w:spacing w:line="360" w:lineRule="auto"/>
              <w:ind w:firstLine="480" w:firstLineChars="200"/>
              <w:rPr>
                <w:color w:val="auto"/>
                <w:sz w:val="24"/>
              </w:rPr>
            </w:pPr>
            <w:r>
              <w:rPr>
                <w:rFonts w:hint="eastAsia"/>
                <w:color w:val="auto"/>
                <w:sz w:val="24"/>
              </w:rPr>
              <w:t>通过类比同类型的污水处理工艺对污染物的去除效率，项目生产废水产排情况汇总见下表。</w:t>
            </w:r>
          </w:p>
          <w:p>
            <w:pPr>
              <w:spacing w:line="360" w:lineRule="auto"/>
              <w:jc w:val="center"/>
              <w:rPr>
                <w:b/>
                <w:bCs/>
                <w:color w:val="auto"/>
                <w:sz w:val="24"/>
              </w:rPr>
            </w:pPr>
            <w:r>
              <w:rPr>
                <w:rFonts w:hint="eastAsia"/>
                <w:b/>
                <w:bCs/>
                <w:color w:val="auto"/>
                <w:sz w:val="24"/>
              </w:rPr>
              <w:t>表4-5  项目生产废水产生及排放情况一览表</w:t>
            </w:r>
          </w:p>
          <w:tbl>
            <w:tblPr>
              <w:tblStyle w:val="30"/>
              <w:tblpPr w:leftFromText="181" w:rightFromText="181" w:bottomFromText="113" w:vertAnchor="text" w:horzAnchor="page" w:tblpXSpec="center" w:tblpY="92"/>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871"/>
              <w:gridCol w:w="1378"/>
              <w:gridCol w:w="1033"/>
              <w:gridCol w:w="967"/>
              <w:gridCol w:w="1001"/>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32" w:type="pct"/>
                  <w:gridSpan w:val="2"/>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b/>
                      <w:bCs/>
                      <w:color w:val="auto"/>
                      <w:sz w:val="21"/>
                      <w:szCs w:val="21"/>
                    </w:rPr>
                  </w:pPr>
                  <w:r>
                    <w:rPr>
                      <w:b/>
                      <w:bCs/>
                      <w:color w:val="auto"/>
                      <w:sz w:val="21"/>
                      <w:szCs w:val="21"/>
                    </w:rPr>
                    <w:t>产排污环节</w:t>
                  </w:r>
                </w:p>
              </w:tc>
              <w:tc>
                <w:tcPr>
                  <w:tcW w:w="3367" w:type="pct"/>
                  <w:gridSpan w:val="5"/>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b/>
                      <w:bCs/>
                      <w:color w:val="auto"/>
                      <w:sz w:val="21"/>
                      <w:szCs w:val="21"/>
                      <w:lang w:val="en-US"/>
                    </w:rPr>
                  </w:pPr>
                  <w:r>
                    <w:rPr>
                      <w:rFonts w:hint="eastAsia"/>
                      <w:b/>
                      <w:bCs/>
                      <w:color w:val="auto"/>
                      <w:sz w:val="21"/>
                      <w:szCs w:val="21"/>
                      <w:lang w:val="en-US"/>
                    </w:rPr>
                    <w:t>湿法破碎及清洗、废气洗涤装置、地面清洁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pct"/>
                  <w:gridSpan w:val="2"/>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废水总量（t/a）</w:t>
                  </w:r>
                </w:p>
              </w:tc>
              <w:tc>
                <w:tcPr>
                  <w:tcW w:w="3367" w:type="pct"/>
                  <w:gridSpan w:val="5"/>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rPr>
                    <w:t>5277.1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632" w:type="pct"/>
                  <w:gridSpan w:val="2"/>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rPr>
                  </w:pPr>
                  <w:r>
                    <w:rPr>
                      <w:color w:val="auto"/>
                      <w:sz w:val="21"/>
                      <w:szCs w:val="21"/>
                    </w:rPr>
                    <w:t>污染物种类</w:t>
                  </w:r>
                </w:p>
              </w:tc>
              <w:tc>
                <w:tcPr>
                  <w:tcW w:w="855"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COD</w:t>
                  </w:r>
                </w:p>
              </w:tc>
              <w:tc>
                <w:tcPr>
                  <w:tcW w:w="641"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SS</w:t>
                  </w:r>
                </w:p>
              </w:tc>
              <w:tc>
                <w:tcPr>
                  <w:tcW w:w="600"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氨氮</w:t>
                  </w:r>
                </w:p>
              </w:tc>
              <w:tc>
                <w:tcPr>
                  <w:tcW w:w="621"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总磷</w:t>
                  </w:r>
                </w:p>
              </w:tc>
              <w:tc>
                <w:tcPr>
                  <w:tcW w:w="649"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pct"/>
                  <w:gridSpan w:val="2"/>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rPr>
                  </w:pPr>
                  <w:r>
                    <w:rPr>
                      <w:color w:val="auto"/>
                      <w:sz w:val="21"/>
                      <w:szCs w:val="21"/>
                    </w:rPr>
                    <w:t>污染物产生浓度（mg/L）</w:t>
                  </w:r>
                </w:p>
              </w:tc>
              <w:tc>
                <w:tcPr>
                  <w:tcW w:w="855"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419.83</w:t>
                  </w:r>
                </w:p>
              </w:tc>
              <w:tc>
                <w:tcPr>
                  <w:tcW w:w="641"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500</w:t>
                  </w:r>
                </w:p>
              </w:tc>
              <w:tc>
                <w:tcPr>
                  <w:tcW w:w="600"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21.48</w:t>
                  </w:r>
                </w:p>
              </w:tc>
              <w:tc>
                <w:tcPr>
                  <w:tcW w:w="621"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1.17</w:t>
                  </w:r>
                </w:p>
              </w:tc>
              <w:tc>
                <w:tcPr>
                  <w:tcW w:w="649"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32" w:type="pct"/>
                  <w:gridSpan w:val="2"/>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rPr>
                  </w:pPr>
                  <w:r>
                    <w:rPr>
                      <w:color w:val="auto"/>
                      <w:sz w:val="21"/>
                      <w:szCs w:val="21"/>
                    </w:rPr>
                    <w:t>污染物产生量（t/a）</w:t>
                  </w:r>
                </w:p>
              </w:tc>
              <w:tc>
                <w:tcPr>
                  <w:tcW w:w="855"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2.15</w:t>
                  </w:r>
                </w:p>
              </w:tc>
              <w:tc>
                <w:tcPr>
                  <w:tcW w:w="641"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2.56</w:t>
                  </w:r>
                </w:p>
              </w:tc>
              <w:tc>
                <w:tcPr>
                  <w:tcW w:w="600"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0.11</w:t>
                  </w:r>
                </w:p>
              </w:tc>
              <w:tc>
                <w:tcPr>
                  <w:tcW w:w="621"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0.006</w:t>
                  </w:r>
                </w:p>
              </w:tc>
              <w:tc>
                <w:tcPr>
                  <w:tcW w:w="649"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1" w:type="pct"/>
                  <w:vMerge w:val="restart"/>
                  <w:tcBorders>
                    <w:top w:val="single" w:color="auto" w:sz="4" w:space="0"/>
                    <w:left w:val="single" w:color="auto" w:sz="4" w:space="0"/>
                    <w:right w:val="single" w:color="auto" w:sz="4" w:space="0"/>
                  </w:tcBorders>
                  <w:vAlign w:val="center"/>
                </w:tcPr>
                <w:p>
                  <w:pPr>
                    <w:pStyle w:val="11"/>
                    <w:spacing w:line="240" w:lineRule="auto"/>
                    <w:ind w:firstLine="0"/>
                    <w:jc w:val="center"/>
                    <w:rPr>
                      <w:color w:val="auto"/>
                      <w:sz w:val="21"/>
                      <w:szCs w:val="21"/>
                    </w:rPr>
                  </w:pPr>
                  <w:r>
                    <w:rPr>
                      <w:color w:val="auto"/>
                      <w:sz w:val="21"/>
                      <w:szCs w:val="21"/>
                    </w:rPr>
                    <w:t>治理设施</w:t>
                  </w:r>
                </w:p>
              </w:tc>
              <w:tc>
                <w:tcPr>
                  <w:tcW w:w="1161"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rPr>
                  </w:pPr>
                  <w:r>
                    <w:rPr>
                      <w:color w:val="auto"/>
                      <w:sz w:val="21"/>
                      <w:szCs w:val="21"/>
                    </w:rPr>
                    <w:t>处理能力</w:t>
                  </w:r>
                </w:p>
              </w:tc>
              <w:tc>
                <w:tcPr>
                  <w:tcW w:w="3367" w:type="pct"/>
                  <w:gridSpan w:val="5"/>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eastAsia="zh-CN"/>
                    </w:rPr>
                    <w:t>50</w:t>
                  </w:r>
                  <w:r>
                    <w:rPr>
                      <w:rFonts w:hint="eastAsia"/>
                      <w:color w:val="auto"/>
                      <w:sz w:val="21"/>
                      <w:szCs w:val="21"/>
                      <w:lang w:val="en-US"/>
                    </w:rPr>
                    <w:t>m</w:t>
                  </w:r>
                  <w:r>
                    <w:rPr>
                      <w:rFonts w:hint="eastAsia"/>
                      <w:color w:val="auto"/>
                      <w:sz w:val="21"/>
                      <w:szCs w:val="21"/>
                      <w:vertAlign w:val="superscript"/>
                      <w:lang w:val="en-US"/>
                    </w:rPr>
                    <w:t>3</w:t>
                  </w:r>
                  <w:r>
                    <w:rPr>
                      <w:rFonts w:hint="eastAsia"/>
                      <w:color w:val="auto"/>
                      <w:sz w:val="21"/>
                      <w:szCs w:val="21"/>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71" w:type="pct"/>
                  <w:vMerge w:val="continue"/>
                  <w:tcBorders>
                    <w:left w:val="single" w:color="auto" w:sz="4" w:space="0"/>
                    <w:right w:val="single" w:color="auto" w:sz="4" w:space="0"/>
                  </w:tcBorders>
                  <w:vAlign w:val="center"/>
                </w:tcPr>
                <w:p>
                  <w:pPr>
                    <w:pStyle w:val="11"/>
                    <w:spacing w:line="240" w:lineRule="auto"/>
                    <w:ind w:firstLine="0"/>
                    <w:jc w:val="center"/>
                    <w:rPr>
                      <w:color w:val="auto"/>
                      <w:sz w:val="21"/>
                      <w:szCs w:val="21"/>
                    </w:rPr>
                  </w:pPr>
                </w:p>
              </w:tc>
              <w:tc>
                <w:tcPr>
                  <w:tcW w:w="1161"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rPr>
                  </w:pPr>
                  <w:r>
                    <w:rPr>
                      <w:color w:val="auto"/>
                      <w:sz w:val="21"/>
                      <w:szCs w:val="21"/>
                    </w:rPr>
                    <w:t>治理工艺</w:t>
                  </w:r>
                </w:p>
              </w:tc>
              <w:tc>
                <w:tcPr>
                  <w:tcW w:w="3367" w:type="pct"/>
                  <w:gridSpan w:val="5"/>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格栅+隔油+水解+生物接触氧化法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71" w:type="pct"/>
                  <w:vMerge w:val="continue"/>
                  <w:tcBorders>
                    <w:left w:val="single" w:color="auto" w:sz="4" w:space="0"/>
                    <w:right w:val="single" w:color="auto" w:sz="4" w:space="0"/>
                  </w:tcBorders>
                  <w:vAlign w:val="center"/>
                </w:tcPr>
                <w:p>
                  <w:pPr>
                    <w:pStyle w:val="11"/>
                    <w:spacing w:line="240" w:lineRule="auto"/>
                    <w:ind w:firstLine="0"/>
                    <w:jc w:val="center"/>
                    <w:rPr>
                      <w:color w:val="auto"/>
                      <w:sz w:val="21"/>
                      <w:szCs w:val="21"/>
                    </w:rPr>
                  </w:pPr>
                </w:p>
              </w:tc>
              <w:tc>
                <w:tcPr>
                  <w:tcW w:w="1161"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rPr>
                  </w:pPr>
                  <w:r>
                    <w:rPr>
                      <w:color w:val="auto"/>
                      <w:sz w:val="21"/>
                      <w:szCs w:val="21"/>
                    </w:rPr>
                    <w:t>治理效率</w:t>
                  </w:r>
                </w:p>
              </w:tc>
              <w:tc>
                <w:tcPr>
                  <w:tcW w:w="855"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rPr>
                  </w:pPr>
                  <w:r>
                    <w:rPr>
                      <w:rFonts w:hint="eastAsia"/>
                      <w:color w:val="auto"/>
                      <w:sz w:val="21"/>
                      <w:szCs w:val="21"/>
                      <w:lang w:val="en-US"/>
                    </w:rPr>
                    <w:t>87.6</w:t>
                  </w:r>
                  <w:r>
                    <w:rPr>
                      <w:color w:val="auto"/>
                      <w:sz w:val="21"/>
                      <w:szCs w:val="21"/>
                    </w:rPr>
                    <w:t>%</w:t>
                  </w:r>
                </w:p>
              </w:tc>
              <w:tc>
                <w:tcPr>
                  <w:tcW w:w="641"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rPr>
                  </w:pPr>
                  <w:r>
                    <w:rPr>
                      <w:rFonts w:hint="eastAsia"/>
                      <w:color w:val="auto"/>
                      <w:sz w:val="21"/>
                      <w:szCs w:val="21"/>
                      <w:lang w:val="en-US"/>
                    </w:rPr>
                    <w:t>97</w:t>
                  </w:r>
                  <w:r>
                    <w:rPr>
                      <w:color w:val="auto"/>
                      <w:sz w:val="21"/>
                      <w:szCs w:val="21"/>
                    </w:rPr>
                    <w:t>%</w:t>
                  </w:r>
                </w:p>
              </w:tc>
              <w:tc>
                <w:tcPr>
                  <w:tcW w:w="600"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rPr>
                  </w:pPr>
                  <w:r>
                    <w:rPr>
                      <w:rFonts w:hint="eastAsia"/>
                      <w:color w:val="auto"/>
                      <w:sz w:val="21"/>
                      <w:szCs w:val="21"/>
                      <w:lang w:val="en-US"/>
                    </w:rPr>
                    <w:t>96</w:t>
                  </w:r>
                  <w:r>
                    <w:rPr>
                      <w:color w:val="auto"/>
                      <w:sz w:val="21"/>
                      <w:szCs w:val="21"/>
                    </w:rPr>
                    <w:t>%</w:t>
                  </w:r>
                </w:p>
              </w:tc>
              <w:tc>
                <w:tcPr>
                  <w:tcW w:w="621"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rPr>
                  </w:pPr>
                  <w:r>
                    <w:rPr>
                      <w:rFonts w:hint="eastAsia"/>
                      <w:color w:val="auto"/>
                      <w:sz w:val="21"/>
                      <w:szCs w:val="21"/>
                      <w:lang w:val="en-US"/>
                    </w:rPr>
                    <w:t>77</w:t>
                  </w:r>
                  <w:r>
                    <w:rPr>
                      <w:color w:val="auto"/>
                      <w:sz w:val="21"/>
                      <w:szCs w:val="21"/>
                    </w:rPr>
                    <w:t>%</w:t>
                  </w:r>
                </w:p>
              </w:tc>
              <w:tc>
                <w:tcPr>
                  <w:tcW w:w="649"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rPr>
                  </w:pPr>
                  <w:r>
                    <w:rPr>
                      <w:rFonts w:hint="eastAsia"/>
                      <w:color w:val="auto"/>
                      <w:sz w:val="21"/>
                      <w:szCs w:val="21"/>
                      <w:lang w:val="en-US"/>
                    </w:rPr>
                    <w:t>94</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71" w:type="pct"/>
                  <w:vMerge w:val="continue"/>
                  <w:tcBorders>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rPr>
                  </w:pPr>
                </w:p>
              </w:tc>
              <w:tc>
                <w:tcPr>
                  <w:tcW w:w="1161"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rPr>
                  </w:pPr>
                  <w:r>
                    <w:rPr>
                      <w:color w:val="auto"/>
                      <w:sz w:val="21"/>
                      <w:szCs w:val="21"/>
                    </w:rPr>
                    <w:t>是否为可行性技术</w:t>
                  </w:r>
                </w:p>
              </w:tc>
              <w:tc>
                <w:tcPr>
                  <w:tcW w:w="3367" w:type="pct"/>
                  <w:gridSpan w:val="5"/>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rPr>
                  </w:pPr>
                  <w:r>
                    <w:rPr>
                      <w:rFonts w:hint="eastAsia"/>
                      <w:color w:val="auto"/>
                      <w:sz w:val="21"/>
                      <w:szCs w:val="21"/>
                      <w:lang w:val="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pct"/>
                  <w:gridSpan w:val="2"/>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rPr>
                  </w:pPr>
                  <w:r>
                    <w:rPr>
                      <w:color w:val="auto"/>
                      <w:sz w:val="21"/>
                      <w:szCs w:val="21"/>
                    </w:rPr>
                    <w:t>污染物</w:t>
                  </w:r>
                  <w:r>
                    <w:rPr>
                      <w:rFonts w:hint="eastAsia"/>
                      <w:color w:val="auto"/>
                      <w:sz w:val="21"/>
                      <w:szCs w:val="21"/>
                      <w:lang w:val="en-US"/>
                    </w:rPr>
                    <w:t>出口</w:t>
                  </w:r>
                  <w:r>
                    <w:rPr>
                      <w:color w:val="auto"/>
                      <w:sz w:val="21"/>
                      <w:szCs w:val="21"/>
                    </w:rPr>
                    <w:t>浓度（mg/L）</w:t>
                  </w:r>
                </w:p>
              </w:tc>
              <w:tc>
                <w:tcPr>
                  <w:tcW w:w="855"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52</w:t>
                  </w:r>
                </w:p>
              </w:tc>
              <w:tc>
                <w:tcPr>
                  <w:tcW w:w="641"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16</w:t>
                  </w:r>
                </w:p>
              </w:tc>
              <w:tc>
                <w:tcPr>
                  <w:tcW w:w="600"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0.86</w:t>
                  </w:r>
                </w:p>
              </w:tc>
              <w:tc>
                <w:tcPr>
                  <w:tcW w:w="621"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0.14</w:t>
                  </w:r>
                </w:p>
              </w:tc>
              <w:tc>
                <w:tcPr>
                  <w:tcW w:w="649" w:type="pc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color w:val="auto"/>
                      <w:sz w:val="21"/>
                      <w:szCs w:val="21"/>
                      <w:lang w:val="en-US"/>
                    </w:rPr>
                  </w:pPr>
                  <w:r>
                    <w:rPr>
                      <w:rFonts w:hint="eastAsia"/>
                      <w:color w:val="auto"/>
                      <w:sz w:val="21"/>
                      <w:szCs w:val="21"/>
                      <w:lang w:val="en-US"/>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32" w:type="pct"/>
                  <w:gridSpan w:val="2"/>
                  <w:vAlign w:val="center"/>
                </w:tcPr>
                <w:p>
                  <w:pPr>
                    <w:pStyle w:val="11"/>
                    <w:spacing w:line="240" w:lineRule="auto"/>
                    <w:ind w:firstLine="0"/>
                    <w:jc w:val="center"/>
                    <w:rPr>
                      <w:color w:val="auto"/>
                      <w:sz w:val="21"/>
                      <w:szCs w:val="21"/>
                      <w:lang w:val="en-US"/>
                    </w:rPr>
                  </w:pPr>
                  <w:r>
                    <w:rPr>
                      <w:color w:val="auto"/>
                      <w:sz w:val="21"/>
                      <w:szCs w:val="21"/>
                    </w:rPr>
                    <w:t>排放</w:t>
                  </w:r>
                  <w:r>
                    <w:rPr>
                      <w:rFonts w:hint="eastAsia"/>
                      <w:color w:val="auto"/>
                      <w:sz w:val="21"/>
                      <w:szCs w:val="21"/>
                      <w:lang w:val="en-US"/>
                    </w:rPr>
                    <w:t>去向</w:t>
                  </w:r>
                </w:p>
              </w:tc>
              <w:tc>
                <w:tcPr>
                  <w:tcW w:w="3367" w:type="pct"/>
                  <w:gridSpan w:val="5"/>
                  <w:vAlign w:val="center"/>
                </w:tcPr>
                <w:p>
                  <w:pPr>
                    <w:pStyle w:val="11"/>
                    <w:spacing w:line="240" w:lineRule="auto"/>
                    <w:ind w:firstLine="0"/>
                    <w:jc w:val="center"/>
                    <w:rPr>
                      <w:color w:val="auto"/>
                      <w:sz w:val="21"/>
                      <w:szCs w:val="21"/>
                      <w:lang w:val="en-US"/>
                    </w:rPr>
                  </w:pPr>
                  <w:r>
                    <w:rPr>
                      <w:rFonts w:hint="eastAsia"/>
                      <w:color w:val="auto"/>
                      <w:sz w:val="21"/>
                      <w:szCs w:val="21"/>
                      <w:lang w:val="en-US"/>
                    </w:rPr>
                    <w:t>回用于生产工序，不外排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1632" w:type="pct"/>
                  <w:gridSpan w:val="2"/>
                  <w:vAlign w:val="center"/>
                </w:tcPr>
                <w:p>
                  <w:pPr>
                    <w:pStyle w:val="11"/>
                    <w:spacing w:line="240" w:lineRule="auto"/>
                    <w:ind w:firstLine="0"/>
                    <w:jc w:val="center"/>
                    <w:rPr>
                      <w:color w:val="auto"/>
                      <w:sz w:val="21"/>
                      <w:szCs w:val="21"/>
                    </w:rPr>
                  </w:pPr>
                  <w:r>
                    <w:rPr>
                      <w:rFonts w:hint="eastAsia"/>
                      <w:color w:val="auto"/>
                      <w:sz w:val="21"/>
                      <w:szCs w:val="21"/>
                      <w:lang w:val="en-US"/>
                    </w:rPr>
                    <w:t>执行</w:t>
                  </w:r>
                  <w:r>
                    <w:rPr>
                      <w:color w:val="auto"/>
                      <w:sz w:val="21"/>
                      <w:szCs w:val="21"/>
                    </w:rPr>
                    <w:t>标准</w:t>
                  </w:r>
                </w:p>
              </w:tc>
              <w:tc>
                <w:tcPr>
                  <w:tcW w:w="3367" w:type="pct"/>
                  <w:gridSpan w:val="5"/>
                  <w:vAlign w:val="center"/>
                </w:tcPr>
                <w:p>
                  <w:pPr>
                    <w:pStyle w:val="11"/>
                    <w:spacing w:line="240" w:lineRule="auto"/>
                    <w:ind w:firstLine="0"/>
                    <w:jc w:val="center"/>
                    <w:rPr>
                      <w:color w:val="auto"/>
                      <w:sz w:val="21"/>
                      <w:szCs w:val="21"/>
                    </w:rPr>
                  </w:pPr>
                  <w:r>
                    <w:rPr>
                      <w:color w:val="auto"/>
                      <w:sz w:val="21"/>
                      <w:szCs w:val="21"/>
                      <w:lang w:val="en-US"/>
                    </w:rPr>
                    <w:t>《</w:t>
                  </w:r>
                  <w:r>
                    <w:rPr>
                      <w:rFonts w:hint="eastAsia"/>
                      <w:color w:val="auto"/>
                      <w:sz w:val="21"/>
                      <w:szCs w:val="21"/>
                      <w:lang w:val="en-US"/>
                    </w:rPr>
                    <w:t>城市污水再生利用 工业用水水质</w:t>
                  </w:r>
                  <w:r>
                    <w:rPr>
                      <w:color w:val="auto"/>
                      <w:sz w:val="21"/>
                      <w:szCs w:val="21"/>
                    </w:rPr>
                    <w:t>（GB/T</w:t>
                  </w:r>
                  <w:r>
                    <w:rPr>
                      <w:rFonts w:hint="eastAsia"/>
                      <w:color w:val="auto"/>
                      <w:sz w:val="21"/>
                      <w:szCs w:val="21"/>
                      <w:lang w:val="en-US"/>
                    </w:rPr>
                    <w:t>19923-2005</w:t>
                  </w:r>
                  <w:r>
                    <w:rPr>
                      <w:color w:val="auto"/>
                      <w:sz w:val="21"/>
                      <w:szCs w:val="21"/>
                    </w:rPr>
                    <w:t>）</w:t>
                  </w:r>
                  <w:r>
                    <w:rPr>
                      <w:rFonts w:hint="eastAsia"/>
                      <w:color w:val="auto"/>
                      <w:sz w:val="21"/>
                      <w:szCs w:val="21"/>
                      <w:lang w:val="en-US"/>
                    </w:rPr>
                    <w:t>中“洗涤用水、冷却用水”水质标准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32" w:type="pct"/>
                  <w:gridSpan w:val="2"/>
                  <w:vAlign w:val="center"/>
                </w:tcPr>
                <w:p>
                  <w:pPr>
                    <w:pStyle w:val="11"/>
                    <w:spacing w:line="240" w:lineRule="auto"/>
                    <w:ind w:firstLine="0"/>
                    <w:jc w:val="center"/>
                    <w:rPr>
                      <w:color w:val="auto"/>
                      <w:sz w:val="21"/>
                      <w:szCs w:val="21"/>
                      <w:lang w:val="en-US"/>
                    </w:rPr>
                  </w:pPr>
                  <w:r>
                    <w:rPr>
                      <w:rFonts w:hint="eastAsia"/>
                      <w:color w:val="auto"/>
                      <w:sz w:val="21"/>
                      <w:szCs w:val="21"/>
                      <w:lang w:val="en-US"/>
                    </w:rPr>
                    <w:t>标准限值mg/L</w:t>
                  </w:r>
                </w:p>
              </w:tc>
              <w:tc>
                <w:tcPr>
                  <w:tcW w:w="855" w:type="pct"/>
                  <w:vAlign w:val="center"/>
                </w:tcPr>
                <w:p>
                  <w:pPr>
                    <w:pStyle w:val="11"/>
                    <w:spacing w:line="240" w:lineRule="auto"/>
                    <w:ind w:firstLine="0"/>
                    <w:jc w:val="center"/>
                    <w:rPr>
                      <w:color w:val="auto"/>
                      <w:sz w:val="21"/>
                      <w:szCs w:val="21"/>
                      <w:lang w:val="en-US"/>
                    </w:rPr>
                  </w:pPr>
                  <w:r>
                    <w:rPr>
                      <w:rFonts w:hint="eastAsia"/>
                      <w:color w:val="auto"/>
                      <w:sz w:val="21"/>
                      <w:szCs w:val="21"/>
                      <w:lang w:val="en-US"/>
                    </w:rPr>
                    <w:t>60</w:t>
                  </w:r>
                </w:p>
              </w:tc>
              <w:tc>
                <w:tcPr>
                  <w:tcW w:w="641" w:type="pct"/>
                  <w:vAlign w:val="center"/>
                </w:tcPr>
                <w:p>
                  <w:pPr>
                    <w:pStyle w:val="11"/>
                    <w:spacing w:line="240" w:lineRule="auto"/>
                    <w:ind w:firstLine="0"/>
                    <w:jc w:val="center"/>
                    <w:rPr>
                      <w:color w:val="auto"/>
                      <w:sz w:val="21"/>
                      <w:szCs w:val="21"/>
                      <w:lang w:val="en-US"/>
                    </w:rPr>
                  </w:pPr>
                  <w:r>
                    <w:rPr>
                      <w:rFonts w:hint="eastAsia"/>
                      <w:color w:val="auto"/>
                      <w:sz w:val="21"/>
                      <w:szCs w:val="21"/>
                      <w:lang w:val="en-US"/>
                    </w:rPr>
                    <w:t>30</w:t>
                  </w:r>
                </w:p>
              </w:tc>
              <w:tc>
                <w:tcPr>
                  <w:tcW w:w="600" w:type="pct"/>
                  <w:vAlign w:val="center"/>
                </w:tcPr>
                <w:p>
                  <w:pPr>
                    <w:pStyle w:val="11"/>
                    <w:spacing w:line="240" w:lineRule="auto"/>
                    <w:ind w:firstLine="0"/>
                    <w:jc w:val="center"/>
                    <w:rPr>
                      <w:color w:val="auto"/>
                      <w:sz w:val="21"/>
                      <w:szCs w:val="21"/>
                      <w:lang w:val="en-US"/>
                    </w:rPr>
                  </w:pPr>
                  <w:r>
                    <w:rPr>
                      <w:rFonts w:hint="eastAsia"/>
                      <w:color w:val="auto"/>
                      <w:sz w:val="21"/>
                      <w:szCs w:val="21"/>
                      <w:lang w:val="en-US"/>
                    </w:rPr>
                    <w:t>/</w:t>
                  </w:r>
                </w:p>
              </w:tc>
              <w:tc>
                <w:tcPr>
                  <w:tcW w:w="621" w:type="pct"/>
                  <w:vAlign w:val="center"/>
                </w:tcPr>
                <w:p>
                  <w:pPr>
                    <w:pStyle w:val="11"/>
                    <w:spacing w:line="240" w:lineRule="auto"/>
                    <w:ind w:firstLine="0"/>
                    <w:jc w:val="center"/>
                    <w:rPr>
                      <w:color w:val="auto"/>
                      <w:sz w:val="21"/>
                      <w:szCs w:val="21"/>
                      <w:lang w:val="en-US"/>
                    </w:rPr>
                  </w:pPr>
                  <w:r>
                    <w:rPr>
                      <w:rFonts w:hint="eastAsia"/>
                      <w:color w:val="auto"/>
                      <w:sz w:val="21"/>
                      <w:szCs w:val="21"/>
                      <w:lang w:val="en-US"/>
                    </w:rPr>
                    <w:t>/</w:t>
                  </w:r>
                </w:p>
              </w:tc>
              <w:tc>
                <w:tcPr>
                  <w:tcW w:w="649" w:type="pct"/>
                  <w:vAlign w:val="center"/>
                </w:tcPr>
                <w:p>
                  <w:pPr>
                    <w:pStyle w:val="11"/>
                    <w:spacing w:line="240" w:lineRule="auto"/>
                    <w:ind w:firstLine="0"/>
                    <w:jc w:val="center"/>
                    <w:rPr>
                      <w:color w:val="auto"/>
                      <w:sz w:val="21"/>
                      <w:szCs w:val="21"/>
                      <w:lang w:val="en-US"/>
                    </w:rPr>
                  </w:pPr>
                  <w:r>
                    <w:rPr>
                      <w:rFonts w:hint="eastAsia"/>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1632" w:type="pct"/>
                  <w:gridSpan w:val="2"/>
                  <w:vAlign w:val="center"/>
                </w:tcPr>
                <w:p>
                  <w:pPr>
                    <w:pStyle w:val="11"/>
                    <w:spacing w:line="240" w:lineRule="auto"/>
                    <w:ind w:firstLine="0"/>
                    <w:jc w:val="center"/>
                    <w:rPr>
                      <w:color w:val="auto"/>
                      <w:sz w:val="21"/>
                      <w:szCs w:val="21"/>
                      <w:lang w:val="en-US"/>
                    </w:rPr>
                  </w:pPr>
                  <w:r>
                    <w:rPr>
                      <w:rFonts w:hint="eastAsia"/>
                      <w:color w:val="auto"/>
                      <w:sz w:val="21"/>
                      <w:szCs w:val="21"/>
                      <w:lang w:val="en-US"/>
                    </w:rPr>
                    <w:t>达标判定</w:t>
                  </w:r>
                </w:p>
              </w:tc>
              <w:tc>
                <w:tcPr>
                  <w:tcW w:w="855" w:type="pct"/>
                  <w:vAlign w:val="center"/>
                </w:tcPr>
                <w:p>
                  <w:pPr>
                    <w:pStyle w:val="11"/>
                    <w:spacing w:line="240" w:lineRule="auto"/>
                    <w:ind w:firstLine="0"/>
                    <w:jc w:val="center"/>
                    <w:rPr>
                      <w:color w:val="auto"/>
                      <w:sz w:val="21"/>
                      <w:szCs w:val="21"/>
                      <w:lang w:val="en-US"/>
                    </w:rPr>
                  </w:pPr>
                  <w:r>
                    <w:rPr>
                      <w:rFonts w:hint="eastAsia"/>
                      <w:color w:val="auto"/>
                      <w:sz w:val="21"/>
                      <w:szCs w:val="21"/>
                      <w:lang w:val="en-US"/>
                    </w:rPr>
                    <w:t>达标</w:t>
                  </w:r>
                </w:p>
              </w:tc>
              <w:tc>
                <w:tcPr>
                  <w:tcW w:w="641" w:type="pct"/>
                  <w:vAlign w:val="center"/>
                </w:tcPr>
                <w:p>
                  <w:pPr>
                    <w:pStyle w:val="11"/>
                    <w:spacing w:line="240" w:lineRule="auto"/>
                    <w:ind w:firstLine="0"/>
                    <w:jc w:val="center"/>
                    <w:rPr>
                      <w:color w:val="auto"/>
                      <w:sz w:val="21"/>
                      <w:szCs w:val="21"/>
                      <w:lang w:val="en-US"/>
                    </w:rPr>
                  </w:pPr>
                  <w:r>
                    <w:rPr>
                      <w:rFonts w:hint="eastAsia"/>
                      <w:color w:val="auto"/>
                      <w:sz w:val="21"/>
                      <w:szCs w:val="21"/>
                      <w:lang w:val="en-US"/>
                    </w:rPr>
                    <w:t>达标</w:t>
                  </w:r>
                </w:p>
              </w:tc>
              <w:tc>
                <w:tcPr>
                  <w:tcW w:w="600" w:type="pct"/>
                  <w:vAlign w:val="center"/>
                </w:tcPr>
                <w:p>
                  <w:pPr>
                    <w:pStyle w:val="11"/>
                    <w:spacing w:line="240" w:lineRule="auto"/>
                    <w:ind w:firstLine="0"/>
                    <w:jc w:val="center"/>
                    <w:rPr>
                      <w:color w:val="auto"/>
                      <w:sz w:val="21"/>
                      <w:szCs w:val="21"/>
                      <w:lang w:val="en-US"/>
                    </w:rPr>
                  </w:pPr>
                  <w:r>
                    <w:rPr>
                      <w:rFonts w:hint="eastAsia"/>
                      <w:color w:val="auto"/>
                      <w:sz w:val="21"/>
                      <w:szCs w:val="21"/>
                      <w:lang w:val="en-US"/>
                    </w:rPr>
                    <w:t>/</w:t>
                  </w:r>
                </w:p>
              </w:tc>
              <w:tc>
                <w:tcPr>
                  <w:tcW w:w="621" w:type="pct"/>
                  <w:vAlign w:val="center"/>
                </w:tcPr>
                <w:p>
                  <w:pPr>
                    <w:pStyle w:val="11"/>
                    <w:spacing w:line="240" w:lineRule="auto"/>
                    <w:ind w:firstLine="0"/>
                    <w:jc w:val="center"/>
                    <w:rPr>
                      <w:color w:val="auto"/>
                      <w:sz w:val="21"/>
                      <w:szCs w:val="21"/>
                      <w:lang w:val="en-US"/>
                    </w:rPr>
                  </w:pPr>
                  <w:r>
                    <w:rPr>
                      <w:rFonts w:hint="eastAsia"/>
                      <w:color w:val="auto"/>
                      <w:sz w:val="21"/>
                      <w:szCs w:val="21"/>
                      <w:lang w:val="en-US"/>
                    </w:rPr>
                    <w:t>/</w:t>
                  </w:r>
                </w:p>
              </w:tc>
              <w:tc>
                <w:tcPr>
                  <w:tcW w:w="649" w:type="pct"/>
                  <w:vAlign w:val="center"/>
                </w:tcPr>
                <w:p>
                  <w:pPr>
                    <w:pStyle w:val="11"/>
                    <w:spacing w:line="240" w:lineRule="auto"/>
                    <w:ind w:firstLine="0"/>
                    <w:jc w:val="center"/>
                    <w:rPr>
                      <w:color w:val="auto"/>
                      <w:sz w:val="21"/>
                      <w:szCs w:val="21"/>
                      <w:lang w:val="en-US"/>
                    </w:rPr>
                  </w:pPr>
                  <w:r>
                    <w:rPr>
                      <w:rFonts w:hint="eastAsia"/>
                      <w:color w:val="auto"/>
                      <w:sz w:val="21"/>
                      <w:szCs w:val="21"/>
                      <w:lang w:val="en-US"/>
                    </w:rPr>
                    <w:t>/</w:t>
                  </w:r>
                </w:p>
              </w:tc>
            </w:tr>
          </w:tbl>
          <w:p>
            <w:pPr>
              <w:spacing w:line="360" w:lineRule="auto"/>
              <w:ind w:firstLine="482" w:firstLineChars="200"/>
              <w:rPr>
                <w:b/>
                <w:bCs/>
                <w:color w:val="auto"/>
                <w:sz w:val="24"/>
              </w:rPr>
            </w:pPr>
            <w:r>
              <w:rPr>
                <w:b/>
                <w:bCs/>
                <w:color w:val="auto"/>
                <w:sz w:val="24"/>
              </w:rPr>
              <w:t>2、项目废水防治措施</w:t>
            </w:r>
          </w:p>
          <w:p>
            <w:pPr>
              <w:numPr>
                <w:ilvl w:val="0"/>
                <w:numId w:val="4"/>
              </w:numPr>
              <w:spacing w:line="360" w:lineRule="auto"/>
              <w:ind w:firstLine="480" w:firstLineChars="200"/>
              <w:rPr>
                <w:color w:val="auto"/>
                <w:sz w:val="24"/>
              </w:rPr>
            </w:pPr>
            <w:bookmarkStart w:id="24" w:name="_Toc8927"/>
            <w:bookmarkStart w:id="25" w:name="_Toc27228"/>
            <w:r>
              <w:rPr>
                <w:color w:val="auto"/>
                <w:kern w:val="0"/>
                <w:sz w:val="24"/>
              </w:rPr>
              <w:t>清洗废水、废气洗涤装置</w:t>
            </w:r>
            <w:r>
              <w:rPr>
                <w:rFonts w:hint="eastAsia"/>
                <w:color w:val="auto"/>
                <w:kern w:val="0"/>
                <w:sz w:val="24"/>
              </w:rPr>
              <w:t>废水</w:t>
            </w:r>
            <w:r>
              <w:rPr>
                <w:color w:val="auto"/>
                <w:kern w:val="0"/>
                <w:sz w:val="24"/>
              </w:rPr>
              <w:t>、</w:t>
            </w:r>
            <w:r>
              <w:rPr>
                <w:rFonts w:hint="eastAsia"/>
                <w:color w:val="auto"/>
                <w:kern w:val="0"/>
                <w:sz w:val="24"/>
              </w:rPr>
              <w:t>地面清洁废水</w:t>
            </w:r>
            <w:r>
              <w:rPr>
                <w:color w:val="auto"/>
                <w:kern w:val="0"/>
                <w:sz w:val="24"/>
              </w:rPr>
              <w:t>经</w:t>
            </w:r>
            <w:r>
              <w:rPr>
                <w:rFonts w:hint="eastAsia"/>
                <w:color w:val="auto"/>
                <w:kern w:val="0"/>
                <w:sz w:val="24"/>
              </w:rPr>
              <w:t>新建的污水处理</w:t>
            </w:r>
            <w:r>
              <w:rPr>
                <w:color w:val="auto"/>
                <w:kern w:val="0"/>
                <w:sz w:val="24"/>
              </w:rPr>
              <w:t>设施处理后全部循环回用</w:t>
            </w:r>
            <w:r>
              <w:rPr>
                <w:rFonts w:hint="eastAsia"/>
                <w:color w:val="auto"/>
                <w:kern w:val="0"/>
                <w:sz w:val="24"/>
              </w:rPr>
              <w:t>生产线清洗用水</w:t>
            </w:r>
            <w:r>
              <w:rPr>
                <w:rFonts w:hint="eastAsia"/>
                <w:color w:val="auto"/>
                <w:sz w:val="24"/>
              </w:rPr>
              <w:t>；</w:t>
            </w:r>
          </w:p>
          <w:p>
            <w:pPr>
              <w:numPr>
                <w:ilvl w:val="0"/>
                <w:numId w:val="4"/>
              </w:numPr>
              <w:spacing w:line="360" w:lineRule="auto"/>
              <w:ind w:firstLine="480" w:firstLineChars="200"/>
              <w:rPr>
                <w:color w:val="auto"/>
                <w:sz w:val="24"/>
              </w:rPr>
            </w:pPr>
            <w:r>
              <w:rPr>
                <w:rFonts w:hint="eastAsia"/>
                <w:color w:val="auto"/>
                <w:sz w:val="24"/>
              </w:rPr>
              <w:t>食堂废水依托</w:t>
            </w:r>
            <w:r>
              <w:rPr>
                <w:color w:val="auto"/>
                <w:sz w:val="24"/>
              </w:rPr>
              <w:t>云南鹏腾机械设备制造有限公司</w:t>
            </w:r>
            <w:r>
              <w:rPr>
                <w:rFonts w:hint="eastAsia"/>
                <w:color w:val="auto"/>
                <w:sz w:val="24"/>
              </w:rPr>
              <w:t>厂区内建浩的隔油池预处理后与其他</w:t>
            </w:r>
            <w:r>
              <w:rPr>
                <w:color w:val="auto"/>
                <w:sz w:val="24"/>
              </w:rPr>
              <w:t>生活污水</w:t>
            </w:r>
            <w:r>
              <w:rPr>
                <w:rFonts w:hint="eastAsia"/>
                <w:color w:val="auto"/>
                <w:sz w:val="24"/>
              </w:rPr>
              <w:t>一同</w:t>
            </w:r>
            <w:r>
              <w:rPr>
                <w:color w:val="auto"/>
                <w:sz w:val="24"/>
              </w:rPr>
              <w:t>排入云南鹏腾机械设备制造有限公司宿舍楼化粪池处理后，再进入到云南鹏腾机械设备制造有限公司一体化污水处理设施处理达到GB/T18920-</w:t>
            </w:r>
            <w:r>
              <w:rPr>
                <w:rFonts w:hint="eastAsia"/>
                <w:color w:val="auto"/>
                <w:sz w:val="24"/>
              </w:rPr>
              <w:t>2020</w:t>
            </w:r>
            <w:r>
              <w:rPr>
                <w:color w:val="auto"/>
                <w:sz w:val="24"/>
              </w:rPr>
              <w:t>《城市污水再生利用城市杂用水水质》标准后，回用于绿化，不外排；</w:t>
            </w:r>
          </w:p>
          <w:bookmarkEnd w:id="24"/>
          <w:bookmarkEnd w:id="25"/>
          <w:p>
            <w:pPr>
              <w:pStyle w:val="4"/>
              <w:spacing w:before="0" w:after="0" w:line="360" w:lineRule="auto"/>
              <w:ind w:left="0" w:firstLine="482" w:firstLineChars="200"/>
              <w:rPr>
                <w:rFonts w:eastAsia="宋体"/>
                <w:color w:val="auto"/>
                <w:kern w:val="2"/>
                <w:sz w:val="24"/>
                <w:szCs w:val="24"/>
              </w:rPr>
            </w:pPr>
            <w:r>
              <w:rPr>
                <w:rFonts w:eastAsia="宋体"/>
                <w:color w:val="auto"/>
                <w:kern w:val="2"/>
                <w:sz w:val="24"/>
                <w:szCs w:val="24"/>
              </w:rPr>
              <w:t>3.废水污染治理设施可行性分析</w:t>
            </w:r>
          </w:p>
          <w:p>
            <w:pPr>
              <w:spacing w:line="360" w:lineRule="auto"/>
              <w:ind w:firstLine="482" w:firstLineChars="200"/>
              <w:rPr>
                <w:b/>
                <w:bCs/>
                <w:color w:val="auto"/>
                <w:sz w:val="24"/>
              </w:rPr>
            </w:pPr>
            <w:r>
              <w:rPr>
                <w:rFonts w:hint="eastAsia"/>
                <w:b/>
                <w:bCs/>
                <w:color w:val="auto"/>
                <w:sz w:val="24"/>
              </w:rPr>
              <w:t>（1）生产废水处置可行性分析</w:t>
            </w:r>
          </w:p>
          <w:p>
            <w:pPr>
              <w:pStyle w:val="2"/>
              <w:spacing w:before="0" w:after="0" w:line="360" w:lineRule="auto"/>
              <w:ind w:right="0" w:firstLine="480" w:firstLineChars="200"/>
              <w:rPr>
                <w:color w:val="auto"/>
                <w:sz w:val="24"/>
              </w:rPr>
            </w:pPr>
            <w:r>
              <w:rPr>
                <w:rFonts w:hint="eastAsia"/>
                <w:color w:val="auto"/>
                <w:sz w:val="24"/>
              </w:rPr>
              <w:t>由工程分析可知，运营期生产废水中含有较高浓度的悬浮物，其中既有无机物，也有有机物，还含有部分容易沉积的泥沙，根据《排污许可证申请与核发技术规范-废弃资源加工工业》(HJ1034-2019) 附录A中表A.2废弃资源加工工业排污单位废水污染防治可行技术参考表，提出采用“格栅+隔油+水解+生物接触氧化法”工艺处理生产废水。废水经格栅去除大颗粒的杂质，后进入隔油池去除油类物质，然后进入水解池，水解工艺是解决废水COD值高，可生化性差的难题的有效前置技术，酸化水解的目的是对废水中可生化性很差的某些高分子物质和溶性物质通过水解酸化，降解为小分子物质和可溶性物质，提高可生化性和BOD</w:t>
            </w:r>
            <w:r>
              <w:rPr>
                <w:rFonts w:hint="eastAsia"/>
                <w:color w:val="auto"/>
                <w:sz w:val="24"/>
                <w:vertAlign w:val="subscript"/>
              </w:rPr>
              <w:t>5</w:t>
            </w:r>
            <w:r>
              <w:rPr>
                <w:rFonts w:hint="eastAsia"/>
                <w:color w:val="auto"/>
                <w:sz w:val="24"/>
              </w:rPr>
              <w:t>/COD值，为后续生物接触氧化工艺创造条件。生物接触氧化工艺由于易于管理，产泥量少，污泥不易发生膨胀现象及运行成本低等特点，是目前大中型废水常用的好氧生物处理方法之一。接触氧化池为生物接触氧化法处理污水的主要反应场所，在此氧化能力强，可快速高效低耗地将废水中的有机物氧化降解为CO</w:t>
            </w:r>
            <w:r>
              <w:rPr>
                <w:rFonts w:hint="eastAsia"/>
                <w:color w:val="auto"/>
                <w:sz w:val="24"/>
                <w:vertAlign w:val="subscript"/>
              </w:rPr>
              <w:t>2</w:t>
            </w:r>
            <w:r>
              <w:rPr>
                <w:rFonts w:hint="eastAsia"/>
                <w:color w:val="auto"/>
                <w:sz w:val="24"/>
              </w:rPr>
              <w:t>、H</w:t>
            </w:r>
            <w:r>
              <w:rPr>
                <w:rFonts w:hint="eastAsia"/>
                <w:color w:val="auto"/>
                <w:sz w:val="24"/>
                <w:vertAlign w:val="subscript"/>
              </w:rPr>
              <w:t>2</w:t>
            </w:r>
            <w:r>
              <w:rPr>
                <w:rFonts w:hint="eastAsia"/>
                <w:color w:val="auto"/>
                <w:sz w:val="24"/>
              </w:rPr>
              <w:t>O和其它的无机物，化有害为无害，使废水得到净化。生物接触氧化工艺由于易于管理，产泥量少，污泥不易发生膨胀现象及运行成本低等特点，是目前大中型废水常用的好氧生物处理方法之一。同时，好氧生化处理产生的剩余污泥经沉淀池部分回流，减少整个系统剩余污泥排放并可保证生物处理工艺中的生物量。</w:t>
            </w:r>
          </w:p>
          <w:p>
            <w:pPr>
              <w:spacing w:line="360" w:lineRule="auto"/>
              <w:ind w:firstLine="480" w:firstLineChars="200"/>
              <w:rPr>
                <w:color w:val="auto"/>
                <w:sz w:val="24"/>
              </w:rPr>
            </w:pPr>
            <w:r>
              <w:rPr>
                <w:rFonts w:hint="eastAsia"/>
                <w:color w:val="auto"/>
                <w:sz w:val="24"/>
              </w:rPr>
              <w:t>由生物接触氧化处理的污泥在二沉池进行固液分离，沉降污泥回流到前级处理设施，剩余污泥排入污泥浓缩池，进行污泥干化。生化产生的污泥进入污泥浓缩池，由于本项目原材料为一般固废，污泥主要成分为泥沙和塑料纤维，</w:t>
            </w:r>
            <w:r>
              <w:rPr>
                <w:rFonts w:hint="eastAsia"/>
                <w:color w:val="auto"/>
                <w:sz w:val="24"/>
                <w:szCs w:val="24"/>
                <w:lang w:val="en-US" w:eastAsia="zh-CN"/>
              </w:rPr>
              <w:t>经鉴定后再处置，若为Ⅰ类一般固废外售当地砖厂制砖，否则按相关要求委托资质单位处置</w:t>
            </w:r>
            <w:r>
              <w:rPr>
                <w:rFonts w:hint="eastAsia"/>
                <w:color w:val="auto"/>
                <w:sz w:val="24"/>
                <w:szCs w:val="24"/>
              </w:rPr>
              <w:t>。</w:t>
            </w:r>
          </w:p>
          <w:p>
            <w:pPr>
              <w:spacing w:line="360" w:lineRule="auto"/>
              <w:jc w:val="center"/>
              <w:rPr>
                <w:color w:val="auto"/>
                <w:kern w:val="0"/>
                <w:sz w:val="24"/>
              </w:rPr>
            </w:pPr>
            <w:r>
              <w:rPr>
                <w:color w:val="auto"/>
              </w:rPr>
              <w:object>
                <v:shape id="_x0000_i1029" o:spt="75" type="#_x0000_t75" style="height:169.4pt;width:397.7pt;" o:ole="t" filled="f" o:preferrelative="t" stroked="f" coordsize="21600,21600">
                  <v:path/>
                  <v:fill on="f" focussize="0,0"/>
                  <v:stroke on="f"/>
                  <v:imagedata r:id="rId18" o:title=""/>
                  <o:lock v:ext="edit" aspectratio="t"/>
                  <w10:wrap type="none"/>
                  <w10:anchorlock/>
                </v:shape>
                <o:OLEObject Type="Embed" ProgID="Visio.Drawing.11" ShapeID="_x0000_i1029" DrawAspect="Content" ObjectID="_1468075729" r:id="rId17">
                  <o:LockedField>false</o:LockedField>
                </o:OLEObject>
              </w:object>
            </w:r>
          </w:p>
          <w:p>
            <w:pPr>
              <w:spacing w:line="360" w:lineRule="auto"/>
              <w:ind w:firstLine="482" w:firstLineChars="200"/>
              <w:jc w:val="center"/>
              <w:rPr>
                <w:color w:val="auto"/>
                <w:sz w:val="24"/>
              </w:rPr>
            </w:pPr>
            <w:r>
              <w:rPr>
                <w:b/>
                <w:color w:val="auto"/>
                <w:kern w:val="0"/>
                <w:sz w:val="24"/>
              </w:rPr>
              <w:t>图</w:t>
            </w:r>
            <w:r>
              <w:rPr>
                <w:rFonts w:hint="eastAsia"/>
                <w:b/>
                <w:color w:val="auto"/>
                <w:kern w:val="0"/>
                <w:sz w:val="24"/>
              </w:rPr>
              <w:t>4-1</w:t>
            </w:r>
            <w:r>
              <w:rPr>
                <w:b/>
                <w:color w:val="auto"/>
                <w:kern w:val="0"/>
                <w:sz w:val="24"/>
              </w:rPr>
              <w:t xml:space="preserve">  </w:t>
            </w:r>
            <w:r>
              <w:rPr>
                <w:rFonts w:hint="eastAsia"/>
                <w:b/>
                <w:color w:val="auto"/>
                <w:kern w:val="0"/>
                <w:sz w:val="24"/>
              </w:rPr>
              <w:t>生产</w:t>
            </w:r>
            <w:r>
              <w:rPr>
                <w:b/>
                <w:color w:val="auto"/>
                <w:kern w:val="0"/>
                <w:sz w:val="24"/>
              </w:rPr>
              <w:t>废水处理</w:t>
            </w:r>
            <w:r>
              <w:rPr>
                <w:rFonts w:hint="eastAsia"/>
                <w:b/>
                <w:color w:val="auto"/>
                <w:kern w:val="0"/>
                <w:sz w:val="24"/>
              </w:rPr>
              <w:t>系统</w:t>
            </w:r>
            <w:r>
              <w:rPr>
                <w:b/>
                <w:color w:val="auto"/>
                <w:kern w:val="0"/>
                <w:sz w:val="24"/>
              </w:rPr>
              <w:t>工艺流程图</w:t>
            </w:r>
          </w:p>
          <w:p>
            <w:pPr>
              <w:spacing w:line="360" w:lineRule="auto"/>
              <w:ind w:firstLine="480" w:firstLineChars="200"/>
              <w:rPr>
                <w:color w:val="auto"/>
                <w:sz w:val="24"/>
              </w:rPr>
            </w:pPr>
            <w:r>
              <w:rPr>
                <w:rFonts w:hint="eastAsia"/>
                <w:color w:val="auto"/>
                <w:sz w:val="24"/>
              </w:rPr>
              <w:t>根据《排放源统计调查产排污核算方法和系数手册》产污系数及类比《重庆凯运再生资源回收有限公司废旧塑料回收利用项目》竣工环境保护验收监测数据，项目生产废水中各污染物进口浓度为COD：419.83mg/L、SS：5000mg/L、氨氮：21.48mg/L、总磷：1.17mg/L、石油类：18.55mg/L；平均出口浓度为COD：52mg/L、SS：16mg/L、氨氮：0.86mg/L、总磷：0.14mg/L、石油类：1.03mg/L，项目污水处理后水质情况见下表。</w:t>
            </w:r>
          </w:p>
          <w:p>
            <w:pPr>
              <w:spacing w:line="360" w:lineRule="auto"/>
              <w:jc w:val="center"/>
              <w:rPr>
                <w:b/>
                <w:bCs/>
                <w:color w:val="auto"/>
                <w:sz w:val="24"/>
              </w:rPr>
            </w:pPr>
            <w:r>
              <w:rPr>
                <w:rFonts w:hint="eastAsia"/>
                <w:b/>
                <w:bCs/>
                <w:color w:val="auto"/>
                <w:sz w:val="24"/>
              </w:rPr>
              <w:t>表4-6  废水预期处理效果一览表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2017"/>
              <w:gridCol w:w="2018"/>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7" w:type="dxa"/>
                </w:tcPr>
                <w:p>
                  <w:pPr>
                    <w:jc w:val="center"/>
                    <w:rPr>
                      <w:color w:val="auto"/>
                    </w:rPr>
                  </w:pPr>
                  <w:r>
                    <w:rPr>
                      <w:rFonts w:hint="eastAsia"/>
                      <w:color w:val="auto"/>
                    </w:rPr>
                    <w:t>指标</w:t>
                  </w:r>
                </w:p>
              </w:tc>
              <w:tc>
                <w:tcPr>
                  <w:tcW w:w="2017" w:type="dxa"/>
                </w:tcPr>
                <w:p>
                  <w:pPr>
                    <w:jc w:val="center"/>
                    <w:rPr>
                      <w:color w:val="auto"/>
                    </w:rPr>
                  </w:pPr>
                  <w:r>
                    <w:rPr>
                      <w:rFonts w:hint="eastAsia"/>
                      <w:color w:val="auto"/>
                    </w:rPr>
                    <w:t>进水浓度（mg/L）</w:t>
                  </w:r>
                </w:p>
              </w:tc>
              <w:tc>
                <w:tcPr>
                  <w:tcW w:w="2018" w:type="dxa"/>
                </w:tcPr>
                <w:p>
                  <w:pPr>
                    <w:jc w:val="center"/>
                    <w:rPr>
                      <w:color w:val="auto"/>
                    </w:rPr>
                  </w:pPr>
                  <w:r>
                    <w:rPr>
                      <w:rFonts w:hint="eastAsia"/>
                      <w:color w:val="auto"/>
                    </w:rPr>
                    <w:t>去除率（%）</w:t>
                  </w:r>
                </w:p>
              </w:tc>
              <w:tc>
                <w:tcPr>
                  <w:tcW w:w="2018" w:type="dxa"/>
                </w:tcPr>
                <w:p>
                  <w:pPr>
                    <w:jc w:val="center"/>
                    <w:rPr>
                      <w:color w:val="auto"/>
                    </w:rPr>
                  </w:pPr>
                  <w:r>
                    <w:rPr>
                      <w:rFonts w:hint="eastAsia"/>
                      <w:color w:val="auto"/>
                    </w:rPr>
                    <w:t>出水浓度（mg/L）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7" w:type="dxa"/>
                </w:tcPr>
                <w:p>
                  <w:pPr>
                    <w:jc w:val="center"/>
                    <w:rPr>
                      <w:color w:val="auto"/>
                    </w:rPr>
                  </w:pPr>
                  <w:r>
                    <w:rPr>
                      <w:rFonts w:hint="eastAsia"/>
                      <w:color w:val="auto"/>
                    </w:rPr>
                    <w:t>SS</w:t>
                  </w:r>
                </w:p>
              </w:tc>
              <w:tc>
                <w:tcPr>
                  <w:tcW w:w="2017" w:type="dxa"/>
                </w:tcPr>
                <w:p>
                  <w:pPr>
                    <w:jc w:val="center"/>
                    <w:rPr>
                      <w:color w:val="auto"/>
                    </w:rPr>
                  </w:pPr>
                  <w:r>
                    <w:rPr>
                      <w:rFonts w:hint="eastAsia"/>
                      <w:color w:val="auto"/>
                    </w:rPr>
                    <w:t>500</w:t>
                  </w:r>
                </w:p>
              </w:tc>
              <w:tc>
                <w:tcPr>
                  <w:tcW w:w="2018" w:type="dxa"/>
                </w:tcPr>
                <w:p>
                  <w:pPr>
                    <w:jc w:val="center"/>
                    <w:rPr>
                      <w:color w:val="auto"/>
                    </w:rPr>
                  </w:pPr>
                  <w:r>
                    <w:rPr>
                      <w:rFonts w:hint="eastAsia"/>
                      <w:color w:val="auto"/>
                    </w:rPr>
                    <w:t>97</w:t>
                  </w:r>
                </w:p>
              </w:tc>
              <w:tc>
                <w:tcPr>
                  <w:tcW w:w="2018" w:type="dxa"/>
                </w:tcPr>
                <w:p>
                  <w:pPr>
                    <w:jc w:val="center"/>
                    <w:rPr>
                      <w:color w:val="auto"/>
                    </w:rPr>
                  </w:pPr>
                  <w:r>
                    <w:rPr>
                      <w:rFonts w:hint="eastAsia"/>
                      <w:color w:val="auto"/>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7" w:type="dxa"/>
                </w:tcPr>
                <w:p>
                  <w:pPr>
                    <w:jc w:val="center"/>
                    <w:rPr>
                      <w:color w:val="auto"/>
                    </w:rPr>
                  </w:pPr>
                  <w:r>
                    <w:rPr>
                      <w:rFonts w:hint="eastAsia"/>
                      <w:color w:val="auto"/>
                    </w:rPr>
                    <w:t>COD</w:t>
                  </w:r>
                </w:p>
              </w:tc>
              <w:tc>
                <w:tcPr>
                  <w:tcW w:w="2017" w:type="dxa"/>
                </w:tcPr>
                <w:p>
                  <w:pPr>
                    <w:jc w:val="center"/>
                    <w:rPr>
                      <w:color w:val="auto"/>
                    </w:rPr>
                  </w:pPr>
                  <w:r>
                    <w:rPr>
                      <w:rFonts w:hint="eastAsia"/>
                      <w:color w:val="auto"/>
                    </w:rPr>
                    <w:t>419.83</w:t>
                  </w:r>
                </w:p>
              </w:tc>
              <w:tc>
                <w:tcPr>
                  <w:tcW w:w="2018" w:type="dxa"/>
                </w:tcPr>
                <w:p>
                  <w:pPr>
                    <w:jc w:val="center"/>
                    <w:rPr>
                      <w:color w:val="auto"/>
                    </w:rPr>
                  </w:pPr>
                  <w:r>
                    <w:rPr>
                      <w:rFonts w:hint="eastAsia"/>
                      <w:color w:val="auto"/>
                    </w:rPr>
                    <w:t>87.6</w:t>
                  </w:r>
                </w:p>
              </w:tc>
              <w:tc>
                <w:tcPr>
                  <w:tcW w:w="2018" w:type="dxa"/>
                </w:tcPr>
                <w:p>
                  <w:pPr>
                    <w:jc w:val="center"/>
                    <w:rPr>
                      <w:color w:val="auto"/>
                    </w:rPr>
                  </w:pPr>
                  <w:r>
                    <w:rPr>
                      <w:rFonts w:hint="eastAsia"/>
                      <w:color w:val="auto"/>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7" w:type="dxa"/>
                </w:tcPr>
                <w:p>
                  <w:pPr>
                    <w:jc w:val="center"/>
                    <w:rPr>
                      <w:color w:val="auto"/>
                    </w:rPr>
                  </w:pPr>
                  <w:r>
                    <w:rPr>
                      <w:rFonts w:hint="eastAsia"/>
                      <w:color w:val="auto"/>
                    </w:rPr>
                    <w:t>氨氮</w:t>
                  </w:r>
                </w:p>
              </w:tc>
              <w:tc>
                <w:tcPr>
                  <w:tcW w:w="2017" w:type="dxa"/>
                </w:tcPr>
                <w:p>
                  <w:pPr>
                    <w:jc w:val="center"/>
                    <w:rPr>
                      <w:color w:val="auto"/>
                    </w:rPr>
                  </w:pPr>
                  <w:r>
                    <w:rPr>
                      <w:rFonts w:hint="eastAsia"/>
                      <w:color w:val="auto"/>
                    </w:rPr>
                    <w:t>21.48</w:t>
                  </w:r>
                </w:p>
              </w:tc>
              <w:tc>
                <w:tcPr>
                  <w:tcW w:w="2018" w:type="dxa"/>
                </w:tcPr>
                <w:p>
                  <w:pPr>
                    <w:jc w:val="center"/>
                    <w:rPr>
                      <w:color w:val="auto"/>
                    </w:rPr>
                  </w:pPr>
                  <w:r>
                    <w:rPr>
                      <w:rFonts w:hint="eastAsia"/>
                      <w:color w:val="auto"/>
                    </w:rPr>
                    <w:t>96</w:t>
                  </w:r>
                </w:p>
              </w:tc>
              <w:tc>
                <w:tcPr>
                  <w:tcW w:w="2018" w:type="dxa"/>
                </w:tcPr>
                <w:p>
                  <w:pPr>
                    <w:jc w:val="center"/>
                    <w:rPr>
                      <w:color w:val="auto"/>
                    </w:rPr>
                  </w:pPr>
                  <w:r>
                    <w:rPr>
                      <w:rFonts w:hint="eastAsia"/>
                      <w:color w:val="auto"/>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7" w:type="dxa"/>
                </w:tcPr>
                <w:p>
                  <w:pPr>
                    <w:jc w:val="center"/>
                    <w:rPr>
                      <w:color w:val="auto"/>
                    </w:rPr>
                  </w:pPr>
                  <w:r>
                    <w:rPr>
                      <w:rFonts w:hint="eastAsia"/>
                      <w:color w:val="auto"/>
                    </w:rPr>
                    <w:t>石油类</w:t>
                  </w:r>
                </w:p>
              </w:tc>
              <w:tc>
                <w:tcPr>
                  <w:tcW w:w="2017" w:type="dxa"/>
                </w:tcPr>
                <w:p>
                  <w:pPr>
                    <w:jc w:val="center"/>
                    <w:rPr>
                      <w:color w:val="auto"/>
                    </w:rPr>
                  </w:pPr>
                  <w:r>
                    <w:rPr>
                      <w:rFonts w:hint="eastAsia"/>
                      <w:color w:val="auto"/>
                    </w:rPr>
                    <w:t>18.55</w:t>
                  </w:r>
                </w:p>
              </w:tc>
              <w:tc>
                <w:tcPr>
                  <w:tcW w:w="2018" w:type="dxa"/>
                </w:tcPr>
                <w:p>
                  <w:pPr>
                    <w:jc w:val="center"/>
                    <w:rPr>
                      <w:color w:val="auto"/>
                    </w:rPr>
                  </w:pPr>
                  <w:r>
                    <w:rPr>
                      <w:rFonts w:hint="eastAsia"/>
                      <w:color w:val="auto"/>
                    </w:rPr>
                    <w:t>94</w:t>
                  </w:r>
                </w:p>
              </w:tc>
              <w:tc>
                <w:tcPr>
                  <w:tcW w:w="2018" w:type="dxa"/>
                </w:tcPr>
                <w:p>
                  <w:pPr>
                    <w:jc w:val="center"/>
                    <w:rPr>
                      <w:color w:val="auto"/>
                    </w:rPr>
                  </w:pPr>
                  <w:r>
                    <w:rPr>
                      <w:rFonts w:hint="eastAsia"/>
                      <w:color w:val="auto"/>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7" w:type="dxa"/>
                </w:tcPr>
                <w:p>
                  <w:pPr>
                    <w:jc w:val="center"/>
                    <w:rPr>
                      <w:color w:val="auto"/>
                    </w:rPr>
                  </w:pPr>
                  <w:r>
                    <w:rPr>
                      <w:rFonts w:hint="eastAsia"/>
                      <w:color w:val="auto"/>
                    </w:rPr>
                    <w:t>总磷</w:t>
                  </w:r>
                </w:p>
              </w:tc>
              <w:tc>
                <w:tcPr>
                  <w:tcW w:w="2017" w:type="dxa"/>
                </w:tcPr>
                <w:p>
                  <w:pPr>
                    <w:jc w:val="center"/>
                    <w:rPr>
                      <w:color w:val="auto"/>
                    </w:rPr>
                  </w:pPr>
                  <w:r>
                    <w:rPr>
                      <w:rFonts w:hint="eastAsia"/>
                      <w:color w:val="auto"/>
                    </w:rPr>
                    <w:t>1.17</w:t>
                  </w:r>
                </w:p>
              </w:tc>
              <w:tc>
                <w:tcPr>
                  <w:tcW w:w="2018" w:type="dxa"/>
                </w:tcPr>
                <w:p>
                  <w:pPr>
                    <w:jc w:val="center"/>
                    <w:rPr>
                      <w:color w:val="auto"/>
                    </w:rPr>
                  </w:pPr>
                  <w:r>
                    <w:rPr>
                      <w:rFonts w:hint="eastAsia"/>
                      <w:color w:val="auto"/>
                    </w:rPr>
                    <w:t>88</w:t>
                  </w:r>
                </w:p>
              </w:tc>
              <w:tc>
                <w:tcPr>
                  <w:tcW w:w="2018" w:type="dxa"/>
                </w:tcPr>
                <w:p>
                  <w:pPr>
                    <w:jc w:val="center"/>
                    <w:rPr>
                      <w:color w:val="auto"/>
                    </w:rPr>
                  </w:pPr>
                  <w:r>
                    <w:rPr>
                      <w:rFonts w:hint="eastAsia"/>
                      <w:color w:val="auto"/>
                    </w:rPr>
                    <w:t>0.14</w:t>
                  </w:r>
                </w:p>
              </w:tc>
            </w:tr>
          </w:tbl>
          <w:p>
            <w:pPr>
              <w:pStyle w:val="2"/>
              <w:spacing w:before="0" w:after="0" w:line="360" w:lineRule="auto"/>
              <w:ind w:right="0" w:firstLine="480" w:firstLineChars="200"/>
              <w:rPr>
                <w:color w:val="auto"/>
                <w:sz w:val="24"/>
              </w:rPr>
            </w:pPr>
          </w:p>
          <w:p>
            <w:pPr>
              <w:pStyle w:val="2"/>
              <w:spacing w:before="0" w:after="0" w:line="360" w:lineRule="auto"/>
              <w:ind w:right="0" w:firstLine="480" w:firstLineChars="200"/>
              <w:rPr>
                <w:color w:val="auto"/>
              </w:rPr>
            </w:pPr>
            <w:r>
              <w:rPr>
                <w:rFonts w:hint="eastAsia"/>
                <w:color w:val="auto"/>
                <w:sz w:val="24"/>
              </w:rPr>
              <w:t>根据上表分析，经过上述工艺处理后的废水出水水质可满足《城市污水再生利用 工业用水水质》（GB19923-2005）中洗涤用水标准。另外，项目生产废水</w:t>
            </w:r>
            <w:r>
              <w:rPr>
                <w:rFonts w:hint="eastAsia"/>
                <w:color w:val="auto"/>
                <w:sz w:val="24"/>
                <w:lang w:val="en-US" w:eastAsia="zh-CN"/>
              </w:rPr>
              <w:t>最大</w:t>
            </w:r>
            <w:r>
              <w:rPr>
                <w:rFonts w:hint="eastAsia"/>
                <w:color w:val="auto"/>
                <w:sz w:val="24"/>
              </w:rPr>
              <w:t>产生量为</w:t>
            </w:r>
            <w:r>
              <w:rPr>
                <w:rFonts w:hint="eastAsia"/>
                <w:color w:val="auto"/>
                <w:sz w:val="24"/>
                <w:lang w:val="en-US" w:eastAsia="zh-CN"/>
              </w:rPr>
              <w:t>18.63</w:t>
            </w:r>
            <w:r>
              <w:rPr>
                <w:rFonts w:hint="eastAsia"/>
                <w:color w:val="auto"/>
                <w:sz w:val="24"/>
              </w:rPr>
              <w:t>m</w:t>
            </w:r>
            <w:r>
              <w:rPr>
                <w:rFonts w:hint="eastAsia"/>
                <w:color w:val="auto"/>
                <w:sz w:val="24"/>
                <w:vertAlign w:val="superscript"/>
              </w:rPr>
              <w:t>3</w:t>
            </w:r>
            <w:r>
              <w:rPr>
                <w:rFonts w:hint="eastAsia"/>
                <w:color w:val="auto"/>
                <w:sz w:val="24"/>
              </w:rPr>
              <w:t>/d、</w:t>
            </w:r>
            <w:r>
              <w:rPr>
                <w:rFonts w:hint="eastAsia"/>
                <w:color w:val="auto"/>
                <w:sz w:val="24"/>
                <w:lang w:val="en-US" w:eastAsia="zh-CN"/>
              </w:rPr>
              <w:t>5257.9</w:t>
            </w:r>
            <w:r>
              <w:rPr>
                <w:rFonts w:hint="eastAsia"/>
                <w:color w:val="auto"/>
                <w:sz w:val="24"/>
              </w:rPr>
              <w:t>m</w:t>
            </w:r>
            <w:r>
              <w:rPr>
                <w:rFonts w:hint="eastAsia"/>
                <w:color w:val="auto"/>
                <w:sz w:val="24"/>
                <w:vertAlign w:val="superscript"/>
              </w:rPr>
              <w:t>3</w:t>
            </w:r>
            <w:r>
              <w:rPr>
                <w:rFonts w:hint="eastAsia"/>
                <w:color w:val="auto"/>
                <w:sz w:val="24"/>
              </w:rPr>
              <w:t>/a，清洗用水量为18.96m</w:t>
            </w:r>
            <w:r>
              <w:rPr>
                <w:rFonts w:hint="eastAsia"/>
                <w:color w:val="auto"/>
                <w:sz w:val="24"/>
                <w:vertAlign w:val="superscript"/>
              </w:rPr>
              <w:t>3</w:t>
            </w:r>
            <w:r>
              <w:rPr>
                <w:rFonts w:hint="eastAsia"/>
                <w:color w:val="auto"/>
                <w:sz w:val="24"/>
              </w:rPr>
              <w:t>/d，5690.1m</w:t>
            </w:r>
            <w:r>
              <w:rPr>
                <w:rFonts w:hint="eastAsia"/>
                <w:color w:val="auto"/>
                <w:sz w:val="24"/>
                <w:vertAlign w:val="superscript"/>
              </w:rPr>
              <w:t>3</w:t>
            </w:r>
            <w:r>
              <w:rPr>
                <w:rFonts w:hint="eastAsia"/>
                <w:color w:val="auto"/>
                <w:sz w:val="24"/>
              </w:rPr>
              <w:t>/a，</w:t>
            </w:r>
            <w:r>
              <w:rPr>
                <w:rFonts w:hint="eastAsia"/>
                <w:color w:val="auto"/>
                <w:sz w:val="24"/>
                <w:lang w:val="en-US" w:eastAsia="zh-CN"/>
              </w:rPr>
              <w:t>项目设置1个24m</w:t>
            </w:r>
            <w:r>
              <w:rPr>
                <w:rFonts w:hint="eastAsia"/>
                <w:color w:val="auto"/>
                <w:sz w:val="24"/>
                <w:vertAlign w:val="superscript"/>
                <w:lang w:val="en-US" w:eastAsia="zh-CN"/>
              </w:rPr>
              <w:t>3</w:t>
            </w:r>
            <w:r>
              <w:rPr>
                <w:rFonts w:hint="eastAsia"/>
                <w:color w:val="auto"/>
                <w:sz w:val="24"/>
                <w:lang w:val="en-US" w:eastAsia="zh-CN"/>
              </w:rPr>
              <w:t>的清水回用池用于暂存生产废水处理站出水，生产废水经生产废水处理站处理后汇入清水回用池循环使用，</w:t>
            </w:r>
            <w:r>
              <w:rPr>
                <w:rFonts w:hint="eastAsia"/>
                <w:color w:val="auto"/>
                <w:sz w:val="24"/>
              </w:rPr>
              <w:t>项目生产废水经处理后可全部回用于清洗过程。</w:t>
            </w:r>
          </w:p>
          <w:p>
            <w:pPr>
              <w:pStyle w:val="2"/>
              <w:spacing w:before="0" w:after="0" w:line="360" w:lineRule="auto"/>
              <w:ind w:right="0" w:firstLine="480" w:firstLineChars="200"/>
              <w:rPr>
                <w:color w:val="auto"/>
                <w:sz w:val="24"/>
              </w:rPr>
            </w:pPr>
            <w:r>
              <w:rPr>
                <w:rFonts w:hint="eastAsia"/>
                <w:color w:val="auto"/>
                <w:sz w:val="24"/>
              </w:rPr>
              <w:t>综上，项目生产废水处理系统处理规模、处理工艺满足处理要求，生产废水经处理后满足回用水水质要求，且可全部回用于生产不外排，故项目生产废水处理回用可行。</w:t>
            </w:r>
          </w:p>
          <w:p>
            <w:pPr>
              <w:spacing w:line="360" w:lineRule="auto"/>
              <w:ind w:firstLine="482" w:firstLineChars="200"/>
              <w:rPr>
                <w:b/>
                <w:bCs/>
                <w:color w:val="auto"/>
                <w:sz w:val="24"/>
              </w:rPr>
            </w:pPr>
            <w:r>
              <w:rPr>
                <w:rFonts w:hint="eastAsia"/>
                <w:b/>
                <w:bCs/>
                <w:color w:val="auto"/>
                <w:sz w:val="24"/>
              </w:rPr>
              <w:t>（2）生活污水依托处置可行性分析</w:t>
            </w:r>
          </w:p>
          <w:p>
            <w:pPr>
              <w:adjustRightInd w:val="0"/>
              <w:snapToGrid w:val="0"/>
              <w:spacing w:line="360" w:lineRule="auto"/>
              <w:ind w:firstLine="480" w:firstLineChars="200"/>
              <w:rPr>
                <w:color w:val="auto"/>
                <w:sz w:val="24"/>
              </w:rPr>
            </w:pPr>
            <w:r>
              <w:rPr>
                <w:color w:val="auto"/>
                <w:kern w:val="0"/>
                <w:sz w:val="24"/>
              </w:rPr>
              <w:t>厂区管理人员在</w:t>
            </w:r>
            <w:r>
              <w:rPr>
                <w:color w:val="auto"/>
                <w:sz w:val="24"/>
              </w:rPr>
              <w:t>云南鹏腾机械设备制造有限公司宿舍楼食宿，员工为附近村民，不在厂区内</w:t>
            </w:r>
            <w:r>
              <w:rPr>
                <w:color w:val="auto"/>
                <w:kern w:val="0"/>
                <w:sz w:val="24"/>
              </w:rPr>
              <w:t>食宿，员工</w:t>
            </w:r>
            <w:r>
              <w:rPr>
                <w:rFonts w:hint="eastAsia"/>
                <w:color w:val="auto"/>
                <w:kern w:val="0"/>
                <w:sz w:val="24"/>
              </w:rPr>
              <w:t>食堂废水和</w:t>
            </w:r>
            <w:r>
              <w:rPr>
                <w:color w:val="auto"/>
                <w:kern w:val="0"/>
                <w:sz w:val="24"/>
              </w:rPr>
              <w:t>生活污水量为</w:t>
            </w:r>
            <w:r>
              <w:rPr>
                <w:color w:val="auto"/>
                <w:sz w:val="24"/>
              </w:rPr>
              <w:t>0.</w:t>
            </w:r>
            <w:r>
              <w:rPr>
                <w:rFonts w:hint="eastAsia"/>
                <w:color w:val="auto"/>
                <w:sz w:val="24"/>
              </w:rPr>
              <w:t>96</w:t>
            </w:r>
            <w:r>
              <w:rPr>
                <w:color w:val="auto"/>
                <w:sz w:val="24"/>
              </w:rPr>
              <w:t>m</w:t>
            </w:r>
            <w:r>
              <w:rPr>
                <w:color w:val="auto"/>
                <w:sz w:val="24"/>
                <w:vertAlign w:val="superscript"/>
              </w:rPr>
              <w:t>3</w:t>
            </w:r>
            <w:r>
              <w:rPr>
                <w:color w:val="auto"/>
                <w:sz w:val="24"/>
              </w:rPr>
              <w:t>/d</w:t>
            </w:r>
            <w:r>
              <w:rPr>
                <w:color w:val="auto"/>
                <w:kern w:val="0"/>
                <w:sz w:val="24"/>
              </w:rPr>
              <w:t>，</w:t>
            </w:r>
            <w:r>
              <w:rPr>
                <w:color w:val="auto"/>
                <w:sz w:val="24"/>
              </w:rPr>
              <w:t>其主要污染物为COD、BOD</w:t>
            </w:r>
            <w:r>
              <w:rPr>
                <w:color w:val="auto"/>
                <w:sz w:val="24"/>
                <w:vertAlign w:val="subscript"/>
              </w:rPr>
              <w:t>5</w:t>
            </w:r>
            <w:r>
              <w:rPr>
                <w:color w:val="auto"/>
                <w:sz w:val="24"/>
              </w:rPr>
              <w:t>、NH</w:t>
            </w:r>
            <w:r>
              <w:rPr>
                <w:color w:val="auto"/>
                <w:sz w:val="24"/>
                <w:vertAlign w:val="subscript"/>
              </w:rPr>
              <w:t>3</w:t>
            </w:r>
            <w:r>
              <w:rPr>
                <w:color w:val="auto"/>
                <w:sz w:val="24"/>
              </w:rPr>
              <w:t>-N和SS。根据调查，项目与</w:t>
            </w:r>
            <w:r>
              <w:rPr>
                <w:color w:val="auto"/>
                <w:kern w:val="0"/>
                <w:sz w:val="24"/>
              </w:rPr>
              <w:t>云南鹏腾机械设备制造有限公司</w:t>
            </w:r>
            <w:r>
              <w:rPr>
                <w:rFonts w:hint="eastAsia"/>
                <w:color w:val="auto"/>
                <w:kern w:val="0"/>
                <w:sz w:val="24"/>
              </w:rPr>
              <w:t>、</w:t>
            </w:r>
            <w:r>
              <w:rPr>
                <w:rFonts w:hint="eastAsia" w:cs="宋体"/>
                <w:color w:val="auto"/>
                <w:kern w:val="0"/>
                <w:sz w:val="24"/>
              </w:rPr>
              <w:t>云南胜爵人防工程设备销售有限公司</w:t>
            </w:r>
            <w:r>
              <w:rPr>
                <w:color w:val="auto"/>
                <w:kern w:val="0"/>
                <w:sz w:val="24"/>
              </w:rPr>
              <w:t>共用一个隔油池、一个化粪池及一座</w:t>
            </w:r>
            <w:r>
              <w:rPr>
                <w:rFonts w:hint="eastAsia"/>
                <w:color w:val="auto"/>
                <w:kern w:val="0"/>
                <w:sz w:val="24"/>
              </w:rPr>
              <w:t>一体化</w:t>
            </w:r>
            <w:r>
              <w:rPr>
                <w:color w:val="auto"/>
                <w:kern w:val="0"/>
                <w:sz w:val="24"/>
              </w:rPr>
              <w:t>污水处理设施，</w:t>
            </w:r>
            <w:r>
              <w:rPr>
                <w:rFonts w:hint="eastAsia"/>
                <w:color w:val="auto"/>
                <w:sz w:val="24"/>
              </w:rPr>
              <w:t>目前云南鹏腾机械设备制造有限公司场地内的化粪池、隔油池、蓄水池和一体化污水处理站由云南鹏腾机械设备制造有限公司负责运行管理。一体化污水处理站处理工艺为M</w:t>
            </w:r>
            <w:r>
              <w:rPr>
                <w:color w:val="auto"/>
                <w:sz w:val="24"/>
              </w:rPr>
              <w:t>BR</w:t>
            </w:r>
            <w:r>
              <w:rPr>
                <w:rFonts w:hint="eastAsia"/>
                <w:color w:val="auto"/>
                <w:sz w:val="24"/>
              </w:rPr>
              <w:t>膜生物反应器，膜生物反应器是膜分离技术和活性污泥生物技术的结合，是使用中空纤维膜替代沉淀池，因此具有高效固液分离性能，同时利用膜的特性，使活性污泥不随出水流失，在生化池中形成6000-12000mg/L超高浓度的活性污泥浓度，使污染物分解彻底，因此出水水质良好、稳定。</w:t>
            </w:r>
            <w:r>
              <w:rPr>
                <w:color w:val="auto"/>
                <w:sz w:val="24"/>
              </w:rPr>
              <w:t>出水水质达《城市污水再生利用 城市杂用水水质》（GB/T18920-2020）表1中城市绿化、道路清扫、消防、建筑施工用水标准</w:t>
            </w:r>
            <w:r>
              <w:rPr>
                <w:rFonts w:hint="eastAsia"/>
                <w:color w:val="auto"/>
                <w:sz w:val="24"/>
              </w:rPr>
              <w:t>后</w:t>
            </w:r>
            <w:r>
              <w:rPr>
                <w:color w:val="auto"/>
                <w:sz w:val="24"/>
              </w:rPr>
              <w:t>，回用于厂内绿化。</w:t>
            </w:r>
          </w:p>
          <w:p>
            <w:pPr>
              <w:spacing w:line="360" w:lineRule="auto"/>
              <w:ind w:firstLine="480" w:firstLineChars="200"/>
              <w:rPr>
                <w:color w:val="auto"/>
                <w:sz w:val="24"/>
              </w:rPr>
            </w:pPr>
            <w:r>
              <w:rPr>
                <w:color w:val="auto"/>
                <w:sz w:val="24"/>
              </w:rPr>
              <w:t>目前</w:t>
            </w:r>
            <w:r>
              <w:rPr>
                <w:rFonts w:hint="eastAsia"/>
                <w:color w:val="auto"/>
                <w:sz w:val="24"/>
              </w:rPr>
              <w:t>云南鹏腾机械设备制造有限公司生活污水的产生量为1.92m</w:t>
            </w:r>
            <w:r>
              <w:rPr>
                <w:rFonts w:hint="eastAsia"/>
                <w:color w:val="auto"/>
                <w:sz w:val="24"/>
                <w:vertAlign w:val="superscript"/>
              </w:rPr>
              <w:t>3</w:t>
            </w:r>
            <w:r>
              <w:rPr>
                <w:rFonts w:hint="eastAsia"/>
                <w:color w:val="auto"/>
                <w:sz w:val="24"/>
              </w:rPr>
              <w:t>/d，云南胜爵人防工程设备销售有限公司生活污水的产生量为3.72m</w:t>
            </w:r>
            <w:r>
              <w:rPr>
                <w:color w:val="auto"/>
                <w:sz w:val="24"/>
                <w:vertAlign w:val="superscript"/>
              </w:rPr>
              <w:t>3</w:t>
            </w:r>
            <w:r>
              <w:rPr>
                <w:rFonts w:hint="eastAsia"/>
                <w:color w:val="auto"/>
                <w:sz w:val="24"/>
              </w:rPr>
              <w:t>/</w:t>
            </w:r>
            <w:r>
              <w:rPr>
                <w:color w:val="auto"/>
                <w:sz w:val="24"/>
              </w:rPr>
              <w:t>d</w:t>
            </w:r>
            <w:r>
              <w:rPr>
                <w:rFonts w:hint="eastAsia"/>
                <w:color w:val="auto"/>
                <w:sz w:val="24"/>
              </w:rPr>
              <w:t>，则云南鹏腾机械设备制造有限公司场地内生活污水的产生量为5.64m</w:t>
            </w:r>
            <w:r>
              <w:rPr>
                <w:color w:val="auto"/>
                <w:sz w:val="24"/>
                <w:vertAlign w:val="superscript"/>
              </w:rPr>
              <w:t>3</w:t>
            </w:r>
            <w:r>
              <w:rPr>
                <w:color w:val="auto"/>
                <w:sz w:val="24"/>
              </w:rPr>
              <w:t>/d。</w:t>
            </w:r>
            <w:r>
              <w:rPr>
                <w:rFonts w:hint="eastAsia"/>
                <w:color w:val="auto"/>
                <w:sz w:val="24"/>
              </w:rPr>
              <w:t>一体化</w:t>
            </w:r>
            <w:r>
              <w:rPr>
                <w:color w:val="auto"/>
                <w:sz w:val="24"/>
              </w:rPr>
              <w:t>污水处理站尚有</w:t>
            </w:r>
            <w:r>
              <w:rPr>
                <w:rFonts w:hint="eastAsia"/>
                <w:color w:val="auto"/>
                <w:sz w:val="24"/>
                <w:lang w:val="en-US" w:eastAsia="zh-CN"/>
              </w:rPr>
              <w:t>24.</w:t>
            </w:r>
            <w:r>
              <w:rPr>
                <w:rFonts w:hint="eastAsia"/>
                <w:color w:val="auto"/>
                <w:sz w:val="24"/>
              </w:rPr>
              <w:t>36</w:t>
            </w:r>
            <w:r>
              <w:rPr>
                <w:color w:val="auto"/>
                <w:sz w:val="24"/>
              </w:rPr>
              <w:t>m</w:t>
            </w:r>
            <w:r>
              <w:rPr>
                <w:color w:val="auto"/>
                <w:sz w:val="24"/>
                <w:vertAlign w:val="superscript"/>
              </w:rPr>
              <w:t>3</w:t>
            </w:r>
            <w:r>
              <w:rPr>
                <w:color w:val="auto"/>
                <w:sz w:val="24"/>
              </w:rPr>
              <w:t>/d的余量，</w:t>
            </w:r>
            <w:r>
              <w:rPr>
                <w:color w:val="auto"/>
                <w:kern w:val="0"/>
                <w:sz w:val="24"/>
              </w:rPr>
              <w:t>则</w:t>
            </w:r>
            <w:r>
              <w:rPr>
                <w:color w:val="auto"/>
                <w:sz w:val="24"/>
              </w:rPr>
              <w:t>项目建成后，排入化粪池生活废水量共</w:t>
            </w:r>
            <w:r>
              <w:rPr>
                <w:rFonts w:hint="eastAsia"/>
                <w:color w:val="auto"/>
                <w:sz w:val="24"/>
              </w:rPr>
              <w:t>6.6</w:t>
            </w:r>
            <w:r>
              <w:rPr>
                <w:color w:val="auto"/>
                <w:sz w:val="24"/>
              </w:rPr>
              <w:t>m</w:t>
            </w:r>
            <w:r>
              <w:rPr>
                <w:color w:val="auto"/>
                <w:sz w:val="24"/>
                <w:vertAlign w:val="superscript"/>
              </w:rPr>
              <w:t>3</w:t>
            </w:r>
            <w:r>
              <w:rPr>
                <w:color w:val="auto"/>
                <w:sz w:val="24"/>
              </w:rPr>
              <w:t>/d＜</w:t>
            </w:r>
            <w:r>
              <w:rPr>
                <w:rFonts w:hint="eastAsia"/>
                <w:color w:val="auto"/>
                <w:sz w:val="24"/>
                <w:lang w:val="en-US" w:eastAsia="zh-CN"/>
              </w:rPr>
              <w:t>30</w:t>
            </w:r>
            <w:r>
              <w:rPr>
                <w:color w:val="auto"/>
                <w:sz w:val="24"/>
              </w:rPr>
              <w:t>m</w:t>
            </w:r>
            <w:r>
              <w:rPr>
                <w:color w:val="auto"/>
                <w:sz w:val="24"/>
                <w:vertAlign w:val="superscript"/>
              </w:rPr>
              <w:t>3</w:t>
            </w:r>
            <w:r>
              <w:rPr>
                <w:color w:val="auto"/>
                <w:sz w:val="24"/>
              </w:rPr>
              <w:t>，隔油池、化粪池容积及污水处理设施规模能满足项目生活废水与云南鹏腾机械设备制造有限公司生活废水处置需求，生活污水经处理达《城市污水再生利用城市杂用水水质》（GB/T18920-</w:t>
            </w:r>
            <w:r>
              <w:rPr>
                <w:rFonts w:hint="eastAsia"/>
                <w:color w:val="auto"/>
                <w:sz w:val="24"/>
              </w:rPr>
              <w:t>2020</w:t>
            </w:r>
            <w:r>
              <w:rPr>
                <w:color w:val="auto"/>
                <w:sz w:val="24"/>
              </w:rPr>
              <w:t>）标准后，回用于绿化，不外排</w:t>
            </w:r>
            <w:r>
              <w:rPr>
                <w:rFonts w:hint="eastAsia"/>
                <w:color w:val="auto"/>
                <w:sz w:val="24"/>
              </w:rPr>
              <w:t>。</w:t>
            </w:r>
          </w:p>
          <w:p>
            <w:pPr>
              <w:spacing w:line="360" w:lineRule="auto"/>
              <w:ind w:firstLine="460" w:firstLineChars="192"/>
              <w:rPr>
                <w:color w:val="auto"/>
              </w:rPr>
            </w:pPr>
            <w:r>
              <w:rPr>
                <w:rFonts w:hint="eastAsia"/>
                <w:color w:val="auto"/>
                <w:sz w:val="24"/>
              </w:rPr>
              <w:t>2</w:t>
            </w:r>
            <w:r>
              <w:rPr>
                <w:color w:val="auto"/>
                <w:sz w:val="24"/>
              </w:rPr>
              <w:t>0</w:t>
            </w:r>
            <w:r>
              <w:rPr>
                <w:rFonts w:hint="eastAsia"/>
                <w:color w:val="auto"/>
                <w:sz w:val="24"/>
              </w:rPr>
              <w:t>23年5月30日~31日，云南鼎祺检测有限公司对项目依托的云南鹏腾机械设备制造有限公司一体化污水处理站出水口进行监测，监测结果如下表所示。</w:t>
            </w:r>
          </w:p>
          <w:p>
            <w:pPr>
              <w:pStyle w:val="89"/>
              <w:adjustRightInd/>
              <w:rPr>
                <w:color w:val="auto"/>
              </w:rPr>
            </w:pPr>
            <w:r>
              <w:rPr>
                <w:rFonts w:hint="eastAsia"/>
                <w:color w:val="auto"/>
              </w:rPr>
              <w:t>表4-7  项目依托的污水处理设施出水浓度一览表</w:t>
            </w:r>
          </w:p>
          <w:tbl>
            <w:tblPr>
              <w:tblStyle w:val="31"/>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689"/>
              <w:gridCol w:w="790"/>
              <w:gridCol w:w="813"/>
              <w:gridCol w:w="812"/>
              <w:gridCol w:w="812"/>
              <w:gridCol w:w="761"/>
              <w:gridCol w:w="995"/>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vMerge w:val="restart"/>
                </w:tcPr>
                <w:p>
                  <w:pPr>
                    <w:pStyle w:val="2"/>
                    <w:spacing w:before="0" w:after="0" w:line="240" w:lineRule="auto"/>
                    <w:ind w:right="0"/>
                    <w:jc w:val="center"/>
                    <w:rPr>
                      <w:color w:val="auto"/>
                      <w:sz w:val="21"/>
                      <w:szCs w:val="21"/>
                    </w:rPr>
                  </w:pPr>
                  <w:r>
                    <w:rPr>
                      <w:rFonts w:hint="eastAsia"/>
                      <w:color w:val="auto"/>
                      <w:sz w:val="21"/>
                      <w:szCs w:val="21"/>
                    </w:rPr>
                    <w:t>检测项目</w:t>
                  </w:r>
                </w:p>
                <w:p>
                  <w:pPr>
                    <w:pStyle w:val="2"/>
                    <w:spacing w:before="0" w:after="0" w:line="240" w:lineRule="auto"/>
                    <w:ind w:right="0"/>
                    <w:jc w:val="center"/>
                    <w:rPr>
                      <w:color w:val="auto"/>
                      <w:sz w:val="21"/>
                      <w:szCs w:val="21"/>
                    </w:rPr>
                  </w:pPr>
                  <w:r>
                    <w:rPr>
                      <w:rFonts w:hint="eastAsia"/>
                      <w:color w:val="auto"/>
                      <w:sz w:val="21"/>
                      <w:szCs w:val="21"/>
                    </w:rPr>
                    <w:t>结果</w:t>
                  </w:r>
                </w:p>
                <w:p>
                  <w:pPr>
                    <w:pStyle w:val="2"/>
                    <w:spacing w:before="0" w:after="0" w:line="240" w:lineRule="auto"/>
                    <w:ind w:right="0"/>
                    <w:jc w:val="center"/>
                    <w:rPr>
                      <w:color w:val="auto"/>
                    </w:rPr>
                  </w:pPr>
                  <w:r>
                    <w:rPr>
                      <w:rFonts w:hint="eastAsia"/>
                      <w:color w:val="auto"/>
                      <w:sz w:val="21"/>
                      <w:szCs w:val="21"/>
                    </w:rPr>
                    <w:t>采样地点/时间</w:t>
                  </w:r>
                </w:p>
              </w:tc>
              <w:tc>
                <w:tcPr>
                  <w:tcW w:w="4677" w:type="dxa"/>
                  <w:gridSpan w:val="6"/>
                </w:tcPr>
                <w:p>
                  <w:pPr>
                    <w:pStyle w:val="2"/>
                    <w:spacing w:before="0" w:after="0" w:line="240" w:lineRule="auto"/>
                    <w:ind w:right="0"/>
                    <w:jc w:val="center"/>
                    <w:rPr>
                      <w:color w:val="auto"/>
                    </w:rPr>
                  </w:pPr>
                  <w:r>
                    <w:rPr>
                      <w:rFonts w:hint="eastAsia"/>
                      <w:color w:val="auto"/>
                      <w:sz w:val="21"/>
                      <w:szCs w:val="21"/>
                    </w:rPr>
                    <w:t>污水处理设施出水口</w:t>
                  </w:r>
                </w:p>
              </w:tc>
              <w:tc>
                <w:tcPr>
                  <w:tcW w:w="995" w:type="dxa"/>
                  <w:vMerge w:val="restart"/>
                </w:tcPr>
                <w:p>
                  <w:pPr>
                    <w:pStyle w:val="2"/>
                    <w:spacing w:before="0" w:after="0" w:line="240" w:lineRule="auto"/>
                    <w:ind w:right="0"/>
                    <w:jc w:val="center"/>
                    <w:rPr>
                      <w:color w:val="auto"/>
                    </w:rPr>
                  </w:pPr>
                  <w:r>
                    <w:rPr>
                      <w:rFonts w:hint="eastAsia"/>
                      <w:color w:val="auto"/>
                      <w:sz w:val="21"/>
                      <w:szCs w:val="21"/>
                    </w:rPr>
                    <w:t>GB/T18920-2020城市绿化标准</w:t>
                  </w:r>
                </w:p>
              </w:tc>
              <w:tc>
                <w:tcPr>
                  <w:tcW w:w="671" w:type="dxa"/>
                  <w:vMerge w:val="restart"/>
                </w:tcPr>
                <w:p>
                  <w:pPr>
                    <w:pStyle w:val="2"/>
                    <w:spacing w:before="0" w:after="0" w:line="240" w:lineRule="auto"/>
                    <w:ind w:right="0"/>
                    <w:jc w:val="center"/>
                    <w:rPr>
                      <w:color w:val="auto"/>
                    </w:rPr>
                  </w:pPr>
                  <w:r>
                    <w:rPr>
                      <w:rFonts w:hint="eastAsia"/>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vMerge w:val="continue"/>
                </w:tcPr>
                <w:p>
                  <w:pPr>
                    <w:pStyle w:val="2"/>
                    <w:spacing w:before="0" w:after="0" w:line="240" w:lineRule="auto"/>
                    <w:ind w:right="0"/>
                    <w:jc w:val="center"/>
                    <w:rPr>
                      <w:color w:val="auto"/>
                    </w:rPr>
                  </w:pPr>
                </w:p>
              </w:tc>
              <w:tc>
                <w:tcPr>
                  <w:tcW w:w="2292" w:type="dxa"/>
                  <w:gridSpan w:val="3"/>
                </w:tcPr>
                <w:p>
                  <w:pPr>
                    <w:pStyle w:val="2"/>
                    <w:spacing w:before="0" w:after="0" w:line="240" w:lineRule="auto"/>
                    <w:ind w:right="0"/>
                    <w:jc w:val="center"/>
                    <w:rPr>
                      <w:color w:val="auto"/>
                    </w:rPr>
                  </w:pPr>
                  <w:r>
                    <w:rPr>
                      <w:rFonts w:hint="eastAsia"/>
                      <w:color w:val="auto"/>
                      <w:sz w:val="21"/>
                      <w:szCs w:val="21"/>
                    </w:rPr>
                    <w:t>2023年5月30日</w:t>
                  </w:r>
                </w:p>
              </w:tc>
              <w:tc>
                <w:tcPr>
                  <w:tcW w:w="2385" w:type="dxa"/>
                  <w:gridSpan w:val="3"/>
                </w:tcPr>
                <w:p>
                  <w:pPr>
                    <w:pStyle w:val="2"/>
                    <w:spacing w:before="0" w:after="0" w:line="240" w:lineRule="auto"/>
                    <w:ind w:right="0"/>
                    <w:jc w:val="center"/>
                    <w:rPr>
                      <w:color w:val="auto"/>
                    </w:rPr>
                  </w:pPr>
                  <w:r>
                    <w:rPr>
                      <w:rFonts w:hint="eastAsia"/>
                      <w:color w:val="auto"/>
                      <w:sz w:val="21"/>
                      <w:szCs w:val="21"/>
                    </w:rPr>
                    <w:t>2023年5月31日</w:t>
                  </w:r>
                </w:p>
              </w:tc>
              <w:tc>
                <w:tcPr>
                  <w:tcW w:w="995" w:type="dxa"/>
                  <w:vMerge w:val="continue"/>
                </w:tcPr>
                <w:p>
                  <w:pPr>
                    <w:pStyle w:val="2"/>
                    <w:spacing w:before="0" w:after="0" w:line="240" w:lineRule="auto"/>
                    <w:ind w:right="0"/>
                    <w:jc w:val="center"/>
                    <w:rPr>
                      <w:color w:val="auto"/>
                    </w:rPr>
                  </w:pPr>
                </w:p>
              </w:tc>
              <w:tc>
                <w:tcPr>
                  <w:tcW w:w="671" w:type="dxa"/>
                  <w:vMerge w:val="continue"/>
                </w:tcPr>
                <w:p>
                  <w:pPr>
                    <w:pStyle w:val="2"/>
                    <w:spacing w:before="0" w:after="0" w:line="240" w:lineRule="auto"/>
                    <w:ind w:right="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tcPr>
                <w:p>
                  <w:pPr>
                    <w:pStyle w:val="2"/>
                    <w:spacing w:before="0" w:after="0" w:line="240" w:lineRule="auto"/>
                    <w:ind w:right="0"/>
                    <w:jc w:val="center"/>
                    <w:rPr>
                      <w:color w:val="auto"/>
                    </w:rPr>
                  </w:pPr>
                  <w:r>
                    <w:rPr>
                      <w:rFonts w:hint="eastAsia"/>
                      <w:color w:val="auto"/>
                      <w:sz w:val="21"/>
                      <w:szCs w:val="21"/>
                    </w:rPr>
                    <w:t>pH值（无量纲）</w:t>
                  </w:r>
                </w:p>
              </w:tc>
              <w:tc>
                <w:tcPr>
                  <w:tcW w:w="689" w:type="dxa"/>
                </w:tcPr>
                <w:p>
                  <w:pPr>
                    <w:pStyle w:val="2"/>
                    <w:spacing w:before="0" w:after="0" w:line="240" w:lineRule="auto"/>
                    <w:ind w:right="0"/>
                    <w:jc w:val="center"/>
                    <w:rPr>
                      <w:color w:val="auto"/>
                      <w:sz w:val="21"/>
                      <w:szCs w:val="21"/>
                    </w:rPr>
                  </w:pPr>
                  <w:r>
                    <w:rPr>
                      <w:rFonts w:hint="eastAsia"/>
                      <w:color w:val="auto"/>
                      <w:sz w:val="21"/>
                      <w:szCs w:val="21"/>
                    </w:rPr>
                    <w:t>7.23</w:t>
                  </w:r>
                </w:p>
              </w:tc>
              <w:tc>
                <w:tcPr>
                  <w:tcW w:w="790" w:type="dxa"/>
                </w:tcPr>
                <w:p>
                  <w:pPr>
                    <w:pStyle w:val="2"/>
                    <w:spacing w:before="0" w:after="0" w:line="240" w:lineRule="auto"/>
                    <w:ind w:right="0"/>
                    <w:jc w:val="center"/>
                    <w:rPr>
                      <w:color w:val="auto"/>
                      <w:sz w:val="21"/>
                      <w:szCs w:val="21"/>
                    </w:rPr>
                  </w:pPr>
                  <w:r>
                    <w:rPr>
                      <w:rFonts w:hint="eastAsia"/>
                      <w:color w:val="auto"/>
                      <w:sz w:val="21"/>
                      <w:szCs w:val="21"/>
                    </w:rPr>
                    <w:t>7.35</w:t>
                  </w:r>
                </w:p>
              </w:tc>
              <w:tc>
                <w:tcPr>
                  <w:tcW w:w="813" w:type="dxa"/>
                </w:tcPr>
                <w:p>
                  <w:pPr>
                    <w:pStyle w:val="2"/>
                    <w:spacing w:before="0" w:after="0" w:line="240" w:lineRule="auto"/>
                    <w:ind w:right="0"/>
                    <w:jc w:val="center"/>
                    <w:rPr>
                      <w:color w:val="auto"/>
                      <w:sz w:val="21"/>
                      <w:szCs w:val="21"/>
                    </w:rPr>
                  </w:pPr>
                  <w:r>
                    <w:rPr>
                      <w:rFonts w:hint="eastAsia"/>
                      <w:color w:val="auto"/>
                      <w:sz w:val="21"/>
                      <w:szCs w:val="21"/>
                    </w:rPr>
                    <w:t>7.30</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7.23</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7.32</w:t>
                  </w:r>
                </w:p>
              </w:tc>
              <w:tc>
                <w:tcPr>
                  <w:tcW w:w="761" w:type="dxa"/>
                </w:tcPr>
                <w:p>
                  <w:pPr>
                    <w:pStyle w:val="2"/>
                    <w:spacing w:before="0" w:after="0" w:line="240" w:lineRule="auto"/>
                    <w:ind w:right="0"/>
                    <w:jc w:val="center"/>
                    <w:rPr>
                      <w:color w:val="auto"/>
                      <w:sz w:val="21"/>
                      <w:szCs w:val="21"/>
                    </w:rPr>
                  </w:pPr>
                  <w:r>
                    <w:rPr>
                      <w:rFonts w:hint="eastAsia"/>
                      <w:color w:val="auto"/>
                      <w:sz w:val="21"/>
                      <w:szCs w:val="21"/>
                    </w:rPr>
                    <w:t>7.25</w:t>
                  </w:r>
                </w:p>
              </w:tc>
              <w:tc>
                <w:tcPr>
                  <w:tcW w:w="995" w:type="dxa"/>
                </w:tcPr>
                <w:p>
                  <w:pPr>
                    <w:pStyle w:val="2"/>
                    <w:spacing w:before="0" w:after="0" w:line="240" w:lineRule="auto"/>
                    <w:ind w:right="0"/>
                    <w:jc w:val="center"/>
                    <w:rPr>
                      <w:color w:val="auto"/>
                      <w:sz w:val="21"/>
                      <w:szCs w:val="21"/>
                    </w:rPr>
                  </w:pPr>
                  <w:r>
                    <w:rPr>
                      <w:rFonts w:hint="eastAsia"/>
                      <w:color w:val="auto"/>
                      <w:sz w:val="21"/>
                      <w:szCs w:val="21"/>
                    </w:rPr>
                    <w:t>6.0~9.0</w:t>
                  </w:r>
                </w:p>
              </w:tc>
              <w:tc>
                <w:tcPr>
                  <w:tcW w:w="671" w:type="dxa"/>
                </w:tcPr>
                <w:p>
                  <w:pPr>
                    <w:pStyle w:val="2"/>
                    <w:spacing w:before="0" w:after="0" w:line="240" w:lineRule="auto"/>
                    <w:ind w:right="0"/>
                    <w:jc w:val="center"/>
                    <w:rPr>
                      <w:color w:val="auto"/>
                    </w:rPr>
                  </w:pPr>
                  <w:r>
                    <w:rPr>
                      <w:rFonts w:hint="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tcPr>
                <w:p>
                  <w:pPr>
                    <w:pStyle w:val="2"/>
                    <w:spacing w:before="0" w:after="0" w:line="240" w:lineRule="auto"/>
                    <w:ind w:right="0"/>
                    <w:jc w:val="center"/>
                    <w:rPr>
                      <w:color w:val="auto"/>
                    </w:rPr>
                  </w:pPr>
                  <w:r>
                    <w:rPr>
                      <w:rFonts w:hint="eastAsia"/>
                      <w:color w:val="auto"/>
                      <w:sz w:val="21"/>
                      <w:szCs w:val="21"/>
                    </w:rPr>
                    <w:t>色度（度）</w:t>
                  </w:r>
                </w:p>
              </w:tc>
              <w:tc>
                <w:tcPr>
                  <w:tcW w:w="689" w:type="dxa"/>
                </w:tcPr>
                <w:p>
                  <w:pPr>
                    <w:pStyle w:val="2"/>
                    <w:spacing w:before="0" w:after="0" w:line="240" w:lineRule="auto"/>
                    <w:ind w:right="0"/>
                    <w:jc w:val="center"/>
                    <w:rPr>
                      <w:color w:val="auto"/>
                      <w:sz w:val="21"/>
                      <w:szCs w:val="21"/>
                    </w:rPr>
                  </w:pPr>
                  <w:r>
                    <w:rPr>
                      <w:rFonts w:hint="eastAsia"/>
                      <w:color w:val="auto"/>
                      <w:sz w:val="21"/>
                      <w:szCs w:val="21"/>
                    </w:rPr>
                    <w:t>5</w:t>
                  </w:r>
                </w:p>
              </w:tc>
              <w:tc>
                <w:tcPr>
                  <w:tcW w:w="790" w:type="dxa"/>
                </w:tcPr>
                <w:p>
                  <w:pPr>
                    <w:pStyle w:val="2"/>
                    <w:spacing w:before="0" w:after="0" w:line="240" w:lineRule="auto"/>
                    <w:ind w:right="0"/>
                    <w:jc w:val="center"/>
                    <w:rPr>
                      <w:color w:val="auto"/>
                      <w:sz w:val="21"/>
                      <w:szCs w:val="21"/>
                    </w:rPr>
                  </w:pPr>
                  <w:r>
                    <w:rPr>
                      <w:rFonts w:hint="eastAsia"/>
                      <w:color w:val="auto"/>
                      <w:sz w:val="21"/>
                      <w:szCs w:val="21"/>
                    </w:rPr>
                    <w:t>5</w:t>
                  </w:r>
                </w:p>
              </w:tc>
              <w:tc>
                <w:tcPr>
                  <w:tcW w:w="813" w:type="dxa"/>
                </w:tcPr>
                <w:p>
                  <w:pPr>
                    <w:pStyle w:val="2"/>
                    <w:spacing w:before="0" w:after="0" w:line="240" w:lineRule="auto"/>
                    <w:ind w:right="0"/>
                    <w:jc w:val="center"/>
                    <w:rPr>
                      <w:color w:val="auto"/>
                      <w:sz w:val="21"/>
                      <w:szCs w:val="21"/>
                    </w:rPr>
                  </w:pPr>
                  <w:r>
                    <w:rPr>
                      <w:rFonts w:hint="eastAsia"/>
                      <w:color w:val="auto"/>
                      <w:sz w:val="21"/>
                      <w:szCs w:val="21"/>
                    </w:rPr>
                    <w:t>5</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5</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5</w:t>
                  </w:r>
                </w:p>
              </w:tc>
              <w:tc>
                <w:tcPr>
                  <w:tcW w:w="761" w:type="dxa"/>
                </w:tcPr>
                <w:p>
                  <w:pPr>
                    <w:pStyle w:val="2"/>
                    <w:spacing w:before="0" w:after="0" w:line="240" w:lineRule="auto"/>
                    <w:ind w:right="0"/>
                    <w:jc w:val="center"/>
                    <w:rPr>
                      <w:color w:val="auto"/>
                      <w:sz w:val="21"/>
                      <w:szCs w:val="21"/>
                    </w:rPr>
                  </w:pPr>
                  <w:r>
                    <w:rPr>
                      <w:rFonts w:hint="eastAsia"/>
                      <w:color w:val="auto"/>
                      <w:sz w:val="21"/>
                      <w:szCs w:val="21"/>
                    </w:rPr>
                    <w:t>5</w:t>
                  </w:r>
                </w:p>
              </w:tc>
              <w:tc>
                <w:tcPr>
                  <w:tcW w:w="995" w:type="dxa"/>
                </w:tcPr>
                <w:p>
                  <w:pPr>
                    <w:pStyle w:val="2"/>
                    <w:spacing w:before="0" w:after="0" w:line="240" w:lineRule="auto"/>
                    <w:ind w:right="0"/>
                    <w:jc w:val="center"/>
                    <w:rPr>
                      <w:color w:val="auto"/>
                      <w:sz w:val="21"/>
                      <w:szCs w:val="21"/>
                    </w:rPr>
                  </w:pPr>
                  <w:r>
                    <w:rPr>
                      <w:rFonts w:hint="eastAsia"/>
                      <w:color w:val="auto"/>
                      <w:sz w:val="21"/>
                      <w:szCs w:val="21"/>
                    </w:rPr>
                    <w:t>≤30</w:t>
                  </w:r>
                </w:p>
              </w:tc>
              <w:tc>
                <w:tcPr>
                  <w:tcW w:w="671" w:type="dxa"/>
                </w:tcPr>
                <w:p>
                  <w:pPr>
                    <w:widowControl/>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tcPr>
                <w:p>
                  <w:pPr>
                    <w:pStyle w:val="2"/>
                    <w:spacing w:before="0" w:after="0" w:line="240" w:lineRule="auto"/>
                    <w:ind w:right="0"/>
                    <w:jc w:val="center"/>
                    <w:rPr>
                      <w:color w:val="auto"/>
                    </w:rPr>
                  </w:pPr>
                  <w:r>
                    <w:rPr>
                      <w:rFonts w:hint="eastAsia"/>
                      <w:color w:val="auto"/>
                      <w:sz w:val="21"/>
                      <w:szCs w:val="21"/>
                    </w:rPr>
                    <w:t>浊度（NTU）</w:t>
                  </w:r>
                </w:p>
              </w:tc>
              <w:tc>
                <w:tcPr>
                  <w:tcW w:w="689" w:type="dxa"/>
                </w:tcPr>
                <w:p>
                  <w:pPr>
                    <w:pStyle w:val="2"/>
                    <w:spacing w:before="0" w:after="0" w:line="240" w:lineRule="auto"/>
                    <w:ind w:right="0"/>
                    <w:jc w:val="center"/>
                    <w:rPr>
                      <w:color w:val="auto"/>
                      <w:sz w:val="21"/>
                      <w:szCs w:val="21"/>
                    </w:rPr>
                  </w:pPr>
                  <w:r>
                    <w:rPr>
                      <w:rFonts w:hint="eastAsia"/>
                      <w:color w:val="auto"/>
                      <w:sz w:val="21"/>
                      <w:szCs w:val="21"/>
                    </w:rPr>
                    <w:t>3</w:t>
                  </w:r>
                </w:p>
              </w:tc>
              <w:tc>
                <w:tcPr>
                  <w:tcW w:w="790" w:type="dxa"/>
                </w:tcPr>
                <w:p>
                  <w:pPr>
                    <w:pStyle w:val="2"/>
                    <w:spacing w:before="0" w:after="0" w:line="240" w:lineRule="auto"/>
                    <w:ind w:right="0"/>
                    <w:jc w:val="center"/>
                    <w:rPr>
                      <w:color w:val="auto"/>
                      <w:sz w:val="21"/>
                      <w:szCs w:val="21"/>
                    </w:rPr>
                  </w:pPr>
                  <w:r>
                    <w:rPr>
                      <w:rFonts w:hint="eastAsia"/>
                      <w:color w:val="auto"/>
                      <w:sz w:val="21"/>
                      <w:szCs w:val="21"/>
                    </w:rPr>
                    <w:t>3</w:t>
                  </w:r>
                </w:p>
              </w:tc>
              <w:tc>
                <w:tcPr>
                  <w:tcW w:w="813" w:type="dxa"/>
                </w:tcPr>
                <w:p>
                  <w:pPr>
                    <w:pStyle w:val="2"/>
                    <w:spacing w:before="0" w:after="0" w:line="240" w:lineRule="auto"/>
                    <w:ind w:right="0"/>
                    <w:jc w:val="center"/>
                    <w:rPr>
                      <w:color w:val="auto"/>
                      <w:sz w:val="21"/>
                      <w:szCs w:val="21"/>
                    </w:rPr>
                  </w:pPr>
                  <w:r>
                    <w:rPr>
                      <w:rFonts w:hint="eastAsia"/>
                      <w:color w:val="auto"/>
                      <w:sz w:val="21"/>
                      <w:szCs w:val="21"/>
                    </w:rPr>
                    <w:t>3</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3</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3</w:t>
                  </w:r>
                </w:p>
              </w:tc>
              <w:tc>
                <w:tcPr>
                  <w:tcW w:w="761" w:type="dxa"/>
                </w:tcPr>
                <w:p>
                  <w:pPr>
                    <w:pStyle w:val="2"/>
                    <w:spacing w:before="0" w:after="0" w:line="240" w:lineRule="auto"/>
                    <w:ind w:right="0"/>
                    <w:jc w:val="center"/>
                    <w:rPr>
                      <w:color w:val="auto"/>
                      <w:sz w:val="21"/>
                      <w:szCs w:val="21"/>
                    </w:rPr>
                  </w:pPr>
                  <w:r>
                    <w:rPr>
                      <w:rFonts w:hint="eastAsia"/>
                      <w:color w:val="auto"/>
                      <w:sz w:val="21"/>
                      <w:szCs w:val="21"/>
                    </w:rPr>
                    <w:t>3</w:t>
                  </w:r>
                </w:p>
              </w:tc>
              <w:tc>
                <w:tcPr>
                  <w:tcW w:w="995" w:type="dxa"/>
                </w:tcPr>
                <w:p>
                  <w:pPr>
                    <w:pStyle w:val="2"/>
                    <w:spacing w:before="0" w:after="0" w:line="240" w:lineRule="auto"/>
                    <w:ind w:right="0"/>
                    <w:jc w:val="center"/>
                    <w:rPr>
                      <w:color w:val="auto"/>
                      <w:sz w:val="21"/>
                      <w:szCs w:val="21"/>
                    </w:rPr>
                  </w:pPr>
                  <w:r>
                    <w:rPr>
                      <w:rFonts w:hint="eastAsia"/>
                      <w:color w:val="auto"/>
                      <w:sz w:val="21"/>
                      <w:szCs w:val="21"/>
                    </w:rPr>
                    <w:t>≤10</w:t>
                  </w:r>
                </w:p>
              </w:tc>
              <w:tc>
                <w:tcPr>
                  <w:tcW w:w="671" w:type="dxa"/>
                </w:tcPr>
                <w:p>
                  <w:pPr>
                    <w:widowControl/>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tcPr>
                <w:p>
                  <w:pPr>
                    <w:pStyle w:val="2"/>
                    <w:spacing w:before="0" w:after="0" w:line="240" w:lineRule="auto"/>
                    <w:ind w:right="0"/>
                    <w:jc w:val="center"/>
                    <w:rPr>
                      <w:color w:val="auto"/>
                    </w:rPr>
                  </w:pPr>
                  <w:r>
                    <w:rPr>
                      <w:rFonts w:hint="eastAsia"/>
                      <w:color w:val="auto"/>
                      <w:sz w:val="21"/>
                      <w:szCs w:val="21"/>
                    </w:rPr>
                    <w:t>嗅</w:t>
                  </w:r>
                </w:p>
              </w:tc>
              <w:tc>
                <w:tcPr>
                  <w:tcW w:w="689" w:type="dxa"/>
                </w:tcPr>
                <w:p>
                  <w:pPr>
                    <w:pStyle w:val="2"/>
                    <w:spacing w:before="0" w:after="0" w:line="240" w:lineRule="auto"/>
                    <w:ind w:right="0"/>
                    <w:jc w:val="center"/>
                    <w:rPr>
                      <w:color w:val="auto"/>
                      <w:sz w:val="21"/>
                      <w:szCs w:val="21"/>
                    </w:rPr>
                  </w:pPr>
                  <w:r>
                    <w:rPr>
                      <w:rFonts w:hint="eastAsia"/>
                      <w:color w:val="auto"/>
                      <w:sz w:val="21"/>
                      <w:szCs w:val="21"/>
                    </w:rPr>
                    <w:t>0</w:t>
                  </w:r>
                </w:p>
              </w:tc>
              <w:tc>
                <w:tcPr>
                  <w:tcW w:w="790" w:type="dxa"/>
                </w:tcPr>
                <w:p>
                  <w:pPr>
                    <w:pStyle w:val="2"/>
                    <w:spacing w:before="0" w:after="0" w:line="240" w:lineRule="auto"/>
                    <w:ind w:right="0"/>
                    <w:jc w:val="center"/>
                    <w:rPr>
                      <w:color w:val="auto"/>
                      <w:sz w:val="21"/>
                      <w:szCs w:val="21"/>
                    </w:rPr>
                  </w:pPr>
                  <w:r>
                    <w:rPr>
                      <w:rFonts w:hint="eastAsia"/>
                      <w:color w:val="auto"/>
                      <w:sz w:val="21"/>
                      <w:szCs w:val="21"/>
                    </w:rPr>
                    <w:t>0</w:t>
                  </w:r>
                </w:p>
              </w:tc>
              <w:tc>
                <w:tcPr>
                  <w:tcW w:w="813" w:type="dxa"/>
                </w:tcPr>
                <w:p>
                  <w:pPr>
                    <w:pStyle w:val="2"/>
                    <w:spacing w:before="0" w:after="0" w:line="240" w:lineRule="auto"/>
                    <w:ind w:right="0"/>
                    <w:jc w:val="center"/>
                    <w:rPr>
                      <w:color w:val="auto"/>
                      <w:sz w:val="21"/>
                      <w:szCs w:val="21"/>
                    </w:rPr>
                  </w:pPr>
                  <w:r>
                    <w:rPr>
                      <w:rFonts w:hint="eastAsia"/>
                      <w:color w:val="auto"/>
                      <w:sz w:val="21"/>
                      <w:szCs w:val="21"/>
                    </w:rPr>
                    <w:t>0</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0</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0</w:t>
                  </w:r>
                </w:p>
              </w:tc>
              <w:tc>
                <w:tcPr>
                  <w:tcW w:w="761" w:type="dxa"/>
                </w:tcPr>
                <w:p>
                  <w:pPr>
                    <w:pStyle w:val="2"/>
                    <w:spacing w:before="0" w:after="0" w:line="240" w:lineRule="auto"/>
                    <w:ind w:right="0"/>
                    <w:jc w:val="center"/>
                    <w:rPr>
                      <w:color w:val="auto"/>
                      <w:sz w:val="21"/>
                      <w:szCs w:val="21"/>
                    </w:rPr>
                  </w:pPr>
                  <w:r>
                    <w:rPr>
                      <w:rFonts w:hint="eastAsia"/>
                      <w:color w:val="auto"/>
                      <w:sz w:val="21"/>
                      <w:szCs w:val="21"/>
                    </w:rPr>
                    <w:t>0</w:t>
                  </w:r>
                </w:p>
              </w:tc>
              <w:tc>
                <w:tcPr>
                  <w:tcW w:w="995" w:type="dxa"/>
                </w:tcPr>
                <w:p>
                  <w:pPr>
                    <w:pStyle w:val="2"/>
                    <w:spacing w:before="0" w:after="0" w:line="240" w:lineRule="auto"/>
                    <w:ind w:right="0"/>
                    <w:jc w:val="center"/>
                    <w:rPr>
                      <w:color w:val="auto"/>
                      <w:sz w:val="21"/>
                      <w:szCs w:val="21"/>
                    </w:rPr>
                  </w:pPr>
                  <w:r>
                    <w:rPr>
                      <w:rFonts w:hint="eastAsia"/>
                      <w:color w:val="auto"/>
                      <w:sz w:val="21"/>
                      <w:szCs w:val="21"/>
                    </w:rPr>
                    <w:t>无不快感</w:t>
                  </w:r>
                </w:p>
              </w:tc>
              <w:tc>
                <w:tcPr>
                  <w:tcW w:w="671" w:type="dxa"/>
                </w:tcPr>
                <w:p>
                  <w:pPr>
                    <w:widowControl/>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tcPr>
                <w:p>
                  <w:pPr>
                    <w:pStyle w:val="2"/>
                    <w:spacing w:before="0" w:after="0" w:line="240" w:lineRule="auto"/>
                    <w:ind w:right="0"/>
                    <w:jc w:val="center"/>
                    <w:rPr>
                      <w:color w:val="auto"/>
                    </w:rPr>
                  </w:pPr>
                  <w:r>
                    <w:rPr>
                      <w:rFonts w:hint="eastAsia"/>
                      <w:color w:val="auto"/>
                      <w:sz w:val="21"/>
                      <w:szCs w:val="21"/>
                    </w:rPr>
                    <w:t>溶解性总固体（mg/L）</w:t>
                  </w:r>
                </w:p>
              </w:tc>
              <w:tc>
                <w:tcPr>
                  <w:tcW w:w="689" w:type="dxa"/>
                </w:tcPr>
                <w:p>
                  <w:pPr>
                    <w:pStyle w:val="2"/>
                    <w:spacing w:before="0" w:after="0" w:line="240" w:lineRule="auto"/>
                    <w:ind w:right="0"/>
                    <w:jc w:val="center"/>
                    <w:rPr>
                      <w:color w:val="auto"/>
                      <w:sz w:val="21"/>
                      <w:szCs w:val="21"/>
                    </w:rPr>
                  </w:pPr>
                  <w:r>
                    <w:rPr>
                      <w:rFonts w:hint="eastAsia"/>
                      <w:color w:val="auto"/>
                      <w:sz w:val="21"/>
                      <w:szCs w:val="21"/>
                    </w:rPr>
                    <w:t>314</w:t>
                  </w:r>
                </w:p>
              </w:tc>
              <w:tc>
                <w:tcPr>
                  <w:tcW w:w="790" w:type="dxa"/>
                </w:tcPr>
                <w:p>
                  <w:pPr>
                    <w:pStyle w:val="2"/>
                    <w:spacing w:before="0" w:after="0" w:line="240" w:lineRule="auto"/>
                    <w:ind w:right="0"/>
                    <w:jc w:val="center"/>
                    <w:rPr>
                      <w:color w:val="auto"/>
                      <w:sz w:val="21"/>
                      <w:szCs w:val="21"/>
                    </w:rPr>
                  </w:pPr>
                  <w:r>
                    <w:rPr>
                      <w:rFonts w:hint="eastAsia"/>
                      <w:color w:val="auto"/>
                      <w:sz w:val="21"/>
                      <w:szCs w:val="21"/>
                    </w:rPr>
                    <w:t>325</w:t>
                  </w:r>
                </w:p>
              </w:tc>
              <w:tc>
                <w:tcPr>
                  <w:tcW w:w="813" w:type="dxa"/>
                </w:tcPr>
                <w:p>
                  <w:pPr>
                    <w:pStyle w:val="2"/>
                    <w:spacing w:before="0" w:after="0" w:line="240" w:lineRule="auto"/>
                    <w:ind w:right="0"/>
                    <w:jc w:val="center"/>
                    <w:rPr>
                      <w:color w:val="auto"/>
                      <w:sz w:val="21"/>
                      <w:szCs w:val="21"/>
                    </w:rPr>
                  </w:pPr>
                  <w:r>
                    <w:rPr>
                      <w:rFonts w:hint="eastAsia"/>
                      <w:color w:val="auto"/>
                      <w:sz w:val="21"/>
                      <w:szCs w:val="21"/>
                    </w:rPr>
                    <w:t>304</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334</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348</w:t>
                  </w:r>
                </w:p>
              </w:tc>
              <w:tc>
                <w:tcPr>
                  <w:tcW w:w="761" w:type="dxa"/>
                </w:tcPr>
                <w:p>
                  <w:pPr>
                    <w:pStyle w:val="2"/>
                    <w:spacing w:before="0" w:after="0" w:line="240" w:lineRule="auto"/>
                    <w:ind w:right="0"/>
                    <w:jc w:val="center"/>
                    <w:rPr>
                      <w:color w:val="auto"/>
                      <w:sz w:val="21"/>
                      <w:szCs w:val="21"/>
                    </w:rPr>
                  </w:pPr>
                  <w:r>
                    <w:rPr>
                      <w:rFonts w:hint="eastAsia"/>
                      <w:color w:val="auto"/>
                      <w:sz w:val="21"/>
                      <w:szCs w:val="21"/>
                    </w:rPr>
                    <w:t>316</w:t>
                  </w:r>
                </w:p>
              </w:tc>
              <w:tc>
                <w:tcPr>
                  <w:tcW w:w="995" w:type="dxa"/>
                </w:tcPr>
                <w:p>
                  <w:pPr>
                    <w:pStyle w:val="2"/>
                    <w:spacing w:before="0" w:after="0" w:line="240" w:lineRule="auto"/>
                    <w:ind w:right="0"/>
                    <w:jc w:val="center"/>
                    <w:rPr>
                      <w:color w:val="auto"/>
                      <w:sz w:val="21"/>
                      <w:szCs w:val="21"/>
                    </w:rPr>
                  </w:pPr>
                  <w:r>
                    <w:rPr>
                      <w:rFonts w:hint="eastAsia"/>
                      <w:color w:val="auto"/>
                      <w:sz w:val="21"/>
                      <w:szCs w:val="21"/>
                    </w:rPr>
                    <w:t>≤1000</w:t>
                  </w:r>
                </w:p>
              </w:tc>
              <w:tc>
                <w:tcPr>
                  <w:tcW w:w="671" w:type="dxa"/>
                </w:tcPr>
                <w:p>
                  <w:pPr>
                    <w:widowControl/>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tcPr>
                <w:p>
                  <w:pPr>
                    <w:pStyle w:val="2"/>
                    <w:spacing w:before="0" w:after="0" w:line="240" w:lineRule="auto"/>
                    <w:ind w:right="0"/>
                    <w:jc w:val="center"/>
                    <w:rPr>
                      <w:color w:val="auto"/>
                    </w:rPr>
                  </w:pPr>
                  <w:r>
                    <w:rPr>
                      <w:rFonts w:hint="eastAsia"/>
                      <w:color w:val="auto"/>
                      <w:sz w:val="21"/>
                      <w:szCs w:val="21"/>
                    </w:rPr>
                    <w:t>五日生化需氧量（mg/L）</w:t>
                  </w:r>
                </w:p>
              </w:tc>
              <w:tc>
                <w:tcPr>
                  <w:tcW w:w="689" w:type="dxa"/>
                </w:tcPr>
                <w:p>
                  <w:pPr>
                    <w:pStyle w:val="2"/>
                    <w:spacing w:before="0" w:after="0" w:line="240" w:lineRule="auto"/>
                    <w:ind w:right="0"/>
                    <w:jc w:val="center"/>
                    <w:rPr>
                      <w:color w:val="auto"/>
                      <w:sz w:val="21"/>
                      <w:szCs w:val="21"/>
                    </w:rPr>
                  </w:pPr>
                  <w:r>
                    <w:rPr>
                      <w:rFonts w:hint="eastAsia"/>
                      <w:color w:val="auto"/>
                      <w:sz w:val="21"/>
                      <w:szCs w:val="21"/>
                    </w:rPr>
                    <w:t>4.5</w:t>
                  </w:r>
                </w:p>
              </w:tc>
              <w:tc>
                <w:tcPr>
                  <w:tcW w:w="790" w:type="dxa"/>
                </w:tcPr>
                <w:p>
                  <w:pPr>
                    <w:pStyle w:val="2"/>
                    <w:spacing w:before="0" w:after="0" w:line="240" w:lineRule="auto"/>
                    <w:ind w:right="0"/>
                    <w:jc w:val="center"/>
                    <w:rPr>
                      <w:color w:val="auto"/>
                      <w:sz w:val="21"/>
                      <w:szCs w:val="21"/>
                    </w:rPr>
                  </w:pPr>
                  <w:r>
                    <w:rPr>
                      <w:rFonts w:hint="eastAsia"/>
                      <w:color w:val="auto"/>
                      <w:sz w:val="21"/>
                      <w:szCs w:val="21"/>
                    </w:rPr>
                    <w:t>4.8</w:t>
                  </w:r>
                </w:p>
              </w:tc>
              <w:tc>
                <w:tcPr>
                  <w:tcW w:w="813" w:type="dxa"/>
                </w:tcPr>
                <w:p>
                  <w:pPr>
                    <w:pStyle w:val="2"/>
                    <w:spacing w:before="0" w:after="0" w:line="240" w:lineRule="auto"/>
                    <w:ind w:right="0"/>
                    <w:jc w:val="center"/>
                    <w:rPr>
                      <w:color w:val="auto"/>
                      <w:sz w:val="21"/>
                      <w:szCs w:val="21"/>
                    </w:rPr>
                  </w:pPr>
                  <w:r>
                    <w:rPr>
                      <w:rFonts w:hint="eastAsia"/>
                      <w:color w:val="auto"/>
                      <w:sz w:val="21"/>
                      <w:szCs w:val="21"/>
                    </w:rPr>
                    <w:t>4.7</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4.0</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4.5</w:t>
                  </w:r>
                </w:p>
              </w:tc>
              <w:tc>
                <w:tcPr>
                  <w:tcW w:w="761" w:type="dxa"/>
                </w:tcPr>
                <w:p>
                  <w:pPr>
                    <w:pStyle w:val="2"/>
                    <w:spacing w:before="0" w:after="0" w:line="240" w:lineRule="auto"/>
                    <w:ind w:right="0"/>
                    <w:jc w:val="center"/>
                    <w:rPr>
                      <w:color w:val="auto"/>
                      <w:sz w:val="21"/>
                      <w:szCs w:val="21"/>
                    </w:rPr>
                  </w:pPr>
                  <w:r>
                    <w:rPr>
                      <w:rFonts w:hint="eastAsia"/>
                      <w:color w:val="auto"/>
                      <w:sz w:val="21"/>
                      <w:szCs w:val="21"/>
                    </w:rPr>
                    <w:t>4.6</w:t>
                  </w:r>
                </w:p>
              </w:tc>
              <w:tc>
                <w:tcPr>
                  <w:tcW w:w="995" w:type="dxa"/>
                </w:tcPr>
                <w:p>
                  <w:pPr>
                    <w:pStyle w:val="2"/>
                    <w:spacing w:before="0" w:after="0" w:line="240" w:lineRule="auto"/>
                    <w:ind w:right="0"/>
                    <w:jc w:val="center"/>
                    <w:rPr>
                      <w:color w:val="auto"/>
                      <w:sz w:val="21"/>
                      <w:szCs w:val="21"/>
                    </w:rPr>
                  </w:pPr>
                  <w:r>
                    <w:rPr>
                      <w:rFonts w:hint="eastAsia"/>
                      <w:color w:val="auto"/>
                      <w:sz w:val="21"/>
                      <w:szCs w:val="21"/>
                    </w:rPr>
                    <w:t>≤10</w:t>
                  </w:r>
                </w:p>
              </w:tc>
              <w:tc>
                <w:tcPr>
                  <w:tcW w:w="671" w:type="dxa"/>
                </w:tcPr>
                <w:p>
                  <w:pPr>
                    <w:widowControl/>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tcPr>
                <w:p>
                  <w:pPr>
                    <w:pStyle w:val="2"/>
                    <w:spacing w:before="0" w:after="0" w:line="240" w:lineRule="auto"/>
                    <w:ind w:right="0"/>
                    <w:jc w:val="center"/>
                    <w:rPr>
                      <w:color w:val="auto"/>
                    </w:rPr>
                  </w:pPr>
                  <w:r>
                    <w:rPr>
                      <w:rFonts w:hint="eastAsia"/>
                      <w:color w:val="auto"/>
                      <w:sz w:val="21"/>
                      <w:szCs w:val="21"/>
                    </w:rPr>
                    <w:t>溶解氧（mg/L）</w:t>
                  </w:r>
                </w:p>
              </w:tc>
              <w:tc>
                <w:tcPr>
                  <w:tcW w:w="689" w:type="dxa"/>
                </w:tcPr>
                <w:p>
                  <w:pPr>
                    <w:pStyle w:val="2"/>
                    <w:spacing w:before="0" w:after="0" w:line="240" w:lineRule="auto"/>
                    <w:ind w:right="0"/>
                    <w:jc w:val="center"/>
                    <w:rPr>
                      <w:color w:val="auto"/>
                      <w:sz w:val="21"/>
                      <w:szCs w:val="21"/>
                    </w:rPr>
                  </w:pPr>
                  <w:r>
                    <w:rPr>
                      <w:rFonts w:hint="eastAsia"/>
                      <w:color w:val="auto"/>
                      <w:sz w:val="21"/>
                      <w:szCs w:val="21"/>
                    </w:rPr>
                    <w:t>6.12</w:t>
                  </w:r>
                </w:p>
              </w:tc>
              <w:tc>
                <w:tcPr>
                  <w:tcW w:w="790" w:type="dxa"/>
                </w:tcPr>
                <w:p>
                  <w:pPr>
                    <w:pStyle w:val="2"/>
                    <w:spacing w:before="0" w:after="0" w:line="240" w:lineRule="auto"/>
                    <w:ind w:right="0"/>
                    <w:jc w:val="center"/>
                    <w:rPr>
                      <w:color w:val="auto"/>
                      <w:sz w:val="21"/>
                      <w:szCs w:val="21"/>
                    </w:rPr>
                  </w:pPr>
                  <w:r>
                    <w:rPr>
                      <w:rFonts w:hint="eastAsia"/>
                      <w:color w:val="auto"/>
                      <w:sz w:val="21"/>
                      <w:szCs w:val="21"/>
                    </w:rPr>
                    <w:t>6.23</w:t>
                  </w:r>
                </w:p>
              </w:tc>
              <w:tc>
                <w:tcPr>
                  <w:tcW w:w="813" w:type="dxa"/>
                </w:tcPr>
                <w:p>
                  <w:pPr>
                    <w:pStyle w:val="2"/>
                    <w:spacing w:before="0" w:after="0" w:line="240" w:lineRule="auto"/>
                    <w:ind w:right="0"/>
                    <w:jc w:val="center"/>
                    <w:rPr>
                      <w:color w:val="auto"/>
                      <w:sz w:val="21"/>
                      <w:szCs w:val="21"/>
                    </w:rPr>
                  </w:pPr>
                  <w:r>
                    <w:rPr>
                      <w:rFonts w:hint="eastAsia"/>
                      <w:color w:val="auto"/>
                      <w:sz w:val="21"/>
                      <w:szCs w:val="21"/>
                    </w:rPr>
                    <w:t>6.26</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6.23</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6.14</w:t>
                  </w:r>
                </w:p>
              </w:tc>
              <w:tc>
                <w:tcPr>
                  <w:tcW w:w="761" w:type="dxa"/>
                </w:tcPr>
                <w:p>
                  <w:pPr>
                    <w:pStyle w:val="2"/>
                    <w:spacing w:before="0" w:after="0" w:line="240" w:lineRule="auto"/>
                    <w:ind w:right="0"/>
                    <w:jc w:val="center"/>
                    <w:rPr>
                      <w:color w:val="auto"/>
                      <w:sz w:val="21"/>
                      <w:szCs w:val="21"/>
                    </w:rPr>
                  </w:pPr>
                  <w:r>
                    <w:rPr>
                      <w:rFonts w:hint="eastAsia"/>
                      <w:color w:val="auto"/>
                      <w:sz w:val="21"/>
                      <w:szCs w:val="21"/>
                    </w:rPr>
                    <w:t>6.15</w:t>
                  </w:r>
                </w:p>
              </w:tc>
              <w:tc>
                <w:tcPr>
                  <w:tcW w:w="995" w:type="dxa"/>
                </w:tcPr>
                <w:p>
                  <w:pPr>
                    <w:pStyle w:val="2"/>
                    <w:spacing w:before="0" w:after="0" w:line="240" w:lineRule="auto"/>
                    <w:ind w:right="0"/>
                    <w:jc w:val="center"/>
                    <w:rPr>
                      <w:color w:val="auto"/>
                      <w:sz w:val="21"/>
                      <w:szCs w:val="21"/>
                    </w:rPr>
                  </w:pPr>
                  <w:r>
                    <w:rPr>
                      <w:rFonts w:hint="eastAsia"/>
                      <w:color w:val="auto"/>
                      <w:sz w:val="21"/>
                      <w:szCs w:val="21"/>
                    </w:rPr>
                    <w:t>≥2.0</w:t>
                  </w:r>
                </w:p>
              </w:tc>
              <w:tc>
                <w:tcPr>
                  <w:tcW w:w="671" w:type="dxa"/>
                </w:tcPr>
                <w:p>
                  <w:pPr>
                    <w:widowControl/>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tcPr>
                <w:p>
                  <w:pPr>
                    <w:pStyle w:val="2"/>
                    <w:spacing w:before="0" w:after="0" w:line="240" w:lineRule="auto"/>
                    <w:ind w:right="0"/>
                    <w:jc w:val="center"/>
                    <w:rPr>
                      <w:color w:val="auto"/>
                    </w:rPr>
                  </w:pPr>
                  <w:r>
                    <w:rPr>
                      <w:rFonts w:hint="eastAsia"/>
                      <w:color w:val="auto"/>
                      <w:sz w:val="21"/>
                      <w:szCs w:val="21"/>
                    </w:rPr>
                    <w:t>阴离子表面活性剂（mg/L）</w:t>
                  </w:r>
                </w:p>
              </w:tc>
              <w:tc>
                <w:tcPr>
                  <w:tcW w:w="689" w:type="dxa"/>
                </w:tcPr>
                <w:p>
                  <w:pPr>
                    <w:pStyle w:val="2"/>
                    <w:spacing w:before="0" w:after="0" w:line="240" w:lineRule="auto"/>
                    <w:ind w:right="0"/>
                    <w:jc w:val="center"/>
                    <w:rPr>
                      <w:color w:val="auto"/>
                      <w:sz w:val="21"/>
                      <w:szCs w:val="21"/>
                    </w:rPr>
                  </w:pPr>
                  <w:r>
                    <w:rPr>
                      <w:rFonts w:hint="eastAsia"/>
                      <w:color w:val="auto"/>
                      <w:sz w:val="21"/>
                      <w:szCs w:val="21"/>
                    </w:rPr>
                    <w:t>0.080</w:t>
                  </w:r>
                </w:p>
              </w:tc>
              <w:tc>
                <w:tcPr>
                  <w:tcW w:w="790" w:type="dxa"/>
                </w:tcPr>
                <w:p>
                  <w:pPr>
                    <w:pStyle w:val="2"/>
                    <w:spacing w:before="0" w:after="0" w:line="240" w:lineRule="auto"/>
                    <w:ind w:right="0"/>
                    <w:jc w:val="center"/>
                    <w:rPr>
                      <w:color w:val="auto"/>
                      <w:sz w:val="21"/>
                      <w:szCs w:val="21"/>
                    </w:rPr>
                  </w:pPr>
                  <w:r>
                    <w:rPr>
                      <w:rFonts w:hint="eastAsia"/>
                      <w:color w:val="auto"/>
                      <w:sz w:val="21"/>
                      <w:szCs w:val="21"/>
                    </w:rPr>
                    <w:t>0.090</w:t>
                  </w:r>
                </w:p>
              </w:tc>
              <w:tc>
                <w:tcPr>
                  <w:tcW w:w="813" w:type="dxa"/>
                </w:tcPr>
                <w:p>
                  <w:pPr>
                    <w:pStyle w:val="2"/>
                    <w:spacing w:before="0" w:after="0" w:line="240" w:lineRule="auto"/>
                    <w:ind w:right="0"/>
                    <w:jc w:val="center"/>
                    <w:rPr>
                      <w:color w:val="auto"/>
                      <w:sz w:val="21"/>
                      <w:szCs w:val="21"/>
                    </w:rPr>
                  </w:pPr>
                  <w:r>
                    <w:rPr>
                      <w:rFonts w:hint="eastAsia"/>
                      <w:color w:val="auto"/>
                      <w:sz w:val="21"/>
                      <w:szCs w:val="21"/>
                    </w:rPr>
                    <w:t>0.086</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0.075</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0.086</w:t>
                  </w:r>
                </w:p>
              </w:tc>
              <w:tc>
                <w:tcPr>
                  <w:tcW w:w="761" w:type="dxa"/>
                </w:tcPr>
                <w:p>
                  <w:pPr>
                    <w:pStyle w:val="2"/>
                    <w:spacing w:before="0" w:after="0" w:line="240" w:lineRule="auto"/>
                    <w:ind w:right="0"/>
                    <w:jc w:val="center"/>
                    <w:rPr>
                      <w:color w:val="auto"/>
                      <w:sz w:val="21"/>
                      <w:szCs w:val="21"/>
                    </w:rPr>
                  </w:pPr>
                  <w:r>
                    <w:rPr>
                      <w:rFonts w:hint="eastAsia"/>
                      <w:color w:val="auto"/>
                      <w:sz w:val="21"/>
                      <w:szCs w:val="21"/>
                    </w:rPr>
                    <w:t>0.080</w:t>
                  </w:r>
                </w:p>
              </w:tc>
              <w:tc>
                <w:tcPr>
                  <w:tcW w:w="995" w:type="dxa"/>
                </w:tcPr>
                <w:p>
                  <w:pPr>
                    <w:pStyle w:val="2"/>
                    <w:spacing w:before="0" w:after="0" w:line="240" w:lineRule="auto"/>
                    <w:ind w:right="0"/>
                    <w:jc w:val="center"/>
                    <w:rPr>
                      <w:color w:val="auto"/>
                      <w:sz w:val="21"/>
                      <w:szCs w:val="21"/>
                    </w:rPr>
                  </w:pPr>
                  <w:r>
                    <w:rPr>
                      <w:rFonts w:hint="eastAsia"/>
                      <w:color w:val="auto"/>
                      <w:sz w:val="21"/>
                      <w:szCs w:val="21"/>
                    </w:rPr>
                    <w:t>≤0.5</w:t>
                  </w:r>
                </w:p>
              </w:tc>
              <w:tc>
                <w:tcPr>
                  <w:tcW w:w="671" w:type="dxa"/>
                </w:tcPr>
                <w:p>
                  <w:pPr>
                    <w:widowControl/>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tcPr>
                <w:p>
                  <w:pPr>
                    <w:pStyle w:val="2"/>
                    <w:spacing w:before="0" w:after="0" w:line="240" w:lineRule="auto"/>
                    <w:ind w:right="0"/>
                    <w:jc w:val="center"/>
                    <w:rPr>
                      <w:color w:val="auto"/>
                      <w:sz w:val="21"/>
                      <w:szCs w:val="21"/>
                    </w:rPr>
                  </w:pPr>
                  <w:r>
                    <w:rPr>
                      <w:rFonts w:hint="eastAsia"/>
                      <w:color w:val="auto"/>
                      <w:sz w:val="21"/>
                      <w:szCs w:val="21"/>
                    </w:rPr>
                    <w:t>总余氯（mg/L）</w:t>
                  </w:r>
                </w:p>
              </w:tc>
              <w:tc>
                <w:tcPr>
                  <w:tcW w:w="689" w:type="dxa"/>
                </w:tcPr>
                <w:p>
                  <w:pPr>
                    <w:pStyle w:val="2"/>
                    <w:spacing w:before="0" w:after="0" w:line="240" w:lineRule="auto"/>
                    <w:ind w:right="0"/>
                    <w:jc w:val="center"/>
                    <w:rPr>
                      <w:color w:val="auto"/>
                      <w:sz w:val="21"/>
                      <w:szCs w:val="21"/>
                    </w:rPr>
                  </w:pPr>
                  <w:r>
                    <w:rPr>
                      <w:rFonts w:hint="eastAsia"/>
                      <w:color w:val="auto"/>
                      <w:sz w:val="21"/>
                      <w:szCs w:val="21"/>
                    </w:rPr>
                    <w:t>4.25</w:t>
                  </w:r>
                </w:p>
              </w:tc>
              <w:tc>
                <w:tcPr>
                  <w:tcW w:w="790" w:type="dxa"/>
                </w:tcPr>
                <w:p>
                  <w:pPr>
                    <w:pStyle w:val="2"/>
                    <w:spacing w:before="0" w:after="0" w:line="240" w:lineRule="auto"/>
                    <w:ind w:right="0"/>
                    <w:jc w:val="center"/>
                    <w:rPr>
                      <w:color w:val="auto"/>
                      <w:sz w:val="21"/>
                      <w:szCs w:val="21"/>
                    </w:rPr>
                  </w:pPr>
                  <w:r>
                    <w:rPr>
                      <w:rFonts w:hint="eastAsia"/>
                      <w:color w:val="auto"/>
                      <w:sz w:val="21"/>
                      <w:szCs w:val="21"/>
                    </w:rPr>
                    <w:t>4.11</w:t>
                  </w:r>
                </w:p>
              </w:tc>
              <w:tc>
                <w:tcPr>
                  <w:tcW w:w="813" w:type="dxa"/>
                </w:tcPr>
                <w:p>
                  <w:pPr>
                    <w:pStyle w:val="2"/>
                    <w:spacing w:before="0" w:after="0" w:line="240" w:lineRule="auto"/>
                    <w:ind w:right="0"/>
                    <w:jc w:val="center"/>
                    <w:rPr>
                      <w:color w:val="auto"/>
                      <w:sz w:val="21"/>
                      <w:szCs w:val="21"/>
                    </w:rPr>
                  </w:pPr>
                  <w:r>
                    <w:rPr>
                      <w:rFonts w:hint="eastAsia"/>
                      <w:color w:val="auto"/>
                      <w:sz w:val="21"/>
                      <w:szCs w:val="21"/>
                    </w:rPr>
                    <w:t>4.35</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4.29</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4.14</w:t>
                  </w:r>
                </w:p>
              </w:tc>
              <w:tc>
                <w:tcPr>
                  <w:tcW w:w="761" w:type="dxa"/>
                </w:tcPr>
                <w:p>
                  <w:pPr>
                    <w:pStyle w:val="2"/>
                    <w:spacing w:before="0" w:after="0" w:line="240" w:lineRule="auto"/>
                    <w:ind w:right="0"/>
                    <w:jc w:val="center"/>
                    <w:rPr>
                      <w:color w:val="auto"/>
                      <w:sz w:val="21"/>
                      <w:szCs w:val="21"/>
                    </w:rPr>
                  </w:pPr>
                  <w:r>
                    <w:rPr>
                      <w:rFonts w:hint="eastAsia"/>
                      <w:color w:val="auto"/>
                      <w:sz w:val="21"/>
                      <w:szCs w:val="21"/>
                    </w:rPr>
                    <w:t>4.32</w:t>
                  </w:r>
                </w:p>
              </w:tc>
              <w:tc>
                <w:tcPr>
                  <w:tcW w:w="995" w:type="dxa"/>
                </w:tcPr>
                <w:p>
                  <w:pPr>
                    <w:pStyle w:val="2"/>
                    <w:spacing w:before="0" w:after="0" w:line="240" w:lineRule="auto"/>
                    <w:ind w:right="0"/>
                    <w:jc w:val="center"/>
                    <w:rPr>
                      <w:color w:val="auto"/>
                      <w:sz w:val="21"/>
                      <w:szCs w:val="21"/>
                    </w:rPr>
                  </w:pPr>
                  <w:r>
                    <w:rPr>
                      <w:rFonts w:hint="eastAsia"/>
                      <w:color w:val="auto"/>
                      <w:sz w:val="21"/>
                      <w:szCs w:val="21"/>
                    </w:rPr>
                    <w:t>≥1.0</w:t>
                  </w:r>
                </w:p>
              </w:tc>
              <w:tc>
                <w:tcPr>
                  <w:tcW w:w="671" w:type="dxa"/>
                </w:tcPr>
                <w:p>
                  <w:pPr>
                    <w:widowControl/>
                    <w:jc w:val="center"/>
                    <w:rPr>
                      <w:color w:val="auto"/>
                      <w:szCs w:val="21"/>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1727" w:type="dxa"/>
                </w:tcPr>
                <w:p>
                  <w:pPr>
                    <w:pStyle w:val="2"/>
                    <w:spacing w:before="0" w:after="0" w:line="240" w:lineRule="auto"/>
                    <w:ind w:right="0"/>
                    <w:jc w:val="center"/>
                    <w:rPr>
                      <w:color w:val="auto"/>
                    </w:rPr>
                  </w:pPr>
                  <w:r>
                    <w:rPr>
                      <w:rFonts w:hint="eastAsia"/>
                      <w:color w:val="auto"/>
                      <w:sz w:val="21"/>
                      <w:szCs w:val="21"/>
                    </w:rPr>
                    <w:t>氨氮（mg/L）</w:t>
                  </w:r>
                </w:p>
              </w:tc>
              <w:tc>
                <w:tcPr>
                  <w:tcW w:w="689" w:type="dxa"/>
                </w:tcPr>
                <w:p>
                  <w:pPr>
                    <w:pStyle w:val="2"/>
                    <w:spacing w:before="0" w:after="0" w:line="240" w:lineRule="auto"/>
                    <w:ind w:right="0"/>
                    <w:jc w:val="center"/>
                    <w:rPr>
                      <w:color w:val="auto"/>
                      <w:sz w:val="21"/>
                      <w:szCs w:val="21"/>
                    </w:rPr>
                  </w:pPr>
                  <w:r>
                    <w:rPr>
                      <w:rFonts w:hint="eastAsia"/>
                      <w:color w:val="auto"/>
                      <w:sz w:val="21"/>
                      <w:szCs w:val="21"/>
                    </w:rPr>
                    <w:t>0.365</w:t>
                  </w:r>
                </w:p>
              </w:tc>
              <w:tc>
                <w:tcPr>
                  <w:tcW w:w="790" w:type="dxa"/>
                </w:tcPr>
                <w:p>
                  <w:pPr>
                    <w:pStyle w:val="2"/>
                    <w:spacing w:before="0" w:after="0" w:line="240" w:lineRule="auto"/>
                    <w:ind w:right="0"/>
                    <w:jc w:val="center"/>
                    <w:rPr>
                      <w:color w:val="auto"/>
                      <w:sz w:val="21"/>
                      <w:szCs w:val="21"/>
                    </w:rPr>
                  </w:pPr>
                  <w:r>
                    <w:rPr>
                      <w:rFonts w:hint="eastAsia"/>
                      <w:color w:val="auto"/>
                      <w:sz w:val="21"/>
                      <w:szCs w:val="21"/>
                    </w:rPr>
                    <w:t>0.384</w:t>
                  </w:r>
                </w:p>
              </w:tc>
              <w:tc>
                <w:tcPr>
                  <w:tcW w:w="813" w:type="dxa"/>
                </w:tcPr>
                <w:p>
                  <w:pPr>
                    <w:pStyle w:val="2"/>
                    <w:spacing w:before="0" w:after="0" w:line="240" w:lineRule="auto"/>
                    <w:ind w:right="0"/>
                    <w:jc w:val="center"/>
                    <w:rPr>
                      <w:color w:val="auto"/>
                      <w:sz w:val="21"/>
                      <w:szCs w:val="21"/>
                    </w:rPr>
                  </w:pPr>
                  <w:r>
                    <w:rPr>
                      <w:rFonts w:hint="eastAsia"/>
                      <w:color w:val="auto"/>
                      <w:sz w:val="21"/>
                      <w:szCs w:val="21"/>
                    </w:rPr>
                    <w:t>0.373</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0.359</w:t>
                  </w:r>
                </w:p>
              </w:tc>
              <w:tc>
                <w:tcPr>
                  <w:tcW w:w="812" w:type="dxa"/>
                </w:tcPr>
                <w:p>
                  <w:pPr>
                    <w:pStyle w:val="2"/>
                    <w:spacing w:before="0" w:after="0" w:line="240" w:lineRule="auto"/>
                    <w:ind w:right="0"/>
                    <w:jc w:val="center"/>
                    <w:rPr>
                      <w:color w:val="auto"/>
                      <w:sz w:val="21"/>
                      <w:szCs w:val="21"/>
                    </w:rPr>
                  </w:pPr>
                  <w:r>
                    <w:rPr>
                      <w:rFonts w:hint="eastAsia"/>
                      <w:color w:val="auto"/>
                      <w:sz w:val="21"/>
                      <w:szCs w:val="21"/>
                    </w:rPr>
                    <w:t>0.327</w:t>
                  </w:r>
                </w:p>
              </w:tc>
              <w:tc>
                <w:tcPr>
                  <w:tcW w:w="761" w:type="dxa"/>
                </w:tcPr>
                <w:p>
                  <w:pPr>
                    <w:pStyle w:val="2"/>
                    <w:spacing w:before="0" w:after="0" w:line="240" w:lineRule="auto"/>
                    <w:ind w:right="0"/>
                    <w:jc w:val="center"/>
                    <w:rPr>
                      <w:color w:val="auto"/>
                      <w:sz w:val="21"/>
                      <w:szCs w:val="21"/>
                    </w:rPr>
                  </w:pPr>
                  <w:r>
                    <w:rPr>
                      <w:rFonts w:hint="eastAsia"/>
                      <w:color w:val="auto"/>
                      <w:sz w:val="21"/>
                      <w:szCs w:val="21"/>
                    </w:rPr>
                    <w:t>0.349</w:t>
                  </w:r>
                </w:p>
              </w:tc>
              <w:tc>
                <w:tcPr>
                  <w:tcW w:w="995" w:type="dxa"/>
                </w:tcPr>
                <w:p>
                  <w:pPr>
                    <w:pStyle w:val="2"/>
                    <w:spacing w:before="0" w:after="0" w:line="240" w:lineRule="auto"/>
                    <w:ind w:right="0"/>
                    <w:jc w:val="center"/>
                    <w:rPr>
                      <w:color w:val="auto"/>
                      <w:sz w:val="21"/>
                      <w:szCs w:val="21"/>
                    </w:rPr>
                  </w:pPr>
                  <w:r>
                    <w:rPr>
                      <w:rFonts w:hint="eastAsia"/>
                      <w:color w:val="auto"/>
                      <w:sz w:val="21"/>
                      <w:szCs w:val="21"/>
                    </w:rPr>
                    <w:t>≤8</w:t>
                  </w:r>
                </w:p>
              </w:tc>
              <w:tc>
                <w:tcPr>
                  <w:tcW w:w="671" w:type="dxa"/>
                </w:tcPr>
                <w:p>
                  <w:pPr>
                    <w:widowControl/>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2"/>
                    <w:spacing w:before="0" w:after="0" w:line="240" w:lineRule="auto"/>
                    <w:ind w:right="0"/>
                    <w:jc w:val="center"/>
                    <w:rPr>
                      <w:color w:val="auto"/>
                    </w:rPr>
                  </w:pPr>
                  <w:r>
                    <w:rPr>
                      <w:rFonts w:hint="eastAsia"/>
                      <w:color w:val="auto"/>
                      <w:sz w:val="21"/>
                      <w:szCs w:val="21"/>
                    </w:rPr>
                    <w:t>大肠埃希氏菌（MPN/100mL）</w:t>
                  </w:r>
                </w:p>
              </w:tc>
              <w:tc>
                <w:tcPr>
                  <w:tcW w:w="689" w:type="dxa"/>
                </w:tcPr>
                <w:p>
                  <w:pPr>
                    <w:jc w:val="center"/>
                    <w:rPr>
                      <w:color w:val="auto"/>
                    </w:rPr>
                  </w:pPr>
                  <w:r>
                    <w:rPr>
                      <w:rFonts w:hint="eastAsia"/>
                      <w:color w:val="auto"/>
                      <w:szCs w:val="21"/>
                    </w:rPr>
                    <w:t>未检出</w:t>
                  </w:r>
                </w:p>
              </w:tc>
              <w:tc>
                <w:tcPr>
                  <w:tcW w:w="790" w:type="dxa"/>
                </w:tcPr>
                <w:p>
                  <w:pPr>
                    <w:widowControl/>
                    <w:jc w:val="center"/>
                    <w:rPr>
                      <w:color w:val="auto"/>
                    </w:rPr>
                  </w:pPr>
                  <w:r>
                    <w:rPr>
                      <w:rFonts w:hint="eastAsia"/>
                      <w:color w:val="auto"/>
                      <w:szCs w:val="21"/>
                    </w:rPr>
                    <w:t>未检出</w:t>
                  </w:r>
                </w:p>
              </w:tc>
              <w:tc>
                <w:tcPr>
                  <w:tcW w:w="813" w:type="dxa"/>
                </w:tcPr>
                <w:p>
                  <w:pPr>
                    <w:widowControl/>
                    <w:jc w:val="center"/>
                    <w:rPr>
                      <w:color w:val="auto"/>
                    </w:rPr>
                  </w:pPr>
                  <w:r>
                    <w:rPr>
                      <w:rFonts w:hint="eastAsia"/>
                      <w:color w:val="auto"/>
                      <w:szCs w:val="21"/>
                    </w:rPr>
                    <w:t>未检出</w:t>
                  </w:r>
                </w:p>
              </w:tc>
              <w:tc>
                <w:tcPr>
                  <w:tcW w:w="812" w:type="dxa"/>
                </w:tcPr>
                <w:p>
                  <w:pPr>
                    <w:widowControl/>
                    <w:jc w:val="center"/>
                    <w:rPr>
                      <w:color w:val="auto"/>
                    </w:rPr>
                  </w:pPr>
                  <w:r>
                    <w:rPr>
                      <w:rFonts w:hint="eastAsia"/>
                      <w:color w:val="auto"/>
                      <w:szCs w:val="21"/>
                    </w:rPr>
                    <w:t>未检出</w:t>
                  </w:r>
                </w:p>
              </w:tc>
              <w:tc>
                <w:tcPr>
                  <w:tcW w:w="812" w:type="dxa"/>
                </w:tcPr>
                <w:p>
                  <w:pPr>
                    <w:widowControl/>
                    <w:jc w:val="center"/>
                    <w:rPr>
                      <w:color w:val="auto"/>
                    </w:rPr>
                  </w:pPr>
                  <w:r>
                    <w:rPr>
                      <w:rFonts w:hint="eastAsia"/>
                      <w:color w:val="auto"/>
                      <w:szCs w:val="21"/>
                    </w:rPr>
                    <w:t>未检出</w:t>
                  </w:r>
                </w:p>
              </w:tc>
              <w:tc>
                <w:tcPr>
                  <w:tcW w:w="761" w:type="dxa"/>
                </w:tcPr>
                <w:p>
                  <w:pPr>
                    <w:widowControl/>
                    <w:jc w:val="center"/>
                    <w:rPr>
                      <w:color w:val="auto"/>
                    </w:rPr>
                  </w:pPr>
                  <w:r>
                    <w:rPr>
                      <w:rFonts w:hint="eastAsia"/>
                      <w:color w:val="auto"/>
                      <w:szCs w:val="21"/>
                    </w:rPr>
                    <w:t>未检出</w:t>
                  </w:r>
                </w:p>
              </w:tc>
              <w:tc>
                <w:tcPr>
                  <w:tcW w:w="995" w:type="dxa"/>
                </w:tcPr>
                <w:p>
                  <w:pPr>
                    <w:pStyle w:val="2"/>
                    <w:spacing w:before="0" w:after="0" w:line="240" w:lineRule="auto"/>
                    <w:ind w:right="0"/>
                    <w:jc w:val="center"/>
                    <w:rPr>
                      <w:color w:val="auto"/>
                      <w:sz w:val="21"/>
                      <w:szCs w:val="21"/>
                    </w:rPr>
                  </w:pPr>
                  <w:r>
                    <w:rPr>
                      <w:rFonts w:hint="eastAsia"/>
                      <w:color w:val="auto"/>
                      <w:sz w:val="21"/>
                      <w:szCs w:val="21"/>
                    </w:rPr>
                    <w:t>无</w:t>
                  </w:r>
                </w:p>
              </w:tc>
              <w:tc>
                <w:tcPr>
                  <w:tcW w:w="671" w:type="dxa"/>
                </w:tcPr>
                <w:p>
                  <w:pPr>
                    <w:widowControl/>
                    <w:jc w:val="center"/>
                    <w:rPr>
                      <w:color w:val="auto"/>
                    </w:rPr>
                  </w:pPr>
                  <w:r>
                    <w:rPr>
                      <w:rFonts w:hint="eastAsia"/>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pStyle w:val="2"/>
                    <w:spacing w:before="0" w:after="0" w:line="240" w:lineRule="auto"/>
                    <w:ind w:right="0"/>
                    <w:jc w:val="center"/>
                    <w:rPr>
                      <w:color w:val="auto"/>
                    </w:rPr>
                  </w:pPr>
                  <w:r>
                    <w:rPr>
                      <w:rFonts w:hint="eastAsia"/>
                      <w:color w:val="auto"/>
                      <w:sz w:val="21"/>
                      <w:szCs w:val="21"/>
                    </w:rPr>
                    <w:t>备注</w:t>
                  </w:r>
                </w:p>
              </w:tc>
              <w:tc>
                <w:tcPr>
                  <w:tcW w:w="6343" w:type="dxa"/>
                  <w:gridSpan w:val="8"/>
                </w:tcPr>
                <w:p>
                  <w:pPr>
                    <w:pStyle w:val="2"/>
                    <w:spacing w:before="0" w:after="0" w:line="240" w:lineRule="auto"/>
                    <w:ind w:right="0"/>
                    <w:jc w:val="center"/>
                    <w:rPr>
                      <w:color w:val="auto"/>
                    </w:rPr>
                  </w:pPr>
                  <w:r>
                    <w:rPr>
                      <w:rFonts w:hint="eastAsia"/>
                      <w:color w:val="auto"/>
                      <w:sz w:val="21"/>
                      <w:szCs w:val="21"/>
                    </w:rPr>
                    <w:t>“检出限+ND”表示检测结果低于分析方法检出限</w:t>
                  </w:r>
                </w:p>
              </w:tc>
            </w:tr>
          </w:tbl>
          <w:p>
            <w:pPr>
              <w:pStyle w:val="2"/>
              <w:rPr>
                <w:color w:val="auto"/>
              </w:rPr>
            </w:pPr>
          </w:p>
          <w:p>
            <w:pPr>
              <w:spacing w:line="360" w:lineRule="auto"/>
              <w:ind w:firstLine="460" w:firstLineChars="192"/>
              <w:rPr>
                <w:color w:val="auto"/>
                <w:sz w:val="24"/>
              </w:rPr>
            </w:pPr>
            <w:r>
              <w:rPr>
                <w:rFonts w:hint="eastAsia"/>
                <w:color w:val="auto"/>
                <w:sz w:val="24"/>
              </w:rPr>
              <w:t>根据监测结果可知，项目依托的云南鹏腾机械设备制造有限公司一体化污水处理站出水水质能满足</w:t>
            </w:r>
            <w:r>
              <w:rPr>
                <w:color w:val="auto"/>
                <w:sz w:val="24"/>
              </w:rPr>
              <w:t>《城市污水再生利用</w:t>
            </w:r>
            <w:r>
              <w:rPr>
                <w:rFonts w:hint="eastAsia"/>
                <w:color w:val="auto"/>
                <w:sz w:val="24"/>
              </w:rPr>
              <w:t xml:space="preserve">  城市杂用水水质</w:t>
            </w:r>
            <w:r>
              <w:rPr>
                <w:color w:val="auto"/>
                <w:sz w:val="24"/>
              </w:rPr>
              <w:t>》</w:t>
            </w:r>
            <w:r>
              <w:rPr>
                <w:rFonts w:hint="eastAsia"/>
                <w:color w:val="auto"/>
                <w:sz w:val="24"/>
              </w:rPr>
              <w:t>（</w:t>
            </w:r>
            <w:r>
              <w:rPr>
                <w:color w:val="auto"/>
                <w:sz w:val="24"/>
              </w:rPr>
              <w:t>GB/T1892</w:t>
            </w:r>
            <w:r>
              <w:rPr>
                <w:rFonts w:hint="eastAsia"/>
                <w:color w:val="auto"/>
                <w:sz w:val="24"/>
              </w:rPr>
              <w:t>0</w:t>
            </w:r>
            <w:r>
              <w:rPr>
                <w:color w:val="auto"/>
                <w:sz w:val="24"/>
              </w:rPr>
              <w:t>-20</w:t>
            </w:r>
            <w:r>
              <w:rPr>
                <w:rFonts w:hint="eastAsia"/>
                <w:color w:val="auto"/>
                <w:sz w:val="24"/>
              </w:rPr>
              <w:t>20）中城市绿化、道路清扫、消防、建筑施工标准。</w:t>
            </w:r>
            <w:r>
              <w:rPr>
                <w:color w:val="auto"/>
                <w:sz w:val="24"/>
              </w:rPr>
              <w:t>且项目食宿均依托云南鹏腾机械设备制造有限公司的宿舍楼和食堂，不另行设置。因此，项目生活废水依托云南鹏腾机械设备制造有限公司</w:t>
            </w:r>
            <w:r>
              <w:rPr>
                <w:rFonts w:hint="eastAsia"/>
                <w:color w:val="auto"/>
                <w:sz w:val="24"/>
              </w:rPr>
              <w:t>隔油池、化粪池及一体化</w:t>
            </w:r>
            <w:r>
              <w:rPr>
                <w:color w:val="auto"/>
                <w:sz w:val="24"/>
              </w:rPr>
              <w:t>污水处理站处理是合理可行的。</w:t>
            </w:r>
          </w:p>
          <w:p>
            <w:pPr>
              <w:adjustRightInd w:val="0"/>
              <w:snapToGrid w:val="0"/>
              <w:spacing w:line="360" w:lineRule="auto"/>
              <w:ind w:firstLine="480" w:firstLineChars="200"/>
              <w:rPr>
                <w:color w:val="auto"/>
                <w:sz w:val="24"/>
              </w:rPr>
            </w:pPr>
            <w:r>
              <w:rPr>
                <w:rFonts w:hint="eastAsia"/>
                <w:color w:val="auto"/>
                <w:sz w:val="24"/>
              </w:rPr>
              <w:t>根据建设单位提供的资料，云南鹏腾实业有限公司</w:t>
            </w:r>
            <w:r>
              <w:rPr>
                <w:color w:val="auto"/>
                <w:sz w:val="24"/>
                <w:lang w:bidi="ar"/>
              </w:rPr>
              <w:t>内道路</w:t>
            </w:r>
            <w:r>
              <w:rPr>
                <w:rFonts w:hint="eastAsia"/>
                <w:color w:val="auto"/>
                <w:sz w:val="24"/>
                <w:lang w:bidi="ar"/>
              </w:rPr>
              <w:t>、</w:t>
            </w:r>
            <w:r>
              <w:rPr>
                <w:color w:val="auto"/>
                <w:sz w:val="24"/>
                <w:lang w:bidi="ar"/>
              </w:rPr>
              <w:t>硬化场地</w:t>
            </w:r>
            <w:r>
              <w:rPr>
                <w:rFonts w:hint="eastAsia"/>
                <w:color w:val="auto"/>
                <w:sz w:val="24"/>
                <w:lang w:bidi="ar"/>
              </w:rPr>
              <w:t>及绿化面积约为4105</w:t>
            </w:r>
            <w:r>
              <w:rPr>
                <w:color w:val="auto"/>
                <w:sz w:val="24"/>
                <w:lang w:bidi="ar"/>
              </w:rPr>
              <w:t>m</w:t>
            </w:r>
            <w:r>
              <w:rPr>
                <w:color w:val="auto"/>
                <w:sz w:val="24"/>
                <w:vertAlign w:val="superscript"/>
                <w:lang w:bidi="ar"/>
              </w:rPr>
              <w:t>2</w:t>
            </w:r>
            <w:r>
              <w:rPr>
                <w:color w:val="auto"/>
                <w:sz w:val="24"/>
                <w:lang w:bidi="ar"/>
              </w:rPr>
              <w:t>，</w:t>
            </w:r>
            <w:r>
              <w:rPr>
                <w:rFonts w:hint="eastAsia"/>
                <w:color w:val="auto"/>
                <w:sz w:val="24"/>
                <w:lang w:bidi="ar"/>
              </w:rPr>
              <w:t>浇洒用水量按3L/m</w:t>
            </w:r>
            <w:r>
              <w:rPr>
                <w:rFonts w:hint="eastAsia"/>
                <w:color w:val="auto"/>
                <w:sz w:val="24"/>
                <w:vertAlign w:val="superscript"/>
                <w:lang w:bidi="ar"/>
              </w:rPr>
              <w:t>2</w:t>
            </w:r>
            <w:r>
              <w:rPr>
                <w:rFonts w:hint="eastAsia"/>
                <w:color w:val="auto"/>
                <w:sz w:val="24"/>
                <w:lang w:bidi="ar"/>
              </w:rPr>
              <w:t>·次计，非雨天每天浇洒一次，区域</w:t>
            </w:r>
            <w:r>
              <w:rPr>
                <w:color w:val="auto"/>
                <w:sz w:val="24"/>
                <w:lang w:bidi="ar"/>
              </w:rPr>
              <w:t>非雨天按209天，</w:t>
            </w:r>
            <w:r>
              <w:rPr>
                <w:rFonts w:hint="eastAsia"/>
                <w:color w:val="auto"/>
                <w:sz w:val="24"/>
                <w:lang w:bidi="ar"/>
              </w:rPr>
              <w:t>则</w:t>
            </w:r>
            <w:r>
              <w:rPr>
                <w:rFonts w:hint="eastAsia"/>
                <w:color w:val="auto"/>
                <w:sz w:val="24"/>
              </w:rPr>
              <w:t>云南鹏腾实业有限公司</w:t>
            </w:r>
            <w:r>
              <w:rPr>
                <w:color w:val="auto"/>
                <w:sz w:val="24"/>
                <w:lang w:bidi="ar"/>
              </w:rPr>
              <w:t>内道路</w:t>
            </w:r>
            <w:r>
              <w:rPr>
                <w:rFonts w:hint="eastAsia"/>
                <w:color w:val="auto"/>
                <w:sz w:val="24"/>
                <w:lang w:bidi="ar"/>
              </w:rPr>
              <w:t>、</w:t>
            </w:r>
            <w:r>
              <w:rPr>
                <w:color w:val="auto"/>
                <w:sz w:val="24"/>
                <w:lang w:bidi="ar"/>
              </w:rPr>
              <w:t>广场</w:t>
            </w:r>
            <w:r>
              <w:rPr>
                <w:rFonts w:hint="eastAsia"/>
                <w:color w:val="auto"/>
                <w:sz w:val="24"/>
                <w:lang w:bidi="ar"/>
              </w:rPr>
              <w:t>及绿化</w:t>
            </w:r>
            <w:r>
              <w:rPr>
                <w:color w:val="auto"/>
                <w:sz w:val="24"/>
                <w:lang w:bidi="ar"/>
              </w:rPr>
              <w:t>浇洒用水量为</w:t>
            </w:r>
            <w:r>
              <w:rPr>
                <w:rFonts w:hint="eastAsia"/>
                <w:color w:val="auto"/>
                <w:sz w:val="24"/>
                <w:lang w:bidi="ar"/>
              </w:rPr>
              <w:t>12.32</w:t>
            </w:r>
            <w:r>
              <w:rPr>
                <w:color w:val="auto"/>
                <w:sz w:val="24"/>
                <w:lang w:bidi="ar"/>
              </w:rPr>
              <w:t>m</w:t>
            </w:r>
            <w:r>
              <w:rPr>
                <w:color w:val="auto"/>
                <w:sz w:val="24"/>
                <w:vertAlign w:val="superscript"/>
                <w:lang w:bidi="ar"/>
              </w:rPr>
              <w:t>3</w:t>
            </w:r>
            <w:r>
              <w:rPr>
                <w:color w:val="auto"/>
                <w:sz w:val="24"/>
                <w:lang w:bidi="ar"/>
              </w:rPr>
              <w:t>/d，</w:t>
            </w:r>
            <w:r>
              <w:rPr>
                <w:rFonts w:hint="eastAsia"/>
                <w:color w:val="auto"/>
                <w:sz w:val="24"/>
                <w:lang w:bidi="ar"/>
              </w:rPr>
              <w:t>2573.84</w:t>
            </w:r>
            <w:r>
              <w:rPr>
                <w:color w:val="auto"/>
                <w:sz w:val="24"/>
                <w:lang w:bidi="ar"/>
              </w:rPr>
              <w:t>m</w:t>
            </w:r>
            <w:r>
              <w:rPr>
                <w:color w:val="auto"/>
                <w:sz w:val="24"/>
                <w:vertAlign w:val="superscript"/>
                <w:lang w:bidi="ar"/>
              </w:rPr>
              <w:t>3</w:t>
            </w:r>
            <w:r>
              <w:rPr>
                <w:color w:val="auto"/>
                <w:sz w:val="24"/>
                <w:lang w:bidi="ar"/>
              </w:rPr>
              <w:t>/a</w:t>
            </w:r>
            <w:r>
              <w:rPr>
                <w:rFonts w:hint="eastAsia"/>
                <w:color w:val="auto"/>
                <w:sz w:val="24"/>
                <w:lang w:bidi="ar"/>
              </w:rPr>
              <w:t>，</w:t>
            </w:r>
            <w:r>
              <w:rPr>
                <w:color w:val="auto"/>
                <w:sz w:val="24"/>
              </w:rPr>
              <w:t>大于项目</w:t>
            </w:r>
            <w:r>
              <w:rPr>
                <w:rFonts w:hint="eastAsia"/>
                <w:color w:val="auto"/>
                <w:sz w:val="24"/>
              </w:rPr>
              <w:t>及云南鹏腾实业有限公司</w:t>
            </w:r>
            <w:r>
              <w:rPr>
                <w:color w:val="auto"/>
                <w:sz w:val="24"/>
              </w:rPr>
              <w:t>运营期间的</w:t>
            </w:r>
            <w:r>
              <w:rPr>
                <w:rFonts w:hint="eastAsia"/>
                <w:color w:val="auto"/>
                <w:sz w:val="24"/>
              </w:rPr>
              <w:t>生活污水</w:t>
            </w:r>
            <w:r>
              <w:rPr>
                <w:color w:val="auto"/>
                <w:sz w:val="24"/>
              </w:rPr>
              <w:t>量。</w:t>
            </w:r>
            <w:r>
              <w:rPr>
                <w:rFonts w:hint="eastAsia"/>
                <w:color w:val="auto"/>
                <w:sz w:val="24"/>
              </w:rPr>
              <w:t>另外，云南鹏腾实业有限公司配套建设了1个容积为</w:t>
            </w:r>
            <w:r>
              <w:rPr>
                <w:rFonts w:hint="eastAsia"/>
                <w:color w:val="auto"/>
                <w:sz w:val="24"/>
                <w:lang w:val="en-US" w:eastAsia="zh-CN"/>
              </w:rPr>
              <w:t>4</w:t>
            </w:r>
            <w:r>
              <w:rPr>
                <w:rFonts w:hint="eastAsia"/>
                <w:color w:val="auto"/>
                <w:sz w:val="24"/>
              </w:rPr>
              <w:t>0m</w:t>
            </w:r>
            <w:r>
              <w:rPr>
                <w:rFonts w:hint="eastAsia"/>
                <w:color w:val="auto"/>
                <w:sz w:val="24"/>
                <w:vertAlign w:val="superscript"/>
              </w:rPr>
              <w:t>3</w:t>
            </w:r>
            <w:r>
              <w:rPr>
                <w:rFonts w:hint="eastAsia"/>
                <w:color w:val="auto"/>
                <w:sz w:val="24"/>
              </w:rPr>
              <w:t>的蓄水池，用于收集雨天经一体化污水处理设施处理后的清水，满足</w:t>
            </w:r>
            <w:r>
              <w:rPr>
                <w:color w:val="auto"/>
                <w:sz w:val="24"/>
              </w:rPr>
              <w:t>项目</w:t>
            </w:r>
            <w:r>
              <w:rPr>
                <w:rFonts w:hint="eastAsia"/>
                <w:color w:val="auto"/>
                <w:sz w:val="24"/>
              </w:rPr>
              <w:t>及云南鹏腾实业有限公司</w:t>
            </w:r>
            <w:r>
              <w:rPr>
                <w:rFonts w:hint="eastAsia"/>
                <w:color w:val="auto"/>
                <w:sz w:val="24"/>
                <w:lang w:val="en-US" w:eastAsia="zh-CN"/>
              </w:rPr>
              <w:t>6</w:t>
            </w:r>
            <w:r>
              <w:rPr>
                <w:rFonts w:hint="eastAsia"/>
                <w:color w:val="auto"/>
                <w:sz w:val="24"/>
              </w:rPr>
              <w:t>天的生活废水的暂存。</w:t>
            </w:r>
          </w:p>
          <w:p>
            <w:pPr>
              <w:adjustRightInd w:val="0"/>
              <w:snapToGrid w:val="0"/>
              <w:spacing w:line="360" w:lineRule="auto"/>
              <w:ind w:firstLine="480" w:firstLineChars="200"/>
              <w:rPr>
                <w:color w:val="auto"/>
              </w:rPr>
            </w:pPr>
            <w:r>
              <w:rPr>
                <w:rFonts w:hint="eastAsia"/>
                <w:color w:val="auto"/>
                <w:sz w:val="24"/>
              </w:rPr>
              <w:t>综上分析，</w:t>
            </w:r>
            <w:r>
              <w:rPr>
                <w:color w:val="auto"/>
                <w:sz w:val="24"/>
              </w:rPr>
              <w:t>项目</w:t>
            </w:r>
            <w:r>
              <w:rPr>
                <w:rFonts w:hint="eastAsia"/>
                <w:color w:val="auto"/>
                <w:sz w:val="24"/>
              </w:rPr>
              <w:t>生活污水处理设施可行，生活污水可全部处理后达标回用不外排，故项目生活污水处理、回用方案可行。</w:t>
            </w:r>
          </w:p>
          <w:p>
            <w:pPr>
              <w:spacing w:line="360" w:lineRule="auto"/>
              <w:ind w:firstLine="482" w:firstLineChars="200"/>
              <w:rPr>
                <w:b/>
                <w:bCs/>
                <w:color w:val="auto"/>
                <w:sz w:val="24"/>
              </w:rPr>
            </w:pPr>
            <w:r>
              <w:rPr>
                <w:b/>
                <w:bCs/>
                <w:color w:val="auto"/>
                <w:sz w:val="24"/>
              </w:rPr>
              <w:t>（</w:t>
            </w:r>
            <w:r>
              <w:rPr>
                <w:rFonts w:hint="eastAsia"/>
                <w:b/>
                <w:bCs/>
                <w:color w:val="auto"/>
                <w:sz w:val="24"/>
              </w:rPr>
              <w:t>3</w:t>
            </w:r>
            <w:r>
              <w:rPr>
                <w:b/>
                <w:bCs/>
                <w:color w:val="auto"/>
                <w:sz w:val="24"/>
              </w:rPr>
              <w:t>）</w:t>
            </w:r>
            <w:r>
              <w:rPr>
                <w:rFonts w:hint="eastAsia"/>
                <w:b/>
                <w:bCs/>
                <w:color w:val="auto"/>
                <w:sz w:val="24"/>
              </w:rPr>
              <w:t>冷却水处置措施</w:t>
            </w:r>
            <w:r>
              <w:rPr>
                <w:b/>
                <w:bCs/>
                <w:color w:val="auto"/>
                <w:sz w:val="24"/>
              </w:rPr>
              <w:t>可行性分析</w:t>
            </w:r>
          </w:p>
          <w:p>
            <w:pPr>
              <w:spacing w:line="360" w:lineRule="auto"/>
              <w:ind w:firstLine="480" w:firstLineChars="200"/>
              <w:rPr>
                <w:bCs/>
                <w:color w:val="auto"/>
                <w:sz w:val="24"/>
              </w:rPr>
            </w:pPr>
            <w:r>
              <w:rPr>
                <w:rFonts w:hint="eastAsia"/>
                <w:bCs/>
                <w:color w:val="auto"/>
                <w:sz w:val="24"/>
              </w:rPr>
              <w:t>根据上述章节冷却水产生量为77.78t/d，2h循环一次，单次循环量为19.45t，设置容积为22m</w:t>
            </w:r>
            <w:r>
              <w:rPr>
                <w:rFonts w:hint="eastAsia"/>
                <w:bCs/>
                <w:color w:val="auto"/>
                <w:sz w:val="24"/>
                <w:vertAlign w:val="superscript"/>
              </w:rPr>
              <w:t>3</w:t>
            </w:r>
            <w:r>
              <w:rPr>
                <w:rFonts w:hint="eastAsia"/>
                <w:bCs/>
                <w:color w:val="auto"/>
                <w:sz w:val="24"/>
              </w:rPr>
              <w:t>的冷却水池能够满足一次的冷却水的收集暂存需求；冷却水经冷却水池收集后全部循环使用，冷却水温度一般在40℃以下，经冷却2h完全可降至常温进行循环利用，措施可行。</w:t>
            </w:r>
          </w:p>
          <w:p>
            <w:pPr>
              <w:spacing w:line="360" w:lineRule="auto"/>
              <w:ind w:firstLine="482" w:firstLineChars="200"/>
              <w:rPr>
                <w:b/>
                <w:bCs/>
                <w:color w:val="auto"/>
                <w:sz w:val="24"/>
              </w:rPr>
            </w:pPr>
            <w:r>
              <w:rPr>
                <w:rFonts w:hint="eastAsia"/>
                <w:b/>
                <w:bCs/>
                <w:color w:val="auto"/>
                <w:sz w:val="24"/>
              </w:rPr>
              <w:t>（4）事故池可行性分析</w:t>
            </w:r>
          </w:p>
          <w:p>
            <w:pPr>
              <w:spacing w:line="360" w:lineRule="auto"/>
              <w:ind w:firstLine="480" w:firstLineChars="200"/>
              <w:rPr>
                <w:b/>
                <w:bCs/>
                <w:color w:val="auto"/>
                <w:sz w:val="24"/>
              </w:rPr>
            </w:pPr>
            <w:r>
              <w:rPr>
                <w:color w:val="auto"/>
                <w:kern w:val="0"/>
                <w:sz w:val="24"/>
              </w:rPr>
              <w:t>项目设置一个容积为30m</w:t>
            </w:r>
            <w:r>
              <w:rPr>
                <w:color w:val="auto"/>
                <w:kern w:val="0"/>
                <w:sz w:val="24"/>
                <w:vertAlign w:val="superscript"/>
              </w:rPr>
              <w:t>3</w:t>
            </w:r>
            <w:r>
              <w:rPr>
                <w:color w:val="auto"/>
                <w:kern w:val="0"/>
                <w:sz w:val="24"/>
              </w:rPr>
              <w:t>的事故池用于收集污废水收集处理设施事故废水，事故废水主要为清洗废水和地面冲洗废水，清洗废水</w:t>
            </w:r>
            <w:r>
              <w:rPr>
                <w:rFonts w:hint="eastAsia"/>
                <w:color w:val="auto"/>
                <w:kern w:val="0"/>
                <w:sz w:val="24"/>
              </w:rPr>
              <w:t>、</w:t>
            </w:r>
            <w:r>
              <w:rPr>
                <w:color w:val="auto"/>
                <w:kern w:val="0"/>
                <w:sz w:val="24"/>
              </w:rPr>
              <w:t>地面冲洗废水</w:t>
            </w:r>
            <w:r>
              <w:rPr>
                <w:rFonts w:hint="eastAsia"/>
                <w:color w:val="auto"/>
                <w:kern w:val="0"/>
                <w:sz w:val="24"/>
              </w:rPr>
              <w:t>和废气处理系统最大</w:t>
            </w:r>
            <w:r>
              <w:rPr>
                <w:rFonts w:hint="eastAsia"/>
                <w:color w:val="auto"/>
                <w:sz w:val="24"/>
              </w:rPr>
              <w:t>废水产生量为</w:t>
            </w:r>
            <w:r>
              <w:rPr>
                <w:rFonts w:hint="eastAsia"/>
                <w:color w:val="auto"/>
                <w:sz w:val="24"/>
                <w:lang w:val="en-US" w:eastAsia="zh-CN"/>
              </w:rPr>
              <w:t>18.63</w:t>
            </w:r>
            <w:r>
              <w:rPr>
                <w:rFonts w:hint="eastAsia"/>
                <w:color w:val="auto"/>
                <w:sz w:val="24"/>
              </w:rPr>
              <w:t>m</w:t>
            </w:r>
            <w:r>
              <w:rPr>
                <w:rFonts w:hint="eastAsia"/>
                <w:color w:val="auto"/>
                <w:sz w:val="24"/>
                <w:vertAlign w:val="superscript"/>
              </w:rPr>
              <w:t>3</w:t>
            </w:r>
            <w:r>
              <w:rPr>
                <w:rFonts w:hint="eastAsia"/>
                <w:color w:val="auto"/>
                <w:sz w:val="24"/>
              </w:rPr>
              <w:t>/d（废气处理系统废水及地面清洁废水排放时的废水量）</w:t>
            </w:r>
            <w:r>
              <w:rPr>
                <w:color w:val="auto"/>
                <w:kern w:val="0"/>
                <w:sz w:val="24"/>
              </w:rPr>
              <w:t>，容积为30m</w:t>
            </w:r>
            <w:r>
              <w:rPr>
                <w:color w:val="auto"/>
                <w:kern w:val="0"/>
                <w:sz w:val="24"/>
                <w:vertAlign w:val="superscript"/>
              </w:rPr>
              <w:t>3</w:t>
            </w:r>
            <w:r>
              <w:rPr>
                <w:color w:val="auto"/>
                <w:kern w:val="0"/>
                <w:sz w:val="24"/>
              </w:rPr>
              <w:t>的事故池能够满足一天的清洗废水</w:t>
            </w:r>
            <w:r>
              <w:rPr>
                <w:rFonts w:hint="eastAsia"/>
                <w:color w:val="auto"/>
                <w:kern w:val="0"/>
                <w:sz w:val="24"/>
              </w:rPr>
              <w:t>、</w:t>
            </w:r>
            <w:r>
              <w:rPr>
                <w:color w:val="auto"/>
                <w:kern w:val="0"/>
                <w:sz w:val="24"/>
              </w:rPr>
              <w:t>地面冲洗废水</w:t>
            </w:r>
            <w:r>
              <w:rPr>
                <w:rFonts w:hint="eastAsia"/>
                <w:color w:val="auto"/>
                <w:kern w:val="0"/>
                <w:sz w:val="24"/>
              </w:rPr>
              <w:t>和废气处理系统废水</w:t>
            </w:r>
            <w:r>
              <w:rPr>
                <w:color w:val="auto"/>
                <w:kern w:val="0"/>
                <w:sz w:val="24"/>
              </w:rPr>
              <w:t>收集暂存需求，事故池设计</w:t>
            </w:r>
            <w:r>
              <w:rPr>
                <w:rFonts w:hint="eastAsia"/>
                <w:color w:val="auto"/>
                <w:kern w:val="0"/>
                <w:sz w:val="24"/>
              </w:rPr>
              <w:t>可行</w:t>
            </w:r>
            <w:r>
              <w:rPr>
                <w:color w:val="auto"/>
                <w:kern w:val="0"/>
                <w:sz w:val="24"/>
              </w:rPr>
              <w:t>。</w:t>
            </w:r>
          </w:p>
          <w:p>
            <w:pPr>
              <w:spacing w:line="360" w:lineRule="auto"/>
              <w:ind w:firstLine="482" w:firstLineChars="200"/>
              <w:rPr>
                <w:b/>
                <w:bCs/>
                <w:color w:val="auto"/>
                <w:sz w:val="24"/>
              </w:rPr>
            </w:pPr>
            <w:r>
              <w:rPr>
                <w:b/>
                <w:bCs/>
                <w:color w:val="auto"/>
                <w:sz w:val="24"/>
              </w:rPr>
              <w:t>4、项目废水环境影响分析</w:t>
            </w:r>
          </w:p>
          <w:p>
            <w:pPr>
              <w:spacing w:line="360" w:lineRule="auto"/>
              <w:ind w:firstLine="480" w:firstLineChars="200"/>
              <w:rPr>
                <w:color w:val="auto"/>
                <w:sz w:val="24"/>
              </w:rPr>
            </w:pPr>
            <w:r>
              <w:rPr>
                <w:color w:val="auto"/>
                <w:sz w:val="24"/>
              </w:rPr>
              <w:t>综上，项目</w:t>
            </w:r>
            <w:r>
              <w:rPr>
                <w:rFonts w:hint="eastAsia"/>
                <w:color w:val="auto"/>
                <w:sz w:val="24"/>
              </w:rPr>
              <w:t>建成后，</w:t>
            </w:r>
            <w:r>
              <w:rPr>
                <w:color w:val="auto"/>
                <w:sz w:val="24"/>
              </w:rPr>
              <w:t>生产废水包括清洗废水、冷却水、车间地面清洗废水</w:t>
            </w:r>
            <w:r>
              <w:rPr>
                <w:rFonts w:hint="eastAsia"/>
                <w:color w:val="auto"/>
                <w:sz w:val="24"/>
              </w:rPr>
              <w:t>和</w:t>
            </w:r>
            <w:r>
              <w:rPr>
                <w:color w:val="auto"/>
                <w:sz w:val="24"/>
              </w:rPr>
              <w:t>废气处理系统废水</w:t>
            </w:r>
            <w:r>
              <w:rPr>
                <w:rFonts w:hint="eastAsia"/>
                <w:color w:val="auto"/>
                <w:sz w:val="24"/>
              </w:rPr>
              <w:t>；</w:t>
            </w:r>
            <w:r>
              <w:rPr>
                <w:color w:val="auto"/>
                <w:sz w:val="24"/>
              </w:rPr>
              <w:t>清洗废水</w:t>
            </w:r>
            <w:r>
              <w:rPr>
                <w:rFonts w:hint="eastAsia"/>
                <w:color w:val="auto"/>
                <w:sz w:val="24"/>
              </w:rPr>
              <w:t>、</w:t>
            </w:r>
            <w:r>
              <w:rPr>
                <w:color w:val="auto"/>
                <w:sz w:val="24"/>
              </w:rPr>
              <w:t>车间地面清洗废水</w:t>
            </w:r>
            <w:r>
              <w:rPr>
                <w:rFonts w:hint="eastAsia"/>
                <w:color w:val="auto"/>
                <w:sz w:val="24"/>
              </w:rPr>
              <w:t>、废气处理系统废水</w:t>
            </w:r>
            <w:r>
              <w:rPr>
                <w:color w:val="auto"/>
                <w:sz w:val="24"/>
              </w:rPr>
              <w:t>主要污染物为COD、氨氮、石油类、SS，经污水处理设施（</w:t>
            </w:r>
            <w:r>
              <w:rPr>
                <w:rFonts w:hint="eastAsia"/>
                <w:color w:val="auto"/>
                <w:sz w:val="24"/>
              </w:rPr>
              <w:t>格栅+隔油+水解</w:t>
            </w:r>
            <w:r>
              <w:rPr>
                <w:color w:val="auto"/>
                <w:sz w:val="24"/>
              </w:rPr>
              <w:t>+</w:t>
            </w:r>
            <w:r>
              <w:rPr>
                <w:rFonts w:hint="eastAsia"/>
                <w:color w:val="auto"/>
                <w:sz w:val="24"/>
              </w:rPr>
              <w:t>生物接触氧化法</w:t>
            </w:r>
            <w:r>
              <w:rPr>
                <w:color w:val="auto"/>
                <w:sz w:val="24"/>
              </w:rPr>
              <w:t>）处理后汇入清水</w:t>
            </w:r>
            <w:r>
              <w:rPr>
                <w:rFonts w:hint="eastAsia"/>
                <w:color w:val="auto"/>
                <w:sz w:val="24"/>
              </w:rPr>
              <w:t>回用</w:t>
            </w:r>
            <w:r>
              <w:rPr>
                <w:color w:val="auto"/>
                <w:sz w:val="24"/>
              </w:rPr>
              <w:t>池回用于生产线，不外排</w:t>
            </w:r>
            <w:r>
              <w:rPr>
                <w:rFonts w:hint="eastAsia"/>
                <w:color w:val="auto"/>
                <w:sz w:val="24"/>
              </w:rPr>
              <w:t>；冷却水循环使用，不外排</w:t>
            </w:r>
            <w:r>
              <w:rPr>
                <w:color w:val="auto"/>
                <w:sz w:val="24"/>
              </w:rPr>
              <w:t>。生活污水</w:t>
            </w:r>
            <w:r>
              <w:rPr>
                <w:rFonts w:hint="eastAsia"/>
                <w:color w:val="auto"/>
                <w:sz w:val="24"/>
              </w:rPr>
              <w:t>依托</w:t>
            </w:r>
            <w:r>
              <w:rPr>
                <w:color w:val="auto"/>
                <w:sz w:val="24"/>
              </w:rPr>
              <w:t>云南鹏腾机械设备制造有限公司污水处理设施处理后，回用于绿化，不外排。</w:t>
            </w:r>
            <w:r>
              <w:rPr>
                <w:rFonts w:hint="eastAsia"/>
                <w:color w:val="auto"/>
                <w:sz w:val="24"/>
              </w:rPr>
              <w:t>项目建成后</w:t>
            </w:r>
            <w:r>
              <w:rPr>
                <w:color w:val="auto"/>
                <w:sz w:val="24"/>
              </w:rPr>
              <w:t>无新增外排废水，对周围环境影响不大。</w:t>
            </w:r>
          </w:p>
          <w:p>
            <w:pPr>
              <w:spacing w:line="360" w:lineRule="auto"/>
              <w:ind w:left="420" w:leftChars="200"/>
              <w:rPr>
                <w:b/>
                <w:bCs/>
                <w:color w:val="auto"/>
                <w:sz w:val="24"/>
              </w:rPr>
            </w:pPr>
            <w:r>
              <w:rPr>
                <w:b/>
                <w:bCs/>
                <w:color w:val="auto"/>
                <w:sz w:val="24"/>
              </w:rPr>
              <w:t>5、自行监测要求</w:t>
            </w:r>
          </w:p>
          <w:p>
            <w:pPr>
              <w:spacing w:line="360" w:lineRule="auto"/>
              <w:ind w:firstLine="480" w:firstLineChars="200"/>
              <w:rPr>
                <w:color w:val="auto"/>
                <w:sz w:val="24"/>
              </w:rPr>
            </w:pPr>
            <w:r>
              <w:rPr>
                <w:rFonts w:hint="eastAsia"/>
                <w:color w:val="auto"/>
                <w:sz w:val="24"/>
              </w:rPr>
              <w:t>项目</w:t>
            </w:r>
            <w:r>
              <w:rPr>
                <w:color w:val="auto"/>
                <w:sz w:val="24"/>
              </w:rPr>
              <w:t>排污监测计划根据</w:t>
            </w:r>
            <w:r>
              <w:rPr>
                <w:rFonts w:hint="eastAsia"/>
                <w:color w:val="auto"/>
                <w:sz w:val="24"/>
              </w:rPr>
              <w:t>《排污单位自行监测技术指南 总则》（HJ819-2017）、</w:t>
            </w:r>
            <w:r>
              <w:rPr>
                <w:color w:val="auto"/>
                <w:sz w:val="24"/>
              </w:rPr>
              <w:t>《排污许可证申请与核发技术规范</w:t>
            </w:r>
            <w:r>
              <w:rPr>
                <w:rFonts w:hint="eastAsia"/>
                <w:color w:val="auto"/>
                <w:sz w:val="24"/>
              </w:rPr>
              <w:t xml:space="preserve"> </w:t>
            </w:r>
            <w:r>
              <w:rPr>
                <w:color w:val="auto"/>
                <w:sz w:val="24"/>
              </w:rPr>
              <w:t>废弃资源加工工业》（HJ1034-2019）</w:t>
            </w:r>
            <w:r>
              <w:rPr>
                <w:rFonts w:hint="eastAsia"/>
                <w:color w:val="auto"/>
                <w:sz w:val="24"/>
              </w:rPr>
              <w:t>要求执行</w:t>
            </w:r>
            <w:r>
              <w:rPr>
                <w:color w:val="auto"/>
                <w:sz w:val="24"/>
              </w:rPr>
              <w:t>，本项目不设排放口，无废水外排，</w:t>
            </w:r>
            <w:r>
              <w:rPr>
                <w:rFonts w:hint="eastAsia"/>
                <w:color w:val="auto"/>
                <w:sz w:val="24"/>
              </w:rPr>
              <w:t>生活污水</w:t>
            </w:r>
            <w:r>
              <w:rPr>
                <w:color w:val="auto"/>
                <w:sz w:val="24"/>
              </w:rPr>
              <w:t>依托云南鹏腾机械设备制造有限公司厂区内建好的污水处理设施处理，由云南鹏腾机械设备制造有限公司负责运行管理，负责自行监测，本项目不再重复要求，因此不设监测要求。</w:t>
            </w:r>
          </w:p>
          <w:p>
            <w:pPr>
              <w:spacing w:line="360" w:lineRule="auto"/>
              <w:ind w:firstLine="482" w:firstLineChars="200"/>
              <w:rPr>
                <w:b/>
                <w:bCs/>
                <w:color w:val="auto"/>
                <w:sz w:val="24"/>
              </w:rPr>
            </w:pPr>
            <w:r>
              <w:rPr>
                <w:b/>
                <w:bCs/>
                <w:color w:val="auto"/>
                <w:sz w:val="24"/>
              </w:rPr>
              <w:t>三、运营期噪声环境影响及防治措施</w:t>
            </w:r>
          </w:p>
          <w:p>
            <w:pPr>
              <w:spacing w:line="360" w:lineRule="auto"/>
              <w:ind w:firstLine="482" w:firstLineChars="200"/>
              <w:rPr>
                <w:b/>
                <w:bCs/>
                <w:color w:val="auto"/>
                <w:sz w:val="24"/>
              </w:rPr>
            </w:pPr>
            <w:r>
              <w:rPr>
                <w:b/>
                <w:bCs/>
                <w:color w:val="auto"/>
                <w:sz w:val="24"/>
              </w:rPr>
              <w:t>1、噪声源强</w:t>
            </w:r>
          </w:p>
          <w:p>
            <w:pPr>
              <w:spacing w:line="360" w:lineRule="auto"/>
              <w:ind w:firstLine="480" w:firstLineChars="200"/>
              <w:rPr>
                <w:color w:val="auto"/>
                <w:sz w:val="24"/>
              </w:rPr>
            </w:pPr>
            <w:r>
              <w:rPr>
                <w:color w:val="auto"/>
                <w:sz w:val="24"/>
              </w:rPr>
              <w:t>项目噪声源主要为设备噪声，具体噪声源强详见表4-</w:t>
            </w:r>
            <w:r>
              <w:rPr>
                <w:rFonts w:hint="eastAsia"/>
                <w:color w:val="auto"/>
                <w:sz w:val="24"/>
              </w:rPr>
              <w:t>8、4-9</w:t>
            </w:r>
            <w:r>
              <w:rPr>
                <w:color w:val="auto"/>
                <w:sz w:val="24"/>
              </w:rPr>
              <w:t>所示。</w:t>
            </w:r>
          </w:p>
        </w:tc>
      </w:tr>
    </w:tbl>
    <w:p>
      <w:pPr>
        <w:jc w:val="center"/>
        <w:rPr>
          <w:color w:val="auto"/>
        </w:rPr>
        <w:sectPr>
          <w:footerReference r:id="rId5" w:type="default"/>
          <w:pgSz w:w="11906" w:h="16838"/>
          <w:pgMar w:top="1531" w:right="1701" w:bottom="1531" w:left="1701" w:header="851" w:footer="851" w:gutter="0"/>
          <w:pgNumType w:start="1"/>
          <w:cols w:space="720" w:num="1"/>
          <w:docGrid w:linePitch="312" w:charSpace="0"/>
        </w:sectPr>
      </w:pPr>
      <w:bookmarkStart w:id="26" w:name="_Toc23538"/>
      <w:bookmarkStart w:id="27" w:name="_Toc6431"/>
      <w:bookmarkStart w:id="28" w:name="_Toc18351"/>
    </w:p>
    <w:p>
      <w:pPr>
        <w:pStyle w:val="9"/>
        <w:keepNext/>
        <w:ind w:firstLine="0"/>
        <w:rPr>
          <w:rFonts w:ascii="Times New Roman" w:hAnsi="Times New Roman" w:cs="Times New Roman"/>
          <w:bCs w:val="0"/>
          <w:color w:val="auto"/>
        </w:rPr>
      </w:pPr>
      <w:r>
        <w:rPr>
          <w:rFonts w:ascii="Times New Roman" w:hAnsi="Times New Roman" w:cs="Times New Roman"/>
          <w:bCs w:val="0"/>
          <w:color w:val="auto"/>
        </w:rPr>
        <w:t>表</w:t>
      </w:r>
      <w:r>
        <w:rPr>
          <w:rFonts w:hint="eastAsia" w:ascii="Times New Roman" w:hAnsi="Times New Roman" w:cs="Times New Roman"/>
          <w:bCs w:val="0"/>
          <w:color w:val="auto"/>
        </w:rPr>
        <w:t>4-8</w:t>
      </w:r>
      <w:r>
        <w:rPr>
          <w:rFonts w:ascii="Times New Roman" w:hAnsi="Times New Roman" w:cs="Times New Roman"/>
          <w:bCs w:val="0"/>
          <w:color w:val="auto"/>
        </w:rPr>
        <w:t xml:space="preserve">  噪声源强表  </w:t>
      </w:r>
      <w:r>
        <w:rPr>
          <w:rFonts w:hint="eastAsia" w:ascii="Times New Roman" w:hAnsi="Times New Roman" w:cs="Times New Roman"/>
          <w:bCs w:val="0"/>
          <w:color w:val="auto"/>
        </w:rPr>
        <w:t>（室内声源）</w:t>
      </w:r>
    </w:p>
    <w:tbl>
      <w:tblPr>
        <w:tblStyle w:val="3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677"/>
        <w:gridCol w:w="1681"/>
        <w:gridCol w:w="1913"/>
        <w:gridCol w:w="878"/>
        <w:gridCol w:w="1177"/>
        <w:gridCol w:w="679"/>
        <w:gridCol w:w="797"/>
        <w:gridCol w:w="898"/>
        <w:gridCol w:w="682"/>
        <w:gridCol w:w="954"/>
        <w:gridCol w:w="665"/>
        <w:gridCol w:w="769"/>
        <w:gridCol w:w="82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04" w:type="pct"/>
            <w:vMerge w:val="restart"/>
          </w:tcPr>
          <w:p>
            <w:pPr>
              <w:adjustRightInd w:val="0"/>
              <w:snapToGrid w:val="0"/>
              <w:jc w:val="center"/>
              <w:rPr>
                <w:color w:val="auto"/>
                <w:szCs w:val="21"/>
              </w:rPr>
            </w:pPr>
            <w:r>
              <w:rPr>
                <w:rFonts w:hint="eastAsia"/>
                <w:color w:val="auto"/>
                <w:szCs w:val="21"/>
              </w:rPr>
              <w:t>序号</w:t>
            </w:r>
          </w:p>
        </w:tc>
        <w:tc>
          <w:tcPr>
            <w:tcW w:w="242" w:type="pct"/>
            <w:vMerge w:val="restart"/>
          </w:tcPr>
          <w:p>
            <w:pPr>
              <w:adjustRightInd w:val="0"/>
              <w:snapToGrid w:val="0"/>
              <w:jc w:val="center"/>
              <w:rPr>
                <w:color w:val="auto"/>
                <w:szCs w:val="21"/>
              </w:rPr>
            </w:pPr>
            <w:r>
              <w:rPr>
                <w:rFonts w:hint="eastAsia"/>
                <w:color w:val="auto"/>
                <w:szCs w:val="21"/>
              </w:rPr>
              <w:t>建筑物名称</w:t>
            </w:r>
          </w:p>
        </w:tc>
        <w:tc>
          <w:tcPr>
            <w:tcW w:w="601" w:type="pct"/>
            <w:vMerge w:val="restart"/>
          </w:tcPr>
          <w:p>
            <w:pPr>
              <w:adjustRightInd w:val="0"/>
              <w:snapToGrid w:val="0"/>
              <w:jc w:val="center"/>
              <w:rPr>
                <w:color w:val="auto"/>
                <w:szCs w:val="21"/>
              </w:rPr>
            </w:pPr>
            <w:r>
              <w:rPr>
                <w:rFonts w:hint="eastAsia"/>
                <w:color w:val="auto"/>
                <w:szCs w:val="21"/>
              </w:rPr>
              <w:t>声源名称</w:t>
            </w:r>
          </w:p>
        </w:tc>
        <w:tc>
          <w:tcPr>
            <w:tcW w:w="684" w:type="pct"/>
            <w:vMerge w:val="restart"/>
          </w:tcPr>
          <w:p>
            <w:pPr>
              <w:adjustRightInd w:val="0"/>
              <w:snapToGrid w:val="0"/>
              <w:jc w:val="center"/>
              <w:rPr>
                <w:color w:val="auto"/>
                <w:szCs w:val="21"/>
              </w:rPr>
            </w:pPr>
            <w:r>
              <w:rPr>
                <w:rFonts w:hint="eastAsia"/>
                <w:color w:val="auto"/>
                <w:szCs w:val="21"/>
              </w:rPr>
              <w:t>型号</w:t>
            </w:r>
          </w:p>
        </w:tc>
        <w:tc>
          <w:tcPr>
            <w:tcW w:w="314" w:type="pct"/>
          </w:tcPr>
          <w:p>
            <w:pPr>
              <w:adjustRightInd w:val="0"/>
              <w:snapToGrid w:val="0"/>
              <w:jc w:val="center"/>
              <w:rPr>
                <w:color w:val="auto"/>
                <w:szCs w:val="21"/>
              </w:rPr>
            </w:pPr>
            <w:r>
              <w:rPr>
                <w:rFonts w:hint="eastAsia"/>
                <w:color w:val="auto"/>
                <w:szCs w:val="21"/>
              </w:rPr>
              <w:t>声源源强</w:t>
            </w:r>
          </w:p>
        </w:tc>
        <w:tc>
          <w:tcPr>
            <w:tcW w:w="421" w:type="pct"/>
            <w:vMerge w:val="restart"/>
          </w:tcPr>
          <w:p>
            <w:pPr>
              <w:adjustRightInd w:val="0"/>
              <w:snapToGrid w:val="0"/>
              <w:jc w:val="center"/>
              <w:rPr>
                <w:color w:val="auto"/>
                <w:szCs w:val="21"/>
              </w:rPr>
            </w:pPr>
            <w:r>
              <w:rPr>
                <w:rFonts w:hint="eastAsia"/>
                <w:color w:val="auto"/>
                <w:szCs w:val="21"/>
              </w:rPr>
              <w:t>声源控制措施</w:t>
            </w:r>
          </w:p>
        </w:tc>
        <w:tc>
          <w:tcPr>
            <w:tcW w:w="849" w:type="pct"/>
            <w:gridSpan w:val="3"/>
          </w:tcPr>
          <w:p>
            <w:pPr>
              <w:adjustRightInd w:val="0"/>
              <w:snapToGrid w:val="0"/>
              <w:jc w:val="center"/>
              <w:rPr>
                <w:color w:val="auto"/>
                <w:szCs w:val="21"/>
              </w:rPr>
            </w:pPr>
            <w:r>
              <w:rPr>
                <w:rFonts w:hint="eastAsia"/>
                <w:color w:val="auto"/>
                <w:szCs w:val="21"/>
              </w:rPr>
              <w:t>空间相对位置/m</w:t>
            </w:r>
          </w:p>
        </w:tc>
        <w:tc>
          <w:tcPr>
            <w:tcW w:w="244" w:type="pct"/>
            <w:vMerge w:val="restart"/>
          </w:tcPr>
          <w:p>
            <w:pPr>
              <w:adjustRightInd w:val="0"/>
              <w:snapToGrid w:val="0"/>
              <w:jc w:val="center"/>
              <w:rPr>
                <w:color w:val="auto"/>
                <w:szCs w:val="21"/>
              </w:rPr>
            </w:pPr>
            <w:r>
              <w:rPr>
                <w:rFonts w:hint="eastAsia"/>
                <w:color w:val="auto"/>
                <w:szCs w:val="21"/>
              </w:rPr>
              <w:t>距室内边界距离/m</w:t>
            </w:r>
          </w:p>
        </w:tc>
        <w:tc>
          <w:tcPr>
            <w:tcW w:w="341" w:type="pct"/>
            <w:vMerge w:val="restart"/>
          </w:tcPr>
          <w:p>
            <w:pPr>
              <w:adjustRightInd w:val="0"/>
              <w:snapToGrid w:val="0"/>
              <w:jc w:val="center"/>
              <w:rPr>
                <w:color w:val="auto"/>
                <w:szCs w:val="21"/>
              </w:rPr>
            </w:pPr>
            <w:r>
              <w:rPr>
                <w:rFonts w:hint="eastAsia"/>
                <w:color w:val="auto"/>
                <w:szCs w:val="21"/>
              </w:rPr>
              <w:t>室内边界声级/dB（A）</w:t>
            </w:r>
          </w:p>
        </w:tc>
        <w:tc>
          <w:tcPr>
            <w:tcW w:w="238" w:type="pct"/>
            <w:vMerge w:val="restart"/>
          </w:tcPr>
          <w:p>
            <w:pPr>
              <w:adjustRightInd w:val="0"/>
              <w:snapToGrid w:val="0"/>
              <w:jc w:val="center"/>
              <w:rPr>
                <w:color w:val="auto"/>
                <w:szCs w:val="21"/>
              </w:rPr>
            </w:pPr>
            <w:r>
              <w:rPr>
                <w:rFonts w:hint="eastAsia"/>
                <w:color w:val="auto"/>
                <w:szCs w:val="21"/>
              </w:rPr>
              <w:t>运行时段</w:t>
            </w:r>
          </w:p>
        </w:tc>
        <w:tc>
          <w:tcPr>
            <w:tcW w:w="275" w:type="pct"/>
            <w:vMerge w:val="restart"/>
          </w:tcPr>
          <w:p>
            <w:pPr>
              <w:adjustRightInd w:val="0"/>
              <w:snapToGrid w:val="0"/>
              <w:jc w:val="center"/>
              <w:rPr>
                <w:color w:val="auto"/>
                <w:szCs w:val="21"/>
              </w:rPr>
            </w:pPr>
            <w:r>
              <w:rPr>
                <w:rFonts w:hint="eastAsia"/>
                <w:color w:val="auto"/>
                <w:szCs w:val="21"/>
              </w:rPr>
              <w:t>建筑物插入损失/dB（A）</w:t>
            </w:r>
          </w:p>
        </w:tc>
        <w:tc>
          <w:tcPr>
            <w:tcW w:w="578" w:type="pct"/>
            <w:gridSpan w:val="2"/>
          </w:tcPr>
          <w:p>
            <w:pPr>
              <w:adjustRightInd w:val="0"/>
              <w:snapToGrid w:val="0"/>
              <w:jc w:val="center"/>
              <w:rPr>
                <w:color w:val="auto"/>
                <w:szCs w:val="21"/>
              </w:rPr>
            </w:pPr>
            <w:r>
              <w:rPr>
                <w:rFonts w:hint="eastAsia"/>
                <w:color w:val="auto"/>
                <w:szCs w:val="21"/>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04" w:type="pct"/>
            <w:vMerge w:val="continue"/>
          </w:tcPr>
          <w:p>
            <w:pPr>
              <w:adjustRightInd w:val="0"/>
              <w:snapToGrid w:val="0"/>
              <w:jc w:val="center"/>
              <w:rPr>
                <w:color w:val="auto"/>
              </w:rPr>
            </w:pPr>
          </w:p>
        </w:tc>
        <w:tc>
          <w:tcPr>
            <w:tcW w:w="242" w:type="pct"/>
            <w:vMerge w:val="continue"/>
          </w:tcPr>
          <w:p>
            <w:pPr>
              <w:adjustRightInd w:val="0"/>
              <w:snapToGrid w:val="0"/>
              <w:jc w:val="center"/>
              <w:rPr>
                <w:color w:val="auto"/>
              </w:rPr>
            </w:pPr>
          </w:p>
        </w:tc>
        <w:tc>
          <w:tcPr>
            <w:tcW w:w="601" w:type="pct"/>
            <w:vMerge w:val="continue"/>
          </w:tcPr>
          <w:p>
            <w:pPr>
              <w:adjustRightInd w:val="0"/>
              <w:snapToGrid w:val="0"/>
              <w:jc w:val="center"/>
              <w:rPr>
                <w:color w:val="auto"/>
              </w:rPr>
            </w:pPr>
          </w:p>
        </w:tc>
        <w:tc>
          <w:tcPr>
            <w:tcW w:w="684" w:type="pct"/>
            <w:vMerge w:val="continue"/>
          </w:tcPr>
          <w:p>
            <w:pPr>
              <w:adjustRightInd w:val="0"/>
              <w:snapToGrid w:val="0"/>
              <w:jc w:val="center"/>
              <w:rPr>
                <w:color w:val="auto"/>
                <w:szCs w:val="21"/>
              </w:rPr>
            </w:pPr>
          </w:p>
        </w:tc>
        <w:tc>
          <w:tcPr>
            <w:tcW w:w="314" w:type="pct"/>
          </w:tcPr>
          <w:p>
            <w:pPr>
              <w:adjustRightInd w:val="0"/>
              <w:snapToGrid w:val="0"/>
              <w:jc w:val="center"/>
              <w:rPr>
                <w:color w:val="auto"/>
                <w:szCs w:val="21"/>
              </w:rPr>
            </w:pPr>
            <w:r>
              <w:rPr>
                <w:rFonts w:hint="eastAsia"/>
                <w:color w:val="auto"/>
                <w:szCs w:val="21"/>
              </w:rPr>
              <w:t>声功率级/dB（A）</w:t>
            </w:r>
          </w:p>
        </w:tc>
        <w:tc>
          <w:tcPr>
            <w:tcW w:w="421" w:type="pct"/>
            <w:vMerge w:val="continue"/>
          </w:tcPr>
          <w:p>
            <w:pPr>
              <w:adjustRightInd w:val="0"/>
              <w:snapToGrid w:val="0"/>
              <w:jc w:val="center"/>
              <w:rPr>
                <w:color w:val="auto"/>
              </w:rPr>
            </w:pPr>
          </w:p>
        </w:tc>
        <w:tc>
          <w:tcPr>
            <w:tcW w:w="243" w:type="pct"/>
          </w:tcPr>
          <w:p>
            <w:pPr>
              <w:adjustRightInd w:val="0"/>
              <w:snapToGrid w:val="0"/>
              <w:jc w:val="center"/>
              <w:rPr>
                <w:color w:val="auto"/>
                <w:szCs w:val="21"/>
              </w:rPr>
            </w:pPr>
            <w:r>
              <w:rPr>
                <w:rFonts w:hint="eastAsia"/>
                <w:color w:val="auto"/>
                <w:szCs w:val="21"/>
              </w:rPr>
              <w:t>X</w:t>
            </w:r>
          </w:p>
        </w:tc>
        <w:tc>
          <w:tcPr>
            <w:tcW w:w="285" w:type="pct"/>
          </w:tcPr>
          <w:p>
            <w:pPr>
              <w:adjustRightInd w:val="0"/>
              <w:snapToGrid w:val="0"/>
              <w:jc w:val="center"/>
              <w:rPr>
                <w:color w:val="auto"/>
                <w:szCs w:val="21"/>
              </w:rPr>
            </w:pPr>
            <w:r>
              <w:rPr>
                <w:rFonts w:hint="eastAsia"/>
                <w:color w:val="auto"/>
                <w:szCs w:val="21"/>
              </w:rPr>
              <w:t>Y</w:t>
            </w:r>
          </w:p>
        </w:tc>
        <w:tc>
          <w:tcPr>
            <w:tcW w:w="320" w:type="pct"/>
          </w:tcPr>
          <w:p>
            <w:pPr>
              <w:adjustRightInd w:val="0"/>
              <w:snapToGrid w:val="0"/>
              <w:jc w:val="center"/>
              <w:rPr>
                <w:color w:val="auto"/>
                <w:szCs w:val="21"/>
              </w:rPr>
            </w:pPr>
            <w:r>
              <w:rPr>
                <w:rFonts w:hint="eastAsia"/>
                <w:color w:val="auto"/>
                <w:szCs w:val="21"/>
              </w:rPr>
              <w:t>Z</w:t>
            </w:r>
          </w:p>
        </w:tc>
        <w:tc>
          <w:tcPr>
            <w:tcW w:w="244" w:type="pct"/>
            <w:vMerge w:val="continue"/>
          </w:tcPr>
          <w:p>
            <w:pPr>
              <w:adjustRightInd w:val="0"/>
              <w:snapToGrid w:val="0"/>
              <w:jc w:val="center"/>
              <w:rPr>
                <w:color w:val="auto"/>
                <w:szCs w:val="21"/>
              </w:rPr>
            </w:pPr>
          </w:p>
        </w:tc>
        <w:tc>
          <w:tcPr>
            <w:tcW w:w="341" w:type="pct"/>
            <w:vMerge w:val="continue"/>
          </w:tcPr>
          <w:p>
            <w:pPr>
              <w:adjustRightInd w:val="0"/>
              <w:snapToGrid w:val="0"/>
              <w:jc w:val="center"/>
              <w:rPr>
                <w:color w:val="auto"/>
                <w:szCs w:val="21"/>
              </w:rPr>
            </w:pPr>
          </w:p>
        </w:tc>
        <w:tc>
          <w:tcPr>
            <w:tcW w:w="238" w:type="pct"/>
            <w:vMerge w:val="continue"/>
          </w:tcPr>
          <w:p>
            <w:pPr>
              <w:adjustRightInd w:val="0"/>
              <w:snapToGrid w:val="0"/>
              <w:jc w:val="center"/>
              <w:rPr>
                <w:color w:val="auto"/>
                <w:szCs w:val="21"/>
              </w:rPr>
            </w:pPr>
          </w:p>
        </w:tc>
        <w:tc>
          <w:tcPr>
            <w:tcW w:w="275" w:type="pct"/>
            <w:vMerge w:val="continue"/>
          </w:tcPr>
          <w:p>
            <w:pPr>
              <w:adjustRightInd w:val="0"/>
              <w:snapToGrid w:val="0"/>
              <w:jc w:val="center"/>
              <w:rPr>
                <w:color w:val="auto"/>
                <w:szCs w:val="21"/>
              </w:rPr>
            </w:pPr>
          </w:p>
        </w:tc>
        <w:tc>
          <w:tcPr>
            <w:tcW w:w="295" w:type="pct"/>
          </w:tcPr>
          <w:p>
            <w:pPr>
              <w:adjustRightInd w:val="0"/>
              <w:snapToGrid w:val="0"/>
              <w:jc w:val="center"/>
              <w:rPr>
                <w:color w:val="auto"/>
                <w:szCs w:val="21"/>
              </w:rPr>
            </w:pPr>
            <w:r>
              <w:rPr>
                <w:rFonts w:hint="eastAsia"/>
                <w:color w:val="auto"/>
                <w:szCs w:val="21"/>
              </w:rPr>
              <w:t>声压级/dB（A）</w:t>
            </w:r>
          </w:p>
        </w:tc>
        <w:tc>
          <w:tcPr>
            <w:tcW w:w="282" w:type="pct"/>
          </w:tcPr>
          <w:p>
            <w:pPr>
              <w:adjustRightInd w:val="0"/>
              <w:snapToGrid w:val="0"/>
              <w:jc w:val="center"/>
              <w:rPr>
                <w:color w:val="auto"/>
                <w:szCs w:val="21"/>
              </w:rPr>
            </w:pPr>
            <w:r>
              <w:rPr>
                <w:rFonts w:hint="eastAsia"/>
                <w:color w:val="auto"/>
                <w:szCs w:val="21"/>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204" w:type="pct"/>
            <w:vMerge w:val="restart"/>
          </w:tcPr>
          <w:p>
            <w:pPr>
              <w:adjustRightInd w:val="0"/>
              <w:snapToGrid w:val="0"/>
              <w:jc w:val="center"/>
              <w:rPr>
                <w:color w:val="auto"/>
                <w:szCs w:val="21"/>
              </w:rPr>
            </w:pPr>
            <w:r>
              <w:rPr>
                <w:rFonts w:hint="eastAsia"/>
                <w:color w:val="auto"/>
                <w:szCs w:val="21"/>
              </w:rPr>
              <w:t>N1</w:t>
            </w:r>
          </w:p>
        </w:tc>
        <w:tc>
          <w:tcPr>
            <w:tcW w:w="242" w:type="pct"/>
            <w:vMerge w:val="restart"/>
          </w:tcPr>
          <w:p>
            <w:pPr>
              <w:adjustRightInd w:val="0"/>
              <w:snapToGrid w:val="0"/>
              <w:jc w:val="center"/>
              <w:rPr>
                <w:color w:val="auto"/>
                <w:szCs w:val="21"/>
              </w:rPr>
            </w:pPr>
            <w:r>
              <w:rPr>
                <w:rFonts w:hint="eastAsia"/>
                <w:color w:val="auto"/>
                <w:szCs w:val="21"/>
              </w:rPr>
              <w:t>生产车间</w:t>
            </w:r>
          </w:p>
        </w:tc>
        <w:tc>
          <w:tcPr>
            <w:tcW w:w="601" w:type="pct"/>
            <w:vAlign w:val="center"/>
          </w:tcPr>
          <w:p>
            <w:pPr>
              <w:spacing w:line="360" w:lineRule="auto"/>
              <w:jc w:val="center"/>
              <w:rPr>
                <w:color w:val="auto"/>
                <w:szCs w:val="21"/>
              </w:rPr>
            </w:pPr>
            <w:r>
              <w:rPr>
                <w:color w:val="auto"/>
                <w:szCs w:val="21"/>
              </w:rPr>
              <w:t>皮带上料机</w:t>
            </w:r>
          </w:p>
        </w:tc>
        <w:tc>
          <w:tcPr>
            <w:tcW w:w="1946" w:type="dxa"/>
            <w:vAlign w:val="center"/>
          </w:tcPr>
          <w:p>
            <w:pPr>
              <w:jc w:val="center"/>
              <w:rPr>
                <w:color w:val="auto"/>
                <w:szCs w:val="21"/>
              </w:rPr>
            </w:pPr>
            <w:r>
              <w:rPr>
                <w:rFonts w:hint="eastAsia"/>
                <w:color w:val="auto"/>
                <w:szCs w:val="21"/>
              </w:rPr>
              <w:t>D100型</w:t>
            </w:r>
          </w:p>
        </w:tc>
        <w:tc>
          <w:tcPr>
            <w:tcW w:w="314" w:type="pct"/>
            <w:vAlign w:val="center"/>
          </w:tcPr>
          <w:p>
            <w:pPr>
              <w:spacing w:line="360" w:lineRule="auto"/>
              <w:jc w:val="center"/>
              <w:rPr>
                <w:color w:val="auto"/>
                <w:szCs w:val="21"/>
              </w:rPr>
            </w:pPr>
            <w:r>
              <w:rPr>
                <w:color w:val="auto"/>
                <w:szCs w:val="21"/>
              </w:rPr>
              <w:t>70</w:t>
            </w:r>
          </w:p>
        </w:tc>
        <w:tc>
          <w:tcPr>
            <w:tcW w:w="421" w:type="pct"/>
            <w:vMerge w:val="restart"/>
          </w:tcPr>
          <w:p>
            <w:pPr>
              <w:adjustRightInd w:val="0"/>
              <w:snapToGrid w:val="0"/>
              <w:jc w:val="center"/>
              <w:rPr>
                <w:color w:val="auto"/>
                <w:szCs w:val="21"/>
              </w:rPr>
            </w:pPr>
            <w:r>
              <w:rPr>
                <w:color w:val="auto"/>
                <w:szCs w:val="21"/>
              </w:rPr>
              <w:t>选用低噪声设备、优化布局、基础减振、封闭厂房隔声、设备隔声罩、消声器</w:t>
            </w:r>
          </w:p>
        </w:tc>
        <w:tc>
          <w:tcPr>
            <w:tcW w:w="243" w:type="pct"/>
            <w:vAlign w:val="center"/>
          </w:tcPr>
          <w:p>
            <w:pPr>
              <w:adjustRightInd w:val="0"/>
              <w:snapToGrid w:val="0"/>
              <w:jc w:val="center"/>
              <w:rPr>
                <w:color w:val="auto"/>
                <w:szCs w:val="21"/>
              </w:rPr>
            </w:pPr>
            <w:r>
              <w:rPr>
                <w:rFonts w:hint="eastAsia"/>
                <w:color w:val="auto"/>
                <w:szCs w:val="21"/>
              </w:rPr>
              <w:t>-5.4</w:t>
            </w:r>
          </w:p>
        </w:tc>
        <w:tc>
          <w:tcPr>
            <w:tcW w:w="285" w:type="pct"/>
            <w:vAlign w:val="center"/>
          </w:tcPr>
          <w:p>
            <w:pPr>
              <w:adjustRightInd w:val="0"/>
              <w:snapToGrid w:val="0"/>
              <w:jc w:val="center"/>
              <w:rPr>
                <w:color w:val="auto"/>
                <w:szCs w:val="21"/>
              </w:rPr>
            </w:pPr>
            <w:r>
              <w:rPr>
                <w:rFonts w:hint="eastAsia"/>
                <w:color w:val="auto"/>
                <w:szCs w:val="21"/>
              </w:rPr>
              <w:t>18.1</w:t>
            </w:r>
          </w:p>
        </w:tc>
        <w:tc>
          <w:tcPr>
            <w:tcW w:w="320" w:type="pct"/>
          </w:tcPr>
          <w:p>
            <w:pPr>
              <w:adjustRightInd w:val="0"/>
              <w:snapToGrid w:val="0"/>
              <w:jc w:val="center"/>
              <w:rPr>
                <w:color w:val="auto"/>
                <w:szCs w:val="21"/>
              </w:rPr>
            </w:pPr>
            <w:r>
              <w:rPr>
                <w:rFonts w:hint="eastAsia"/>
                <w:color w:val="auto"/>
                <w:szCs w:val="21"/>
              </w:rPr>
              <w:t>1.2</w:t>
            </w:r>
          </w:p>
        </w:tc>
        <w:tc>
          <w:tcPr>
            <w:tcW w:w="244" w:type="pct"/>
          </w:tcPr>
          <w:p>
            <w:pPr>
              <w:adjustRightInd w:val="0"/>
              <w:snapToGrid w:val="0"/>
              <w:jc w:val="center"/>
              <w:rPr>
                <w:color w:val="auto"/>
                <w:szCs w:val="21"/>
              </w:rPr>
            </w:pPr>
            <w:r>
              <w:rPr>
                <w:rFonts w:hint="eastAsia"/>
                <w:color w:val="auto"/>
                <w:szCs w:val="21"/>
              </w:rPr>
              <w:t>13.6</w:t>
            </w:r>
          </w:p>
        </w:tc>
        <w:tc>
          <w:tcPr>
            <w:tcW w:w="341" w:type="pct"/>
            <w:vAlign w:val="center"/>
          </w:tcPr>
          <w:p>
            <w:pPr>
              <w:spacing w:line="360" w:lineRule="auto"/>
              <w:jc w:val="center"/>
              <w:rPr>
                <w:color w:val="auto"/>
                <w:szCs w:val="21"/>
              </w:rPr>
            </w:pPr>
            <w:r>
              <w:rPr>
                <w:rFonts w:hint="eastAsia"/>
                <w:color w:val="auto"/>
                <w:szCs w:val="21"/>
              </w:rPr>
              <w:t>55.3</w:t>
            </w:r>
          </w:p>
        </w:tc>
        <w:tc>
          <w:tcPr>
            <w:tcW w:w="238" w:type="pct"/>
          </w:tcPr>
          <w:p>
            <w:pPr>
              <w:adjustRightInd w:val="0"/>
              <w:snapToGrid w:val="0"/>
              <w:jc w:val="center"/>
              <w:rPr>
                <w:color w:val="auto"/>
                <w:szCs w:val="21"/>
              </w:rPr>
            </w:pPr>
            <w:r>
              <w:rPr>
                <w:rFonts w:hint="eastAsia"/>
                <w:color w:val="auto"/>
                <w:szCs w:val="21"/>
              </w:rPr>
              <w:t>8h</w:t>
            </w:r>
          </w:p>
        </w:tc>
        <w:tc>
          <w:tcPr>
            <w:tcW w:w="275" w:type="pct"/>
          </w:tcPr>
          <w:p>
            <w:pPr>
              <w:adjustRightInd w:val="0"/>
              <w:snapToGrid w:val="0"/>
              <w:jc w:val="center"/>
              <w:rPr>
                <w:color w:val="auto"/>
                <w:szCs w:val="21"/>
              </w:rPr>
            </w:pPr>
            <w:r>
              <w:rPr>
                <w:rFonts w:hint="eastAsia"/>
                <w:color w:val="auto"/>
                <w:szCs w:val="21"/>
              </w:rPr>
              <w:t>35</w:t>
            </w:r>
          </w:p>
        </w:tc>
        <w:tc>
          <w:tcPr>
            <w:tcW w:w="295" w:type="pct"/>
          </w:tcPr>
          <w:p>
            <w:pPr>
              <w:adjustRightInd w:val="0"/>
              <w:snapToGrid w:val="0"/>
              <w:jc w:val="center"/>
              <w:rPr>
                <w:color w:val="auto"/>
                <w:szCs w:val="21"/>
              </w:rPr>
            </w:pPr>
            <w:r>
              <w:rPr>
                <w:rFonts w:hint="eastAsia"/>
                <w:color w:val="auto"/>
                <w:szCs w:val="21"/>
              </w:rPr>
              <w:t>37.1</w:t>
            </w:r>
          </w:p>
        </w:tc>
        <w:tc>
          <w:tcPr>
            <w:tcW w:w="282" w:type="pct"/>
          </w:tcPr>
          <w:p>
            <w:pPr>
              <w:adjustRightInd w:val="0"/>
              <w:snapToGrid w:val="0"/>
              <w:jc w:val="center"/>
              <w:rPr>
                <w:color w:val="auto"/>
                <w:szCs w:val="21"/>
              </w:rPr>
            </w:pPr>
            <w:r>
              <w:rPr>
                <w:rFonts w:hint="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204" w:type="pct"/>
            <w:vMerge w:val="continue"/>
          </w:tcPr>
          <w:p>
            <w:pPr>
              <w:adjustRightInd w:val="0"/>
              <w:snapToGrid w:val="0"/>
              <w:jc w:val="center"/>
              <w:rPr>
                <w:color w:val="auto"/>
              </w:rPr>
            </w:pPr>
          </w:p>
        </w:tc>
        <w:tc>
          <w:tcPr>
            <w:tcW w:w="242" w:type="pct"/>
            <w:vMerge w:val="continue"/>
          </w:tcPr>
          <w:p>
            <w:pPr>
              <w:adjustRightInd w:val="0"/>
              <w:snapToGrid w:val="0"/>
              <w:jc w:val="center"/>
              <w:rPr>
                <w:color w:val="auto"/>
              </w:rPr>
            </w:pPr>
          </w:p>
        </w:tc>
        <w:tc>
          <w:tcPr>
            <w:tcW w:w="601" w:type="pct"/>
            <w:vAlign w:val="center"/>
          </w:tcPr>
          <w:p>
            <w:pPr>
              <w:spacing w:line="360" w:lineRule="auto"/>
              <w:jc w:val="center"/>
              <w:rPr>
                <w:color w:val="auto"/>
                <w:szCs w:val="21"/>
              </w:rPr>
            </w:pPr>
            <w:r>
              <w:rPr>
                <w:color w:val="auto"/>
                <w:szCs w:val="21"/>
              </w:rPr>
              <w:t>螺旋上料机</w:t>
            </w:r>
          </w:p>
        </w:tc>
        <w:tc>
          <w:tcPr>
            <w:tcW w:w="1946" w:type="dxa"/>
            <w:vAlign w:val="center"/>
          </w:tcPr>
          <w:p>
            <w:pPr>
              <w:jc w:val="center"/>
              <w:rPr>
                <w:color w:val="auto"/>
                <w:szCs w:val="21"/>
              </w:rPr>
            </w:pPr>
            <w:r>
              <w:rPr>
                <w:rFonts w:hint="eastAsia"/>
                <w:color w:val="auto"/>
                <w:szCs w:val="21"/>
              </w:rPr>
              <w:t>LS式</w:t>
            </w:r>
          </w:p>
        </w:tc>
        <w:tc>
          <w:tcPr>
            <w:tcW w:w="314" w:type="pct"/>
            <w:vAlign w:val="center"/>
          </w:tcPr>
          <w:p>
            <w:pPr>
              <w:spacing w:line="360" w:lineRule="auto"/>
              <w:jc w:val="center"/>
              <w:rPr>
                <w:color w:val="auto"/>
                <w:szCs w:val="21"/>
              </w:rPr>
            </w:pPr>
            <w:r>
              <w:rPr>
                <w:bCs/>
                <w:color w:val="auto"/>
                <w:szCs w:val="21"/>
              </w:rPr>
              <w:t>70</w:t>
            </w:r>
          </w:p>
        </w:tc>
        <w:tc>
          <w:tcPr>
            <w:tcW w:w="421" w:type="pct"/>
            <w:vMerge w:val="continue"/>
          </w:tcPr>
          <w:p>
            <w:pPr>
              <w:adjustRightInd w:val="0"/>
              <w:snapToGrid w:val="0"/>
              <w:jc w:val="center"/>
              <w:rPr>
                <w:color w:val="auto"/>
                <w:szCs w:val="21"/>
              </w:rPr>
            </w:pPr>
          </w:p>
        </w:tc>
        <w:tc>
          <w:tcPr>
            <w:tcW w:w="243" w:type="pct"/>
          </w:tcPr>
          <w:p>
            <w:pPr>
              <w:adjustRightInd w:val="0"/>
              <w:snapToGrid w:val="0"/>
              <w:jc w:val="center"/>
              <w:rPr>
                <w:color w:val="auto"/>
                <w:szCs w:val="21"/>
              </w:rPr>
            </w:pPr>
            <w:r>
              <w:rPr>
                <w:rFonts w:hint="eastAsia"/>
                <w:color w:val="auto"/>
                <w:szCs w:val="21"/>
              </w:rPr>
              <w:t>-4.3</w:t>
            </w:r>
          </w:p>
        </w:tc>
        <w:tc>
          <w:tcPr>
            <w:tcW w:w="285" w:type="pct"/>
          </w:tcPr>
          <w:p>
            <w:pPr>
              <w:adjustRightInd w:val="0"/>
              <w:snapToGrid w:val="0"/>
              <w:jc w:val="center"/>
              <w:rPr>
                <w:color w:val="auto"/>
                <w:szCs w:val="21"/>
              </w:rPr>
            </w:pPr>
            <w:r>
              <w:rPr>
                <w:rFonts w:hint="eastAsia"/>
                <w:color w:val="auto"/>
                <w:szCs w:val="21"/>
              </w:rPr>
              <w:t>7.3</w:t>
            </w:r>
          </w:p>
        </w:tc>
        <w:tc>
          <w:tcPr>
            <w:tcW w:w="320" w:type="pct"/>
          </w:tcPr>
          <w:p>
            <w:pPr>
              <w:adjustRightInd w:val="0"/>
              <w:snapToGrid w:val="0"/>
              <w:jc w:val="center"/>
              <w:rPr>
                <w:color w:val="auto"/>
                <w:szCs w:val="21"/>
              </w:rPr>
            </w:pPr>
            <w:r>
              <w:rPr>
                <w:rFonts w:hint="eastAsia"/>
                <w:color w:val="auto"/>
                <w:szCs w:val="21"/>
              </w:rPr>
              <w:t>1.2</w:t>
            </w:r>
          </w:p>
        </w:tc>
        <w:tc>
          <w:tcPr>
            <w:tcW w:w="244" w:type="pct"/>
          </w:tcPr>
          <w:p>
            <w:pPr>
              <w:adjustRightInd w:val="0"/>
              <w:snapToGrid w:val="0"/>
              <w:jc w:val="center"/>
              <w:rPr>
                <w:color w:val="auto"/>
                <w:szCs w:val="21"/>
              </w:rPr>
            </w:pPr>
            <w:r>
              <w:rPr>
                <w:rFonts w:hint="eastAsia"/>
                <w:color w:val="auto"/>
                <w:szCs w:val="21"/>
              </w:rPr>
              <w:t>6.1</w:t>
            </w:r>
          </w:p>
        </w:tc>
        <w:tc>
          <w:tcPr>
            <w:tcW w:w="341" w:type="pct"/>
            <w:vAlign w:val="center"/>
          </w:tcPr>
          <w:p>
            <w:pPr>
              <w:spacing w:line="360" w:lineRule="auto"/>
              <w:jc w:val="center"/>
              <w:rPr>
                <w:color w:val="auto"/>
                <w:szCs w:val="21"/>
              </w:rPr>
            </w:pPr>
            <w:r>
              <w:rPr>
                <w:rFonts w:hint="eastAsia"/>
                <w:color w:val="auto"/>
                <w:szCs w:val="21"/>
              </w:rPr>
              <w:t>56.8</w:t>
            </w:r>
          </w:p>
        </w:tc>
        <w:tc>
          <w:tcPr>
            <w:tcW w:w="238" w:type="pct"/>
          </w:tcPr>
          <w:p>
            <w:pPr>
              <w:adjustRightInd w:val="0"/>
              <w:snapToGrid w:val="0"/>
              <w:jc w:val="center"/>
              <w:rPr>
                <w:color w:val="auto"/>
                <w:szCs w:val="21"/>
              </w:rPr>
            </w:pPr>
            <w:r>
              <w:rPr>
                <w:rFonts w:hint="eastAsia"/>
                <w:color w:val="auto"/>
                <w:szCs w:val="21"/>
              </w:rPr>
              <w:t>8h</w:t>
            </w:r>
          </w:p>
        </w:tc>
        <w:tc>
          <w:tcPr>
            <w:tcW w:w="275" w:type="pct"/>
          </w:tcPr>
          <w:p>
            <w:pPr>
              <w:adjustRightInd w:val="0"/>
              <w:snapToGrid w:val="0"/>
              <w:jc w:val="center"/>
              <w:rPr>
                <w:color w:val="auto"/>
                <w:szCs w:val="21"/>
              </w:rPr>
            </w:pPr>
            <w:r>
              <w:rPr>
                <w:rFonts w:hint="eastAsia"/>
                <w:color w:val="auto"/>
                <w:szCs w:val="21"/>
              </w:rPr>
              <w:t>35</w:t>
            </w:r>
          </w:p>
        </w:tc>
        <w:tc>
          <w:tcPr>
            <w:tcW w:w="295" w:type="pct"/>
          </w:tcPr>
          <w:p>
            <w:pPr>
              <w:adjustRightInd w:val="0"/>
              <w:snapToGrid w:val="0"/>
              <w:jc w:val="center"/>
              <w:rPr>
                <w:color w:val="auto"/>
                <w:szCs w:val="21"/>
              </w:rPr>
            </w:pPr>
            <w:r>
              <w:rPr>
                <w:rFonts w:hint="eastAsia"/>
                <w:color w:val="auto"/>
                <w:szCs w:val="21"/>
              </w:rPr>
              <w:t>37.0</w:t>
            </w:r>
          </w:p>
        </w:tc>
        <w:tc>
          <w:tcPr>
            <w:tcW w:w="282" w:type="pct"/>
          </w:tcPr>
          <w:p>
            <w:pPr>
              <w:adjustRightInd w:val="0"/>
              <w:snapToGrid w:val="0"/>
              <w:jc w:val="center"/>
              <w:rPr>
                <w:color w:val="auto"/>
                <w:szCs w:val="21"/>
              </w:rPr>
            </w:pPr>
            <w:r>
              <w:rPr>
                <w:rFonts w:hint="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204" w:type="pct"/>
            <w:vMerge w:val="continue"/>
          </w:tcPr>
          <w:p>
            <w:pPr>
              <w:adjustRightInd w:val="0"/>
              <w:snapToGrid w:val="0"/>
              <w:jc w:val="center"/>
              <w:rPr>
                <w:color w:val="auto"/>
                <w:szCs w:val="21"/>
              </w:rPr>
            </w:pPr>
          </w:p>
        </w:tc>
        <w:tc>
          <w:tcPr>
            <w:tcW w:w="242" w:type="pct"/>
            <w:vMerge w:val="continue"/>
          </w:tcPr>
          <w:p>
            <w:pPr>
              <w:adjustRightInd w:val="0"/>
              <w:snapToGrid w:val="0"/>
              <w:jc w:val="center"/>
              <w:rPr>
                <w:color w:val="auto"/>
                <w:szCs w:val="21"/>
              </w:rPr>
            </w:pPr>
          </w:p>
        </w:tc>
        <w:tc>
          <w:tcPr>
            <w:tcW w:w="601" w:type="pct"/>
            <w:vAlign w:val="center"/>
          </w:tcPr>
          <w:p>
            <w:pPr>
              <w:spacing w:line="360" w:lineRule="auto"/>
              <w:jc w:val="center"/>
              <w:rPr>
                <w:color w:val="auto"/>
                <w:szCs w:val="21"/>
              </w:rPr>
            </w:pPr>
            <w:r>
              <w:rPr>
                <w:color w:val="auto"/>
                <w:szCs w:val="21"/>
              </w:rPr>
              <w:t>螺旋除渣机</w:t>
            </w:r>
          </w:p>
        </w:tc>
        <w:tc>
          <w:tcPr>
            <w:tcW w:w="1946" w:type="dxa"/>
            <w:vAlign w:val="center"/>
          </w:tcPr>
          <w:p>
            <w:pPr>
              <w:jc w:val="center"/>
              <w:rPr>
                <w:color w:val="auto"/>
                <w:szCs w:val="21"/>
              </w:rPr>
            </w:pPr>
            <w:r>
              <w:rPr>
                <w:rFonts w:hint="eastAsia"/>
                <w:color w:val="auto"/>
                <w:szCs w:val="21"/>
              </w:rPr>
              <w:t>LS315</w:t>
            </w:r>
          </w:p>
        </w:tc>
        <w:tc>
          <w:tcPr>
            <w:tcW w:w="314" w:type="pct"/>
            <w:vAlign w:val="center"/>
          </w:tcPr>
          <w:p>
            <w:pPr>
              <w:spacing w:line="360" w:lineRule="auto"/>
              <w:jc w:val="center"/>
              <w:rPr>
                <w:color w:val="auto"/>
                <w:szCs w:val="21"/>
              </w:rPr>
            </w:pPr>
            <w:r>
              <w:rPr>
                <w:bCs/>
                <w:color w:val="auto"/>
                <w:szCs w:val="21"/>
              </w:rPr>
              <w:t>70</w:t>
            </w:r>
          </w:p>
        </w:tc>
        <w:tc>
          <w:tcPr>
            <w:tcW w:w="421" w:type="pct"/>
            <w:vMerge w:val="continue"/>
          </w:tcPr>
          <w:p>
            <w:pPr>
              <w:adjustRightInd w:val="0"/>
              <w:snapToGrid w:val="0"/>
              <w:jc w:val="center"/>
              <w:rPr>
                <w:color w:val="auto"/>
                <w:szCs w:val="21"/>
              </w:rPr>
            </w:pPr>
          </w:p>
        </w:tc>
        <w:tc>
          <w:tcPr>
            <w:tcW w:w="243" w:type="pct"/>
          </w:tcPr>
          <w:p>
            <w:pPr>
              <w:adjustRightInd w:val="0"/>
              <w:snapToGrid w:val="0"/>
              <w:jc w:val="center"/>
              <w:rPr>
                <w:color w:val="auto"/>
                <w:szCs w:val="21"/>
              </w:rPr>
            </w:pPr>
            <w:r>
              <w:rPr>
                <w:rFonts w:hint="eastAsia"/>
                <w:color w:val="auto"/>
                <w:szCs w:val="21"/>
              </w:rPr>
              <w:t>-3.2</w:t>
            </w:r>
          </w:p>
        </w:tc>
        <w:tc>
          <w:tcPr>
            <w:tcW w:w="285" w:type="pct"/>
          </w:tcPr>
          <w:p>
            <w:pPr>
              <w:adjustRightInd w:val="0"/>
              <w:snapToGrid w:val="0"/>
              <w:jc w:val="center"/>
              <w:rPr>
                <w:color w:val="auto"/>
                <w:szCs w:val="21"/>
              </w:rPr>
            </w:pPr>
            <w:r>
              <w:rPr>
                <w:rFonts w:hint="eastAsia"/>
                <w:color w:val="auto"/>
                <w:szCs w:val="21"/>
              </w:rPr>
              <w:t>5.2</w:t>
            </w:r>
          </w:p>
        </w:tc>
        <w:tc>
          <w:tcPr>
            <w:tcW w:w="320" w:type="pct"/>
          </w:tcPr>
          <w:p>
            <w:pPr>
              <w:adjustRightInd w:val="0"/>
              <w:snapToGrid w:val="0"/>
              <w:jc w:val="center"/>
              <w:rPr>
                <w:color w:val="auto"/>
                <w:szCs w:val="21"/>
              </w:rPr>
            </w:pPr>
            <w:r>
              <w:rPr>
                <w:rFonts w:hint="eastAsia"/>
                <w:color w:val="auto"/>
                <w:szCs w:val="21"/>
              </w:rPr>
              <w:t>1.2</w:t>
            </w:r>
          </w:p>
        </w:tc>
        <w:tc>
          <w:tcPr>
            <w:tcW w:w="244" w:type="pct"/>
          </w:tcPr>
          <w:p>
            <w:pPr>
              <w:adjustRightInd w:val="0"/>
              <w:snapToGrid w:val="0"/>
              <w:jc w:val="center"/>
              <w:rPr>
                <w:color w:val="auto"/>
                <w:szCs w:val="21"/>
              </w:rPr>
            </w:pPr>
            <w:r>
              <w:rPr>
                <w:rFonts w:hint="eastAsia"/>
                <w:color w:val="auto"/>
                <w:szCs w:val="21"/>
              </w:rPr>
              <w:t>6.7</w:t>
            </w:r>
          </w:p>
        </w:tc>
        <w:tc>
          <w:tcPr>
            <w:tcW w:w="341" w:type="pct"/>
            <w:vAlign w:val="center"/>
          </w:tcPr>
          <w:p>
            <w:pPr>
              <w:spacing w:line="360" w:lineRule="auto"/>
              <w:jc w:val="center"/>
              <w:rPr>
                <w:color w:val="auto"/>
                <w:szCs w:val="21"/>
              </w:rPr>
            </w:pPr>
            <w:r>
              <w:rPr>
                <w:rFonts w:hint="eastAsia"/>
                <w:color w:val="auto"/>
                <w:szCs w:val="21"/>
              </w:rPr>
              <w:t>56.6</w:t>
            </w:r>
          </w:p>
        </w:tc>
        <w:tc>
          <w:tcPr>
            <w:tcW w:w="238" w:type="pct"/>
          </w:tcPr>
          <w:p>
            <w:pPr>
              <w:adjustRightInd w:val="0"/>
              <w:snapToGrid w:val="0"/>
              <w:jc w:val="center"/>
              <w:rPr>
                <w:color w:val="auto"/>
                <w:szCs w:val="21"/>
              </w:rPr>
            </w:pPr>
            <w:r>
              <w:rPr>
                <w:rFonts w:hint="eastAsia"/>
                <w:color w:val="auto"/>
                <w:szCs w:val="21"/>
              </w:rPr>
              <w:t>8h</w:t>
            </w:r>
          </w:p>
        </w:tc>
        <w:tc>
          <w:tcPr>
            <w:tcW w:w="275" w:type="pct"/>
          </w:tcPr>
          <w:p>
            <w:pPr>
              <w:adjustRightInd w:val="0"/>
              <w:snapToGrid w:val="0"/>
              <w:jc w:val="center"/>
              <w:rPr>
                <w:color w:val="auto"/>
                <w:szCs w:val="21"/>
              </w:rPr>
            </w:pPr>
            <w:r>
              <w:rPr>
                <w:rFonts w:hint="eastAsia"/>
                <w:color w:val="auto"/>
                <w:szCs w:val="21"/>
              </w:rPr>
              <w:t>35</w:t>
            </w:r>
          </w:p>
        </w:tc>
        <w:tc>
          <w:tcPr>
            <w:tcW w:w="295" w:type="pct"/>
          </w:tcPr>
          <w:p>
            <w:pPr>
              <w:adjustRightInd w:val="0"/>
              <w:snapToGrid w:val="0"/>
              <w:jc w:val="center"/>
              <w:rPr>
                <w:color w:val="auto"/>
                <w:szCs w:val="21"/>
              </w:rPr>
            </w:pPr>
            <w:r>
              <w:rPr>
                <w:rFonts w:hint="eastAsia"/>
                <w:color w:val="auto"/>
                <w:szCs w:val="21"/>
              </w:rPr>
              <w:t>38.3</w:t>
            </w:r>
          </w:p>
        </w:tc>
        <w:tc>
          <w:tcPr>
            <w:tcW w:w="282" w:type="pct"/>
          </w:tcPr>
          <w:p>
            <w:pPr>
              <w:adjustRightInd w:val="0"/>
              <w:snapToGrid w:val="0"/>
              <w:jc w:val="center"/>
              <w:rPr>
                <w:color w:val="auto"/>
                <w:szCs w:val="21"/>
              </w:rPr>
            </w:pPr>
            <w:r>
              <w:rPr>
                <w:rFonts w:hint="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204" w:type="pct"/>
            <w:vMerge w:val="continue"/>
          </w:tcPr>
          <w:p>
            <w:pPr>
              <w:adjustRightInd w:val="0"/>
              <w:snapToGrid w:val="0"/>
              <w:jc w:val="center"/>
              <w:rPr>
                <w:color w:val="auto"/>
                <w:szCs w:val="21"/>
              </w:rPr>
            </w:pPr>
          </w:p>
        </w:tc>
        <w:tc>
          <w:tcPr>
            <w:tcW w:w="242" w:type="pct"/>
            <w:vMerge w:val="continue"/>
          </w:tcPr>
          <w:p>
            <w:pPr>
              <w:adjustRightInd w:val="0"/>
              <w:snapToGrid w:val="0"/>
              <w:jc w:val="center"/>
              <w:rPr>
                <w:color w:val="auto"/>
                <w:szCs w:val="21"/>
              </w:rPr>
            </w:pPr>
          </w:p>
        </w:tc>
        <w:tc>
          <w:tcPr>
            <w:tcW w:w="601" w:type="pct"/>
            <w:vAlign w:val="center"/>
          </w:tcPr>
          <w:p>
            <w:pPr>
              <w:spacing w:line="360" w:lineRule="auto"/>
              <w:jc w:val="center"/>
              <w:rPr>
                <w:color w:val="auto"/>
                <w:szCs w:val="21"/>
              </w:rPr>
            </w:pPr>
            <w:r>
              <w:rPr>
                <w:color w:val="auto"/>
                <w:szCs w:val="21"/>
              </w:rPr>
              <w:t>除铁机</w:t>
            </w:r>
          </w:p>
        </w:tc>
        <w:tc>
          <w:tcPr>
            <w:tcW w:w="1946" w:type="dxa"/>
            <w:vAlign w:val="center"/>
          </w:tcPr>
          <w:p>
            <w:pPr>
              <w:jc w:val="center"/>
              <w:rPr>
                <w:color w:val="auto"/>
                <w:szCs w:val="21"/>
              </w:rPr>
            </w:pPr>
            <w:r>
              <w:rPr>
                <w:color w:val="auto"/>
                <w:szCs w:val="21"/>
              </w:rPr>
              <w:t>TA-04-506</w:t>
            </w:r>
          </w:p>
        </w:tc>
        <w:tc>
          <w:tcPr>
            <w:tcW w:w="314" w:type="pct"/>
            <w:vAlign w:val="center"/>
          </w:tcPr>
          <w:p>
            <w:pPr>
              <w:spacing w:line="360" w:lineRule="auto"/>
              <w:jc w:val="center"/>
              <w:rPr>
                <w:color w:val="auto"/>
                <w:szCs w:val="21"/>
              </w:rPr>
            </w:pPr>
            <w:r>
              <w:rPr>
                <w:bCs/>
                <w:color w:val="auto"/>
                <w:szCs w:val="21"/>
              </w:rPr>
              <w:t>70</w:t>
            </w:r>
          </w:p>
        </w:tc>
        <w:tc>
          <w:tcPr>
            <w:tcW w:w="421" w:type="pct"/>
            <w:vMerge w:val="continue"/>
          </w:tcPr>
          <w:p>
            <w:pPr>
              <w:adjustRightInd w:val="0"/>
              <w:snapToGrid w:val="0"/>
              <w:jc w:val="center"/>
              <w:rPr>
                <w:color w:val="auto"/>
                <w:szCs w:val="21"/>
              </w:rPr>
            </w:pPr>
          </w:p>
        </w:tc>
        <w:tc>
          <w:tcPr>
            <w:tcW w:w="243" w:type="pct"/>
          </w:tcPr>
          <w:p>
            <w:pPr>
              <w:adjustRightInd w:val="0"/>
              <w:snapToGrid w:val="0"/>
              <w:jc w:val="center"/>
              <w:rPr>
                <w:color w:val="auto"/>
                <w:szCs w:val="21"/>
              </w:rPr>
            </w:pPr>
            <w:r>
              <w:rPr>
                <w:rFonts w:hint="eastAsia"/>
                <w:color w:val="auto"/>
                <w:szCs w:val="21"/>
              </w:rPr>
              <w:t>7.5</w:t>
            </w:r>
          </w:p>
        </w:tc>
        <w:tc>
          <w:tcPr>
            <w:tcW w:w="285" w:type="pct"/>
          </w:tcPr>
          <w:p>
            <w:pPr>
              <w:adjustRightInd w:val="0"/>
              <w:snapToGrid w:val="0"/>
              <w:jc w:val="center"/>
              <w:rPr>
                <w:color w:val="auto"/>
                <w:szCs w:val="21"/>
              </w:rPr>
            </w:pPr>
            <w:r>
              <w:rPr>
                <w:rFonts w:hint="eastAsia"/>
                <w:color w:val="auto"/>
                <w:szCs w:val="21"/>
              </w:rPr>
              <w:t>13.7</w:t>
            </w:r>
          </w:p>
        </w:tc>
        <w:tc>
          <w:tcPr>
            <w:tcW w:w="320" w:type="pct"/>
          </w:tcPr>
          <w:p>
            <w:pPr>
              <w:adjustRightInd w:val="0"/>
              <w:snapToGrid w:val="0"/>
              <w:jc w:val="center"/>
              <w:rPr>
                <w:color w:val="auto"/>
                <w:szCs w:val="21"/>
              </w:rPr>
            </w:pPr>
            <w:r>
              <w:rPr>
                <w:rFonts w:hint="eastAsia"/>
                <w:color w:val="auto"/>
                <w:szCs w:val="21"/>
              </w:rPr>
              <w:t>1.2</w:t>
            </w:r>
          </w:p>
        </w:tc>
        <w:tc>
          <w:tcPr>
            <w:tcW w:w="244" w:type="pct"/>
          </w:tcPr>
          <w:p>
            <w:pPr>
              <w:adjustRightInd w:val="0"/>
              <w:snapToGrid w:val="0"/>
              <w:jc w:val="center"/>
              <w:rPr>
                <w:color w:val="auto"/>
                <w:szCs w:val="21"/>
              </w:rPr>
            </w:pPr>
            <w:r>
              <w:rPr>
                <w:rFonts w:hint="eastAsia"/>
                <w:color w:val="auto"/>
                <w:szCs w:val="21"/>
              </w:rPr>
              <w:t>11.2</w:t>
            </w:r>
          </w:p>
        </w:tc>
        <w:tc>
          <w:tcPr>
            <w:tcW w:w="341" w:type="pct"/>
            <w:vAlign w:val="center"/>
          </w:tcPr>
          <w:p>
            <w:pPr>
              <w:spacing w:line="360" w:lineRule="auto"/>
              <w:jc w:val="center"/>
              <w:rPr>
                <w:color w:val="auto"/>
                <w:szCs w:val="21"/>
              </w:rPr>
            </w:pPr>
            <w:r>
              <w:rPr>
                <w:rFonts w:hint="eastAsia"/>
                <w:color w:val="auto"/>
                <w:szCs w:val="21"/>
              </w:rPr>
              <w:t>55.6</w:t>
            </w:r>
          </w:p>
        </w:tc>
        <w:tc>
          <w:tcPr>
            <w:tcW w:w="238" w:type="pct"/>
          </w:tcPr>
          <w:p>
            <w:pPr>
              <w:adjustRightInd w:val="0"/>
              <w:snapToGrid w:val="0"/>
              <w:jc w:val="center"/>
              <w:rPr>
                <w:color w:val="auto"/>
                <w:szCs w:val="21"/>
              </w:rPr>
            </w:pPr>
            <w:r>
              <w:rPr>
                <w:rFonts w:hint="eastAsia"/>
                <w:color w:val="auto"/>
                <w:szCs w:val="21"/>
              </w:rPr>
              <w:t>8h</w:t>
            </w:r>
          </w:p>
        </w:tc>
        <w:tc>
          <w:tcPr>
            <w:tcW w:w="275" w:type="pct"/>
          </w:tcPr>
          <w:p>
            <w:pPr>
              <w:adjustRightInd w:val="0"/>
              <w:snapToGrid w:val="0"/>
              <w:jc w:val="center"/>
              <w:rPr>
                <w:color w:val="auto"/>
                <w:szCs w:val="21"/>
              </w:rPr>
            </w:pPr>
            <w:r>
              <w:rPr>
                <w:rFonts w:hint="eastAsia"/>
                <w:color w:val="auto"/>
                <w:szCs w:val="21"/>
              </w:rPr>
              <w:t>35</w:t>
            </w:r>
          </w:p>
        </w:tc>
        <w:tc>
          <w:tcPr>
            <w:tcW w:w="295" w:type="pct"/>
          </w:tcPr>
          <w:p>
            <w:pPr>
              <w:adjustRightInd w:val="0"/>
              <w:snapToGrid w:val="0"/>
              <w:jc w:val="center"/>
              <w:rPr>
                <w:color w:val="auto"/>
                <w:szCs w:val="21"/>
              </w:rPr>
            </w:pPr>
            <w:r>
              <w:rPr>
                <w:rFonts w:hint="eastAsia"/>
                <w:color w:val="auto"/>
                <w:szCs w:val="21"/>
              </w:rPr>
              <w:t>37.2</w:t>
            </w:r>
          </w:p>
        </w:tc>
        <w:tc>
          <w:tcPr>
            <w:tcW w:w="282" w:type="pct"/>
          </w:tcPr>
          <w:p>
            <w:pPr>
              <w:adjustRightInd w:val="0"/>
              <w:snapToGrid w:val="0"/>
              <w:jc w:val="center"/>
              <w:rPr>
                <w:color w:val="auto"/>
                <w:szCs w:val="21"/>
              </w:rPr>
            </w:pPr>
            <w:r>
              <w:rPr>
                <w:rFonts w:hint="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204" w:type="pct"/>
            <w:vMerge w:val="continue"/>
          </w:tcPr>
          <w:p>
            <w:pPr>
              <w:adjustRightInd w:val="0"/>
              <w:snapToGrid w:val="0"/>
              <w:jc w:val="center"/>
              <w:rPr>
                <w:color w:val="auto"/>
                <w:szCs w:val="21"/>
              </w:rPr>
            </w:pPr>
          </w:p>
        </w:tc>
        <w:tc>
          <w:tcPr>
            <w:tcW w:w="242" w:type="pct"/>
            <w:vMerge w:val="continue"/>
          </w:tcPr>
          <w:p>
            <w:pPr>
              <w:adjustRightInd w:val="0"/>
              <w:snapToGrid w:val="0"/>
              <w:jc w:val="center"/>
              <w:rPr>
                <w:color w:val="auto"/>
                <w:szCs w:val="21"/>
              </w:rPr>
            </w:pPr>
          </w:p>
        </w:tc>
        <w:tc>
          <w:tcPr>
            <w:tcW w:w="601" w:type="pct"/>
            <w:vAlign w:val="center"/>
          </w:tcPr>
          <w:p>
            <w:pPr>
              <w:spacing w:line="360" w:lineRule="auto"/>
              <w:jc w:val="center"/>
              <w:rPr>
                <w:color w:val="auto"/>
                <w:szCs w:val="21"/>
              </w:rPr>
            </w:pPr>
            <w:r>
              <w:rPr>
                <w:color w:val="auto"/>
                <w:szCs w:val="21"/>
              </w:rPr>
              <w:t>搅笼自动清洗机</w:t>
            </w:r>
          </w:p>
        </w:tc>
        <w:tc>
          <w:tcPr>
            <w:tcW w:w="1946" w:type="dxa"/>
            <w:vAlign w:val="center"/>
          </w:tcPr>
          <w:p>
            <w:pPr>
              <w:jc w:val="center"/>
              <w:rPr>
                <w:color w:val="auto"/>
                <w:szCs w:val="21"/>
              </w:rPr>
            </w:pPr>
            <w:r>
              <w:rPr>
                <w:color w:val="auto"/>
                <w:szCs w:val="21"/>
              </w:rPr>
              <w:t>LY500*2000</w:t>
            </w:r>
          </w:p>
        </w:tc>
        <w:tc>
          <w:tcPr>
            <w:tcW w:w="314" w:type="pct"/>
            <w:vAlign w:val="center"/>
          </w:tcPr>
          <w:p>
            <w:pPr>
              <w:spacing w:line="360" w:lineRule="auto"/>
              <w:jc w:val="center"/>
              <w:rPr>
                <w:color w:val="auto"/>
                <w:szCs w:val="21"/>
              </w:rPr>
            </w:pPr>
            <w:r>
              <w:rPr>
                <w:color w:val="auto"/>
                <w:szCs w:val="21"/>
              </w:rPr>
              <w:t>75</w:t>
            </w:r>
          </w:p>
        </w:tc>
        <w:tc>
          <w:tcPr>
            <w:tcW w:w="421" w:type="pct"/>
            <w:vMerge w:val="continue"/>
          </w:tcPr>
          <w:p>
            <w:pPr>
              <w:adjustRightInd w:val="0"/>
              <w:snapToGrid w:val="0"/>
              <w:jc w:val="center"/>
              <w:rPr>
                <w:color w:val="auto"/>
                <w:szCs w:val="21"/>
              </w:rPr>
            </w:pPr>
          </w:p>
        </w:tc>
        <w:tc>
          <w:tcPr>
            <w:tcW w:w="243" w:type="pct"/>
          </w:tcPr>
          <w:p>
            <w:pPr>
              <w:adjustRightInd w:val="0"/>
              <w:snapToGrid w:val="0"/>
              <w:jc w:val="center"/>
              <w:rPr>
                <w:color w:val="auto"/>
                <w:szCs w:val="21"/>
              </w:rPr>
            </w:pPr>
            <w:r>
              <w:rPr>
                <w:rFonts w:hint="eastAsia"/>
                <w:color w:val="auto"/>
                <w:szCs w:val="21"/>
              </w:rPr>
              <w:t>-0.3</w:t>
            </w:r>
          </w:p>
        </w:tc>
        <w:tc>
          <w:tcPr>
            <w:tcW w:w="285" w:type="pct"/>
          </w:tcPr>
          <w:p>
            <w:pPr>
              <w:adjustRightInd w:val="0"/>
              <w:snapToGrid w:val="0"/>
              <w:jc w:val="center"/>
              <w:rPr>
                <w:color w:val="auto"/>
                <w:szCs w:val="21"/>
              </w:rPr>
            </w:pPr>
            <w:r>
              <w:rPr>
                <w:rFonts w:hint="eastAsia"/>
                <w:color w:val="auto"/>
                <w:szCs w:val="21"/>
              </w:rPr>
              <w:t>1.2</w:t>
            </w:r>
          </w:p>
        </w:tc>
        <w:tc>
          <w:tcPr>
            <w:tcW w:w="320" w:type="pct"/>
          </w:tcPr>
          <w:p>
            <w:pPr>
              <w:adjustRightInd w:val="0"/>
              <w:snapToGrid w:val="0"/>
              <w:jc w:val="center"/>
              <w:rPr>
                <w:color w:val="auto"/>
                <w:szCs w:val="21"/>
              </w:rPr>
            </w:pPr>
            <w:r>
              <w:rPr>
                <w:rFonts w:hint="eastAsia"/>
                <w:color w:val="auto"/>
                <w:szCs w:val="21"/>
              </w:rPr>
              <w:t>1.2</w:t>
            </w:r>
          </w:p>
        </w:tc>
        <w:tc>
          <w:tcPr>
            <w:tcW w:w="244" w:type="pct"/>
          </w:tcPr>
          <w:p>
            <w:pPr>
              <w:adjustRightInd w:val="0"/>
              <w:snapToGrid w:val="0"/>
              <w:jc w:val="center"/>
              <w:rPr>
                <w:color w:val="auto"/>
                <w:szCs w:val="21"/>
              </w:rPr>
            </w:pPr>
            <w:r>
              <w:rPr>
                <w:rFonts w:hint="eastAsia"/>
                <w:color w:val="auto"/>
                <w:szCs w:val="21"/>
              </w:rPr>
              <w:t>7.5</w:t>
            </w:r>
          </w:p>
        </w:tc>
        <w:tc>
          <w:tcPr>
            <w:tcW w:w="341" w:type="pct"/>
            <w:vAlign w:val="center"/>
          </w:tcPr>
          <w:p>
            <w:pPr>
              <w:spacing w:line="360" w:lineRule="auto"/>
              <w:jc w:val="center"/>
              <w:rPr>
                <w:color w:val="auto"/>
                <w:szCs w:val="21"/>
              </w:rPr>
            </w:pPr>
            <w:r>
              <w:rPr>
                <w:rFonts w:hint="eastAsia"/>
                <w:color w:val="auto"/>
                <w:szCs w:val="21"/>
              </w:rPr>
              <w:t>57.9</w:t>
            </w:r>
          </w:p>
        </w:tc>
        <w:tc>
          <w:tcPr>
            <w:tcW w:w="238" w:type="pct"/>
          </w:tcPr>
          <w:p>
            <w:pPr>
              <w:adjustRightInd w:val="0"/>
              <w:snapToGrid w:val="0"/>
              <w:jc w:val="center"/>
              <w:rPr>
                <w:color w:val="auto"/>
                <w:szCs w:val="21"/>
              </w:rPr>
            </w:pPr>
            <w:r>
              <w:rPr>
                <w:rFonts w:hint="eastAsia"/>
                <w:color w:val="auto"/>
                <w:szCs w:val="21"/>
              </w:rPr>
              <w:t>8h</w:t>
            </w:r>
          </w:p>
        </w:tc>
        <w:tc>
          <w:tcPr>
            <w:tcW w:w="275" w:type="pct"/>
          </w:tcPr>
          <w:p>
            <w:pPr>
              <w:adjustRightInd w:val="0"/>
              <w:snapToGrid w:val="0"/>
              <w:jc w:val="center"/>
              <w:rPr>
                <w:color w:val="auto"/>
                <w:szCs w:val="21"/>
              </w:rPr>
            </w:pPr>
            <w:r>
              <w:rPr>
                <w:rFonts w:hint="eastAsia"/>
                <w:color w:val="auto"/>
                <w:szCs w:val="21"/>
              </w:rPr>
              <w:t>35</w:t>
            </w:r>
          </w:p>
        </w:tc>
        <w:tc>
          <w:tcPr>
            <w:tcW w:w="295" w:type="pct"/>
          </w:tcPr>
          <w:p>
            <w:pPr>
              <w:adjustRightInd w:val="0"/>
              <w:snapToGrid w:val="0"/>
              <w:jc w:val="center"/>
              <w:rPr>
                <w:color w:val="auto"/>
                <w:szCs w:val="21"/>
              </w:rPr>
            </w:pPr>
            <w:r>
              <w:rPr>
                <w:rFonts w:hint="eastAsia"/>
                <w:color w:val="auto"/>
                <w:szCs w:val="21"/>
              </w:rPr>
              <w:t>42.8</w:t>
            </w:r>
          </w:p>
        </w:tc>
        <w:tc>
          <w:tcPr>
            <w:tcW w:w="282" w:type="pct"/>
          </w:tcPr>
          <w:p>
            <w:pPr>
              <w:adjustRightInd w:val="0"/>
              <w:snapToGrid w:val="0"/>
              <w:jc w:val="center"/>
              <w:rPr>
                <w:color w:val="auto"/>
                <w:szCs w:val="21"/>
              </w:rPr>
            </w:pPr>
            <w:r>
              <w:rPr>
                <w:rFonts w:hint="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204" w:type="pct"/>
            <w:vMerge w:val="continue"/>
          </w:tcPr>
          <w:p>
            <w:pPr>
              <w:adjustRightInd w:val="0"/>
              <w:snapToGrid w:val="0"/>
              <w:jc w:val="center"/>
              <w:rPr>
                <w:color w:val="auto"/>
                <w:szCs w:val="21"/>
              </w:rPr>
            </w:pPr>
          </w:p>
        </w:tc>
        <w:tc>
          <w:tcPr>
            <w:tcW w:w="242" w:type="pct"/>
            <w:vMerge w:val="continue"/>
          </w:tcPr>
          <w:p>
            <w:pPr>
              <w:adjustRightInd w:val="0"/>
              <w:snapToGrid w:val="0"/>
              <w:jc w:val="center"/>
              <w:rPr>
                <w:color w:val="auto"/>
                <w:szCs w:val="21"/>
              </w:rPr>
            </w:pPr>
          </w:p>
        </w:tc>
        <w:tc>
          <w:tcPr>
            <w:tcW w:w="601" w:type="pct"/>
            <w:vAlign w:val="center"/>
          </w:tcPr>
          <w:p>
            <w:pPr>
              <w:spacing w:line="360" w:lineRule="auto"/>
              <w:jc w:val="center"/>
              <w:rPr>
                <w:color w:val="auto"/>
                <w:szCs w:val="21"/>
              </w:rPr>
            </w:pPr>
            <w:r>
              <w:rPr>
                <w:color w:val="auto"/>
                <w:szCs w:val="21"/>
              </w:rPr>
              <w:t>循环水泵</w:t>
            </w:r>
          </w:p>
        </w:tc>
        <w:tc>
          <w:tcPr>
            <w:tcW w:w="684" w:type="pct"/>
            <w:vAlign w:val="center"/>
          </w:tcPr>
          <w:p>
            <w:pPr>
              <w:spacing w:line="360" w:lineRule="auto"/>
              <w:jc w:val="center"/>
              <w:rPr>
                <w:color w:val="auto"/>
                <w:szCs w:val="21"/>
                <w:lang w:bidi="ar"/>
              </w:rPr>
            </w:pPr>
            <w:r>
              <w:rPr>
                <w:color w:val="auto"/>
                <w:szCs w:val="21"/>
              </w:rPr>
              <w:t>/</w:t>
            </w:r>
          </w:p>
        </w:tc>
        <w:tc>
          <w:tcPr>
            <w:tcW w:w="314" w:type="pct"/>
            <w:vAlign w:val="center"/>
          </w:tcPr>
          <w:p>
            <w:pPr>
              <w:spacing w:line="360" w:lineRule="auto"/>
              <w:jc w:val="center"/>
              <w:rPr>
                <w:color w:val="auto"/>
                <w:szCs w:val="21"/>
              </w:rPr>
            </w:pPr>
            <w:r>
              <w:rPr>
                <w:color w:val="auto"/>
                <w:szCs w:val="21"/>
              </w:rPr>
              <w:t>80</w:t>
            </w:r>
          </w:p>
        </w:tc>
        <w:tc>
          <w:tcPr>
            <w:tcW w:w="421" w:type="pct"/>
            <w:vMerge w:val="continue"/>
          </w:tcPr>
          <w:p>
            <w:pPr>
              <w:adjustRightInd w:val="0"/>
              <w:snapToGrid w:val="0"/>
              <w:jc w:val="center"/>
              <w:rPr>
                <w:color w:val="auto"/>
                <w:szCs w:val="21"/>
              </w:rPr>
            </w:pPr>
          </w:p>
        </w:tc>
        <w:tc>
          <w:tcPr>
            <w:tcW w:w="243" w:type="pct"/>
          </w:tcPr>
          <w:p>
            <w:pPr>
              <w:adjustRightInd w:val="0"/>
              <w:snapToGrid w:val="0"/>
              <w:jc w:val="center"/>
              <w:rPr>
                <w:color w:val="auto"/>
                <w:szCs w:val="21"/>
              </w:rPr>
            </w:pPr>
            <w:r>
              <w:rPr>
                <w:rFonts w:hint="eastAsia"/>
                <w:color w:val="auto"/>
                <w:szCs w:val="21"/>
              </w:rPr>
              <w:t>9.7</w:t>
            </w:r>
          </w:p>
        </w:tc>
        <w:tc>
          <w:tcPr>
            <w:tcW w:w="285" w:type="pct"/>
          </w:tcPr>
          <w:p>
            <w:pPr>
              <w:adjustRightInd w:val="0"/>
              <w:snapToGrid w:val="0"/>
              <w:jc w:val="center"/>
              <w:rPr>
                <w:color w:val="auto"/>
                <w:szCs w:val="21"/>
              </w:rPr>
            </w:pPr>
            <w:r>
              <w:rPr>
                <w:rFonts w:hint="eastAsia"/>
                <w:color w:val="auto"/>
                <w:szCs w:val="21"/>
              </w:rPr>
              <w:t>4</w:t>
            </w:r>
          </w:p>
        </w:tc>
        <w:tc>
          <w:tcPr>
            <w:tcW w:w="320" w:type="pct"/>
          </w:tcPr>
          <w:p>
            <w:pPr>
              <w:adjustRightInd w:val="0"/>
              <w:snapToGrid w:val="0"/>
              <w:jc w:val="center"/>
              <w:rPr>
                <w:color w:val="auto"/>
                <w:szCs w:val="21"/>
              </w:rPr>
            </w:pPr>
            <w:r>
              <w:rPr>
                <w:rFonts w:hint="eastAsia"/>
                <w:color w:val="auto"/>
                <w:szCs w:val="21"/>
              </w:rPr>
              <w:t>1.2</w:t>
            </w:r>
          </w:p>
        </w:tc>
        <w:tc>
          <w:tcPr>
            <w:tcW w:w="244" w:type="pct"/>
          </w:tcPr>
          <w:p>
            <w:pPr>
              <w:adjustRightInd w:val="0"/>
              <w:snapToGrid w:val="0"/>
              <w:jc w:val="center"/>
              <w:rPr>
                <w:color w:val="auto"/>
                <w:szCs w:val="21"/>
              </w:rPr>
            </w:pPr>
            <w:r>
              <w:rPr>
                <w:rFonts w:hint="eastAsia"/>
                <w:color w:val="auto"/>
                <w:szCs w:val="21"/>
              </w:rPr>
              <w:t>9.4</w:t>
            </w:r>
          </w:p>
        </w:tc>
        <w:tc>
          <w:tcPr>
            <w:tcW w:w="341" w:type="pct"/>
            <w:vAlign w:val="center"/>
          </w:tcPr>
          <w:p>
            <w:pPr>
              <w:spacing w:line="360" w:lineRule="auto"/>
              <w:jc w:val="center"/>
              <w:rPr>
                <w:color w:val="auto"/>
                <w:szCs w:val="21"/>
              </w:rPr>
            </w:pPr>
            <w:r>
              <w:rPr>
                <w:rFonts w:hint="eastAsia"/>
                <w:color w:val="auto"/>
                <w:szCs w:val="21"/>
              </w:rPr>
              <w:t>67.6</w:t>
            </w:r>
          </w:p>
        </w:tc>
        <w:tc>
          <w:tcPr>
            <w:tcW w:w="238" w:type="pct"/>
          </w:tcPr>
          <w:p>
            <w:pPr>
              <w:adjustRightInd w:val="0"/>
              <w:snapToGrid w:val="0"/>
              <w:jc w:val="center"/>
              <w:rPr>
                <w:color w:val="auto"/>
                <w:szCs w:val="21"/>
              </w:rPr>
            </w:pPr>
            <w:r>
              <w:rPr>
                <w:rFonts w:hint="eastAsia"/>
                <w:color w:val="auto"/>
                <w:szCs w:val="21"/>
              </w:rPr>
              <w:t>8h</w:t>
            </w:r>
          </w:p>
        </w:tc>
        <w:tc>
          <w:tcPr>
            <w:tcW w:w="275" w:type="pct"/>
          </w:tcPr>
          <w:p>
            <w:pPr>
              <w:adjustRightInd w:val="0"/>
              <w:snapToGrid w:val="0"/>
              <w:jc w:val="center"/>
              <w:rPr>
                <w:color w:val="auto"/>
                <w:szCs w:val="21"/>
              </w:rPr>
            </w:pPr>
            <w:r>
              <w:rPr>
                <w:rFonts w:hint="eastAsia"/>
                <w:color w:val="auto"/>
                <w:szCs w:val="21"/>
              </w:rPr>
              <w:t>35</w:t>
            </w:r>
          </w:p>
        </w:tc>
        <w:tc>
          <w:tcPr>
            <w:tcW w:w="295" w:type="pct"/>
          </w:tcPr>
          <w:p>
            <w:pPr>
              <w:adjustRightInd w:val="0"/>
              <w:snapToGrid w:val="0"/>
              <w:jc w:val="center"/>
              <w:rPr>
                <w:color w:val="auto"/>
                <w:szCs w:val="21"/>
              </w:rPr>
            </w:pPr>
            <w:r>
              <w:rPr>
                <w:rFonts w:hint="eastAsia"/>
                <w:color w:val="auto"/>
                <w:szCs w:val="21"/>
              </w:rPr>
              <w:t>48.5</w:t>
            </w:r>
          </w:p>
        </w:tc>
        <w:tc>
          <w:tcPr>
            <w:tcW w:w="282" w:type="pct"/>
          </w:tcPr>
          <w:p>
            <w:pPr>
              <w:adjustRightInd w:val="0"/>
              <w:snapToGrid w:val="0"/>
              <w:jc w:val="center"/>
              <w:rPr>
                <w:color w:val="auto"/>
                <w:szCs w:val="21"/>
              </w:rPr>
            </w:pPr>
            <w:r>
              <w:rPr>
                <w:rFonts w:hint="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204" w:type="pct"/>
            <w:vMerge w:val="continue"/>
          </w:tcPr>
          <w:p>
            <w:pPr>
              <w:adjustRightInd w:val="0"/>
              <w:snapToGrid w:val="0"/>
              <w:jc w:val="center"/>
              <w:rPr>
                <w:color w:val="auto"/>
                <w:szCs w:val="21"/>
              </w:rPr>
            </w:pPr>
          </w:p>
        </w:tc>
        <w:tc>
          <w:tcPr>
            <w:tcW w:w="242" w:type="pct"/>
            <w:vMerge w:val="continue"/>
          </w:tcPr>
          <w:p>
            <w:pPr>
              <w:adjustRightInd w:val="0"/>
              <w:snapToGrid w:val="0"/>
              <w:jc w:val="center"/>
              <w:rPr>
                <w:color w:val="auto"/>
                <w:szCs w:val="21"/>
              </w:rPr>
            </w:pPr>
          </w:p>
        </w:tc>
        <w:tc>
          <w:tcPr>
            <w:tcW w:w="601" w:type="pct"/>
            <w:vAlign w:val="center"/>
          </w:tcPr>
          <w:p>
            <w:pPr>
              <w:spacing w:line="360" w:lineRule="auto"/>
              <w:jc w:val="center"/>
              <w:rPr>
                <w:color w:val="auto"/>
                <w:szCs w:val="21"/>
              </w:rPr>
            </w:pPr>
            <w:r>
              <w:rPr>
                <w:color w:val="auto"/>
                <w:szCs w:val="21"/>
              </w:rPr>
              <w:t>提料甩干机</w:t>
            </w:r>
          </w:p>
        </w:tc>
        <w:tc>
          <w:tcPr>
            <w:tcW w:w="684" w:type="pct"/>
            <w:vAlign w:val="center"/>
          </w:tcPr>
          <w:p>
            <w:pPr>
              <w:spacing w:line="360" w:lineRule="auto"/>
              <w:jc w:val="center"/>
              <w:rPr>
                <w:color w:val="auto"/>
                <w:szCs w:val="21"/>
                <w:lang w:bidi="ar"/>
              </w:rPr>
            </w:pPr>
            <w:r>
              <w:rPr>
                <w:color w:val="auto"/>
                <w:szCs w:val="21"/>
              </w:rPr>
              <w:t>最大生产能力1t/h</w:t>
            </w:r>
          </w:p>
        </w:tc>
        <w:tc>
          <w:tcPr>
            <w:tcW w:w="314" w:type="pct"/>
            <w:vAlign w:val="center"/>
          </w:tcPr>
          <w:p>
            <w:pPr>
              <w:spacing w:line="360" w:lineRule="auto"/>
              <w:jc w:val="center"/>
              <w:rPr>
                <w:color w:val="auto"/>
                <w:szCs w:val="21"/>
              </w:rPr>
            </w:pPr>
            <w:r>
              <w:rPr>
                <w:color w:val="auto"/>
                <w:szCs w:val="21"/>
              </w:rPr>
              <w:t>75</w:t>
            </w:r>
          </w:p>
        </w:tc>
        <w:tc>
          <w:tcPr>
            <w:tcW w:w="421" w:type="pct"/>
            <w:vMerge w:val="continue"/>
          </w:tcPr>
          <w:p>
            <w:pPr>
              <w:adjustRightInd w:val="0"/>
              <w:snapToGrid w:val="0"/>
              <w:jc w:val="center"/>
              <w:rPr>
                <w:color w:val="auto"/>
                <w:szCs w:val="21"/>
              </w:rPr>
            </w:pPr>
          </w:p>
        </w:tc>
        <w:tc>
          <w:tcPr>
            <w:tcW w:w="243" w:type="pct"/>
          </w:tcPr>
          <w:p>
            <w:pPr>
              <w:adjustRightInd w:val="0"/>
              <w:snapToGrid w:val="0"/>
              <w:jc w:val="center"/>
              <w:rPr>
                <w:color w:val="auto"/>
                <w:szCs w:val="21"/>
              </w:rPr>
            </w:pPr>
            <w:r>
              <w:rPr>
                <w:rFonts w:hint="eastAsia"/>
                <w:color w:val="auto"/>
                <w:szCs w:val="21"/>
              </w:rPr>
              <w:t>7.5</w:t>
            </w:r>
          </w:p>
        </w:tc>
        <w:tc>
          <w:tcPr>
            <w:tcW w:w="285" w:type="pct"/>
          </w:tcPr>
          <w:p>
            <w:pPr>
              <w:adjustRightInd w:val="0"/>
              <w:snapToGrid w:val="0"/>
              <w:jc w:val="center"/>
              <w:rPr>
                <w:color w:val="auto"/>
                <w:szCs w:val="21"/>
              </w:rPr>
            </w:pPr>
            <w:r>
              <w:rPr>
                <w:rFonts w:hint="eastAsia"/>
                <w:color w:val="auto"/>
                <w:szCs w:val="21"/>
              </w:rPr>
              <w:t>-7.3</w:t>
            </w:r>
          </w:p>
        </w:tc>
        <w:tc>
          <w:tcPr>
            <w:tcW w:w="320" w:type="pct"/>
          </w:tcPr>
          <w:p>
            <w:pPr>
              <w:adjustRightInd w:val="0"/>
              <w:snapToGrid w:val="0"/>
              <w:jc w:val="center"/>
              <w:rPr>
                <w:color w:val="auto"/>
                <w:szCs w:val="21"/>
              </w:rPr>
            </w:pPr>
            <w:r>
              <w:rPr>
                <w:rFonts w:hint="eastAsia"/>
                <w:color w:val="auto"/>
                <w:szCs w:val="21"/>
              </w:rPr>
              <w:t>1.2</w:t>
            </w:r>
          </w:p>
        </w:tc>
        <w:tc>
          <w:tcPr>
            <w:tcW w:w="244" w:type="pct"/>
          </w:tcPr>
          <w:p>
            <w:pPr>
              <w:adjustRightInd w:val="0"/>
              <w:snapToGrid w:val="0"/>
              <w:jc w:val="center"/>
              <w:rPr>
                <w:color w:val="auto"/>
                <w:szCs w:val="21"/>
              </w:rPr>
            </w:pPr>
            <w:r>
              <w:rPr>
                <w:rFonts w:hint="eastAsia"/>
                <w:color w:val="auto"/>
                <w:szCs w:val="21"/>
              </w:rPr>
              <w:t>7.7</w:t>
            </w:r>
          </w:p>
        </w:tc>
        <w:tc>
          <w:tcPr>
            <w:tcW w:w="341" w:type="pct"/>
            <w:vAlign w:val="center"/>
          </w:tcPr>
          <w:p>
            <w:pPr>
              <w:spacing w:line="360" w:lineRule="auto"/>
              <w:jc w:val="center"/>
              <w:rPr>
                <w:color w:val="auto"/>
                <w:szCs w:val="21"/>
              </w:rPr>
            </w:pPr>
            <w:r>
              <w:rPr>
                <w:rFonts w:hint="eastAsia"/>
                <w:color w:val="auto"/>
                <w:szCs w:val="21"/>
              </w:rPr>
              <w:t>61.8</w:t>
            </w:r>
          </w:p>
        </w:tc>
        <w:tc>
          <w:tcPr>
            <w:tcW w:w="238" w:type="pct"/>
          </w:tcPr>
          <w:p>
            <w:pPr>
              <w:adjustRightInd w:val="0"/>
              <w:snapToGrid w:val="0"/>
              <w:jc w:val="center"/>
              <w:rPr>
                <w:color w:val="auto"/>
                <w:szCs w:val="21"/>
              </w:rPr>
            </w:pPr>
            <w:r>
              <w:rPr>
                <w:rFonts w:hint="eastAsia"/>
                <w:color w:val="auto"/>
                <w:szCs w:val="21"/>
              </w:rPr>
              <w:t>8h</w:t>
            </w:r>
          </w:p>
        </w:tc>
        <w:tc>
          <w:tcPr>
            <w:tcW w:w="275" w:type="pct"/>
          </w:tcPr>
          <w:p>
            <w:pPr>
              <w:adjustRightInd w:val="0"/>
              <w:snapToGrid w:val="0"/>
              <w:jc w:val="center"/>
              <w:rPr>
                <w:color w:val="auto"/>
                <w:szCs w:val="21"/>
              </w:rPr>
            </w:pPr>
            <w:r>
              <w:rPr>
                <w:rFonts w:hint="eastAsia"/>
                <w:color w:val="auto"/>
                <w:szCs w:val="21"/>
              </w:rPr>
              <w:t>35</w:t>
            </w:r>
          </w:p>
        </w:tc>
        <w:tc>
          <w:tcPr>
            <w:tcW w:w="295" w:type="pct"/>
          </w:tcPr>
          <w:p>
            <w:pPr>
              <w:adjustRightInd w:val="0"/>
              <w:snapToGrid w:val="0"/>
              <w:jc w:val="center"/>
              <w:rPr>
                <w:color w:val="auto"/>
                <w:szCs w:val="21"/>
              </w:rPr>
            </w:pPr>
            <w:r>
              <w:rPr>
                <w:rFonts w:hint="eastAsia"/>
                <w:color w:val="auto"/>
                <w:szCs w:val="21"/>
              </w:rPr>
              <w:t>42.7</w:t>
            </w:r>
          </w:p>
        </w:tc>
        <w:tc>
          <w:tcPr>
            <w:tcW w:w="282" w:type="pct"/>
          </w:tcPr>
          <w:p>
            <w:pPr>
              <w:adjustRightInd w:val="0"/>
              <w:snapToGrid w:val="0"/>
              <w:jc w:val="center"/>
              <w:rPr>
                <w:color w:val="auto"/>
                <w:szCs w:val="21"/>
              </w:rPr>
            </w:pPr>
            <w:r>
              <w:rPr>
                <w:rFonts w:hint="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204" w:type="pct"/>
            <w:vMerge w:val="continue"/>
          </w:tcPr>
          <w:p>
            <w:pPr>
              <w:adjustRightInd w:val="0"/>
              <w:snapToGrid w:val="0"/>
              <w:jc w:val="center"/>
              <w:rPr>
                <w:color w:val="auto"/>
                <w:szCs w:val="21"/>
              </w:rPr>
            </w:pPr>
          </w:p>
        </w:tc>
        <w:tc>
          <w:tcPr>
            <w:tcW w:w="242" w:type="pct"/>
            <w:vMerge w:val="continue"/>
          </w:tcPr>
          <w:p>
            <w:pPr>
              <w:adjustRightInd w:val="0"/>
              <w:snapToGrid w:val="0"/>
              <w:jc w:val="center"/>
              <w:rPr>
                <w:color w:val="auto"/>
                <w:szCs w:val="21"/>
              </w:rPr>
            </w:pPr>
          </w:p>
        </w:tc>
        <w:tc>
          <w:tcPr>
            <w:tcW w:w="601" w:type="pct"/>
            <w:vAlign w:val="center"/>
          </w:tcPr>
          <w:p>
            <w:pPr>
              <w:spacing w:line="360" w:lineRule="auto"/>
              <w:jc w:val="center"/>
              <w:rPr>
                <w:color w:val="auto"/>
                <w:szCs w:val="21"/>
              </w:rPr>
            </w:pPr>
            <w:r>
              <w:rPr>
                <w:color w:val="auto"/>
                <w:szCs w:val="21"/>
              </w:rPr>
              <w:t>破碎机</w:t>
            </w:r>
          </w:p>
        </w:tc>
        <w:tc>
          <w:tcPr>
            <w:tcW w:w="684" w:type="pct"/>
            <w:vAlign w:val="center"/>
          </w:tcPr>
          <w:p>
            <w:pPr>
              <w:spacing w:line="360" w:lineRule="auto"/>
              <w:jc w:val="center"/>
              <w:rPr>
                <w:color w:val="auto"/>
                <w:szCs w:val="21"/>
                <w:lang w:bidi="ar"/>
              </w:rPr>
            </w:pPr>
            <w:r>
              <w:rPr>
                <w:color w:val="auto"/>
                <w:szCs w:val="21"/>
              </w:rPr>
              <w:t>L800*2000</w:t>
            </w:r>
          </w:p>
        </w:tc>
        <w:tc>
          <w:tcPr>
            <w:tcW w:w="314" w:type="pct"/>
            <w:vAlign w:val="center"/>
          </w:tcPr>
          <w:p>
            <w:pPr>
              <w:spacing w:line="360" w:lineRule="auto"/>
              <w:jc w:val="center"/>
              <w:rPr>
                <w:color w:val="auto"/>
                <w:szCs w:val="21"/>
              </w:rPr>
            </w:pPr>
            <w:r>
              <w:rPr>
                <w:color w:val="auto"/>
                <w:szCs w:val="21"/>
              </w:rPr>
              <w:t>75</w:t>
            </w:r>
          </w:p>
        </w:tc>
        <w:tc>
          <w:tcPr>
            <w:tcW w:w="421" w:type="pct"/>
            <w:vMerge w:val="continue"/>
          </w:tcPr>
          <w:p>
            <w:pPr>
              <w:adjustRightInd w:val="0"/>
              <w:snapToGrid w:val="0"/>
              <w:jc w:val="center"/>
              <w:rPr>
                <w:color w:val="auto"/>
                <w:szCs w:val="21"/>
              </w:rPr>
            </w:pPr>
          </w:p>
        </w:tc>
        <w:tc>
          <w:tcPr>
            <w:tcW w:w="243" w:type="pct"/>
          </w:tcPr>
          <w:p>
            <w:pPr>
              <w:adjustRightInd w:val="0"/>
              <w:snapToGrid w:val="0"/>
              <w:jc w:val="center"/>
              <w:rPr>
                <w:color w:val="auto"/>
                <w:szCs w:val="21"/>
              </w:rPr>
            </w:pPr>
            <w:r>
              <w:rPr>
                <w:rFonts w:hint="eastAsia"/>
                <w:color w:val="auto"/>
                <w:szCs w:val="21"/>
              </w:rPr>
              <w:t>14.6</w:t>
            </w:r>
          </w:p>
        </w:tc>
        <w:tc>
          <w:tcPr>
            <w:tcW w:w="285" w:type="pct"/>
          </w:tcPr>
          <w:p>
            <w:pPr>
              <w:adjustRightInd w:val="0"/>
              <w:snapToGrid w:val="0"/>
              <w:jc w:val="center"/>
              <w:rPr>
                <w:color w:val="auto"/>
                <w:szCs w:val="21"/>
              </w:rPr>
            </w:pPr>
            <w:r>
              <w:rPr>
                <w:rFonts w:hint="eastAsia"/>
                <w:color w:val="auto"/>
                <w:szCs w:val="21"/>
              </w:rPr>
              <w:t>-11.1</w:t>
            </w:r>
          </w:p>
        </w:tc>
        <w:tc>
          <w:tcPr>
            <w:tcW w:w="320" w:type="pct"/>
          </w:tcPr>
          <w:p>
            <w:pPr>
              <w:adjustRightInd w:val="0"/>
              <w:snapToGrid w:val="0"/>
              <w:jc w:val="center"/>
              <w:rPr>
                <w:color w:val="auto"/>
                <w:szCs w:val="21"/>
              </w:rPr>
            </w:pPr>
            <w:r>
              <w:rPr>
                <w:rFonts w:hint="eastAsia"/>
                <w:color w:val="auto"/>
                <w:szCs w:val="21"/>
              </w:rPr>
              <w:t>1.2</w:t>
            </w:r>
          </w:p>
        </w:tc>
        <w:tc>
          <w:tcPr>
            <w:tcW w:w="244" w:type="pct"/>
          </w:tcPr>
          <w:p>
            <w:pPr>
              <w:adjustRightInd w:val="0"/>
              <w:snapToGrid w:val="0"/>
              <w:jc w:val="center"/>
              <w:rPr>
                <w:color w:val="auto"/>
                <w:szCs w:val="21"/>
              </w:rPr>
            </w:pPr>
            <w:r>
              <w:rPr>
                <w:rFonts w:hint="eastAsia"/>
                <w:color w:val="auto"/>
                <w:szCs w:val="21"/>
              </w:rPr>
              <w:t>13.9</w:t>
            </w:r>
          </w:p>
        </w:tc>
        <w:tc>
          <w:tcPr>
            <w:tcW w:w="341" w:type="pct"/>
            <w:vAlign w:val="center"/>
          </w:tcPr>
          <w:p>
            <w:pPr>
              <w:spacing w:line="360" w:lineRule="auto"/>
              <w:jc w:val="center"/>
              <w:rPr>
                <w:color w:val="auto"/>
                <w:szCs w:val="21"/>
              </w:rPr>
            </w:pPr>
            <w:r>
              <w:rPr>
                <w:rFonts w:hint="eastAsia"/>
                <w:color w:val="auto"/>
                <w:szCs w:val="21"/>
              </w:rPr>
              <w:t>60.5</w:t>
            </w:r>
          </w:p>
        </w:tc>
        <w:tc>
          <w:tcPr>
            <w:tcW w:w="238" w:type="pct"/>
          </w:tcPr>
          <w:p>
            <w:pPr>
              <w:adjustRightInd w:val="0"/>
              <w:snapToGrid w:val="0"/>
              <w:jc w:val="center"/>
              <w:rPr>
                <w:color w:val="auto"/>
                <w:szCs w:val="21"/>
              </w:rPr>
            </w:pPr>
            <w:r>
              <w:rPr>
                <w:rFonts w:hint="eastAsia"/>
                <w:color w:val="auto"/>
                <w:szCs w:val="21"/>
              </w:rPr>
              <w:t>8h</w:t>
            </w:r>
          </w:p>
        </w:tc>
        <w:tc>
          <w:tcPr>
            <w:tcW w:w="275" w:type="pct"/>
          </w:tcPr>
          <w:p>
            <w:pPr>
              <w:adjustRightInd w:val="0"/>
              <w:snapToGrid w:val="0"/>
              <w:jc w:val="center"/>
              <w:rPr>
                <w:color w:val="auto"/>
                <w:szCs w:val="21"/>
              </w:rPr>
            </w:pPr>
            <w:r>
              <w:rPr>
                <w:rFonts w:hint="eastAsia"/>
                <w:color w:val="auto"/>
                <w:szCs w:val="21"/>
              </w:rPr>
              <w:t>35</w:t>
            </w:r>
          </w:p>
        </w:tc>
        <w:tc>
          <w:tcPr>
            <w:tcW w:w="295" w:type="pct"/>
          </w:tcPr>
          <w:p>
            <w:pPr>
              <w:adjustRightInd w:val="0"/>
              <w:snapToGrid w:val="0"/>
              <w:jc w:val="center"/>
              <w:rPr>
                <w:color w:val="auto"/>
                <w:szCs w:val="21"/>
              </w:rPr>
            </w:pPr>
            <w:r>
              <w:rPr>
                <w:rFonts w:hint="eastAsia"/>
                <w:color w:val="auto"/>
                <w:szCs w:val="21"/>
              </w:rPr>
              <w:t>42.4</w:t>
            </w:r>
          </w:p>
        </w:tc>
        <w:tc>
          <w:tcPr>
            <w:tcW w:w="282" w:type="pct"/>
          </w:tcPr>
          <w:p>
            <w:pPr>
              <w:adjustRightInd w:val="0"/>
              <w:snapToGrid w:val="0"/>
              <w:jc w:val="center"/>
              <w:rPr>
                <w:color w:val="auto"/>
                <w:szCs w:val="21"/>
              </w:rPr>
            </w:pPr>
            <w:r>
              <w:rPr>
                <w:rFonts w:hint="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204" w:type="pct"/>
            <w:vMerge w:val="continue"/>
          </w:tcPr>
          <w:p>
            <w:pPr>
              <w:adjustRightInd w:val="0"/>
              <w:snapToGrid w:val="0"/>
              <w:jc w:val="center"/>
              <w:rPr>
                <w:color w:val="auto"/>
                <w:szCs w:val="21"/>
              </w:rPr>
            </w:pPr>
          </w:p>
        </w:tc>
        <w:tc>
          <w:tcPr>
            <w:tcW w:w="242" w:type="pct"/>
            <w:vMerge w:val="continue"/>
          </w:tcPr>
          <w:p>
            <w:pPr>
              <w:adjustRightInd w:val="0"/>
              <w:snapToGrid w:val="0"/>
              <w:jc w:val="center"/>
              <w:rPr>
                <w:color w:val="auto"/>
                <w:szCs w:val="21"/>
              </w:rPr>
            </w:pPr>
          </w:p>
        </w:tc>
        <w:tc>
          <w:tcPr>
            <w:tcW w:w="601" w:type="pct"/>
            <w:vAlign w:val="center"/>
          </w:tcPr>
          <w:p>
            <w:pPr>
              <w:spacing w:line="360" w:lineRule="auto"/>
              <w:jc w:val="center"/>
              <w:rPr>
                <w:color w:val="auto"/>
                <w:szCs w:val="21"/>
              </w:rPr>
            </w:pPr>
            <w:r>
              <w:rPr>
                <w:color w:val="auto"/>
                <w:szCs w:val="21"/>
              </w:rPr>
              <w:t>混料机</w:t>
            </w:r>
          </w:p>
        </w:tc>
        <w:tc>
          <w:tcPr>
            <w:tcW w:w="684" w:type="pct"/>
          </w:tcPr>
          <w:p>
            <w:pPr>
              <w:adjustRightInd w:val="0"/>
              <w:snapToGrid w:val="0"/>
              <w:jc w:val="center"/>
              <w:rPr>
                <w:color w:val="auto"/>
                <w:szCs w:val="21"/>
                <w:lang w:bidi="ar"/>
              </w:rPr>
            </w:pPr>
            <w:r>
              <w:rPr>
                <w:rFonts w:hint="eastAsia"/>
                <w:color w:val="auto"/>
                <w:szCs w:val="21"/>
              </w:rPr>
              <w:t>LHY-15</w:t>
            </w:r>
          </w:p>
        </w:tc>
        <w:tc>
          <w:tcPr>
            <w:tcW w:w="314" w:type="pct"/>
            <w:vAlign w:val="center"/>
          </w:tcPr>
          <w:p>
            <w:pPr>
              <w:spacing w:line="360" w:lineRule="auto"/>
              <w:jc w:val="center"/>
              <w:rPr>
                <w:color w:val="auto"/>
                <w:szCs w:val="21"/>
              </w:rPr>
            </w:pPr>
            <w:r>
              <w:rPr>
                <w:color w:val="auto"/>
                <w:szCs w:val="21"/>
              </w:rPr>
              <w:t>75</w:t>
            </w:r>
          </w:p>
        </w:tc>
        <w:tc>
          <w:tcPr>
            <w:tcW w:w="421" w:type="pct"/>
            <w:vMerge w:val="continue"/>
          </w:tcPr>
          <w:p>
            <w:pPr>
              <w:adjustRightInd w:val="0"/>
              <w:snapToGrid w:val="0"/>
              <w:jc w:val="center"/>
              <w:rPr>
                <w:color w:val="auto"/>
                <w:szCs w:val="21"/>
              </w:rPr>
            </w:pPr>
          </w:p>
        </w:tc>
        <w:tc>
          <w:tcPr>
            <w:tcW w:w="243" w:type="pct"/>
          </w:tcPr>
          <w:p>
            <w:pPr>
              <w:adjustRightInd w:val="0"/>
              <w:snapToGrid w:val="0"/>
              <w:jc w:val="center"/>
              <w:rPr>
                <w:color w:val="auto"/>
                <w:szCs w:val="21"/>
              </w:rPr>
            </w:pPr>
            <w:r>
              <w:rPr>
                <w:rFonts w:hint="eastAsia"/>
                <w:color w:val="auto"/>
                <w:szCs w:val="21"/>
              </w:rPr>
              <w:t>12.3</w:t>
            </w:r>
          </w:p>
        </w:tc>
        <w:tc>
          <w:tcPr>
            <w:tcW w:w="285" w:type="pct"/>
          </w:tcPr>
          <w:p>
            <w:pPr>
              <w:adjustRightInd w:val="0"/>
              <w:snapToGrid w:val="0"/>
              <w:jc w:val="center"/>
              <w:rPr>
                <w:color w:val="auto"/>
                <w:szCs w:val="21"/>
              </w:rPr>
            </w:pPr>
            <w:r>
              <w:rPr>
                <w:rFonts w:hint="eastAsia"/>
                <w:color w:val="auto"/>
                <w:szCs w:val="21"/>
              </w:rPr>
              <w:t>-5.2</w:t>
            </w:r>
          </w:p>
        </w:tc>
        <w:tc>
          <w:tcPr>
            <w:tcW w:w="320" w:type="pct"/>
          </w:tcPr>
          <w:p>
            <w:pPr>
              <w:adjustRightInd w:val="0"/>
              <w:snapToGrid w:val="0"/>
              <w:jc w:val="center"/>
              <w:rPr>
                <w:color w:val="auto"/>
                <w:szCs w:val="21"/>
              </w:rPr>
            </w:pPr>
            <w:r>
              <w:rPr>
                <w:rFonts w:hint="eastAsia"/>
                <w:color w:val="auto"/>
                <w:szCs w:val="21"/>
              </w:rPr>
              <w:t>1.2</w:t>
            </w:r>
          </w:p>
        </w:tc>
        <w:tc>
          <w:tcPr>
            <w:tcW w:w="244" w:type="pct"/>
          </w:tcPr>
          <w:p>
            <w:pPr>
              <w:adjustRightInd w:val="0"/>
              <w:snapToGrid w:val="0"/>
              <w:jc w:val="center"/>
              <w:rPr>
                <w:color w:val="auto"/>
                <w:szCs w:val="21"/>
              </w:rPr>
            </w:pPr>
            <w:r>
              <w:rPr>
                <w:rFonts w:hint="eastAsia"/>
                <w:color w:val="auto"/>
                <w:szCs w:val="21"/>
              </w:rPr>
              <w:t>19.7</w:t>
            </w:r>
          </w:p>
        </w:tc>
        <w:tc>
          <w:tcPr>
            <w:tcW w:w="341" w:type="pct"/>
            <w:vAlign w:val="center"/>
          </w:tcPr>
          <w:p>
            <w:pPr>
              <w:spacing w:line="360" w:lineRule="auto"/>
              <w:jc w:val="center"/>
              <w:rPr>
                <w:color w:val="auto"/>
                <w:szCs w:val="21"/>
              </w:rPr>
            </w:pPr>
            <w:r>
              <w:rPr>
                <w:rFonts w:hint="eastAsia"/>
                <w:color w:val="auto"/>
                <w:szCs w:val="21"/>
              </w:rPr>
              <w:t>59.4</w:t>
            </w:r>
          </w:p>
        </w:tc>
        <w:tc>
          <w:tcPr>
            <w:tcW w:w="238" w:type="pct"/>
          </w:tcPr>
          <w:p>
            <w:pPr>
              <w:adjustRightInd w:val="0"/>
              <w:snapToGrid w:val="0"/>
              <w:jc w:val="center"/>
              <w:rPr>
                <w:color w:val="auto"/>
                <w:szCs w:val="21"/>
              </w:rPr>
            </w:pPr>
            <w:r>
              <w:rPr>
                <w:rFonts w:hint="eastAsia"/>
                <w:color w:val="auto"/>
                <w:szCs w:val="21"/>
              </w:rPr>
              <w:t>8h</w:t>
            </w:r>
          </w:p>
        </w:tc>
        <w:tc>
          <w:tcPr>
            <w:tcW w:w="275" w:type="pct"/>
          </w:tcPr>
          <w:p>
            <w:pPr>
              <w:adjustRightInd w:val="0"/>
              <w:snapToGrid w:val="0"/>
              <w:jc w:val="center"/>
              <w:rPr>
                <w:color w:val="auto"/>
                <w:szCs w:val="21"/>
              </w:rPr>
            </w:pPr>
            <w:r>
              <w:rPr>
                <w:rFonts w:hint="eastAsia"/>
                <w:color w:val="auto"/>
                <w:szCs w:val="21"/>
              </w:rPr>
              <w:t>35</w:t>
            </w:r>
          </w:p>
        </w:tc>
        <w:tc>
          <w:tcPr>
            <w:tcW w:w="295" w:type="pct"/>
          </w:tcPr>
          <w:p>
            <w:pPr>
              <w:adjustRightInd w:val="0"/>
              <w:snapToGrid w:val="0"/>
              <w:jc w:val="center"/>
              <w:rPr>
                <w:color w:val="auto"/>
                <w:szCs w:val="21"/>
              </w:rPr>
            </w:pPr>
            <w:r>
              <w:rPr>
                <w:rFonts w:hint="eastAsia"/>
                <w:color w:val="auto"/>
                <w:szCs w:val="21"/>
              </w:rPr>
              <w:t>42.3</w:t>
            </w:r>
          </w:p>
        </w:tc>
        <w:tc>
          <w:tcPr>
            <w:tcW w:w="282" w:type="pct"/>
          </w:tcPr>
          <w:p>
            <w:pPr>
              <w:adjustRightInd w:val="0"/>
              <w:snapToGrid w:val="0"/>
              <w:jc w:val="center"/>
              <w:rPr>
                <w:color w:val="auto"/>
                <w:szCs w:val="21"/>
              </w:rPr>
            </w:pPr>
            <w:r>
              <w:rPr>
                <w:rFonts w:hint="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204" w:type="pct"/>
            <w:vMerge w:val="continue"/>
          </w:tcPr>
          <w:p>
            <w:pPr>
              <w:adjustRightInd w:val="0"/>
              <w:snapToGrid w:val="0"/>
              <w:jc w:val="center"/>
              <w:rPr>
                <w:color w:val="auto"/>
                <w:szCs w:val="21"/>
              </w:rPr>
            </w:pPr>
          </w:p>
        </w:tc>
        <w:tc>
          <w:tcPr>
            <w:tcW w:w="242" w:type="pct"/>
            <w:vMerge w:val="continue"/>
          </w:tcPr>
          <w:p>
            <w:pPr>
              <w:adjustRightInd w:val="0"/>
              <w:snapToGrid w:val="0"/>
              <w:jc w:val="center"/>
              <w:rPr>
                <w:color w:val="auto"/>
                <w:szCs w:val="21"/>
              </w:rPr>
            </w:pPr>
          </w:p>
        </w:tc>
        <w:tc>
          <w:tcPr>
            <w:tcW w:w="601" w:type="pct"/>
            <w:vAlign w:val="center"/>
          </w:tcPr>
          <w:p>
            <w:pPr>
              <w:spacing w:line="360" w:lineRule="auto"/>
              <w:jc w:val="center"/>
              <w:rPr>
                <w:color w:val="auto"/>
                <w:szCs w:val="21"/>
              </w:rPr>
            </w:pPr>
            <w:r>
              <w:rPr>
                <w:color w:val="auto"/>
                <w:szCs w:val="21"/>
              </w:rPr>
              <w:t>熔融机主机</w:t>
            </w:r>
          </w:p>
        </w:tc>
        <w:tc>
          <w:tcPr>
            <w:tcW w:w="684" w:type="pct"/>
            <w:vMerge w:val="restart"/>
          </w:tcPr>
          <w:p>
            <w:pPr>
              <w:adjustRightInd w:val="0"/>
              <w:snapToGrid w:val="0"/>
              <w:jc w:val="center"/>
              <w:rPr>
                <w:color w:val="auto"/>
                <w:szCs w:val="21"/>
                <w:lang w:bidi="ar"/>
              </w:rPr>
            </w:pPr>
            <w:r>
              <w:rPr>
                <w:color w:val="auto"/>
                <w:szCs w:val="21"/>
              </w:rPr>
              <w:t>SJ-Φ200mm，最大生产能力1t/h</w:t>
            </w:r>
          </w:p>
        </w:tc>
        <w:tc>
          <w:tcPr>
            <w:tcW w:w="314" w:type="pct"/>
            <w:vAlign w:val="center"/>
          </w:tcPr>
          <w:p>
            <w:pPr>
              <w:spacing w:line="360" w:lineRule="auto"/>
              <w:jc w:val="center"/>
              <w:rPr>
                <w:color w:val="auto"/>
                <w:szCs w:val="21"/>
              </w:rPr>
            </w:pPr>
            <w:r>
              <w:rPr>
                <w:color w:val="auto"/>
                <w:szCs w:val="21"/>
              </w:rPr>
              <w:t>70</w:t>
            </w:r>
          </w:p>
        </w:tc>
        <w:tc>
          <w:tcPr>
            <w:tcW w:w="421" w:type="pct"/>
            <w:vMerge w:val="continue"/>
          </w:tcPr>
          <w:p>
            <w:pPr>
              <w:adjustRightInd w:val="0"/>
              <w:snapToGrid w:val="0"/>
              <w:jc w:val="center"/>
              <w:rPr>
                <w:color w:val="auto"/>
                <w:szCs w:val="21"/>
              </w:rPr>
            </w:pPr>
          </w:p>
        </w:tc>
        <w:tc>
          <w:tcPr>
            <w:tcW w:w="243" w:type="pct"/>
          </w:tcPr>
          <w:p>
            <w:pPr>
              <w:adjustRightInd w:val="0"/>
              <w:snapToGrid w:val="0"/>
              <w:jc w:val="center"/>
              <w:rPr>
                <w:color w:val="auto"/>
                <w:szCs w:val="21"/>
              </w:rPr>
            </w:pPr>
            <w:r>
              <w:rPr>
                <w:rFonts w:hint="eastAsia"/>
                <w:color w:val="auto"/>
                <w:szCs w:val="21"/>
              </w:rPr>
              <w:t>21.6</w:t>
            </w:r>
          </w:p>
        </w:tc>
        <w:tc>
          <w:tcPr>
            <w:tcW w:w="285" w:type="pct"/>
          </w:tcPr>
          <w:p>
            <w:pPr>
              <w:adjustRightInd w:val="0"/>
              <w:snapToGrid w:val="0"/>
              <w:jc w:val="center"/>
              <w:rPr>
                <w:color w:val="auto"/>
                <w:szCs w:val="21"/>
              </w:rPr>
            </w:pPr>
            <w:r>
              <w:rPr>
                <w:rFonts w:hint="eastAsia"/>
                <w:color w:val="auto"/>
                <w:szCs w:val="21"/>
              </w:rPr>
              <w:t>-7.3</w:t>
            </w:r>
          </w:p>
        </w:tc>
        <w:tc>
          <w:tcPr>
            <w:tcW w:w="320" w:type="pct"/>
          </w:tcPr>
          <w:p>
            <w:pPr>
              <w:adjustRightInd w:val="0"/>
              <w:snapToGrid w:val="0"/>
              <w:jc w:val="center"/>
              <w:rPr>
                <w:color w:val="auto"/>
                <w:szCs w:val="21"/>
              </w:rPr>
            </w:pPr>
            <w:r>
              <w:rPr>
                <w:rFonts w:hint="eastAsia"/>
                <w:color w:val="auto"/>
                <w:szCs w:val="21"/>
              </w:rPr>
              <w:t>1.2</w:t>
            </w:r>
          </w:p>
        </w:tc>
        <w:tc>
          <w:tcPr>
            <w:tcW w:w="244" w:type="pct"/>
          </w:tcPr>
          <w:p>
            <w:pPr>
              <w:adjustRightInd w:val="0"/>
              <w:snapToGrid w:val="0"/>
              <w:jc w:val="center"/>
              <w:rPr>
                <w:color w:val="auto"/>
                <w:szCs w:val="21"/>
              </w:rPr>
            </w:pPr>
            <w:r>
              <w:rPr>
                <w:rFonts w:hint="eastAsia"/>
                <w:color w:val="auto"/>
                <w:szCs w:val="21"/>
              </w:rPr>
              <w:t>12.7</w:t>
            </w:r>
          </w:p>
        </w:tc>
        <w:tc>
          <w:tcPr>
            <w:tcW w:w="341" w:type="pct"/>
            <w:vAlign w:val="center"/>
          </w:tcPr>
          <w:p>
            <w:pPr>
              <w:spacing w:line="360" w:lineRule="auto"/>
              <w:jc w:val="center"/>
              <w:rPr>
                <w:color w:val="auto"/>
                <w:szCs w:val="21"/>
              </w:rPr>
            </w:pPr>
            <w:r>
              <w:rPr>
                <w:rFonts w:hint="eastAsia"/>
                <w:color w:val="auto"/>
                <w:szCs w:val="21"/>
              </w:rPr>
              <w:t>55.4</w:t>
            </w:r>
          </w:p>
        </w:tc>
        <w:tc>
          <w:tcPr>
            <w:tcW w:w="238" w:type="pct"/>
          </w:tcPr>
          <w:p>
            <w:pPr>
              <w:adjustRightInd w:val="0"/>
              <w:snapToGrid w:val="0"/>
              <w:jc w:val="center"/>
              <w:rPr>
                <w:color w:val="auto"/>
                <w:szCs w:val="21"/>
              </w:rPr>
            </w:pPr>
            <w:r>
              <w:rPr>
                <w:rFonts w:hint="eastAsia"/>
                <w:color w:val="auto"/>
                <w:szCs w:val="21"/>
              </w:rPr>
              <w:t>8h</w:t>
            </w:r>
          </w:p>
        </w:tc>
        <w:tc>
          <w:tcPr>
            <w:tcW w:w="275" w:type="pct"/>
          </w:tcPr>
          <w:p>
            <w:pPr>
              <w:adjustRightInd w:val="0"/>
              <w:snapToGrid w:val="0"/>
              <w:jc w:val="center"/>
              <w:rPr>
                <w:color w:val="auto"/>
                <w:szCs w:val="21"/>
              </w:rPr>
            </w:pPr>
            <w:r>
              <w:rPr>
                <w:rFonts w:hint="eastAsia"/>
                <w:color w:val="auto"/>
                <w:szCs w:val="21"/>
              </w:rPr>
              <w:t>35</w:t>
            </w:r>
          </w:p>
        </w:tc>
        <w:tc>
          <w:tcPr>
            <w:tcW w:w="295" w:type="pct"/>
          </w:tcPr>
          <w:p>
            <w:pPr>
              <w:adjustRightInd w:val="0"/>
              <w:snapToGrid w:val="0"/>
              <w:jc w:val="center"/>
              <w:rPr>
                <w:color w:val="auto"/>
                <w:szCs w:val="21"/>
              </w:rPr>
            </w:pPr>
            <w:r>
              <w:rPr>
                <w:rFonts w:hint="eastAsia"/>
                <w:color w:val="auto"/>
                <w:szCs w:val="21"/>
              </w:rPr>
              <w:t>37.0</w:t>
            </w:r>
          </w:p>
        </w:tc>
        <w:tc>
          <w:tcPr>
            <w:tcW w:w="282" w:type="pct"/>
          </w:tcPr>
          <w:p>
            <w:pPr>
              <w:adjustRightInd w:val="0"/>
              <w:snapToGrid w:val="0"/>
              <w:jc w:val="center"/>
              <w:rPr>
                <w:color w:val="auto"/>
                <w:szCs w:val="21"/>
              </w:rPr>
            </w:pPr>
            <w:r>
              <w:rPr>
                <w:rFonts w:hint="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204" w:type="pct"/>
            <w:vMerge w:val="continue"/>
          </w:tcPr>
          <w:p>
            <w:pPr>
              <w:adjustRightInd w:val="0"/>
              <w:snapToGrid w:val="0"/>
              <w:jc w:val="center"/>
              <w:rPr>
                <w:color w:val="auto"/>
                <w:szCs w:val="21"/>
              </w:rPr>
            </w:pPr>
          </w:p>
        </w:tc>
        <w:tc>
          <w:tcPr>
            <w:tcW w:w="242" w:type="pct"/>
            <w:vMerge w:val="continue"/>
          </w:tcPr>
          <w:p>
            <w:pPr>
              <w:adjustRightInd w:val="0"/>
              <w:snapToGrid w:val="0"/>
              <w:jc w:val="center"/>
              <w:rPr>
                <w:color w:val="auto"/>
                <w:szCs w:val="21"/>
              </w:rPr>
            </w:pPr>
          </w:p>
        </w:tc>
        <w:tc>
          <w:tcPr>
            <w:tcW w:w="601" w:type="pct"/>
            <w:vAlign w:val="center"/>
          </w:tcPr>
          <w:p>
            <w:pPr>
              <w:spacing w:line="360" w:lineRule="auto"/>
              <w:jc w:val="center"/>
              <w:rPr>
                <w:color w:val="auto"/>
                <w:szCs w:val="21"/>
              </w:rPr>
            </w:pPr>
            <w:r>
              <w:rPr>
                <w:color w:val="auto"/>
                <w:szCs w:val="21"/>
              </w:rPr>
              <w:t>熔融机副机</w:t>
            </w:r>
          </w:p>
        </w:tc>
        <w:tc>
          <w:tcPr>
            <w:tcW w:w="684" w:type="pct"/>
            <w:vMerge w:val="continue"/>
          </w:tcPr>
          <w:p>
            <w:pPr>
              <w:adjustRightInd w:val="0"/>
              <w:snapToGrid w:val="0"/>
              <w:jc w:val="center"/>
              <w:rPr>
                <w:color w:val="auto"/>
                <w:szCs w:val="21"/>
                <w:lang w:bidi="ar"/>
              </w:rPr>
            </w:pPr>
          </w:p>
        </w:tc>
        <w:tc>
          <w:tcPr>
            <w:tcW w:w="314" w:type="pct"/>
            <w:vAlign w:val="center"/>
          </w:tcPr>
          <w:p>
            <w:pPr>
              <w:spacing w:line="360" w:lineRule="auto"/>
              <w:jc w:val="center"/>
              <w:rPr>
                <w:color w:val="auto"/>
                <w:szCs w:val="21"/>
              </w:rPr>
            </w:pPr>
            <w:r>
              <w:rPr>
                <w:color w:val="auto"/>
                <w:szCs w:val="21"/>
              </w:rPr>
              <w:t>75</w:t>
            </w:r>
          </w:p>
        </w:tc>
        <w:tc>
          <w:tcPr>
            <w:tcW w:w="421" w:type="pct"/>
            <w:vMerge w:val="continue"/>
          </w:tcPr>
          <w:p>
            <w:pPr>
              <w:adjustRightInd w:val="0"/>
              <w:snapToGrid w:val="0"/>
              <w:jc w:val="center"/>
              <w:rPr>
                <w:color w:val="auto"/>
                <w:szCs w:val="21"/>
              </w:rPr>
            </w:pPr>
          </w:p>
        </w:tc>
        <w:tc>
          <w:tcPr>
            <w:tcW w:w="243" w:type="pct"/>
          </w:tcPr>
          <w:p>
            <w:pPr>
              <w:adjustRightInd w:val="0"/>
              <w:snapToGrid w:val="0"/>
              <w:jc w:val="center"/>
              <w:rPr>
                <w:color w:val="auto"/>
                <w:szCs w:val="21"/>
              </w:rPr>
            </w:pPr>
            <w:r>
              <w:rPr>
                <w:rFonts w:hint="eastAsia"/>
                <w:color w:val="auto"/>
                <w:szCs w:val="21"/>
              </w:rPr>
              <w:t>20.3</w:t>
            </w:r>
          </w:p>
        </w:tc>
        <w:tc>
          <w:tcPr>
            <w:tcW w:w="285" w:type="pct"/>
          </w:tcPr>
          <w:p>
            <w:pPr>
              <w:adjustRightInd w:val="0"/>
              <w:snapToGrid w:val="0"/>
              <w:jc w:val="center"/>
              <w:rPr>
                <w:color w:val="auto"/>
                <w:szCs w:val="21"/>
              </w:rPr>
            </w:pPr>
            <w:r>
              <w:rPr>
                <w:rFonts w:hint="eastAsia"/>
                <w:color w:val="auto"/>
                <w:szCs w:val="21"/>
              </w:rPr>
              <w:t>-7.1</w:t>
            </w:r>
          </w:p>
        </w:tc>
        <w:tc>
          <w:tcPr>
            <w:tcW w:w="320" w:type="pct"/>
          </w:tcPr>
          <w:p>
            <w:pPr>
              <w:adjustRightInd w:val="0"/>
              <w:snapToGrid w:val="0"/>
              <w:jc w:val="center"/>
              <w:rPr>
                <w:color w:val="auto"/>
                <w:szCs w:val="21"/>
              </w:rPr>
            </w:pPr>
            <w:r>
              <w:rPr>
                <w:rFonts w:hint="eastAsia"/>
                <w:color w:val="auto"/>
                <w:szCs w:val="21"/>
              </w:rPr>
              <w:t>1.2</w:t>
            </w:r>
          </w:p>
        </w:tc>
        <w:tc>
          <w:tcPr>
            <w:tcW w:w="244" w:type="pct"/>
          </w:tcPr>
          <w:p>
            <w:pPr>
              <w:adjustRightInd w:val="0"/>
              <w:snapToGrid w:val="0"/>
              <w:jc w:val="center"/>
              <w:rPr>
                <w:color w:val="auto"/>
                <w:szCs w:val="21"/>
              </w:rPr>
            </w:pPr>
            <w:r>
              <w:rPr>
                <w:rFonts w:hint="eastAsia"/>
                <w:color w:val="auto"/>
                <w:szCs w:val="21"/>
              </w:rPr>
              <w:t>13.8</w:t>
            </w:r>
          </w:p>
        </w:tc>
        <w:tc>
          <w:tcPr>
            <w:tcW w:w="341" w:type="pct"/>
            <w:vAlign w:val="center"/>
          </w:tcPr>
          <w:p>
            <w:pPr>
              <w:spacing w:line="360" w:lineRule="auto"/>
              <w:jc w:val="center"/>
              <w:rPr>
                <w:color w:val="auto"/>
                <w:szCs w:val="21"/>
              </w:rPr>
            </w:pPr>
            <w:r>
              <w:rPr>
                <w:rFonts w:hint="eastAsia"/>
                <w:color w:val="auto"/>
                <w:szCs w:val="21"/>
              </w:rPr>
              <w:t>60.5</w:t>
            </w:r>
          </w:p>
        </w:tc>
        <w:tc>
          <w:tcPr>
            <w:tcW w:w="238" w:type="pct"/>
          </w:tcPr>
          <w:p>
            <w:pPr>
              <w:adjustRightInd w:val="0"/>
              <w:snapToGrid w:val="0"/>
              <w:jc w:val="center"/>
              <w:rPr>
                <w:color w:val="auto"/>
                <w:szCs w:val="21"/>
              </w:rPr>
            </w:pPr>
            <w:r>
              <w:rPr>
                <w:rFonts w:hint="eastAsia"/>
                <w:color w:val="auto"/>
                <w:szCs w:val="21"/>
              </w:rPr>
              <w:t>8h</w:t>
            </w:r>
          </w:p>
        </w:tc>
        <w:tc>
          <w:tcPr>
            <w:tcW w:w="275" w:type="pct"/>
          </w:tcPr>
          <w:p>
            <w:pPr>
              <w:adjustRightInd w:val="0"/>
              <w:snapToGrid w:val="0"/>
              <w:jc w:val="center"/>
              <w:rPr>
                <w:color w:val="auto"/>
                <w:szCs w:val="21"/>
              </w:rPr>
            </w:pPr>
            <w:r>
              <w:rPr>
                <w:rFonts w:hint="eastAsia"/>
                <w:color w:val="auto"/>
                <w:szCs w:val="21"/>
              </w:rPr>
              <w:t>35</w:t>
            </w:r>
          </w:p>
        </w:tc>
        <w:tc>
          <w:tcPr>
            <w:tcW w:w="295" w:type="pct"/>
          </w:tcPr>
          <w:p>
            <w:pPr>
              <w:adjustRightInd w:val="0"/>
              <w:snapToGrid w:val="0"/>
              <w:jc w:val="center"/>
              <w:rPr>
                <w:color w:val="auto"/>
                <w:szCs w:val="21"/>
              </w:rPr>
            </w:pPr>
            <w:r>
              <w:rPr>
                <w:rFonts w:hint="eastAsia"/>
                <w:color w:val="auto"/>
                <w:szCs w:val="21"/>
              </w:rPr>
              <w:t>42.4</w:t>
            </w:r>
          </w:p>
        </w:tc>
        <w:tc>
          <w:tcPr>
            <w:tcW w:w="282" w:type="pct"/>
          </w:tcPr>
          <w:p>
            <w:pPr>
              <w:adjustRightInd w:val="0"/>
              <w:snapToGrid w:val="0"/>
              <w:jc w:val="center"/>
              <w:rPr>
                <w:color w:val="auto"/>
                <w:szCs w:val="21"/>
              </w:rPr>
            </w:pPr>
            <w:r>
              <w:rPr>
                <w:rFonts w:hint="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204" w:type="pct"/>
            <w:vMerge w:val="continue"/>
          </w:tcPr>
          <w:p>
            <w:pPr>
              <w:adjustRightInd w:val="0"/>
              <w:snapToGrid w:val="0"/>
              <w:jc w:val="center"/>
              <w:rPr>
                <w:color w:val="auto"/>
                <w:szCs w:val="21"/>
              </w:rPr>
            </w:pPr>
          </w:p>
        </w:tc>
        <w:tc>
          <w:tcPr>
            <w:tcW w:w="242" w:type="pct"/>
            <w:vMerge w:val="continue"/>
          </w:tcPr>
          <w:p>
            <w:pPr>
              <w:adjustRightInd w:val="0"/>
              <w:snapToGrid w:val="0"/>
              <w:jc w:val="center"/>
              <w:rPr>
                <w:color w:val="auto"/>
                <w:szCs w:val="21"/>
              </w:rPr>
            </w:pPr>
          </w:p>
        </w:tc>
        <w:tc>
          <w:tcPr>
            <w:tcW w:w="601" w:type="pct"/>
            <w:vAlign w:val="center"/>
          </w:tcPr>
          <w:p>
            <w:pPr>
              <w:spacing w:line="360" w:lineRule="auto"/>
              <w:jc w:val="center"/>
              <w:rPr>
                <w:color w:val="auto"/>
                <w:szCs w:val="21"/>
              </w:rPr>
            </w:pPr>
            <w:r>
              <w:rPr>
                <w:color w:val="auto"/>
                <w:szCs w:val="21"/>
              </w:rPr>
              <w:t>切粒机</w:t>
            </w:r>
          </w:p>
        </w:tc>
        <w:tc>
          <w:tcPr>
            <w:tcW w:w="684" w:type="pct"/>
          </w:tcPr>
          <w:p>
            <w:pPr>
              <w:adjustRightInd w:val="0"/>
              <w:snapToGrid w:val="0"/>
              <w:jc w:val="center"/>
              <w:rPr>
                <w:color w:val="auto"/>
                <w:szCs w:val="21"/>
                <w:lang w:bidi="ar"/>
              </w:rPr>
            </w:pPr>
            <w:r>
              <w:rPr>
                <w:color w:val="auto"/>
                <w:szCs w:val="21"/>
              </w:rPr>
              <w:t>245型</w:t>
            </w:r>
          </w:p>
        </w:tc>
        <w:tc>
          <w:tcPr>
            <w:tcW w:w="314" w:type="pct"/>
            <w:vAlign w:val="center"/>
          </w:tcPr>
          <w:p>
            <w:pPr>
              <w:spacing w:line="360" w:lineRule="auto"/>
              <w:jc w:val="center"/>
              <w:rPr>
                <w:color w:val="auto"/>
                <w:szCs w:val="21"/>
              </w:rPr>
            </w:pPr>
            <w:r>
              <w:rPr>
                <w:color w:val="auto"/>
                <w:szCs w:val="21"/>
              </w:rPr>
              <w:t>80</w:t>
            </w:r>
          </w:p>
        </w:tc>
        <w:tc>
          <w:tcPr>
            <w:tcW w:w="421" w:type="pct"/>
            <w:vMerge w:val="continue"/>
          </w:tcPr>
          <w:p>
            <w:pPr>
              <w:adjustRightInd w:val="0"/>
              <w:snapToGrid w:val="0"/>
              <w:jc w:val="center"/>
              <w:rPr>
                <w:color w:val="auto"/>
                <w:szCs w:val="21"/>
              </w:rPr>
            </w:pPr>
          </w:p>
        </w:tc>
        <w:tc>
          <w:tcPr>
            <w:tcW w:w="243" w:type="pct"/>
          </w:tcPr>
          <w:p>
            <w:pPr>
              <w:adjustRightInd w:val="0"/>
              <w:snapToGrid w:val="0"/>
              <w:jc w:val="center"/>
              <w:rPr>
                <w:color w:val="auto"/>
                <w:szCs w:val="21"/>
              </w:rPr>
            </w:pPr>
            <w:r>
              <w:rPr>
                <w:rFonts w:hint="eastAsia"/>
                <w:color w:val="auto"/>
                <w:szCs w:val="21"/>
              </w:rPr>
              <w:t>23.7</w:t>
            </w:r>
          </w:p>
        </w:tc>
        <w:tc>
          <w:tcPr>
            <w:tcW w:w="285" w:type="pct"/>
          </w:tcPr>
          <w:p>
            <w:pPr>
              <w:adjustRightInd w:val="0"/>
              <w:snapToGrid w:val="0"/>
              <w:jc w:val="center"/>
              <w:rPr>
                <w:color w:val="auto"/>
                <w:szCs w:val="21"/>
              </w:rPr>
            </w:pPr>
            <w:r>
              <w:rPr>
                <w:rFonts w:hint="eastAsia"/>
                <w:color w:val="auto"/>
                <w:szCs w:val="21"/>
              </w:rPr>
              <w:t>-10.8</w:t>
            </w:r>
          </w:p>
        </w:tc>
        <w:tc>
          <w:tcPr>
            <w:tcW w:w="320" w:type="pct"/>
          </w:tcPr>
          <w:p>
            <w:pPr>
              <w:adjustRightInd w:val="0"/>
              <w:snapToGrid w:val="0"/>
              <w:jc w:val="center"/>
              <w:rPr>
                <w:color w:val="auto"/>
                <w:szCs w:val="21"/>
              </w:rPr>
            </w:pPr>
            <w:r>
              <w:rPr>
                <w:rFonts w:hint="eastAsia"/>
                <w:color w:val="auto"/>
                <w:szCs w:val="21"/>
              </w:rPr>
              <w:t>1.2</w:t>
            </w:r>
          </w:p>
        </w:tc>
        <w:tc>
          <w:tcPr>
            <w:tcW w:w="244" w:type="pct"/>
          </w:tcPr>
          <w:p>
            <w:pPr>
              <w:adjustRightInd w:val="0"/>
              <w:snapToGrid w:val="0"/>
              <w:jc w:val="center"/>
              <w:rPr>
                <w:color w:val="auto"/>
                <w:szCs w:val="21"/>
              </w:rPr>
            </w:pPr>
            <w:r>
              <w:rPr>
                <w:rFonts w:hint="eastAsia"/>
                <w:color w:val="auto"/>
                <w:szCs w:val="21"/>
              </w:rPr>
              <w:t>19.3</w:t>
            </w:r>
          </w:p>
        </w:tc>
        <w:tc>
          <w:tcPr>
            <w:tcW w:w="341" w:type="pct"/>
            <w:vAlign w:val="center"/>
          </w:tcPr>
          <w:p>
            <w:pPr>
              <w:spacing w:line="360" w:lineRule="auto"/>
              <w:jc w:val="center"/>
              <w:rPr>
                <w:color w:val="auto"/>
                <w:szCs w:val="21"/>
              </w:rPr>
            </w:pPr>
            <w:r>
              <w:rPr>
                <w:rFonts w:hint="eastAsia"/>
                <w:color w:val="auto"/>
                <w:szCs w:val="21"/>
              </w:rPr>
              <w:t>65.4</w:t>
            </w:r>
          </w:p>
        </w:tc>
        <w:tc>
          <w:tcPr>
            <w:tcW w:w="238" w:type="pct"/>
          </w:tcPr>
          <w:p>
            <w:pPr>
              <w:adjustRightInd w:val="0"/>
              <w:snapToGrid w:val="0"/>
              <w:jc w:val="center"/>
              <w:rPr>
                <w:color w:val="auto"/>
                <w:szCs w:val="21"/>
              </w:rPr>
            </w:pPr>
            <w:r>
              <w:rPr>
                <w:rFonts w:hint="eastAsia"/>
                <w:color w:val="auto"/>
                <w:szCs w:val="21"/>
              </w:rPr>
              <w:t>8h</w:t>
            </w:r>
          </w:p>
        </w:tc>
        <w:tc>
          <w:tcPr>
            <w:tcW w:w="275" w:type="pct"/>
          </w:tcPr>
          <w:p>
            <w:pPr>
              <w:adjustRightInd w:val="0"/>
              <w:snapToGrid w:val="0"/>
              <w:jc w:val="center"/>
              <w:rPr>
                <w:color w:val="auto"/>
                <w:szCs w:val="21"/>
              </w:rPr>
            </w:pPr>
            <w:r>
              <w:rPr>
                <w:rFonts w:hint="eastAsia"/>
                <w:color w:val="auto"/>
                <w:szCs w:val="21"/>
              </w:rPr>
              <w:t>35</w:t>
            </w:r>
          </w:p>
        </w:tc>
        <w:tc>
          <w:tcPr>
            <w:tcW w:w="295" w:type="pct"/>
          </w:tcPr>
          <w:p>
            <w:pPr>
              <w:adjustRightInd w:val="0"/>
              <w:snapToGrid w:val="0"/>
              <w:jc w:val="center"/>
              <w:rPr>
                <w:color w:val="auto"/>
                <w:szCs w:val="21"/>
              </w:rPr>
            </w:pPr>
            <w:r>
              <w:rPr>
                <w:rFonts w:hint="eastAsia"/>
                <w:color w:val="auto"/>
                <w:szCs w:val="21"/>
              </w:rPr>
              <w:t>47.3</w:t>
            </w:r>
          </w:p>
        </w:tc>
        <w:tc>
          <w:tcPr>
            <w:tcW w:w="282" w:type="pct"/>
          </w:tcPr>
          <w:p>
            <w:pPr>
              <w:adjustRightInd w:val="0"/>
              <w:snapToGrid w:val="0"/>
              <w:jc w:val="center"/>
              <w:rPr>
                <w:color w:val="auto"/>
                <w:szCs w:val="21"/>
              </w:rPr>
            </w:pPr>
            <w:r>
              <w:rPr>
                <w:rFonts w:hint="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204" w:type="pct"/>
            <w:vMerge w:val="continue"/>
          </w:tcPr>
          <w:p>
            <w:pPr>
              <w:adjustRightInd w:val="0"/>
              <w:snapToGrid w:val="0"/>
              <w:jc w:val="center"/>
              <w:rPr>
                <w:color w:val="auto"/>
                <w:szCs w:val="21"/>
              </w:rPr>
            </w:pPr>
          </w:p>
        </w:tc>
        <w:tc>
          <w:tcPr>
            <w:tcW w:w="242" w:type="pct"/>
            <w:vMerge w:val="continue"/>
          </w:tcPr>
          <w:p>
            <w:pPr>
              <w:adjustRightInd w:val="0"/>
              <w:snapToGrid w:val="0"/>
              <w:jc w:val="center"/>
              <w:rPr>
                <w:color w:val="auto"/>
                <w:szCs w:val="21"/>
              </w:rPr>
            </w:pPr>
          </w:p>
        </w:tc>
        <w:tc>
          <w:tcPr>
            <w:tcW w:w="601" w:type="pct"/>
            <w:vAlign w:val="center"/>
          </w:tcPr>
          <w:p>
            <w:pPr>
              <w:spacing w:line="360" w:lineRule="auto"/>
              <w:jc w:val="center"/>
              <w:rPr>
                <w:color w:val="auto"/>
                <w:szCs w:val="21"/>
              </w:rPr>
            </w:pPr>
            <w:r>
              <w:rPr>
                <w:color w:val="auto"/>
                <w:szCs w:val="21"/>
              </w:rPr>
              <w:t>振动筛</w:t>
            </w:r>
          </w:p>
        </w:tc>
        <w:tc>
          <w:tcPr>
            <w:tcW w:w="684" w:type="pct"/>
          </w:tcPr>
          <w:p>
            <w:pPr>
              <w:adjustRightInd w:val="0"/>
              <w:snapToGrid w:val="0"/>
              <w:jc w:val="center"/>
              <w:rPr>
                <w:color w:val="auto"/>
                <w:szCs w:val="21"/>
                <w:lang w:bidi="ar"/>
              </w:rPr>
            </w:pPr>
            <w:r>
              <w:rPr>
                <w:rFonts w:hint="eastAsia"/>
                <w:color w:val="auto"/>
                <w:szCs w:val="21"/>
              </w:rPr>
              <w:t>DZSF型</w:t>
            </w:r>
          </w:p>
        </w:tc>
        <w:tc>
          <w:tcPr>
            <w:tcW w:w="314" w:type="pct"/>
            <w:vAlign w:val="center"/>
          </w:tcPr>
          <w:p>
            <w:pPr>
              <w:spacing w:line="360" w:lineRule="auto"/>
              <w:jc w:val="center"/>
              <w:rPr>
                <w:color w:val="auto"/>
                <w:szCs w:val="21"/>
              </w:rPr>
            </w:pPr>
            <w:r>
              <w:rPr>
                <w:color w:val="auto"/>
                <w:szCs w:val="21"/>
              </w:rPr>
              <w:t>90</w:t>
            </w:r>
          </w:p>
        </w:tc>
        <w:tc>
          <w:tcPr>
            <w:tcW w:w="421" w:type="pct"/>
            <w:vMerge w:val="continue"/>
          </w:tcPr>
          <w:p>
            <w:pPr>
              <w:adjustRightInd w:val="0"/>
              <w:snapToGrid w:val="0"/>
              <w:jc w:val="center"/>
              <w:rPr>
                <w:color w:val="auto"/>
                <w:szCs w:val="21"/>
              </w:rPr>
            </w:pPr>
          </w:p>
        </w:tc>
        <w:tc>
          <w:tcPr>
            <w:tcW w:w="243" w:type="pct"/>
          </w:tcPr>
          <w:p>
            <w:pPr>
              <w:adjustRightInd w:val="0"/>
              <w:snapToGrid w:val="0"/>
              <w:jc w:val="center"/>
              <w:rPr>
                <w:color w:val="auto"/>
                <w:szCs w:val="21"/>
              </w:rPr>
            </w:pPr>
            <w:r>
              <w:rPr>
                <w:rFonts w:hint="eastAsia"/>
                <w:color w:val="auto"/>
                <w:szCs w:val="21"/>
              </w:rPr>
              <w:t>24</w:t>
            </w:r>
          </w:p>
        </w:tc>
        <w:tc>
          <w:tcPr>
            <w:tcW w:w="285" w:type="pct"/>
          </w:tcPr>
          <w:p>
            <w:pPr>
              <w:adjustRightInd w:val="0"/>
              <w:snapToGrid w:val="0"/>
              <w:jc w:val="center"/>
              <w:rPr>
                <w:color w:val="auto"/>
                <w:szCs w:val="21"/>
              </w:rPr>
            </w:pPr>
            <w:r>
              <w:rPr>
                <w:rFonts w:hint="eastAsia"/>
                <w:color w:val="auto"/>
                <w:szCs w:val="21"/>
              </w:rPr>
              <w:t>-14.3</w:t>
            </w:r>
          </w:p>
        </w:tc>
        <w:tc>
          <w:tcPr>
            <w:tcW w:w="320" w:type="pct"/>
          </w:tcPr>
          <w:p>
            <w:pPr>
              <w:adjustRightInd w:val="0"/>
              <w:snapToGrid w:val="0"/>
              <w:jc w:val="center"/>
              <w:rPr>
                <w:color w:val="auto"/>
                <w:szCs w:val="21"/>
              </w:rPr>
            </w:pPr>
            <w:r>
              <w:rPr>
                <w:rFonts w:hint="eastAsia"/>
                <w:color w:val="auto"/>
                <w:szCs w:val="21"/>
              </w:rPr>
              <w:t>1.2</w:t>
            </w:r>
          </w:p>
        </w:tc>
        <w:tc>
          <w:tcPr>
            <w:tcW w:w="244" w:type="pct"/>
          </w:tcPr>
          <w:p>
            <w:pPr>
              <w:adjustRightInd w:val="0"/>
              <w:snapToGrid w:val="0"/>
              <w:jc w:val="center"/>
              <w:rPr>
                <w:color w:val="auto"/>
                <w:szCs w:val="21"/>
              </w:rPr>
            </w:pPr>
            <w:r>
              <w:rPr>
                <w:rFonts w:hint="eastAsia"/>
                <w:color w:val="auto"/>
                <w:szCs w:val="21"/>
              </w:rPr>
              <w:t>13.7</w:t>
            </w:r>
          </w:p>
        </w:tc>
        <w:tc>
          <w:tcPr>
            <w:tcW w:w="341" w:type="pct"/>
            <w:vAlign w:val="center"/>
          </w:tcPr>
          <w:p>
            <w:pPr>
              <w:spacing w:line="360" w:lineRule="auto"/>
              <w:jc w:val="center"/>
              <w:rPr>
                <w:color w:val="auto"/>
                <w:szCs w:val="21"/>
              </w:rPr>
            </w:pPr>
            <w:r>
              <w:rPr>
                <w:rFonts w:hint="eastAsia"/>
                <w:color w:val="auto"/>
                <w:szCs w:val="21"/>
              </w:rPr>
              <w:t>75.4</w:t>
            </w:r>
          </w:p>
        </w:tc>
        <w:tc>
          <w:tcPr>
            <w:tcW w:w="238" w:type="pct"/>
          </w:tcPr>
          <w:p>
            <w:pPr>
              <w:adjustRightInd w:val="0"/>
              <w:snapToGrid w:val="0"/>
              <w:jc w:val="center"/>
              <w:rPr>
                <w:color w:val="auto"/>
                <w:szCs w:val="21"/>
              </w:rPr>
            </w:pPr>
            <w:r>
              <w:rPr>
                <w:rFonts w:hint="eastAsia"/>
                <w:color w:val="auto"/>
                <w:szCs w:val="21"/>
              </w:rPr>
              <w:t>8h</w:t>
            </w:r>
          </w:p>
        </w:tc>
        <w:tc>
          <w:tcPr>
            <w:tcW w:w="275" w:type="pct"/>
          </w:tcPr>
          <w:p>
            <w:pPr>
              <w:adjustRightInd w:val="0"/>
              <w:snapToGrid w:val="0"/>
              <w:jc w:val="center"/>
              <w:rPr>
                <w:color w:val="auto"/>
                <w:szCs w:val="21"/>
              </w:rPr>
            </w:pPr>
            <w:r>
              <w:rPr>
                <w:rFonts w:hint="eastAsia"/>
                <w:color w:val="auto"/>
                <w:szCs w:val="21"/>
              </w:rPr>
              <w:t>35</w:t>
            </w:r>
          </w:p>
        </w:tc>
        <w:tc>
          <w:tcPr>
            <w:tcW w:w="295" w:type="pct"/>
          </w:tcPr>
          <w:p>
            <w:pPr>
              <w:adjustRightInd w:val="0"/>
              <w:snapToGrid w:val="0"/>
              <w:jc w:val="center"/>
              <w:rPr>
                <w:color w:val="auto"/>
                <w:szCs w:val="21"/>
              </w:rPr>
            </w:pPr>
            <w:r>
              <w:rPr>
                <w:rFonts w:hint="eastAsia"/>
                <w:color w:val="auto"/>
                <w:szCs w:val="21"/>
              </w:rPr>
              <w:t>57.4</w:t>
            </w:r>
          </w:p>
        </w:tc>
        <w:tc>
          <w:tcPr>
            <w:tcW w:w="282" w:type="pct"/>
          </w:tcPr>
          <w:p>
            <w:pPr>
              <w:adjustRightInd w:val="0"/>
              <w:snapToGrid w:val="0"/>
              <w:jc w:val="center"/>
              <w:rPr>
                <w:color w:val="auto"/>
                <w:szCs w:val="21"/>
              </w:rPr>
            </w:pPr>
            <w:r>
              <w:rPr>
                <w:rFonts w:hint="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204" w:type="pct"/>
            <w:vMerge w:val="continue"/>
          </w:tcPr>
          <w:p>
            <w:pPr>
              <w:adjustRightInd w:val="0"/>
              <w:snapToGrid w:val="0"/>
              <w:jc w:val="center"/>
              <w:rPr>
                <w:color w:val="auto"/>
                <w:szCs w:val="21"/>
              </w:rPr>
            </w:pPr>
          </w:p>
        </w:tc>
        <w:tc>
          <w:tcPr>
            <w:tcW w:w="242" w:type="pct"/>
            <w:vMerge w:val="continue"/>
          </w:tcPr>
          <w:p>
            <w:pPr>
              <w:adjustRightInd w:val="0"/>
              <w:snapToGrid w:val="0"/>
              <w:jc w:val="center"/>
              <w:rPr>
                <w:color w:val="auto"/>
                <w:szCs w:val="21"/>
              </w:rPr>
            </w:pPr>
          </w:p>
        </w:tc>
        <w:tc>
          <w:tcPr>
            <w:tcW w:w="601" w:type="pct"/>
            <w:vAlign w:val="center"/>
          </w:tcPr>
          <w:p>
            <w:pPr>
              <w:spacing w:line="360" w:lineRule="auto"/>
              <w:jc w:val="center"/>
              <w:rPr>
                <w:color w:val="auto"/>
                <w:szCs w:val="21"/>
              </w:rPr>
            </w:pPr>
            <w:r>
              <w:rPr>
                <w:rFonts w:hint="eastAsia"/>
                <w:color w:val="auto"/>
                <w:szCs w:val="21"/>
              </w:rPr>
              <w:t>风机</w:t>
            </w:r>
          </w:p>
        </w:tc>
        <w:tc>
          <w:tcPr>
            <w:tcW w:w="684" w:type="pct"/>
          </w:tcPr>
          <w:p>
            <w:pPr>
              <w:adjustRightInd w:val="0"/>
              <w:snapToGrid w:val="0"/>
              <w:jc w:val="center"/>
              <w:rPr>
                <w:color w:val="auto"/>
                <w:szCs w:val="21"/>
                <w:lang w:bidi="ar"/>
              </w:rPr>
            </w:pPr>
            <w:r>
              <w:rPr>
                <w:rFonts w:hint="eastAsia"/>
                <w:color w:val="auto"/>
                <w:szCs w:val="21"/>
              </w:rPr>
              <w:t>8535.16</w:t>
            </w:r>
            <w:r>
              <w:rPr>
                <w:color w:val="auto"/>
                <w:szCs w:val="21"/>
              </w:rPr>
              <w:t>m</w:t>
            </w:r>
            <w:r>
              <w:rPr>
                <w:color w:val="auto"/>
                <w:szCs w:val="21"/>
                <w:vertAlign w:val="superscript"/>
              </w:rPr>
              <w:t>3</w:t>
            </w:r>
            <w:r>
              <w:rPr>
                <w:color w:val="auto"/>
                <w:szCs w:val="21"/>
              </w:rPr>
              <w:t>/h</w:t>
            </w:r>
          </w:p>
        </w:tc>
        <w:tc>
          <w:tcPr>
            <w:tcW w:w="314" w:type="pct"/>
            <w:vAlign w:val="center"/>
          </w:tcPr>
          <w:p>
            <w:pPr>
              <w:spacing w:line="360" w:lineRule="auto"/>
              <w:jc w:val="center"/>
              <w:rPr>
                <w:color w:val="auto"/>
                <w:szCs w:val="21"/>
              </w:rPr>
            </w:pPr>
            <w:r>
              <w:rPr>
                <w:color w:val="auto"/>
                <w:szCs w:val="21"/>
              </w:rPr>
              <w:t>80</w:t>
            </w:r>
          </w:p>
        </w:tc>
        <w:tc>
          <w:tcPr>
            <w:tcW w:w="421" w:type="pct"/>
            <w:vMerge w:val="continue"/>
          </w:tcPr>
          <w:p>
            <w:pPr>
              <w:adjustRightInd w:val="0"/>
              <w:snapToGrid w:val="0"/>
              <w:jc w:val="center"/>
              <w:rPr>
                <w:color w:val="auto"/>
                <w:szCs w:val="21"/>
              </w:rPr>
            </w:pPr>
          </w:p>
        </w:tc>
        <w:tc>
          <w:tcPr>
            <w:tcW w:w="243" w:type="pct"/>
          </w:tcPr>
          <w:p>
            <w:pPr>
              <w:adjustRightInd w:val="0"/>
              <w:snapToGrid w:val="0"/>
              <w:jc w:val="center"/>
              <w:rPr>
                <w:color w:val="auto"/>
                <w:szCs w:val="21"/>
              </w:rPr>
            </w:pPr>
            <w:r>
              <w:rPr>
                <w:rFonts w:hint="eastAsia"/>
                <w:color w:val="auto"/>
                <w:szCs w:val="21"/>
              </w:rPr>
              <w:t>19.9</w:t>
            </w:r>
          </w:p>
        </w:tc>
        <w:tc>
          <w:tcPr>
            <w:tcW w:w="285" w:type="pct"/>
          </w:tcPr>
          <w:p>
            <w:pPr>
              <w:adjustRightInd w:val="0"/>
              <w:snapToGrid w:val="0"/>
              <w:jc w:val="center"/>
              <w:rPr>
                <w:color w:val="auto"/>
                <w:szCs w:val="21"/>
              </w:rPr>
            </w:pPr>
            <w:r>
              <w:rPr>
                <w:rFonts w:hint="eastAsia"/>
                <w:color w:val="auto"/>
                <w:szCs w:val="21"/>
              </w:rPr>
              <w:t>-10</w:t>
            </w:r>
          </w:p>
        </w:tc>
        <w:tc>
          <w:tcPr>
            <w:tcW w:w="320" w:type="pct"/>
          </w:tcPr>
          <w:p>
            <w:pPr>
              <w:adjustRightInd w:val="0"/>
              <w:snapToGrid w:val="0"/>
              <w:jc w:val="center"/>
              <w:rPr>
                <w:color w:val="auto"/>
                <w:szCs w:val="21"/>
              </w:rPr>
            </w:pPr>
            <w:r>
              <w:rPr>
                <w:rFonts w:hint="eastAsia"/>
                <w:color w:val="auto"/>
                <w:szCs w:val="21"/>
              </w:rPr>
              <w:t>1.2</w:t>
            </w:r>
          </w:p>
        </w:tc>
        <w:tc>
          <w:tcPr>
            <w:tcW w:w="244" w:type="pct"/>
          </w:tcPr>
          <w:p>
            <w:pPr>
              <w:adjustRightInd w:val="0"/>
              <w:snapToGrid w:val="0"/>
              <w:jc w:val="center"/>
              <w:rPr>
                <w:color w:val="auto"/>
                <w:szCs w:val="21"/>
              </w:rPr>
            </w:pPr>
            <w:r>
              <w:rPr>
                <w:rFonts w:hint="eastAsia"/>
                <w:color w:val="auto"/>
                <w:szCs w:val="21"/>
              </w:rPr>
              <w:t>17.8</w:t>
            </w:r>
          </w:p>
        </w:tc>
        <w:tc>
          <w:tcPr>
            <w:tcW w:w="341" w:type="pct"/>
            <w:vAlign w:val="center"/>
          </w:tcPr>
          <w:p>
            <w:pPr>
              <w:spacing w:line="360" w:lineRule="auto"/>
              <w:jc w:val="center"/>
              <w:rPr>
                <w:color w:val="auto"/>
                <w:szCs w:val="21"/>
              </w:rPr>
            </w:pPr>
            <w:r>
              <w:rPr>
                <w:rFonts w:hint="eastAsia"/>
                <w:color w:val="auto"/>
                <w:szCs w:val="21"/>
              </w:rPr>
              <w:t>66.5</w:t>
            </w:r>
          </w:p>
        </w:tc>
        <w:tc>
          <w:tcPr>
            <w:tcW w:w="238" w:type="pct"/>
          </w:tcPr>
          <w:p>
            <w:pPr>
              <w:adjustRightInd w:val="0"/>
              <w:snapToGrid w:val="0"/>
              <w:jc w:val="center"/>
              <w:rPr>
                <w:color w:val="auto"/>
                <w:szCs w:val="21"/>
              </w:rPr>
            </w:pPr>
            <w:r>
              <w:rPr>
                <w:rFonts w:hint="eastAsia"/>
                <w:color w:val="auto"/>
                <w:szCs w:val="21"/>
              </w:rPr>
              <w:t>8h</w:t>
            </w:r>
          </w:p>
        </w:tc>
        <w:tc>
          <w:tcPr>
            <w:tcW w:w="275" w:type="pct"/>
          </w:tcPr>
          <w:p>
            <w:pPr>
              <w:adjustRightInd w:val="0"/>
              <w:snapToGrid w:val="0"/>
              <w:jc w:val="center"/>
              <w:rPr>
                <w:color w:val="auto"/>
                <w:szCs w:val="21"/>
              </w:rPr>
            </w:pPr>
            <w:r>
              <w:rPr>
                <w:rFonts w:hint="eastAsia"/>
                <w:color w:val="auto"/>
                <w:szCs w:val="21"/>
              </w:rPr>
              <w:t>35</w:t>
            </w:r>
          </w:p>
        </w:tc>
        <w:tc>
          <w:tcPr>
            <w:tcW w:w="295" w:type="pct"/>
          </w:tcPr>
          <w:p>
            <w:pPr>
              <w:adjustRightInd w:val="0"/>
              <w:snapToGrid w:val="0"/>
              <w:jc w:val="center"/>
              <w:rPr>
                <w:color w:val="auto"/>
                <w:szCs w:val="21"/>
              </w:rPr>
            </w:pPr>
            <w:r>
              <w:rPr>
                <w:rFonts w:hint="eastAsia"/>
                <w:color w:val="auto"/>
                <w:szCs w:val="21"/>
              </w:rPr>
              <w:t>47.4</w:t>
            </w:r>
          </w:p>
        </w:tc>
        <w:tc>
          <w:tcPr>
            <w:tcW w:w="282" w:type="pct"/>
          </w:tcPr>
          <w:p>
            <w:pPr>
              <w:adjustRightInd w:val="0"/>
              <w:snapToGrid w:val="0"/>
              <w:jc w:val="center"/>
              <w:rPr>
                <w:color w:val="auto"/>
                <w:szCs w:val="21"/>
              </w:rPr>
            </w:pPr>
            <w:r>
              <w:rPr>
                <w:rFonts w:hint="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5000" w:type="pct"/>
            <w:gridSpan w:val="15"/>
          </w:tcPr>
          <w:p>
            <w:pPr>
              <w:adjustRightInd w:val="0"/>
              <w:snapToGrid w:val="0"/>
              <w:jc w:val="left"/>
              <w:rPr>
                <w:color w:val="auto"/>
                <w:szCs w:val="21"/>
              </w:rPr>
            </w:pPr>
            <w:r>
              <w:rPr>
                <w:rFonts w:hint="eastAsia"/>
                <w:color w:val="auto"/>
                <w:szCs w:val="21"/>
              </w:rPr>
              <w:t>注：噪声源原点坐标以</w:t>
            </w:r>
            <w:r>
              <w:rPr>
                <w:rFonts w:eastAsiaTheme="minorEastAsia"/>
                <w:bCs/>
                <w:color w:val="auto"/>
                <w:szCs w:val="21"/>
              </w:rPr>
              <w:t>厂界中心（</w:t>
            </w:r>
            <w:bookmarkStart w:id="29" w:name="PO_7"/>
            <w:r>
              <w:rPr>
                <w:rFonts w:eastAsiaTheme="minorEastAsia"/>
                <w:bCs/>
                <w:color w:val="auto"/>
                <w:szCs w:val="21"/>
              </w:rPr>
              <w:t>103.152221</w:t>
            </w:r>
            <w:r>
              <w:rPr>
                <w:rFonts w:hint="eastAsia" w:eastAsiaTheme="minorEastAsia"/>
                <w:bCs/>
                <w:color w:val="auto"/>
                <w:szCs w:val="21"/>
              </w:rPr>
              <w:t>，</w:t>
            </w:r>
            <w:r>
              <w:rPr>
                <w:rFonts w:eastAsiaTheme="minorEastAsia"/>
                <w:bCs/>
                <w:color w:val="auto"/>
                <w:szCs w:val="21"/>
              </w:rPr>
              <w:t>25.476293</w:t>
            </w:r>
            <w:bookmarkEnd w:id="29"/>
            <w:r>
              <w:rPr>
                <w:rFonts w:eastAsiaTheme="minorEastAsia"/>
                <w:bCs/>
                <w:color w:val="auto"/>
                <w:szCs w:val="21"/>
              </w:rPr>
              <w:t>）为坐标原点，正东向为X轴正方向，正北向为Y轴正方向</w:t>
            </w:r>
          </w:p>
        </w:tc>
      </w:tr>
    </w:tbl>
    <w:p>
      <w:pPr>
        <w:pStyle w:val="9"/>
        <w:keepNext/>
        <w:ind w:firstLine="482"/>
        <w:rPr>
          <w:rFonts w:ascii="Times New Roman" w:hAnsi="Times New Roman" w:cs="Times New Roman"/>
          <w:color w:val="auto"/>
          <w:szCs w:val="22"/>
        </w:rPr>
      </w:pPr>
      <w:r>
        <w:rPr>
          <w:rFonts w:ascii="Times New Roman" w:hAnsi="Times New Roman" w:cs="Times New Roman"/>
          <w:color w:val="auto"/>
          <w:szCs w:val="22"/>
        </w:rPr>
        <w:t>表</w:t>
      </w:r>
      <w:r>
        <w:rPr>
          <w:rFonts w:hint="eastAsia" w:ascii="Times New Roman" w:hAnsi="Times New Roman" w:cs="Times New Roman"/>
          <w:color w:val="auto"/>
          <w:szCs w:val="22"/>
        </w:rPr>
        <w:t>4-9</w:t>
      </w:r>
      <w:r>
        <w:rPr>
          <w:rFonts w:ascii="Times New Roman" w:hAnsi="Times New Roman" w:cs="Times New Roman"/>
          <w:color w:val="auto"/>
          <w:szCs w:val="22"/>
        </w:rPr>
        <w:t xml:space="preserve">  噪声源强表  （室外声源）</w:t>
      </w:r>
      <w:r>
        <w:rPr>
          <w:rFonts w:hint="eastAsia" w:ascii="Times New Roman" w:hAnsi="Times New Roman" w:cs="Times New Roman"/>
          <w:color w:val="auto"/>
          <w:szCs w:val="22"/>
        </w:rPr>
        <w:t xml:space="preserve"> </w:t>
      </w:r>
    </w:p>
    <w:tbl>
      <w:tblPr>
        <w:tblStyle w:val="3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976"/>
        <w:gridCol w:w="1348"/>
        <w:gridCol w:w="2245"/>
        <w:gridCol w:w="1311"/>
        <w:gridCol w:w="1225"/>
        <w:gridCol w:w="803"/>
        <w:gridCol w:w="1952"/>
        <w:gridCol w:w="2052"/>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50" w:type="pct"/>
            <w:vMerge w:val="restart"/>
          </w:tcPr>
          <w:p>
            <w:pPr>
              <w:pStyle w:val="91"/>
              <w:widowControl w:val="0"/>
              <w:jc w:val="both"/>
              <w:rPr>
                <w:rFonts w:ascii="Times New Roman" w:hAnsi="Times New Roman"/>
                <w:color w:val="auto"/>
                <w:szCs w:val="21"/>
              </w:rPr>
            </w:pPr>
            <w:r>
              <w:rPr>
                <w:rFonts w:ascii="Times New Roman" w:hAnsi="Times New Roman"/>
                <w:color w:val="auto"/>
                <w:szCs w:val="21"/>
              </w:rPr>
              <w:t>序号</w:t>
            </w:r>
          </w:p>
        </w:tc>
        <w:tc>
          <w:tcPr>
            <w:tcW w:w="831" w:type="pct"/>
            <w:gridSpan w:val="2"/>
            <w:vMerge w:val="restart"/>
          </w:tcPr>
          <w:p>
            <w:pPr>
              <w:pStyle w:val="91"/>
              <w:widowControl w:val="0"/>
              <w:jc w:val="both"/>
              <w:rPr>
                <w:rFonts w:ascii="Times New Roman" w:hAnsi="Times New Roman"/>
                <w:color w:val="auto"/>
                <w:szCs w:val="21"/>
              </w:rPr>
            </w:pPr>
            <w:r>
              <w:rPr>
                <w:rFonts w:ascii="Times New Roman" w:hAnsi="Times New Roman"/>
                <w:color w:val="auto"/>
                <w:szCs w:val="21"/>
              </w:rPr>
              <w:t>声源名称</w:t>
            </w:r>
          </w:p>
        </w:tc>
        <w:tc>
          <w:tcPr>
            <w:tcW w:w="803" w:type="pct"/>
            <w:vMerge w:val="restart"/>
          </w:tcPr>
          <w:p>
            <w:pPr>
              <w:pStyle w:val="91"/>
              <w:widowControl w:val="0"/>
              <w:jc w:val="both"/>
              <w:rPr>
                <w:rFonts w:ascii="Times New Roman" w:hAnsi="Times New Roman"/>
                <w:color w:val="auto"/>
                <w:szCs w:val="21"/>
              </w:rPr>
            </w:pPr>
            <w:r>
              <w:rPr>
                <w:rFonts w:ascii="Times New Roman" w:hAnsi="Times New Roman"/>
                <w:color w:val="auto"/>
                <w:szCs w:val="21"/>
              </w:rPr>
              <w:t>型号</w:t>
            </w:r>
          </w:p>
        </w:tc>
        <w:tc>
          <w:tcPr>
            <w:tcW w:w="1194" w:type="pct"/>
            <w:gridSpan w:val="3"/>
          </w:tcPr>
          <w:p>
            <w:pPr>
              <w:pStyle w:val="91"/>
              <w:widowControl w:val="0"/>
              <w:jc w:val="both"/>
              <w:rPr>
                <w:rFonts w:ascii="Times New Roman" w:hAnsi="Times New Roman"/>
                <w:color w:val="auto"/>
                <w:szCs w:val="21"/>
              </w:rPr>
            </w:pPr>
            <w:r>
              <w:rPr>
                <w:rFonts w:ascii="Times New Roman" w:hAnsi="Times New Roman"/>
                <w:color w:val="auto"/>
                <w:szCs w:val="21"/>
              </w:rPr>
              <w:t>空间相对位置/m</w:t>
            </w:r>
          </w:p>
        </w:tc>
        <w:tc>
          <w:tcPr>
            <w:tcW w:w="698" w:type="pct"/>
          </w:tcPr>
          <w:p>
            <w:pPr>
              <w:pStyle w:val="91"/>
              <w:widowControl w:val="0"/>
              <w:jc w:val="both"/>
              <w:rPr>
                <w:rFonts w:ascii="Times New Roman" w:hAnsi="Times New Roman"/>
                <w:color w:val="auto"/>
                <w:szCs w:val="21"/>
              </w:rPr>
            </w:pPr>
            <w:r>
              <w:rPr>
                <w:rFonts w:ascii="Times New Roman" w:hAnsi="Times New Roman"/>
                <w:color w:val="auto"/>
                <w:szCs w:val="21"/>
              </w:rPr>
              <w:t>声源源强</w:t>
            </w:r>
          </w:p>
        </w:tc>
        <w:tc>
          <w:tcPr>
            <w:tcW w:w="734" w:type="pct"/>
            <w:vMerge w:val="restart"/>
          </w:tcPr>
          <w:p>
            <w:pPr>
              <w:pStyle w:val="91"/>
              <w:widowControl w:val="0"/>
              <w:jc w:val="both"/>
              <w:rPr>
                <w:rFonts w:ascii="Times New Roman" w:hAnsi="Times New Roman"/>
                <w:color w:val="auto"/>
                <w:szCs w:val="21"/>
              </w:rPr>
            </w:pPr>
            <w:r>
              <w:rPr>
                <w:rFonts w:ascii="Times New Roman" w:hAnsi="Times New Roman"/>
                <w:color w:val="auto"/>
                <w:szCs w:val="21"/>
              </w:rPr>
              <w:t>声源控制措施</w:t>
            </w:r>
          </w:p>
        </w:tc>
        <w:tc>
          <w:tcPr>
            <w:tcW w:w="487" w:type="pct"/>
            <w:vMerge w:val="restart"/>
          </w:tcPr>
          <w:p>
            <w:pPr>
              <w:pStyle w:val="91"/>
              <w:widowControl w:val="0"/>
              <w:jc w:val="both"/>
              <w:rPr>
                <w:rFonts w:ascii="Times New Roman" w:hAnsi="Times New Roman"/>
                <w:color w:val="auto"/>
                <w:szCs w:val="21"/>
              </w:rPr>
            </w:pPr>
            <w:r>
              <w:rPr>
                <w:rFonts w:ascii="Times New Roman" w:hAnsi="Times New Roman"/>
                <w:color w:val="auto"/>
                <w:szCs w:val="21"/>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50" w:type="pct"/>
            <w:vMerge w:val="continue"/>
          </w:tcPr>
          <w:p>
            <w:pPr>
              <w:pStyle w:val="91"/>
              <w:widowControl w:val="0"/>
              <w:jc w:val="both"/>
              <w:rPr>
                <w:rFonts w:ascii="Times New Roman" w:hAnsi="Times New Roman"/>
                <w:color w:val="auto"/>
              </w:rPr>
            </w:pPr>
          </w:p>
        </w:tc>
        <w:tc>
          <w:tcPr>
            <w:tcW w:w="831" w:type="pct"/>
            <w:gridSpan w:val="2"/>
            <w:vMerge w:val="continue"/>
          </w:tcPr>
          <w:p>
            <w:pPr>
              <w:pStyle w:val="91"/>
              <w:widowControl w:val="0"/>
              <w:jc w:val="both"/>
              <w:rPr>
                <w:rFonts w:ascii="Times New Roman" w:hAnsi="Times New Roman"/>
                <w:color w:val="auto"/>
              </w:rPr>
            </w:pPr>
          </w:p>
        </w:tc>
        <w:tc>
          <w:tcPr>
            <w:tcW w:w="803" w:type="pct"/>
            <w:vMerge w:val="continue"/>
          </w:tcPr>
          <w:p>
            <w:pPr>
              <w:pStyle w:val="91"/>
              <w:widowControl w:val="0"/>
              <w:jc w:val="both"/>
              <w:rPr>
                <w:rFonts w:ascii="Times New Roman" w:hAnsi="Times New Roman"/>
                <w:color w:val="auto"/>
              </w:rPr>
            </w:pPr>
          </w:p>
        </w:tc>
        <w:tc>
          <w:tcPr>
            <w:tcW w:w="469" w:type="pct"/>
          </w:tcPr>
          <w:p>
            <w:pPr>
              <w:pStyle w:val="91"/>
              <w:widowControl w:val="0"/>
              <w:jc w:val="both"/>
              <w:rPr>
                <w:rFonts w:ascii="Times New Roman" w:hAnsi="Times New Roman"/>
                <w:color w:val="auto"/>
                <w:szCs w:val="21"/>
              </w:rPr>
            </w:pPr>
            <w:r>
              <w:rPr>
                <w:rFonts w:ascii="Times New Roman" w:hAnsi="Times New Roman"/>
                <w:color w:val="auto"/>
                <w:szCs w:val="21"/>
              </w:rPr>
              <w:t>X</w:t>
            </w:r>
          </w:p>
        </w:tc>
        <w:tc>
          <w:tcPr>
            <w:tcW w:w="438" w:type="pct"/>
          </w:tcPr>
          <w:p>
            <w:pPr>
              <w:pStyle w:val="91"/>
              <w:widowControl w:val="0"/>
              <w:jc w:val="both"/>
              <w:rPr>
                <w:rFonts w:ascii="Times New Roman" w:hAnsi="Times New Roman"/>
                <w:color w:val="auto"/>
                <w:szCs w:val="21"/>
              </w:rPr>
            </w:pPr>
            <w:r>
              <w:rPr>
                <w:rFonts w:ascii="Times New Roman" w:hAnsi="Times New Roman"/>
                <w:color w:val="auto"/>
                <w:szCs w:val="21"/>
              </w:rPr>
              <w:t>Y</w:t>
            </w:r>
          </w:p>
        </w:tc>
        <w:tc>
          <w:tcPr>
            <w:tcW w:w="286" w:type="pct"/>
          </w:tcPr>
          <w:p>
            <w:pPr>
              <w:pStyle w:val="91"/>
              <w:widowControl w:val="0"/>
              <w:jc w:val="both"/>
              <w:rPr>
                <w:rFonts w:ascii="Times New Roman" w:hAnsi="Times New Roman"/>
                <w:color w:val="auto"/>
                <w:szCs w:val="21"/>
              </w:rPr>
            </w:pPr>
            <w:r>
              <w:rPr>
                <w:rFonts w:ascii="Times New Roman" w:hAnsi="Times New Roman"/>
                <w:color w:val="auto"/>
                <w:szCs w:val="21"/>
              </w:rPr>
              <w:t>Z</w:t>
            </w:r>
          </w:p>
        </w:tc>
        <w:tc>
          <w:tcPr>
            <w:tcW w:w="698" w:type="pct"/>
          </w:tcPr>
          <w:p>
            <w:pPr>
              <w:pStyle w:val="91"/>
              <w:widowControl w:val="0"/>
              <w:jc w:val="both"/>
              <w:rPr>
                <w:rFonts w:ascii="Times New Roman" w:hAnsi="Times New Roman"/>
                <w:color w:val="auto"/>
                <w:szCs w:val="21"/>
              </w:rPr>
            </w:pPr>
            <w:r>
              <w:rPr>
                <w:rFonts w:ascii="Times New Roman" w:hAnsi="Times New Roman"/>
                <w:color w:val="auto"/>
                <w:szCs w:val="21"/>
              </w:rPr>
              <w:t>声功率级/（dB（A））</w:t>
            </w:r>
          </w:p>
        </w:tc>
        <w:tc>
          <w:tcPr>
            <w:tcW w:w="734" w:type="pct"/>
            <w:vMerge w:val="continue"/>
          </w:tcPr>
          <w:p>
            <w:pPr>
              <w:pStyle w:val="91"/>
              <w:widowControl w:val="0"/>
              <w:jc w:val="both"/>
              <w:rPr>
                <w:rFonts w:ascii="Times New Roman" w:hAnsi="Times New Roman"/>
                <w:color w:val="auto"/>
                <w:szCs w:val="21"/>
              </w:rPr>
            </w:pPr>
          </w:p>
        </w:tc>
        <w:tc>
          <w:tcPr>
            <w:tcW w:w="487" w:type="pct"/>
            <w:vMerge w:val="continue"/>
          </w:tcPr>
          <w:p>
            <w:pPr>
              <w:pStyle w:val="91"/>
              <w:widowControl w:val="0"/>
              <w:jc w:val="both"/>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tcPr>
          <w:p>
            <w:pPr>
              <w:pStyle w:val="91"/>
              <w:widowControl w:val="0"/>
              <w:jc w:val="both"/>
              <w:rPr>
                <w:rFonts w:ascii="Times New Roman" w:hAnsi="Times New Roman"/>
                <w:color w:val="auto"/>
                <w:szCs w:val="21"/>
              </w:rPr>
            </w:pPr>
            <w:r>
              <w:rPr>
                <w:rFonts w:ascii="Times New Roman" w:hAnsi="Times New Roman"/>
                <w:color w:val="auto"/>
                <w:szCs w:val="21"/>
              </w:rPr>
              <w:t>N2</w:t>
            </w:r>
          </w:p>
        </w:tc>
        <w:tc>
          <w:tcPr>
            <w:tcW w:w="349" w:type="pct"/>
          </w:tcPr>
          <w:p>
            <w:pPr>
              <w:pStyle w:val="91"/>
              <w:widowControl w:val="0"/>
              <w:jc w:val="both"/>
              <w:rPr>
                <w:rFonts w:ascii="Times New Roman" w:hAnsi="Times New Roman"/>
                <w:color w:val="auto"/>
                <w:szCs w:val="21"/>
              </w:rPr>
            </w:pPr>
            <w:r>
              <w:rPr>
                <w:rFonts w:ascii="Times New Roman" w:hAnsi="Times New Roman"/>
                <w:color w:val="auto"/>
                <w:szCs w:val="21"/>
              </w:rPr>
              <w:t>污水处理站</w:t>
            </w:r>
          </w:p>
        </w:tc>
        <w:tc>
          <w:tcPr>
            <w:tcW w:w="482" w:type="pct"/>
          </w:tcPr>
          <w:p>
            <w:pPr>
              <w:pStyle w:val="91"/>
              <w:widowControl w:val="0"/>
              <w:jc w:val="both"/>
              <w:rPr>
                <w:rFonts w:ascii="Times New Roman" w:hAnsi="Times New Roman"/>
                <w:color w:val="auto"/>
                <w:szCs w:val="21"/>
              </w:rPr>
            </w:pPr>
            <w:r>
              <w:rPr>
                <w:rFonts w:hint="eastAsia" w:ascii="Times New Roman" w:hAnsi="Times New Roman"/>
                <w:color w:val="auto"/>
                <w:szCs w:val="21"/>
              </w:rPr>
              <w:t>潜污泵</w:t>
            </w:r>
          </w:p>
        </w:tc>
        <w:tc>
          <w:tcPr>
            <w:tcW w:w="803" w:type="pct"/>
          </w:tcPr>
          <w:p>
            <w:pPr>
              <w:pStyle w:val="91"/>
              <w:widowControl w:val="0"/>
              <w:jc w:val="both"/>
              <w:rPr>
                <w:rFonts w:ascii="Times New Roman" w:hAnsi="Times New Roman"/>
                <w:color w:val="auto"/>
                <w:szCs w:val="21"/>
              </w:rPr>
            </w:pPr>
            <w:r>
              <w:rPr>
                <w:rFonts w:ascii="Times New Roman" w:hAnsi="Times New Roman"/>
                <w:color w:val="auto"/>
                <w:szCs w:val="21"/>
              </w:rPr>
              <w:t>Q=</w:t>
            </w:r>
            <w:r>
              <w:rPr>
                <w:rFonts w:hint="eastAsia" w:ascii="Times New Roman" w:hAnsi="Times New Roman"/>
                <w:color w:val="auto"/>
                <w:szCs w:val="21"/>
              </w:rPr>
              <w:t>50</w:t>
            </w:r>
            <w:r>
              <w:rPr>
                <w:rFonts w:ascii="Times New Roman" w:hAnsi="Times New Roman"/>
                <w:color w:val="auto"/>
                <w:szCs w:val="21"/>
              </w:rPr>
              <w:t>m</w:t>
            </w:r>
            <w:r>
              <w:rPr>
                <w:rStyle w:val="92"/>
                <w:color w:val="auto"/>
              </w:rPr>
              <w:t>3</w:t>
            </w:r>
            <w:r>
              <w:rPr>
                <w:rFonts w:ascii="Times New Roman" w:hAnsi="Times New Roman"/>
                <w:color w:val="auto"/>
                <w:szCs w:val="21"/>
              </w:rPr>
              <w:t>/</w:t>
            </w:r>
            <w:r>
              <w:rPr>
                <w:rFonts w:hint="eastAsia" w:ascii="Times New Roman" w:hAnsi="Times New Roman"/>
                <w:color w:val="auto"/>
                <w:szCs w:val="21"/>
              </w:rPr>
              <w:t>d</w:t>
            </w:r>
          </w:p>
        </w:tc>
        <w:tc>
          <w:tcPr>
            <w:tcW w:w="469" w:type="pct"/>
          </w:tcPr>
          <w:p>
            <w:pPr>
              <w:pStyle w:val="91"/>
              <w:widowControl w:val="0"/>
              <w:jc w:val="both"/>
              <w:rPr>
                <w:rFonts w:ascii="Times New Roman" w:hAnsi="Times New Roman"/>
                <w:color w:val="auto"/>
                <w:szCs w:val="21"/>
              </w:rPr>
            </w:pPr>
            <w:r>
              <w:rPr>
                <w:rFonts w:hint="eastAsia" w:ascii="Times New Roman" w:hAnsi="Times New Roman"/>
                <w:color w:val="auto"/>
                <w:szCs w:val="21"/>
              </w:rPr>
              <w:t>27.2</w:t>
            </w:r>
          </w:p>
        </w:tc>
        <w:tc>
          <w:tcPr>
            <w:tcW w:w="438" w:type="pct"/>
          </w:tcPr>
          <w:p>
            <w:pPr>
              <w:pStyle w:val="91"/>
              <w:widowControl w:val="0"/>
              <w:jc w:val="both"/>
              <w:rPr>
                <w:rFonts w:ascii="Times New Roman" w:hAnsi="Times New Roman"/>
                <w:color w:val="auto"/>
                <w:szCs w:val="21"/>
              </w:rPr>
            </w:pPr>
            <w:r>
              <w:rPr>
                <w:rFonts w:hint="eastAsia" w:ascii="Times New Roman" w:hAnsi="Times New Roman"/>
                <w:color w:val="auto"/>
                <w:szCs w:val="21"/>
              </w:rPr>
              <w:t>11.1</w:t>
            </w:r>
          </w:p>
        </w:tc>
        <w:tc>
          <w:tcPr>
            <w:tcW w:w="286" w:type="pct"/>
          </w:tcPr>
          <w:p>
            <w:pPr>
              <w:pStyle w:val="91"/>
              <w:widowControl w:val="0"/>
              <w:jc w:val="both"/>
              <w:rPr>
                <w:rFonts w:ascii="Times New Roman" w:hAnsi="Times New Roman"/>
                <w:color w:val="auto"/>
                <w:szCs w:val="21"/>
              </w:rPr>
            </w:pPr>
            <w:r>
              <w:rPr>
                <w:rFonts w:ascii="Times New Roman" w:hAnsi="Times New Roman"/>
                <w:color w:val="auto"/>
                <w:szCs w:val="21"/>
              </w:rPr>
              <w:t>1.2</w:t>
            </w:r>
          </w:p>
        </w:tc>
        <w:tc>
          <w:tcPr>
            <w:tcW w:w="698" w:type="pct"/>
            <w:vAlign w:val="center"/>
          </w:tcPr>
          <w:p>
            <w:pPr>
              <w:adjustRightInd w:val="0"/>
              <w:snapToGrid w:val="0"/>
              <w:jc w:val="center"/>
              <w:rPr>
                <w:color w:val="auto"/>
                <w:szCs w:val="21"/>
              </w:rPr>
            </w:pPr>
            <w:r>
              <w:rPr>
                <w:rFonts w:hint="eastAsia"/>
                <w:color w:val="auto"/>
                <w:szCs w:val="21"/>
              </w:rPr>
              <w:t>80</w:t>
            </w:r>
          </w:p>
        </w:tc>
        <w:tc>
          <w:tcPr>
            <w:tcW w:w="734" w:type="pct"/>
          </w:tcPr>
          <w:p>
            <w:pPr>
              <w:pStyle w:val="91"/>
              <w:widowControl w:val="0"/>
              <w:jc w:val="both"/>
              <w:rPr>
                <w:rFonts w:ascii="Times New Roman" w:hAnsi="Times New Roman"/>
                <w:color w:val="auto"/>
                <w:szCs w:val="21"/>
              </w:rPr>
            </w:pPr>
            <w:r>
              <w:rPr>
                <w:rFonts w:ascii="Times New Roman" w:hAnsi="Times New Roman"/>
                <w:color w:val="auto"/>
                <w:szCs w:val="21"/>
              </w:rPr>
              <w:t>选用低噪声设备、隔声、设减震垫</w:t>
            </w:r>
          </w:p>
        </w:tc>
        <w:tc>
          <w:tcPr>
            <w:tcW w:w="487" w:type="pct"/>
          </w:tcPr>
          <w:p>
            <w:pPr>
              <w:pStyle w:val="91"/>
              <w:widowControl w:val="0"/>
              <w:jc w:val="both"/>
              <w:rPr>
                <w:rFonts w:ascii="Times New Roman" w:hAnsi="Times New Roman"/>
                <w:color w:val="auto"/>
                <w:szCs w:val="21"/>
              </w:rPr>
            </w:pPr>
            <w:r>
              <w:rPr>
                <w:rFonts w:ascii="Times New Roman" w:hAnsi="Times New Roman"/>
                <w:color w:val="auto"/>
                <w:szCs w:val="21"/>
              </w:rPr>
              <w:t>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tcPr>
          <w:p>
            <w:pPr>
              <w:pStyle w:val="91"/>
              <w:widowControl w:val="0"/>
              <w:rPr>
                <w:rFonts w:ascii="Times New Roman" w:hAnsi="Times New Roman"/>
                <w:color w:val="auto"/>
                <w:szCs w:val="21"/>
              </w:rPr>
            </w:pPr>
            <w:r>
              <w:rPr>
                <w:rFonts w:ascii="Times New Roman" w:hAnsi="Times New Roman"/>
                <w:color w:val="auto"/>
                <w:szCs w:val="21"/>
              </w:rPr>
              <w:t>注：噪声源原点坐标</w:t>
            </w:r>
            <w:r>
              <w:rPr>
                <w:rFonts w:hint="eastAsia" w:ascii="Times New Roman" w:hAnsi="Times New Roman"/>
                <w:color w:val="auto"/>
                <w:szCs w:val="21"/>
              </w:rPr>
              <w:t>以</w:t>
            </w:r>
            <w:r>
              <w:rPr>
                <w:rFonts w:ascii="Times New Roman" w:hAnsi="Times New Roman" w:eastAsiaTheme="minorEastAsia"/>
                <w:bCs/>
                <w:color w:val="auto"/>
                <w:szCs w:val="21"/>
              </w:rPr>
              <w:t>厂界中心（</w:t>
            </w:r>
            <w:bookmarkStart w:id="30" w:name="PO_6"/>
            <w:r>
              <w:rPr>
                <w:rFonts w:ascii="Times New Roman" w:hAnsi="Times New Roman" w:eastAsiaTheme="minorEastAsia"/>
                <w:bCs/>
                <w:color w:val="auto"/>
                <w:szCs w:val="21"/>
              </w:rPr>
              <w:t>103.152221</w:t>
            </w:r>
            <w:r>
              <w:rPr>
                <w:rFonts w:hint="eastAsia" w:ascii="Times New Roman" w:hAnsi="Times New Roman" w:eastAsiaTheme="minorEastAsia"/>
                <w:bCs/>
                <w:color w:val="auto"/>
                <w:szCs w:val="21"/>
              </w:rPr>
              <w:t>，</w:t>
            </w:r>
            <w:r>
              <w:rPr>
                <w:rFonts w:ascii="Times New Roman" w:hAnsi="Times New Roman" w:eastAsiaTheme="minorEastAsia"/>
                <w:bCs/>
                <w:color w:val="auto"/>
                <w:szCs w:val="21"/>
              </w:rPr>
              <w:t>25.476293</w:t>
            </w:r>
            <w:bookmarkEnd w:id="30"/>
            <w:r>
              <w:rPr>
                <w:rFonts w:ascii="Times New Roman" w:hAnsi="Times New Roman" w:eastAsiaTheme="minorEastAsia"/>
                <w:bCs/>
                <w:color w:val="auto"/>
                <w:szCs w:val="21"/>
              </w:rPr>
              <w:t>）为坐标原点，正东向为X轴正方向，正北向为Y轴正方向</w:t>
            </w:r>
          </w:p>
        </w:tc>
      </w:tr>
    </w:tbl>
    <w:p>
      <w:pPr>
        <w:rPr>
          <w:color w:val="auto"/>
        </w:rPr>
      </w:pPr>
    </w:p>
    <w:p>
      <w:pPr>
        <w:pStyle w:val="4"/>
        <w:rPr>
          <w:rFonts w:eastAsia="宋体"/>
          <w:color w:val="auto"/>
        </w:rPr>
        <w:sectPr>
          <w:pgSz w:w="16838" w:h="11906" w:orient="landscape"/>
          <w:pgMar w:top="1701" w:right="1531" w:bottom="1701" w:left="1531" w:header="851" w:footer="851" w:gutter="0"/>
          <w:cols w:space="720" w:num="1"/>
          <w:docGrid w:linePitch="312" w:charSpace="0"/>
        </w:sectPr>
      </w:pPr>
    </w:p>
    <w:tbl>
      <w:tblPr>
        <w:tblStyle w:val="30"/>
        <w:tblW w:w="898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5"/>
        <w:gridCol w:w="8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95" w:type="dxa"/>
            <w:tcMar>
              <w:left w:w="28" w:type="dxa"/>
              <w:right w:w="28" w:type="dxa"/>
            </w:tcMar>
            <w:vAlign w:val="center"/>
          </w:tcPr>
          <w:p>
            <w:pPr>
              <w:spacing w:line="360" w:lineRule="auto"/>
              <w:rPr>
                <w:color w:val="auto"/>
                <w:sz w:val="24"/>
              </w:rPr>
            </w:pPr>
            <w:r>
              <w:rPr>
                <w:color w:val="auto"/>
                <w:sz w:val="24"/>
              </w:rPr>
              <w:t>运营期环境影响和保护措施</w:t>
            </w:r>
          </w:p>
        </w:tc>
        <w:tc>
          <w:tcPr>
            <w:tcW w:w="8286" w:type="dxa"/>
            <w:vAlign w:val="center"/>
          </w:tcPr>
          <w:p>
            <w:pPr>
              <w:pStyle w:val="12"/>
              <w:ind w:firstLine="498" w:firstLineChars="200"/>
              <w:rPr>
                <w:b/>
                <w:bCs/>
                <w:color w:val="auto"/>
                <w:sz w:val="24"/>
                <w:lang w:val="en-US"/>
              </w:rPr>
            </w:pPr>
            <w:r>
              <w:rPr>
                <w:b/>
                <w:bCs/>
                <w:color w:val="auto"/>
                <w:sz w:val="24"/>
                <w:lang w:val="en-US"/>
              </w:rPr>
              <w:t>2、噪声预测</w:t>
            </w:r>
          </w:p>
          <w:p>
            <w:pPr>
              <w:widowControl/>
              <w:adjustRightInd w:val="0"/>
              <w:snapToGrid w:val="0"/>
              <w:spacing w:line="360" w:lineRule="auto"/>
              <w:ind w:firstLine="480" w:firstLineChars="200"/>
              <w:rPr>
                <w:color w:val="auto"/>
                <w:sz w:val="24"/>
              </w:rPr>
            </w:pPr>
            <w:r>
              <w:rPr>
                <w:rFonts w:hint="eastAsia"/>
                <w:color w:val="auto"/>
                <w:sz w:val="24"/>
              </w:rPr>
              <w:t>项目</w:t>
            </w:r>
            <w:r>
              <w:rPr>
                <w:color w:val="auto"/>
                <w:sz w:val="24"/>
              </w:rPr>
              <w:t>采用HJ2.4-2021中推荐的预测模式，噪声预测值为预测点的贡献值和背景值按能量叠加方法计算得到：</w:t>
            </w:r>
          </w:p>
          <w:p>
            <w:pPr>
              <w:widowControl/>
              <w:adjustRightInd w:val="0"/>
              <w:snapToGrid w:val="0"/>
              <w:spacing w:line="360" w:lineRule="auto"/>
              <w:jc w:val="center"/>
              <w:rPr>
                <w:color w:val="auto"/>
                <w:sz w:val="24"/>
              </w:rPr>
            </w:pPr>
            <w:r>
              <w:rPr>
                <w:color w:val="auto"/>
                <w:sz w:val="24"/>
              </w:rPr>
              <w:drawing>
                <wp:inline distT="0" distB="0" distL="114300" distR="114300">
                  <wp:extent cx="2638425" cy="428625"/>
                  <wp:effectExtent l="0" t="0" r="9525" b="9525"/>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9"/>
                          <a:stretch>
                            <a:fillRect/>
                          </a:stretch>
                        </pic:blipFill>
                        <pic:spPr>
                          <a:xfrm>
                            <a:off x="0" y="0"/>
                            <a:ext cx="2638425" cy="428625"/>
                          </a:xfrm>
                          <a:prstGeom prst="rect">
                            <a:avLst/>
                          </a:prstGeom>
                          <a:noFill/>
                          <a:ln>
                            <a:noFill/>
                          </a:ln>
                        </pic:spPr>
                      </pic:pic>
                    </a:graphicData>
                  </a:graphic>
                </wp:inline>
              </w:drawing>
            </w:r>
          </w:p>
          <w:p>
            <w:pPr>
              <w:adjustRightInd w:val="0"/>
              <w:snapToGrid w:val="0"/>
              <w:spacing w:line="360" w:lineRule="auto"/>
              <w:ind w:firstLine="480" w:firstLineChars="200"/>
              <w:rPr>
                <w:bCs/>
                <w:color w:val="auto"/>
                <w:sz w:val="24"/>
              </w:rPr>
            </w:pPr>
            <w:r>
              <w:rPr>
                <w:bCs/>
                <w:color w:val="auto"/>
                <w:sz w:val="24"/>
              </w:rPr>
              <w:t>式中：</w:t>
            </w:r>
            <m:oMath>
              <m:sSub>
                <m:sSubPr>
                  <m:ctrlPr>
                    <w:rPr>
                      <w:rFonts w:ascii="Cambria Math" w:hAnsi="Cambria Math"/>
                      <w:bCs/>
                      <w:color w:val="auto"/>
                      <w:sz w:val="24"/>
                    </w:rPr>
                  </m:ctrlPr>
                </m:sSubPr>
                <m:e>
                  <m:r>
                    <m:rPr>
                      <m:sty m:val="p"/>
                    </m:rPr>
                    <w:rPr>
                      <w:rFonts w:ascii="Cambria Math" w:hAnsi="Cambria Math"/>
                      <w:color w:val="auto"/>
                      <w:sz w:val="24"/>
                    </w:rPr>
                    <m:t>L</m:t>
                  </m:r>
                  <m:ctrlPr>
                    <w:rPr>
                      <w:rFonts w:ascii="Cambria Math" w:hAnsi="Cambria Math"/>
                      <w:bCs/>
                      <w:color w:val="auto"/>
                      <w:sz w:val="24"/>
                    </w:rPr>
                  </m:ctrlPr>
                </m:e>
                <m:sub>
                  <m:r>
                    <m:rPr>
                      <m:sty m:val="p"/>
                    </m:rPr>
                    <w:rPr>
                      <w:rFonts w:ascii="Cambria Math" w:hAnsi="Cambria Math"/>
                      <w:color w:val="auto"/>
                      <w:sz w:val="24"/>
                    </w:rPr>
                    <m:t>eq</m:t>
                  </m:r>
                  <m:ctrlPr>
                    <w:rPr>
                      <w:rFonts w:ascii="Cambria Math" w:hAnsi="Cambria Math"/>
                      <w:bCs/>
                      <w:color w:val="auto"/>
                      <w:sz w:val="24"/>
                    </w:rPr>
                  </m:ctrlPr>
                </m:sub>
              </m:sSub>
            </m:oMath>
            <w:r>
              <w:rPr>
                <w:bCs/>
                <w:color w:val="auto"/>
                <w:sz w:val="24"/>
              </w:rPr>
              <w:t>——预测点的噪声预测值，dB；</w:t>
            </w:r>
          </w:p>
          <w:p>
            <w:pPr>
              <w:adjustRightInd w:val="0"/>
              <w:snapToGrid w:val="0"/>
              <w:spacing w:line="360" w:lineRule="auto"/>
              <w:ind w:firstLine="1200" w:firstLineChars="500"/>
              <w:rPr>
                <w:bCs/>
                <w:color w:val="auto"/>
                <w:sz w:val="24"/>
              </w:rPr>
            </w:pPr>
            <m:oMath>
              <m:sSub>
                <m:sSubPr>
                  <m:ctrlPr>
                    <w:rPr>
                      <w:rFonts w:ascii="Cambria Math" w:hAnsi="Cambria Math"/>
                      <w:bCs/>
                      <w:color w:val="auto"/>
                      <w:sz w:val="24"/>
                    </w:rPr>
                  </m:ctrlPr>
                </m:sSubPr>
                <m:e>
                  <m:r>
                    <m:rPr>
                      <m:sty m:val="p"/>
                    </m:rPr>
                    <w:rPr>
                      <w:rFonts w:ascii="Cambria Math" w:hAnsi="Cambria Math"/>
                      <w:color w:val="auto"/>
                      <w:sz w:val="24"/>
                    </w:rPr>
                    <m:t>L</m:t>
                  </m:r>
                  <m:ctrlPr>
                    <w:rPr>
                      <w:rFonts w:ascii="Cambria Math" w:hAnsi="Cambria Math"/>
                      <w:bCs/>
                      <w:color w:val="auto"/>
                      <w:sz w:val="24"/>
                    </w:rPr>
                  </m:ctrlPr>
                </m:e>
                <m:sub>
                  <m:r>
                    <m:rPr>
                      <m:sty m:val="p"/>
                    </m:rPr>
                    <w:rPr>
                      <w:rFonts w:ascii="Cambria Math" w:hAnsi="Cambria Math"/>
                      <w:color w:val="auto"/>
                      <w:sz w:val="24"/>
                    </w:rPr>
                    <m:t>eqg</m:t>
                  </m:r>
                  <m:ctrlPr>
                    <w:rPr>
                      <w:rFonts w:ascii="Cambria Math" w:hAnsi="Cambria Math"/>
                      <w:bCs/>
                      <w:color w:val="auto"/>
                      <w:sz w:val="24"/>
                    </w:rPr>
                  </m:ctrlPr>
                </m:sub>
              </m:sSub>
            </m:oMath>
            <w:r>
              <w:rPr>
                <w:bCs/>
                <w:color w:val="auto"/>
                <w:sz w:val="24"/>
              </w:rPr>
              <w:t>——建设项目声源在预测点产生的噪声贡献值，dB；</w:t>
            </w:r>
          </w:p>
          <w:p>
            <w:pPr>
              <w:adjustRightInd w:val="0"/>
              <w:snapToGrid w:val="0"/>
              <w:spacing w:line="360" w:lineRule="auto"/>
              <w:ind w:firstLine="1200" w:firstLineChars="500"/>
              <w:rPr>
                <w:bCs/>
                <w:color w:val="auto"/>
                <w:sz w:val="24"/>
              </w:rPr>
            </w:pPr>
            <m:oMath>
              <m:sSub>
                <m:sSubPr>
                  <m:ctrlPr>
                    <w:rPr>
                      <w:rFonts w:ascii="Cambria Math" w:hAnsi="Cambria Math"/>
                      <w:bCs/>
                      <w:color w:val="auto"/>
                      <w:sz w:val="24"/>
                    </w:rPr>
                  </m:ctrlPr>
                </m:sSubPr>
                <m:e>
                  <m:r>
                    <m:rPr>
                      <m:sty m:val="p"/>
                    </m:rPr>
                    <w:rPr>
                      <w:rFonts w:ascii="Cambria Math" w:hAnsi="Cambria Math"/>
                      <w:color w:val="auto"/>
                      <w:sz w:val="24"/>
                    </w:rPr>
                    <m:t>L</m:t>
                  </m:r>
                  <m:ctrlPr>
                    <w:rPr>
                      <w:rFonts w:ascii="Cambria Math" w:hAnsi="Cambria Math"/>
                      <w:bCs/>
                      <w:color w:val="auto"/>
                      <w:sz w:val="24"/>
                    </w:rPr>
                  </m:ctrlPr>
                </m:e>
                <m:sub>
                  <m:r>
                    <m:rPr>
                      <m:sty m:val="p"/>
                    </m:rPr>
                    <w:rPr>
                      <w:rFonts w:ascii="Cambria Math" w:hAnsi="Cambria Math"/>
                      <w:color w:val="auto"/>
                      <w:sz w:val="24"/>
                    </w:rPr>
                    <m:t>eqb</m:t>
                  </m:r>
                  <m:ctrlPr>
                    <w:rPr>
                      <w:rFonts w:ascii="Cambria Math" w:hAnsi="Cambria Math"/>
                      <w:bCs/>
                      <w:color w:val="auto"/>
                      <w:sz w:val="24"/>
                    </w:rPr>
                  </m:ctrlPr>
                </m:sub>
              </m:sSub>
            </m:oMath>
            <w:r>
              <w:rPr>
                <w:bCs/>
                <w:color w:val="auto"/>
                <w:sz w:val="24"/>
              </w:rPr>
              <w:t>——预测点的背景预测值，dB。</w:t>
            </w:r>
          </w:p>
          <w:p>
            <w:pPr>
              <w:adjustRightInd w:val="0"/>
              <w:snapToGrid w:val="0"/>
              <w:spacing w:line="360" w:lineRule="auto"/>
              <w:ind w:firstLine="480" w:firstLineChars="200"/>
              <w:rPr>
                <w:bCs/>
                <w:color w:val="auto"/>
                <w:sz w:val="24"/>
              </w:rPr>
            </w:pPr>
            <w:r>
              <w:rPr>
                <w:rFonts w:hint="eastAsia"/>
                <w:color w:val="auto"/>
                <w:sz w:val="24"/>
              </w:rPr>
              <w:t>其</w:t>
            </w:r>
            <w:r>
              <w:rPr>
                <w:color w:val="auto"/>
                <w:sz w:val="24"/>
              </w:rPr>
              <w:t>中：</w:t>
            </w:r>
            <w:r>
              <w:rPr>
                <w:bCs/>
                <w:color w:val="auto"/>
                <w:sz w:val="24"/>
              </w:rPr>
              <w:t>无指向性点声源几何发散衰减按下列公式计算：</w:t>
            </w:r>
          </w:p>
          <w:p>
            <w:pPr>
              <w:adjustRightInd w:val="0"/>
              <w:snapToGrid w:val="0"/>
              <w:spacing w:line="360" w:lineRule="auto"/>
              <w:ind w:firstLine="480" w:firstLineChars="200"/>
              <w:jc w:val="center"/>
              <w:rPr>
                <w:bCs/>
                <w:color w:val="auto"/>
                <w:sz w:val="24"/>
                <w:lang w:val="fr-FR"/>
              </w:rPr>
            </w:pPr>
            <w:bookmarkStart w:id="31" w:name="_Toc16654"/>
            <w:r>
              <w:rPr>
                <w:bCs/>
                <w:color w:val="auto"/>
                <w:sz w:val="24"/>
                <w:lang w:val="fr-FR"/>
              </w:rPr>
              <w:t>L</w:t>
            </w:r>
            <w:r>
              <w:rPr>
                <w:bCs/>
                <w:color w:val="auto"/>
                <w:sz w:val="24"/>
                <w:vertAlign w:val="subscript"/>
              </w:rPr>
              <w:t>P</w:t>
            </w:r>
            <w:r>
              <w:rPr>
                <w:bCs/>
                <w:color w:val="auto"/>
                <w:sz w:val="24"/>
                <w:lang w:val="fr-FR"/>
              </w:rPr>
              <w:t>（r）=L</w:t>
            </w:r>
            <w:r>
              <w:rPr>
                <w:bCs/>
                <w:color w:val="auto"/>
                <w:sz w:val="24"/>
                <w:vertAlign w:val="subscript"/>
              </w:rPr>
              <w:t>P</w:t>
            </w:r>
            <w:r>
              <w:rPr>
                <w:bCs/>
                <w:color w:val="auto"/>
                <w:sz w:val="24"/>
              </w:rPr>
              <w:t>（</w:t>
            </w:r>
            <w:r>
              <w:rPr>
                <w:bCs/>
                <w:color w:val="auto"/>
                <w:sz w:val="24"/>
                <w:lang w:val="fr-FR"/>
              </w:rPr>
              <w:t>r0</w:t>
            </w:r>
            <w:r>
              <w:rPr>
                <w:bCs/>
                <w:color w:val="auto"/>
                <w:sz w:val="24"/>
              </w:rPr>
              <w:t>）</w:t>
            </w:r>
            <w:r>
              <w:rPr>
                <w:bCs/>
                <w:color w:val="auto"/>
                <w:sz w:val="24"/>
                <w:lang w:val="fr-FR"/>
              </w:rPr>
              <w:t>-20lg（r/r0）</w:t>
            </w:r>
            <w:bookmarkEnd w:id="31"/>
          </w:p>
          <w:p>
            <w:pPr>
              <w:adjustRightInd w:val="0"/>
              <w:snapToGrid w:val="0"/>
              <w:spacing w:line="360" w:lineRule="auto"/>
              <w:ind w:firstLine="480" w:firstLineChars="200"/>
              <w:rPr>
                <w:bCs/>
                <w:color w:val="auto"/>
                <w:sz w:val="24"/>
              </w:rPr>
            </w:pPr>
            <w:r>
              <w:rPr>
                <w:bCs/>
                <w:color w:val="auto"/>
                <w:sz w:val="24"/>
              </w:rPr>
              <w:t>式中：L</w:t>
            </w:r>
            <w:r>
              <w:rPr>
                <w:bCs/>
                <w:color w:val="auto"/>
                <w:sz w:val="24"/>
                <w:vertAlign w:val="subscript"/>
              </w:rPr>
              <w:t>P</w:t>
            </w:r>
            <w:r>
              <w:rPr>
                <w:bCs/>
                <w:color w:val="auto"/>
                <w:sz w:val="24"/>
              </w:rPr>
              <w:t>（r）——距声源r米处受声点的A声级；</w:t>
            </w:r>
          </w:p>
          <w:p>
            <w:pPr>
              <w:adjustRightInd w:val="0"/>
              <w:snapToGrid w:val="0"/>
              <w:spacing w:line="360" w:lineRule="auto"/>
              <w:ind w:firstLine="1200" w:firstLineChars="500"/>
              <w:rPr>
                <w:bCs/>
                <w:color w:val="auto"/>
                <w:sz w:val="24"/>
              </w:rPr>
            </w:pPr>
            <w:r>
              <w:rPr>
                <w:bCs/>
                <w:color w:val="auto"/>
                <w:sz w:val="24"/>
              </w:rPr>
              <w:t>L</w:t>
            </w:r>
            <w:r>
              <w:rPr>
                <w:bCs/>
                <w:color w:val="auto"/>
                <w:sz w:val="24"/>
                <w:vertAlign w:val="subscript"/>
              </w:rPr>
              <w:t>P</w:t>
            </w:r>
            <w:r>
              <w:rPr>
                <w:bCs/>
                <w:color w:val="auto"/>
                <w:sz w:val="24"/>
              </w:rPr>
              <w:t>r0——参考位置r0处的声压级，dB；</w:t>
            </w:r>
          </w:p>
          <w:p>
            <w:pPr>
              <w:adjustRightInd w:val="0"/>
              <w:snapToGrid w:val="0"/>
              <w:spacing w:line="360" w:lineRule="auto"/>
              <w:ind w:firstLine="1200" w:firstLineChars="500"/>
              <w:rPr>
                <w:bCs/>
                <w:color w:val="auto"/>
                <w:sz w:val="24"/>
              </w:rPr>
            </w:pPr>
            <w:r>
              <w:rPr>
                <w:bCs/>
                <w:color w:val="auto"/>
                <w:sz w:val="24"/>
              </w:rPr>
              <w:t>r——预测点距声源的距离（m）；</w:t>
            </w:r>
          </w:p>
          <w:p>
            <w:pPr>
              <w:adjustRightInd w:val="0"/>
              <w:snapToGrid w:val="0"/>
              <w:spacing w:line="360" w:lineRule="auto"/>
              <w:ind w:firstLine="1200" w:firstLineChars="500"/>
              <w:rPr>
                <w:bCs/>
                <w:color w:val="auto"/>
                <w:sz w:val="24"/>
              </w:rPr>
            </w:pPr>
            <w:r>
              <w:rPr>
                <w:bCs/>
                <w:color w:val="auto"/>
                <w:sz w:val="24"/>
              </w:rPr>
              <w:t>r0——参考位置距声源的距离（m）。</w:t>
            </w:r>
          </w:p>
          <w:p>
            <w:pPr>
              <w:adjustRightInd w:val="0"/>
              <w:snapToGrid w:val="0"/>
              <w:spacing w:line="360" w:lineRule="auto"/>
              <w:ind w:firstLine="480" w:firstLineChars="200"/>
              <w:rPr>
                <w:bCs/>
                <w:color w:val="auto"/>
                <w:sz w:val="24"/>
              </w:rPr>
            </w:pPr>
            <w:r>
              <w:rPr>
                <w:bCs/>
                <w:color w:val="auto"/>
                <w:sz w:val="24"/>
              </w:rPr>
              <w:t>项目各产噪设备在产噪单元处的叠加声压级采用以下公式进行计算：</w:t>
            </w:r>
          </w:p>
          <w:p>
            <w:pPr>
              <w:adjustRightInd w:val="0"/>
              <w:snapToGrid w:val="0"/>
              <w:spacing w:line="360" w:lineRule="auto"/>
              <w:ind w:firstLine="480" w:firstLineChars="200"/>
              <w:jc w:val="center"/>
              <w:rPr>
                <w:bCs/>
                <w:color w:val="auto"/>
                <w:sz w:val="24"/>
              </w:rPr>
            </w:pPr>
            <w:r>
              <w:rPr>
                <w:color w:val="auto"/>
                <w:position w:val="-30"/>
                <w:sz w:val="24"/>
              </w:rPr>
              <w:object>
                <v:shape id="_x0000_i1030" o:spt="75" type="#_x0000_t75" style="height:34.65pt;width:136.55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p>
          <w:p>
            <w:pPr>
              <w:adjustRightInd w:val="0"/>
              <w:snapToGrid w:val="0"/>
              <w:spacing w:line="360" w:lineRule="auto"/>
              <w:ind w:firstLine="480" w:firstLineChars="200"/>
              <w:rPr>
                <w:bCs/>
                <w:color w:val="auto"/>
                <w:sz w:val="24"/>
              </w:rPr>
            </w:pPr>
            <w:r>
              <w:rPr>
                <w:bCs/>
                <w:color w:val="auto"/>
                <w:sz w:val="24"/>
              </w:rPr>
              <w:t>式中：L</w:t>
            </w:r>
            <w:r>
              <w:rPr>
                <w:bCs/>
                <w:color w:val="auto"/>
                <w:sz w:val="24"/>
                <w:vertAlign w:val="subscript"/>
              </w:rPr>
              <w:t>P1i</w:t>
            </w:r>
            <w:r>
              <w:rPr>
                <w:bCs/>
                <w:color w:val="auto"/>
                <w:sz w:val="24"/>
              </w:rPr>
              <w:t>（T）——靠近围护结构处室内N个声源i倍频带的叠加声压级，dB；</w:t>
            </w:r>
          </w:p>
          <w:p>
            <w:pPr>
              <w:adjustRightInd w:val="0"/>
              <w:snapToGrid w:val="0"/>
              <w:spacing w:line="360" w:lineRule="auto"/>
              <w:ind w:firstLine="1200" w:firstLineChars="500"/>
              <w:rPr>
                <w:bCs/>
                <w:color w:val="auto"/>
                <w:sz w:val="24"/>
              </w:rPr>
            </w:pPr>
            <w:r>
              <w:rPr>
                <w:bCs/>
                <w:color w:val="auto"/>
                <w:sz w:val="24"/>
              </w:rPr>
              <w:t>L</w:t>
            </w:r>
            <w:r>
              <w:rPr>
                <w:bCs/>
                <w:color w:val="auto"/>
                <w:sz w:val="24"/>
                <w:vertAlign w:val="subscript"/>
              </w:rPr>
              <w:t>P1ij</w:t>
            </w:r>
            <w:r>
              <w:rPr>
                <w:bCs/>
                <w:color w:val="auto"/>
                <w:sz w:val="24"/>
              </w:rPr>
              <w:t>——室内j声源i倍频带的声压级，dB；</w:t>
            </w:r>
          </w:p>
          <w:p>
            <w:pPr>
              <w:adjustRightInd w:val="0"/>
              <w:snapToGrid w:val="0"/>
              <w:spacing w:line="360" w:lineRule="auto"/>
              <w:ind w:firstLine="1200" w:firstLineChars="500"/>
              <w:rPr>
                <w:bCs/>
                <w:color w:val="auto"/>
                <w:sz w:val="24"/>
              </w:rPr>
            </w:pPr>
            <w:r>
              <w:rPr>
                <w:bCs/>
                <w:color w:val="auto"/>
                <w:sz w:val="24"/>
              </w:rPr>
              <w:t>N——室内声源总数。</w:t>
            </w:r>
          </w:p>
          <w:p>
            <w:pPr>
              <w:adjustRightInd w:val="0"/>
              <w:snapToGrid w:val="0"/>
              <w:spacing w:line="360" w:lineRule="auto"/>
              <w:ind w:firstLine="480" w:firstLineChars="200"/>
              <w:rPr>
                <w:bCs/>
                <w:color w:val="auto"/>
                <w:sz w:val="24"/>
              </w:rPr>
            </w:pPr>
            <w:r>
              <w:rPr>
                <w:bCs/>
                <w:color w:val="auto"/>
                <w:sz w:val="24"/>
              </w:rPr>
              <w:t>在室内近似为扩散声场时，按下式进行计算室外声压级：</w:t>
            </w:r>
          </w:p>
          <w:p>
            <w:pPr>
              <w:adjustRightInd w:val="0"/>
              <w:snapToGrid w:val="0"/>
              <w:spacing w:line="360" w:lineRule="auto"/>
              <w:ind w:firstLine="480" w:firstLineChars="200"/>
              <w:jc w:val="center"/>
              <w:rPr>
                <w:bCs/>
                <w:color w:val="auto"/>
                <w:sz w:val="24"/>
              </w:rPr>
            </w:pPr>
            <w:r>
              <w:rPr>
                <w:color w:val="auto"/>
                <w:position w:val="-16"/>
                <w:sz w:val="24"/>
              </w:rPr>
              <w:object>
                <v:shape id="_x0000_i1031" o:spt="75" type="#_x0000_t75" style="height:19.7pt;width:141.95pt;" o:ole="t" filled="f" o:preferrelative="t" stroked="f" coordsize="21600,21600">
                  <v:path/>
                  <v:fill on="f" focussize="0,0"/>
                  <v:stroke on="f" joinstyle="miter"/>
                  <v:imagedata r:id="rId23" o:title=""/>
                  <o:lock v:ext="edit" aspectratio="t"/>
                  <w10:wrap type="none"/>
                  <w10:anchorlock/>
                </v:shape>
                <o:OLEObject Type="Embed" ProgID="Equation.3" ShapeID="_x0000_i1031" DrawAspect="Content" ObjectID="_1468075731" r:id="rId22">
                  <o:LockedField>false</o:LockedField>
                </o:OLEObject>
              </w:object>
            </w:r>
          </w:p>
          <w:p>
            <w:pPr>
              <w:adjustRightInd w:val="0"/>
              <w:snapToGrid w:val="0"/>
              <w:spacing w:line="360" w:lineRule="auto"/>
              <w:ind w:firstLine="480" w:firstLineChars="200"/>
              <w:rPr>
                <w:bCs/>
                <w:color w:val="auto"/>
                <w:sz w:val="24"/>
              </w:rPr>
            </w:pPr>
            <w:r>
              <w:rPr>
                <w:bCs/>
                <w:color w:val="auto"/>
                <w:sz w:val="24"/>
              </w:rPr>
              <w:t>式中：L</w:t>
            </w:r>
            <w:r>
              <w:rPr>
                <w:bCs/>
                <w:color w:val="auto"/>
                <w:sz w:val="24"/>
                <w:vertAlign w:val="subscript"/>
              </w:rPr>
              <w:t>P2i</w:t>
            </w:r>
            <w:r>
              <w:rPr>
                <w:bCs/>
                <w:color w:val="auto"/>
                <w:sz w:val="24"/>
              </w:rPr>
              <w:t>（T）——靠近围护结构处室外N个声源i倍频带的叠加声压级，dB；</w:t>
            </w:r>
          </w:p>
          <w:p>
            <w:pPr>
              <w:adjustRightInd w:val="0"/>
              <w:snapToGrid w:val="0"/>
              <w:spacing w:line="360" w:lineRule="auto"/>
              <w:ind w:firstLine="1200" w:firstLineChars="500"/>
              <w:rPr>
                <w:bCs/>
                <w:color w:val="auto"/>
                <w:sz w:val="24"/>
              </w:rPr>
            </w:pPr>
            <w:r>
              <w:rPr>
                <w:bCs/>
                <w:color w:val="auto"/>
                <w:sz w:val="24"/>
              </w:rPr>
              <w:t>L</w:t>
            </w:r>
            <w:r>
              <w:rPr>
                <w:bCs/>
                <w:color w:val="auto"/>
                <w:sz w:val="24"/>
                <w:vertAlign w:val="subscript"/>
              </w:rPr>
              <w:t>P1i</w:t>
            </w:r>
            <w:r>
              <w:rPr>
                <w:bCs/>
                <w:color w:val="auto"/>
                <w:sz w:val="24"/>
              </w:rPr>
              <w:t>（T）——靠近围护结构处室内N个声源i倍频带的叠加声压级，dB；</w:t>
            </w:r>
          </w:p>
          <w:p>
            <w:pPr>
              <w:adjustRightInd w:val="0"/>
              <w:snapToGrid w:val="0"/>
              <w:spacing w:line="360" w:lineRule="auto"/>
              <w:ind w:firstLine="1200" w:firstLineChars="500"/>
              <w:rPr>
                <w:bCs/>
                <w:color w:val="auto"/>
                <w:sz w:val="24"/>
              </w:rPr>
            </w:pPr>
            <w:r>
              <w:rPr>
                <w:bCs/>
                <w:color w:val="auto"/>
                <w:sz w:val="24"/>
              </w:rPr>
              <w:t>TL</w:t>
            </w:r>
            <w:r>
              <w:rPr>
                <w:bCs/>
                <w:color w:val="auto"/>
                <w:sz w:val="24"/>
                <w:vertAlign w:val="subscript"/>
              </w:rPr>
              <w:t>i</w:t>
            </w:r>
            <w:r>
              <w:rPr>
                <w:bCs/>
                <w:color w:val="auto"/>
                <w:sz w:val="24"/>
              </w:rPr>
              <w:t>——围护结构倍频带的隔声量，dB。</w:t>
            </w:r>
          </w:p>
          <w:p>
            <w:pPr>
              <w:adjustRightInd w:val="0"/>
              <w:snapToGrid w:val="0"/>
              <w:spacing w:line="360" w:lineRule="auto"/>
              <w:ind w:firstLine="480" w:firstLineChars="200"/>
              <w:rPr>
                <w:color w:val="auto"/>
                <w:sz w:val="24"/>
              </w:rPr>
            </w:pPr>
            <w:r>
              <w:rPr>
                <w:bCs/>
                <w:color w:val="auto"/>
                <w:sz w:val="24"/>
              </w:rPr>
              <w:t>等效室外声功率值按下式计算：</w:t>
            </w:r>
          </w:p>
          <w:p>
            <w:pPr>
              <w:adjustRightInd w:val="0"/>
              <w:snapToGrid w:val="0"/>
              <w:spacing w:line="360" w:lineRule="auto"/>
              <w:ind w:firstLine="480" w:firstLineChars="200"/>
              <w:jc w:val="center"/>
              <w:rPr>
                <w:bCs/>
                <w:color w:val="auto"/>
                <w:sz w:val="24"/>
              </w:rPr>
            </w:pPr>
            <w:r>
              <w:rPr>
                <w:color w:val="auto"/>
                <w:position w:val="-12"/>
                <w:sz w:val="24"/>
              </w:rPr>
              <w:object>
                <v:shape id="_x0000_i1032" o:spt="75" type="#_x0000_t75" style="height:18.35pt;width:100.55pt;" o:ole="t" filled="f" o:preferrelative="t" stroked="f" coordsize="21600,21600">
                  <v:path/>
                  <v:fill on="f" focussize="0,0"/>
                  <v:stroke on="f" joinstyle="miter"/>
                  <v:imagedata r:id="rId25" o:title=""/>
                  <o:lock v:ext="edit" aspectratio="t"/>
                  <w10:wrap type="none"/>
                  <w10:anchorlock/>
                </v:shape>
                <o:OLEObject Type="Embed" ProgID="Equation.3" ShapeID="_x0000_i1032" DrawAspect="Content" ObjectID="_1468075732" r:id="rId24">
                  <o:LockedField>false</o:LockedField>
                </o:OLEObject>
              </w:object>
            </w:r>
          </w:p>
          <w:p>
            <w:pPr>
              <w:adjustRightInd w:val="0"/>
              <w:snapToGrid w:val="0"/>
              <w:spacing w:line="360" w:lineRule="auto"/>
              <w:ind w:firstLine="480" w:firstLineChars="200"/>
              <w:rPr>
                <w:bCs/>
                <w:color w:val="auto"/>
                <w:sz w:val="24"/>
              </w:rPr>
            </w:pPr>
            <w:r>
              <w:rPr>
                <w:bCs/>
                <w:color w:val="auto"/>
                <w:sz w:val="24"/>
              </w:rPr>
              <w:t>式中：L</w:t>
            </w:r>
            <w:r>
              <w:rPr>
                <w:bCs/>
                <w:color w:val="auto"/>
                <w:sz w:val="24"/>
                <w:vertAlign w:val="subscript"/>
              </w:rPr>
              <w:t>w</w:t>
            </w:r>
            <w:r>
              <w:rPr>
                <w:bCs/>
                <w:color w:val="auto"/>
                <w:sz w:val="24"/>
              </w:rPr>
              <w:t>——中心位置位于透声面积（S）处的等效声源的倍频声功率级，dB；</w:t>
            </w:r>
          </w:p>
          <w:p>
            <w:pPr>
              <w:adjustRightInd w:val="0"/>
              <w:snapToGrid w:val="0"/>
              <w:spacing w:line="360" w:lineRule="auto"/>
              <w:ind w:firstLine="1200" w:firstLineChars="500"/>
              <w:rPr>
                <w:bCs/>
                <w:color w:val="auto"/>
                <w:sz w:val="24"/>
              </w:rPr>
            </w:pPr>
            <w:r>
              <w:rPr>
                <w:bCs/>
                <w:color w:val="auto"/>
                <w:sz w:val="24"/>
              </w:rPr>
              <w:t>L</w:t>
            </w:r>
            <w:r>
              <w:rPr>
                <w:bCs/>
                <w:color w:val="auto"/>
                <w:sz w:val="24"/>
                <w:vertAlign w:val="subscript"/>
              </w:rPr>
              <w:t>P2</w:t>
            </w:r>
            <w:r>
              <w:rPr>
                <w:bCs/>
                <w:color w:val="auto"/>
                <w:sz w:val="24"/>
              </w:rPr>
              <w:t>（T）——靠近围护结构处室外声源的声压级，dB；</w:t>
            </w:r>
          </w:p>
          <w:p>
            <w:pPr>
              <w:adjustRightInd w:val="0"/>
              <w:snapToGrid w:val="0"/>
              <w:spacing w:line="360" w:lineRule="auto"/>
              <w:ind w:firstLine="1200" w:firstLineChars="500"/>
              <w:rPr>
                <w:bCs/>
                <w:color w:val="auto"/>
                <w:sz w:val="24"/>
              </w:rPr>
            </w:pPr>
            <w:r>
              <w:rPr>
                <w:bCs/>
                <w:color w:val="auto"/>
                <w:sz w:val="24"/>
              </w:rPr>
              <w:t>S——透声面积，m</w:t>
            </w:r>
            <w:r>
              <w:rPr>
                <w:bCs/>
                <w:color w:val="auto"/>
                <w:sz w:val="24"/>
                <w:vertAlign w:val="superscript"/>
              </w:rPr>
              <w:t>2</w:t>
            </w:r>
            <w:r>
              <w:rPr>
                <w:bCs/>
                <w:color w:val="auto"/>
                <w:sz w:val="24"/>
              </w:rPr>
              <w:t>。</w:t>
            </w:r>
          </w:p>
          <w:p>
            <w:pPr>
              <w:adjustRightInd w:val="0"/>
              <w:snapToGrid w:val="0"/>
              <w:spacing w:line="360" w:lineRule="auto"/>
              <w:ind w:firstLine="480" w:firstLineChars="200"/>
              <w:rPr>
                <w:bCs/>
                <w:color w:val="auto"/>
                <w:sz w:val="24"/>
              </w:rPr>
            </w:pPr>
            <w:r>
              <w:rPr>
                <w:bCs/>
                <w:color w:val="auto"/>
                <w:sz w:val="24"/>
              </w:rPr>
              <w:t>拟建工程对预测点产生的贡献值按照下式计算：</w:t>
            </w:r>
          </w:p>
          <w:p>
            <w:pPr>
              <w:adjustRightInd w:val="0"/>
              <w:snapToGrid w:val="0"/>
              <w:spacing w:line="360" w:lineRule="auto"/>
              <w:ind w:firstLine="480" w:firstLineChars="200"/>
              <w:jc w:val="center"/>
              <w:rPr>
                <w:bCs/>
                <w:color w:val="auto"/>
                <w:sz w:val="24"/>
              </w:rPr>
            </w:pPr>
            <m:oMathPara>
              <m:oMath>
                <m:sSub>
                  <m:sSubPr>
                    <m:ctrlPr>
                      <w:rPr>
                        <w:rFonts w:ascii="Cambria Math" w:hAnsi="Cambria Math"/>
                        <w:bCs/>
                        <w:color w:val="auto"/>
                        <w:sz w:val="24"/>
                      </w:rPr>
                    </m:ctrlPr>
                  </m:sSubPr>
                  <m:e>
                    <m:r>
                      <m:rPr>
                        <m:sty m:val="p"/>
                      </m:rPr>
                      <w:rPr>
                        <w:rFonts w:ascii="Cambria Math" w:hAnsi="Cambria Math"/>
                        <w:color w:val="auto"/>
                        <w:sz w:val="24"/>
                      </w:rPr>
                      <m:t>L</m:t>
                    </m:r>
                    <m:ctrlPr>
                      <w:rPr>
                        <w:rFonts w:ascii="Cambria Math" w:hAnsi="Cambria Math"/>
                        <w:bCs/>
                        <w:color w:val="auto"/>
                        <w:sz w:val="24"/>
                      </w:rPr>
                    </m:ctrlPr>
                  </m:e>
                  <m:sub>
                    <m:r>
                      <m:rPr>
                        <m:sty m:val="p"/>
                      </m:rPr>
                      <w:rPr>
                        <w:rFonts w:ascii="Cambria Math" w:hAnsi="Cambria Math"/>
                        <w:color w:val="auto"/>
                        <w:sz w:val="24"/>
                      </w:rPr>
                      <m:t>eqg</m:t>
                    </m:r>
                    <m:ctrlPr>
                      <w:rPr>
                        <w:rFonts w:ascii="Cambria Math" w:hAnsi="Cambria Math"/>
                        <w:bCs/>
                        <w:color w:val="auto"/>
                        <w:sz w:val="24"/>
                      </w:rPr>
                    </m:ctrlPr>
                  </m:sub>
                </m:sSub>
                <m:r>
                  <m:rPr>
                    <m:sty m:val="p"/>
                  </m:rPr>
                  <w:rPr>
                    <w:rFonts w:ascii="Cambria Math" w:hAnsi="Cambria Math"/>
                    <w:color w:val="auto"/>
                    <w:sz w:val="24"/>
                  </w:rPr>
                  <m:t>=10lg(</m:t>
                </m:r>
                <m:f>
                  <m:fPr>
                    <m:ctrlPr>
                      <w:rPr>
                        <w:rFonts w:ascii="Cambria Math" w:hAnsi="Cambria Math"/>
                        <w:bCs/>
                        <w:color w:val="auto"/>
                        <w:sz w:val="24"/>
                      </w:rPr>
                    </m:ctrlPr>
                  </m:fPr>
                  <m:num>
                    <m:r>
                      <m:rPr>
                        <m:sty m:val="p"/>
                      </m:rPr>
                      <w:rPr>
                        <w:rFonts w:ascii="Cambria Math" w:hAnsi="Cambria Math"/>
                        <w:color w:val="auto"/>
                        <w:sz w:val="24"/>
                      </w:rPr>
                      <m:t>1</m:t>
                    </m:r>
                    <m:ctrlPr>
                      <w:rPr>
                        <w:rFonts w:ascii="Cambria Math" w:hAnsi="Cambria Math"/>
                        <w:bCs/>
                        <w:color w:val="auto"/>
                        <w:sz w:val="24"/>
                      </w:rPr>
                    </m:ctrlPr>
                  </m:num>
                  <m:den>
                    <m:r>
                      <m:rPr>
                        <m:sty m:val="p"/>
                      </m:rPr>
                      <w:rPr>
                        <w:rFonts w:ascii="Cambria Math" w:hAnsi="Cambria Math"/>
                        <w:color w:val="auto"/>
                        <w:sz w:val="24"/>
                      </w:rPr>
                      <m:t>T</m:t>
                    </m:r>
                    <m:ctrlPr>
                      <w:rPr>
                        <w:rFonts w:ascii="Cambria Math" w:hAnsi="Cambria Math"/>
                        <w:bCs/>
                        <w:color w:val="auto"/>
                        <w:sz w:val="24"/>
                      </w:rPr>
                    </m:ctrlPr>
                  </m:den>
                </m:f>
                <m:r>
                  <m:rPr>
                    <m:sty m:val="p"/>
                  </m:rPr>
                  <w:rPr>
                    <w:rFonts w:ascii="Cambria Math" w:hAnsi="Cambria Math"/>
                    <w:color w:val="auto"/>
                    <w:sz w:val="24"/>
                  </w:rPr>
                  <m:t>（</m:t>
                </m:r>
                <m:nary>
                  <m:naryPr>
                    <m:chr m:val="∑"/>
                    <m:limLoc m:val="undOvr"/>
                    <m:ctrlPr>
                      <w:rPr>
                        <w:rFonts w:ascii="Cambria Math" w:hAnsi="Cambria Math"/>
                        <w:bCs/>
                        <w:color w:val="auto"/>
                        <w:sz w:val="24"/>
                      </w:rPr>
                    </m:ctrlPr>
                  </m:naryPr>
                  <m:sub>
                    <m:r>
                      <m:rPr>
                        <m:sty m:val="p"/>
                      </m:rPr>
                      <w:rPr>
                        <w:rFonts w:ascii="Cambria Math" w:hAnsi="Cambria Math"/>
                        <w:color w:val="auto"/>
                        <w:sz w:val="24"/>
                      </w:rPr>
                      <m:t>i=1</m:t>
                    </m:r>
                    <m:ctrlPr>
                      <w:rPr>
                        <w:rFonts w:ascii="Cambria Math" w:hAnsi="Cambria Math"/>
                        <w:bCs/>
                        <w:color w:val="auto"/>
                        <w:sz w:val="24"/>
                      </w:rPr>
                    </m:ctrlPr>
                  </m:sub>
                  <m:sup>
                    <m:r>
                      <m:rPr>
                        <m:sty m:val="p"/>
                      </m:rPr>
                      <w:rPr>
                        <w:rFonts w:ascii="Cambria Math" w:hAnsi="Cambria Math"/>
                        <w:color w:val="auto"/>
                        <w:sz w:val="24"/>
                      </w:rPr>
                      <m:t>N</m:t>
                    </m:r>
                    <m:ctrlPr>
                      <w:rPr>
                        <w:rFonts w:ascii="Cambria Math" w:hAnsi="Cambria Math"/>
                        <w:bCs/>
                        <w:color w:val="auto"/>
                        <w:sz w:val="24"/>
                      </w:rPr>
                    </m:ctrlPr>
                  </m:sup>
                  <m:e>
                    <m:sSub>
                      <m:sSubPr>
                        <m:ctrlPr>
                          <w:rPr>
                            <w:rFonts w:ascii="Cambria Math" w:hAnsi="Cambria Math"/>
                            <w:bCs/>
                            <w:color w:val="auto"/>
                            <w:sz w:val="24"/>
                          </w:rPr>
                        </m:ctrlPr>
                      </m:sSubPr>
                      <m:e>
                        <m:r>
                          <m:rPr>
                            <m:sty m:val="p"/>
                          </m:rPr>
                          <w:rPr>
                            <w:rFonts w:ascii="Cambria Math" w:hAnsi="Cambria Math"/>
                            <w:color w:val="auto"/>
                            <w:sz w:val="24"/>
                          </w:rPr>
                          <m:t>t</m:t>
                        </m:r>
                        <m:ctrlPr>
                          <w:rPr>
                            <w:rFonts w:ascii="Cambria Math" w:hAnsi="Cambria Math"/>
                            <w:bCs/>
                            <w:color w:val="auto"/>
                            <w:sz w:val="24"/>
                          </w:rPr>
                        </m:ctrlPr>
                      </m:e>
                      <m:sub>
                        <m:r>
                          <m:rPr>
                            <m:sty m:val="p"/>
                          </m:rPr>
                          <w:rPr>
                            <w:rFonts w:ascii="Cambria Math" w:hAnsi="Cambria Math"/>
                            <w:color w:val="auto"/>
                            <w:sz w:val="24"/>
                          </w:rPr>
                          <m:t>i</m:t>
                        </m:r>
                        <m:ctrlPr>
                          <w:rPr>
                            <w:rFonts w:ascii="Cambria Math" w:hAnsi="Cambria Math"/>
                            <w:bCs/>
                            <w:color w:val="auto"/>
                            <w:sz w:val="24"/>
                          </w:rPr>
                        </m:ctrlPr>
                      </m:sub>
                    </m:sSub>
                    <m:sSup>
                      <m:sSupPr>
                        <m:ctrlPr>
                          <w:rPr>
                            <w:rFonts w:ascii="Cambria Math" w:hAnsi="Cambria Math"/>
                            <w:bCs/>
                            <w:color w:val="auto"/>
                            <w:sz w:val="24"/>
                          </w:rPr>
                        </m:ctrlPr>
                      </m:sSupPr>
                      <m:e>
                        <m:r>
                          <m:rPr>
                            <m:sty m:val="p"/>
                          </m:rPr>
                          <w:rPr>
                            <w:rFonts w:ascii="Cambria Math" w:hAnsi="Cambria Math"/>
                            <w:color w:val="auto"/>
                            <w:sz w:val="24"/>
                          </w:rPr>
                          <m:t>10</m:t>
                        </m:r>
                        <m:ctrlPr>
                          <w:rPr>
                            <w:rFonts w:ascii="Cambria Math" w:hAnsi="Cambria Math"/>
                            <w:bCs/>
                            <w:color w:val="auto"/>
                            <w:sz w:val="24"/>
                          </w:rPr>
                        </m:ctrlPr>
                      </m:e>
                      <m:sup>
                        <m:sSub>
                          <m:sSubPr>
                            <m:ctrlPr>
                              <w:rPr>
                                <w:rFonts w:ascii="Cambria Math" w:hAnsi="Cambria Math"/>
                                <w:bCs/>
                                <w:color w:val="auto"/>
                                <w:sz w:val="24"/>
                              </w:rPr>
                            </m:ctrlPr>
                          </m:sSubPr>
                          <m:e>
                            <m:r>
                              <m:rPr>
                                <m:sty m:val="p"/>
                              </m:rPr>
                              <w:rPr>
                                <w:rFonts w:ascii="Cambria Math" w:hAnsi="Cambria Math"/>
                                <w:color w:val="auto"/>
                                <w:sz w:val="24"/>
                              </w:rPr>
                              <m:t>0.1L</m:t>
                            </m:r>
                            <m:ctrlPr>
                              <w:rPr>
                                <w:rFonts w:ascii="Cambria Math" w:hAnsi="Cambria Math"/>
                                <w:bCs/>
                                <w:color w:val="auto"/>
                                <w:sz w:val="24"/>
                              </w:rPr>
                            </m:ctrlPr>
                          </m:e>
                          <m:sub>
                            <m:r>
                              <m:rPr>
                                <m:sty m:val="p"/>
                              </m:rPr>
                              <w:rPr>
                                <w:rFonts w:ascii="Cambria Math" w:hAnsi="Cambria Math"/>
                                <w:color w:val="auto"/>
                                <w:sz w:val="24"/>
                              </w:rPr>
                              <m:t>Ai</m:t>
                            </m:r>
                            <m:ctrlPr>
                              <w:rPr>
                                <w:rFonts w:ascii="Cambria Math" w:hAnsi="Cambria Math"/>
                                <w:bCs/>
                                <w:color w:val="auto"/>
                                <w:sz w:val="24"/>
                              </w:rPr>
                            </m:ctrlPr>
                          </m:sub>
                        </m:sSub>
                        <m:ctrlPr>
                          <w:rPr>
                            <w:rFonts w:ascii="Cambria Math" w:hAnsi="Cambria Math"/>
                            <w:bCs/>
                            <w:color w:val="auto"/>
                            <w:sz w:val="24"/>
                          </w:rPr>
                        </m:ctrlPr>
                      </m:sup>
                    </m:sSup>
                    <m:ctrlPr>
                      <w:rPr>
                        <w:rFonts w:ascii="Cambria Math" w:hAnsi="Cambria Math"/>
                        <w:bCs/>
                        <w:color w:val="auto"/>
                        <w:sz w:val="24"/>
                      </w:rPr>
                    </m:ctrlPr>
                  </m:e>
                </m:nary>
                <m:r>
                  <m:rPr>
                    <m:sty m:val="p"/>
                  </m:rPr>
                  <w:rPr>
                    <w:rFonts w:ascii="Cambria Math" w:hAnsi="Cambria Math"/>
                    <w:color w:val="auto"/>
                    <w:sz w:val="24"/>
                  </w:rPr>
                  <m:t>+</m:t>
                </m:r>
                <m:nary>
                  <m:naryPr>
                    <m:chr m:val="∑"/>
                    <m:limLoc m:val="undOvr"/>
                    <m:ctrlPr>
                      <w:rPr>
                        <w:rFonts w:ascii="Cambria Math" w:hAnsi="Cambria Math"/>
                        <w:bCs/>
                        <w:color w:val="auto"/>
                        <w:sz w:val="24"/>
                      </w:rPr>
                    </m:ctrlPr>
                  </m:naryPr>
                  <m:sub>
                    <m:r>
                      <m:rPr>
                        <m:sty m:val="p"/>
                      </m:rPr>
                      <w:rPr>
                        <w:rFonts w:ascii="Cambria Math" w:hAnsi="Cambria Math"/>
                        <w:color w:val="auto"/>
                        <w:sz w:val="24"/>
                      </w:rPr>
                      <m:t>j=1</m:t>
                    </m:r>
                    <m:ctrlPr>
                      <w:rPr>
                        <w:rFonts w:ascii="Cambria Math" w:hAnsi="Cambria Math"/>
                        <w:bCs/>
                        <w:color w:val="auto"/>
                        <w:sz w:val="24"/>
                      </w:rPr>
                    </m:ctrlPr>
                  </m:sub>
                  <m:sup>
                    <m:r>
                      <m:rPr>
                        <m:sty m:val="p"/>
                      </m:rPr>
                      <w:rPr>
                        <w:rFonts w:ascii="Cambria Math" w:hAnsi="Cambria Math"/>
                        <w:color w:val="auto"/>
                        <w:sz w:val="24"/>
                      </w:rPr>
                      <m:t>M</m:t>
                    </m:r>
                    <m:ctrlPr>
                      <w:rPr>
                        <w:rFonts w:ascii="Cambria Math" w:hAnsi="Cambria Math"/>
                        <w:bCs/>
                        <w:color w:val="auto"/>
                        <w:sz w:val="24"/>
                      </w:rPr>
                    </m:ctrlPr>
                  </m:sup>
                  <m:e>
                    <m:sSub>
                      <m:sSubPr>
                        <m:ctrlPr>
                          <w:rPr>
                            <w:rFonts w:ascii="Cambria Math" w:hAnsi="Cambria Math"/>
                            <w:bCs/>
                            <w:color w:val="auto"/>
                            <w:sz w:val="24"/>
                          </w:rPr>
                        </m:ctrlPr>
                      </m:sSubPr>
                      <m:e>
                        <m:r>
                          <m:rPr>
                            <m:sty m:val="p"/>
                          </m:rPr>
                          <w:rPr>
                            <w:rFonts w:ascii="Cambria Math" w:hAnsi="Cambria Math"/>
                            <w:color w:val="auto"/>
                            <w:sz w:val="24"/>
                          </w:rPr>
                          <m:t>t</m:t>
                        </m:r>
                        <m:ctrlPr>
                          <w:rPr>
                            <w:rFonts w:ascii="Cambria Math" w:hAnsi="Cambria Math"/>
                            <w:bCs/>
                            <w:color w:val="auto"/>
                            <w:sz w:val="24"/>
                          </w:rPr>
                        </m:ctrlPr>
                      </m:e>
                      <m:sub>
                        <m:r>
                          <m:rPr>
                            <m:sty m:val="p"/>
                          </m:rPr>
                          <w:rPr>
                            <w:rFonts w:ascii="Cambria Math" w:hAnsi="Cambria Math"/>
                            <w:color w:val="auto"/>
                            <w:sz w:val="24"/>
                          </w:rPr>
                          <m:t>j</m:t>
                        </m:r>
                        <m:ctrlPr>
                          <w:rPr>
                            <w:rFonts w:ascii="Cambria Math" w:hAnsi="Cambria Math"/>
                            <w:bCs/>
                            <w:color w:val="auto"/>
                            <w:sz w:val="24"/>
                          </w:rPr>
                        </m:ctrlPr>
                      </m:sub>
                    </m:sSub>
                    <m:sSup>
                      <m:sSupPr>
                        <m:ctrlPr>
                          <w:rPr>
                            <w:rFonts w:ascii="Cambria Math" w:hAnsi="Cambria Math"/>
                            <w:bCs/>
                            <w:color w:val="auto"/>
                            <w:sz w:val="24"/>
                          </w:rPr>
                        </m:ctrlPr>
                      </m:sSupPr>
                      <m:e>
                        <m:r>
                          <m:rPr>
                            <m:sty m:val="p"/>
                          </m:rPr>
                          <w:rPr>
                            <w:rFonts w:ascii="Cambria Math" w:hAnsi="Cambria Math"/>
                            <w:color w:val="auto"/>
                            <w:sz w:val="24"/>
                          </w:rPr>
                          <m:t>10</m:t>
                        </m:r>
                        <m:ctrlPr>
                          <w:rPr>
                            <w:rFonts w:ascii="Cambria Math" w:hAnsi="Cambria Math"/>
                            <w:bCs/>
                            <w:color w:val="auto"/>
                            <w:sz w:val="24"/>
                          </w:rPr>
                        </m:ctrlPr>
                      </m:e>
                      <m:sup>
                        <m:sSub>
                          <m:sSubPr>
                            <m:ctrlPr>
                              <w:rPr>
                                <w:rFonts w:ascii="Cambria Math" w:hAnsi="Cambria Math"/>
                                <w:bCs/>
                                <w:color w:val="auto"/>
                                <w:sz w:val="24"/>
                              </w:rPr>
                            </m:ctrlPr>
                          </m:sSubPr>
                          <m:e>
                            <m:r>
                              <m:rPr>
                                <m:sty m:val="p"/>
                              </m:rPr>
                              <w:rPr>
                                <w:rFonts w:ascii="Cambria Math" w:hAnsi="Cambria Math"/>
                                <w:color w:val="auto"/>
                                <w:sz w:val="24"/>
                              </w:rPr>
                              <m:t>0.1L</m:t>
                            </m:r>
                            <m:ctrlPr>
                              <w:rPr>
                                <w:rFonts w:ascii="Cambria Math" w:hAnsi="Cambria Math"/>
                                <w:bCs/>
                                <w:color w:val="auto"/>
                                <w:sz w:val="24"/>
                              </w:rPr>
                            </m:ctrlPr>
                          </m:e>
                          <m:sub>
                            <m:r>
                              <m:rPr>
                                <m:sty m:val="p"/>
                              </m:rPr>
                              <w:rPr>
                                <w:rFonts w:ascii="Cambria Math" w:hAnsi="Cambria Math"/>
                                <w:color w:val="auto"/>
                                <w:sz w:val="24"/>
                              </w:rPr>
                              <m:t>Aj</m:t>
                            </m:r>
                            <m:ctrlPr>
                              <w:rPr>
                                <w:rFonts w:ascii="Cambria Math" w:hAnsi="Cambria Math"/>
                                <w:bCs/>
                                <w:color w:val="auto"/>
                                <w:sz w:val="24"/>
                              </w:rPr>
                            </m:ctrlPr>
                          </m:sub>
                        </m:sSub>
                        <m:ctrlPr>
                          <w:rPr>
                            <w:rFonts w:ascii="Cambria Math" w:hAnsi="Cambria Math"/>
                            <w:bCs/>
                            <w:color w:val="auto"/>
                            <w:sz w:val="24"/>
                          </w:rPr>
                        </m:ctrlPr>
                      </m:sup>
                    </m:sSup>
                    <m:ctrlPr>
                      <w:rPr>
                        <w:rFonts w:ascii="Cambria Math" w:hAnsi="Cambria Math"/>
                        <w:bCs/>
                        <w:color w:val="auto"/>
                        <w:sz w:val="24"/>
                      </w:rPr>
                    </m:ctrlPr>
                  </m:e>
                </m:nary>
                <m:r>
                  <m:rPr>
                    <m:sty m:val="p"/>
                  </m:rPr>
                  <w:rPr>
                    <w:rFonts w:ascii="Cambria Math" w:hAnsi="Cambria Math"/>
                    <w:color w:val="auto"/>
                    <w:sz w:val="24"/>
                  </w:rPr>
                  <m:t>）)</m:t>
                </m:r>
              </m:oMath>
            </m:oMathPara>
          </w:p>
          <w:p>
            <w:pPr>
              <w:widowControl/>
              <w:adjustRightInd w:val="0"/>
              <w:snapToGrid w:val="0"/>
              <w:spacing w:line="360" w:lineRule="auto"/>
              <w:ind w:firstLine="480" w:firstLineChars="200"/>
              <w:rPr>
                <w:color w:val="auto"/>
                <w:sz w:val="24"/>
              </w:rPr>
            </w:pPr>
            <w:r>
              <w:rPr>
                <w:color w:val="auto"/>
                <w:sz w:val="24"/>
              </w:rPr>
              <w:t>式中：</w:t>
            </w:r>
            <m:oMath>
              <m:sSub>
                <m:sSubPr>
                  <m:ctrlPr>
                    <w:rPr>
                      <w:rFonts w:ascii="Cambria Math" w:hAnsi="Cambria Math"/>
                      <w:color w:val="auto"/>
                      <w:sz w:val="24"/>
                    </w:rPr>
                  </m:ctrlPr>
                </m:sSubPr>
                <m:e>
                  <m:r>
                    <m:rPr>
                      <m:sty m:val="p"/>
                    </m:rPr>
                    <w:rPr>
                      <w:rFonts w:ascii="Cambria Math" w:hAnsi="Cambria Math"/>
                      <w:color w:val="auto"/>
                      <w:sz w:val="24"/>
                    </w:rPr>
                    <m:t>L</m:t>
                  </m:r>
                  <m:ctrlPr>
                    <w:rPr>
                      <w:rFonts w:ascii="Cambria Math" w:hAnsi="Cambria Math"/>
                      <w:color w:val="auto"/>
                      <w:sz w:val="24"/>
                    </w:rPr>
                  </m:ctrlPr>
                </m:e>
                <m:sub>
                  <m:r>
                    <m:rPr>
                      <m:sty m:val="p"/>
                    </m:rPr>
                    <w:rPr>
                      <w:rFonts w:ascii="Cambria Math" w:hAnsi="Cambria Math"/>
                      <w:color w:val="auto"/>
                      <w:sz w:val="24"/>
                    </w:rPr>
                    <m:t>eqg</m:t>
                  </m:r>
                  <m:ctrlPr>
                    <w:rPr>
                      <w:rFonts w:ascii="Cambria Math" w:hAnsi="Cambria Math"/>
                      <w:color w:val="auto"/>
                      <w:sz w:val="24"/>
                    </w:rPr>
                  </m:ctrlPr>
                </m:sub>
              </m:sSub>
            </m:oMath>
            <w:r>
              <w:rPr>
                <w:color w:val="auto"/>
                <w:sz w:val="24"/>
              </w:rPr>
              <w:t>——建设项目声源在预测点产生的噪声贡献值，dB；</w:t>
            </w:r>
          </w:p>
          <w:p>
            <w:pPr>
              <w:widowControl/>
              <w:adjustRightInd w:val="0"/>
              <w:snapToGrid w:val="0"/>
              <w:spacing w:line="360" w:lineRule="auto"/>
              <w:ind w:firstLine="1200" w:firstLineChars="500"/>
              <w:rPr>
                <w:color w:val="auto"/>
                <w:sz w:val="24"/>
              </w:rPr>
            </w:pPr>
            <w:r>
              <w:rPr>
                <w:color w:val="auto"/>
                <w:sz w:val="24"/>
              </w:rPr>
              <w:t>T——用于计算等效声级的时间，s；</w:t>
            </w:r>
          </w:p>
          <w:p>
            <w:pPr>
              <w:widowControl/>
              <w:adjustRightInd w:val="0"/>
              <w:snapToGrid w:val="0"/>
              <w:spacing w:line="360" w:lineRule="auto"/>
              <w:ind w:firstLine="1200" w:firstLineChars="500"/>
              <w:rPr>
                <w:color w:val="auto"/>
                <w:sz w:val="24"/>
              </w:rPr>
            </w:pPr>
            <w:r>
              <w:rPr>
                <w:color w:val="auto"/>
                <w:sz w:val="24"/>
              </w:rPr>
              <w:t>ti——T时段内i声源工作时间，s；</w:t>
            </w:r>
          </w:p>
          <w:p>
            <w:pPr>
              <w:widowControl/>
              <w:adjustRightInd w:val="0"/>
              <w:snapToGrid w:val="0"/>
              <w:spacing w:line="360" w:lineRule="auto"/>
              <w:ind w:firstLine="1200" w:firstLineChars="500"/>
              <w:rPr>
                <w:color w:val="auto"/>
                <w:sz w:val="24"/>
              </w:rPr>
            </w:pPr>
            <w:r>
              <w:rPr>
                <w:color w:val="auto"/>
                <w:sz w:val="24"/>
              </w:rPr>
              <w:t>tj——T时段内j声源工作时间，s；</w:t>
            </w:r>
          </w:p>
          <w:p>
            <w:pPr>
              <w:widowControl/>
              <w:adjustRightInd w:val="0"/>
              <w:snapToGrid w:val="0"/>
              <w:spacing w:line="360" w:lineRule="auto"/>
              <w:ind w:firstLine="1200" w:firstLineChars="500"/>
              <w:rPr>
                <w:color w:val="auto"/>
                <w:sz w:val="24"/>
              </w:rPr>
            </w:pPr>
            <w:r>
              <w:rPr>
                <w:color w:val="auto"/>
                <w:sz w:val="24"/>
              </w:rPr>
              <w:t>N——等效室外声源个数；</w:t>
            </w:r>
          </w:p>
          <w:p>
            <w:pPr>
              <w:adjustRightInd w:val="0"/>
              <w:snapToGrid w:val="0"/>
              <w:spacing w:line="360" w:lineRule="auto"/>
              <w:ind w:firstLine="1200" w:firstLineChars="500"/>
              <w:rPr>
                <w:color w:val="auto"/>
                <w:sz w:val="24"/>
              </w:rPr>
            </w:pPr>
            <w:r>
              <w:rPr>
                <w:color w:val="auto"/>
                <w:sz w:val="24"/>
              </w:rPr>
              <w:t>M——等效室内声源个数。</w:t>
            </w:r>
          </w:p>
          <w:p>
            <w:pPr>
              <w:spacing w:line="360" w:lineRule="auto"/>
              <w:ind w:firstLine="480" w:firstLineChars="200"/>
              <w:rPr>
                <w:color w:val="auto"/>
                <w:sz w:val="24"/>
              </w:rPr>
            </w:pPr>
            <w:r>
              <w:rPr>
                <w:color w:val="auto"/>
                <w:sz w:val="24"/>
              </w:rPr>
              <w:t>项目运营期噪声源与各预测点的距离见表</w:t>
            </w:r>
            <w:r>
              <w:rPr>
                <w:rFonts w:hint="eastAsia"/>
                <w:color w:val="auto"/>
                <w:sz w:val="24"/>
              </w:rPr>
              <w:t>4-10</w:t>
            </w:r>
            <w:r>
              <w:rPr>
                <w:color w:val="auto"/>
                <w:sz w:val="24"/>
              </w:rPr>
              <w:t>。</w:t>
            </w:r>
          </w:p>
          <w:p>
            <w:pPr>
              <w:jc w:val="center"/>
              <w:rPr>
                <w:b/>
                <w:bCs/>
                <w:color w:val="auto"/>
                <w:sz w:val="24"/>
              </w:rPr>
            </w:pPr>
            <w:r>
              <w:rPr>
                <w:b/>
                <w:bCs/>
                <w:color w:val="auto"/>
                <w:sz w:val="24"/>
              </w:rPr>
              <w:t>表</w:t>
            </w:r>
            <w:r>
              <w:rPr>
                <w:rFonts w:hint="eastAsia"/>
                <w:b/>
                <w:bCs/>
                <w:color w:val="auto"/>
                <w:sz w:val="24"/>
              </w:rPr>
              <w:t>4-10</w:t>
            </w:r>
            <w:r>
              <w:rPr>
                <w:b/>
                <w:bCs/>
                <w:color w:val="auto"/>
                <w:sz w:val="24"/>
              </w:rPr>
              <w:t xml:space="preserve"> 项目噪声源与各厂界的距离情况一览表   单位：m</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410"/>
              <w:gridCol w:w="1189"/>
              <w:gridCol w:w="1315"/>
              <w:gridCol w:w="127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91" w:type="pct"/>
                  <w:vMerge w:val="restart"/>
                  <w:vAlign w:val="center"/>
                </w:tcPr>
                <w:p>
                  <w:pPr>
                    <w:spacing w:line="360" w:lineRule="auto"/>
                    <w:jc w:val="center"/>
                    <w:rPr>
                      <w:b/>
                      <w:bCs/>
                      <w:color w:val="auto"/>
                      <w:szCs w:val="21"/>
                    </w:rPr>
                  </w:pPr>
                  <w:r>
                    <w:rPr>
                      <w:b/>
                      <w:bCs/>
                      <w:color w:val="auto"/>
                      <w:szCs w:val="21"/>
                    </w:rPr>
                    <w:t>序号</w:t>
                  </w:r>
                </w:p>
              </w:tc>
              <w:tc>
                <w:tcPr>
                  <w:tcW w:w="1494" w:type="pct"/>
                  <w:vMerge w:val="restart"/>
                  <w:vAlign w:val="center"/>
                </w:tcPr>
                <w:p>
                  <w:pPr>
                    <w:spacing w:line="360" w:lineRule="auto"/>
                    <w:jc w:val="center"/>
                    <w:rPr>
                      <w:b/>
                      <w:bCs/>
                      <w:color w:val="auto"/>
                      <w:szCs w:val="21"/>
                    </w:rPr>
                  </w:pPr>
                  <w:r>
                    <w:rPr>
                      <w:b/>
                      <w:bCs/>
                      <w:color w:val="auto"/>
                      <w:szCs w:val="21"/>
                    </w:rPr>
                    <w:t>设备名称</w:t>
                  </w:r>
                </w:p>
              </w:tc>
              <w:tc>
                <w:tcPr>
                  <w:tcW w:w="3113" w:type="pct"/>
                  <w:gridSpan w:val="4"/>
                  <w:vAlign w:val="center"/>
                </w:tcPr>
                <w:p>
                  <w:pPr>
                    <w:spacing w:line="360" w:lineRule="auto"/>
                    <w:jc w:val="center"/>
                    <w:rPr>
                      <w:b/>
                      <w:bCs/>
                      <w:color w:val="auto"/>
                      <w:szCs w:val="21"/>
                    </w:rPr>
                  </w:pPr>
                  <w:r>
                    <w:rPr>
                      <w:b/>
                      <w:bCs/>
                      <w:color w:val="auto"/>
                      <w:szCs w:val="21"/>
                    </w:rPr>
                    <w:t>预测点及距离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91" w:type="pct"/>
                  <w:vMerge w:val="continue"/>
                  <w:vAlign w:val="center"/>
                </w:tcPr>
                <w:p>
                  <w:pPr>
                    <w:spacing w:line="360" w:lineRule="auto"/>
                    <w:jc w:val="center"/>
                    <w:rPr>
                      <w:b/>
                      <w:bCs/>
                      <w:color w:val="auto"/>
                      <w:szCs w:val="21"/>
                    </w:rPr>
                  </w:pPr>
                </w:p>
              </w:tc>
              <w:tc>
                <w:tcPr>
                  <w:tcW w:w="1494" w:type="pct"/>
                  <w:vMerge w:val="continue"/>
                  <w:vAlign w:val="center"/>
                </w:tcPr>
                <w:p>
                  <w:pPr>
                    <w:spacing w:line="360" w:lineRule="auto"/>
                    <w:jc w:val="center"/>
                    <w:rPr>
                      <w:b/>
                      <w:bCs/>
                      <w:color w:val="auto"/>
                      <w:szCs w:val="21"/>
                    </w:rPr>
                  </w:pPr>
                </w:p>
              </w:tc>
              <w:tc>
                <w:tcPr>
                  <w:tcW w:w="738" w:type="pct"/>
                  <w:vAlign w:val="center"/>
                </w:tcPr>
                <w:p>
                  <w:pPr>
                    <w:spacing w:line="360" w:lineRule="auto"/>
                    <w:jc w:val="center"/>
                    <w:rPr>
                      <w:b/>
                      <w:bCs/>
                      <w:color w:val="auto"/>
                      <w:szCs w:val="21"/>
                    </w:rPr>
                  </w:pPr>
                  <w:r>
                    <w:rPr>
                      <w:b/>
                      <w:bCs/>
                      <w:color w:val="auto"/>
                      <w:szCs w:val="21"/>
                    </w:rPr>
                    <w:t>北厂界</w:t>
                  </w:r>
                </w:p>
              </w:tc>
              <w:tc>
                <w:tcPr>
                  <w:tcW w:w="816" w:type="pct"/>
                  <w:vAlign w:val="center"/>
                </w:tcPr>
                <w:p>
                  <w:pPr>
                    <w:spacing w:line="360" w:lineRule="auto"/>
                    <w:jc w:val="center"/>
                    <w:rPr>
                      <w:b/>
                      <w:bCs/>
                      <w:color w:val="auto"/>
                      <w:szCs w:val="21"/>
                    </w:rPr>
                  </w:pPr>
                  <w:r>
                    <w:rPr>
                      <w:b/>
                      <w:bCs/>
                      <w:color w:val="auto"/>
                      <w:szCs w:val="21"/>
                    </w:rPr>
                    <w:t>东厂界</w:t>
                  </w:r>
                </w:p>
              </w:tc>
              <w:tc>
                <w:tcPr>
                  <w:tcW w:w="792" w:type="pct"/>
                  <w:vAlign w:val="center"/>
                </w:tcPr>
                <w:p>
                  <w:pPr>
                    <w:spacing w:line="360" w:lineRule="auto"/>
                    <w:jc w:val="center"/>
                    <w:rPr>
                      <w:b/>
                      <w:bCs/>
                      <w:color w:val="auto"/>
                      <w:szCs w:val="21"/>
                    </w:rPr>
                  </w:pPr>
                  <w:r>
                    <w:rPr>
                      <w:b/>
                      <w:bCs/>
                      <w:color w:val="auto"/>
                      <w:szCs w:val="21"/>
                    </w:rPr>
                    <w:t>南厂界</w:t>
                  </w:r>
                </w:p>
              </w:tc>
              <w:tc>
                <w:tcPr>
                  <w:tcW w:w="767" w:type="pct"/>
                  <w:vAlign w:val="center"/>
                </w:tcPr>
                <w:p>
                  <w:pPr>
                    <w:spacing w:line="360" w:lineRule="auto"/>
                    <w:jc w:val="center"/>
                    <w:rPr>
                      <w:b/>
                      <w:bCs/>
                      <w:color w:val="auto"/>
                      <w:szCs w:val="21"/>
                    </w:rPr>
                  </w:pPr>
                  <w:r>
                    <w:rPr>
                      <w:b/>
                      <w:bCs/>
                      <w:color w:val="auto"/>
                      <w:szCs w:val="21"/>
                    </w:rPr>
                    <w:t>西厂界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91" w:type="pct"/>
                  <w:vAlign w:val="center"/>
                </w:tcPr>
                <w:p>
                  <w:pPr>
                    <w:spacing w:line="360" w:lineRule="auto"/>
                    <w:jc w:val="center"/>
                    <w:rPr>
                      <w:color w:val="auto"/>
                      <w:szCs w:val="21"/>
                    </w:rPr>
                  </w:pPr>
                  <w:r>
                    <w:rPr>
                      <w:color w:val="auto"/>
                      <w:szCs w:val="21"/>
                    </w:rPr>
                    <w:t>1</w:t>
                  </w:r>
                </w:p>
              </w:tc>
              <w:tc>
                <w:tcPr>
                  <w:tcW w:w="1494" w:type="pct"/>
                  <w:vAlign w:val="center"/>
                </w:tcPr>
                <w:p>
                  <w:pPr>
                    <w:spacing w:line="360" w:lineRule="auto"/>
                    <w:jc w:val="center"/>
                    <w:rPr>
                      <w:color w:val="auto"/>
                      <w:szCs w:val="21"/>
                    </w:rPr>
                  </w:pPr>
                  <w:r>
                    <w:rPr>
                      <w:color w:val="auto"/>
                      <w:szCs w:val="21"/>
                    </w:rPr>
                    <w:t>皮带上料机</w:t>
                  </w:r>
                </w:p>
              </w:tc>
              <w:tc>
                <w:tcPr>
                  <w:tcW w:w="738" w:type="pct"/>
                  <w:vAlign w:val="center"/>
                </w:tcPr>
                <w:p>
                  <w:pPr>
                    <w:spacing w:line="360" w:lineRule="auto"/>
                    <w:jc w:val="center"/>
                    <w:rPr>
                      <w:color w:val="auto"/>
                      <w:szCs w:val="21"/>
                    </w:rPr>
                  </w:pPr>
                  <w:r>
                    <w:rPr>
                      <w:rFonts w:hint="eastAsia"/>
                      <w:color w:val="auto"/>
                      <w:szCs w:val="21"/>
                    </w:rPr>
                    <w:t>2</w:t>
                  </w:r>
                  <w:r>
                    <w:rPr>
                      <w:color w:val="auto"/>
                      <w:szCs w:val="21"/>
                    </w:rPr>
                    <w:t>0</w:t>
                  </w:r>
                </w:p>
              </w:tc>
              <w:tc>
                <w:tcPr>
                  <w:tcW w:w="816" w:type="pct"/>
                  <w:vAlign w:val="center"/>
                </w:tcPr>
                <w:p>
                  <w:pPr>
                    <w:spacing w:line="360" w:lineRule="auto"/>
                    <w:jc w:val="center"/>
                    <w:rPr>
                      <w:color w:val="auto"/>
                      <w:szCs w:val="21"/>
                    </w:rPr>
                  </w:pPr>
                  <w:r>
                    <w:rPr>
                      <w:rFonts w:hint="eastAsia"/>
                      <w:color w:val="auto"/>
                      <w:szCs w:val="21"/>
                    </w:rPr>
                    <w:t>4</w:t>
                  </w:r>
                  <w:r>
                    <w:rPr>
                      <w:color w:val="auto"/>
                      <w:szCs w:val="21"/>
                    </w:rPr>
                    <w:t>6</w:t>
                  </w:r>
                </w:p>
              </w:tc>
              <w:tc>
                <w:tcPr>
                  <w:tcW w:w="792" w:type="pct"/>
                  <w:vAlign w:val="center"/>
                </w:tcPr>
                <w:p>
                  <w:pPr>
                    <w:spacing w:line="360" w:lineRule="auto"/>
                    <w:jc w:val="center"/>
                    <w:rPr>
                      <w:color w:val="auto"/>
                      <w:szCs w:val="21"/>
                    </w:rPr>
                  </w:pPr>
                  <w:r>
                    <w:rPr>
                      <w:rFonts w:hint="eastAsia"/>
                      <w:color w:val="auto"/>
                      <w:szCs w:val="21"/>
                    </w:rPr>
                    <w:t>5</w:t>
                  </w:r>
                  <w:r>
                    <w:rPr>
                      <w:color w:val="auto"/>
                      <w:szCs w:val="21"/>
                    </w:rPr>
                    <w:t>0</w:t>
                  </w:r>
                </w:p>
              </w:tc>
              <w:tc>
                <w:tcPr>
                  <w:tcW w:w="767" w:type="pct"/>
                  <w:vAlign w:val="center"/>
                </w:tcPr>
                <w:p>
                  <w:pPr>
                    <w:spacing w:line="360" w:lineRule="auto"/>
                    <w:jc w:val="center"/>
                    <w:rPr>
                      <w:color w:val="auto"/>
                      <w:szCs w:val="21"/>
                    </w:rPr>
                  </w:pPr>
                  <w:r>
                    <w:rPr>
                      <w:rFonts w:hint="eastAsia"/>
                      <w:color w:val="auto"/>
                      <w:szCs w:val="21"/>
                    </w:rPr>
                    <w:t>1</w:t>
                  </w: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91" w:type="pct"/>
                  <w:vAlign w:val="center"/>
                </w:tcPr>
                <w:p>
                  <w:pPr>
                    <w:spacing w:line="360" w:lineRule="auto"/>
                    <w:jc w:val="center"/>
                    <w:rPr>
                      <w:color w:val="auto"/>
                      <w:szCs w:val="21"/>
                    </w:rPr>
                  </w:pPr>
                  <w:r>
                    <w:rPr>
                      <w:color w:val="auto"/>
                      <w:szCs w:val="21"/>
                    </w:rPr>
                    <w:t>2</w:t>
                  </w:r>
                </w:p>
              </w:tc>
              <w:tc>
                <w:tcPr>
                  <w:tcW w:w="1494" w:type="pct"/>
                  <w:vAlign w:val="center"/>
                </w:tcPr>
                <w:p>
                  <w:pPr>
                    <w:spacing w:line="360" w:lineRule="auto"/>
                    <w:jc w:val="center"/>
                    <w:rPr>
                      <w:color w:val="auto"/>
                      <w:szCs w:val="21"/>
                    </w:rPr>
                  </w:pPr>
                  <w:r>
                    <w:rPr>
                      <w:color w:val="auto"/>
                      <w:szCs w:val="21"/>
                    </w:rPr>
                    <w:t>螺旋上料机</w:t>
                  </w:r>
                </w:p>
              </w:tc>
              <w:tc>
                <w:tcPr>
                  <w:tcW w:w="738" w:type="pct"/>
                  <w:vAlign w:val="center"/>
                </w:tcPr>
                <w:p>
                  <w:pPr>
                    <w:spacing w:line="360" w:lineRule="auto"/>
                    <w:jc w:val="center"/>
                    <w:rPr>
                      <w:color w:val="auto"/>
                      <w:szCs w:val="21"/>
                    </w:rPr>
                  </w:pPr>
                  <w:r>
                    <w:rPr>
                      <w:rFonts w:hint="eastAsia"/>
                      <w:color w:val="auto"/>
                      <w:szCs w:val="21"/>
                    </w:rPr>
                    <w:t>2</w:t>
                  </w:r>
                  <w:r>
                    <w:rPr>
                      <w:color w:val="auto"/>
                      <w:szCs w:val="21"/>
                    </w:rPr>
                    <w:t>5</w:t>
                  </w:r>
                </w:p>
              </w:tc>
              <w:tc>
                <w:tcPr>
                  <w:tcW w:w="816" w:type="pct"/>
                  <w:vAlign w:val="center"/>
                </w:tcPr>
                <w:p>
                  <w:pPr>
                    <w:spacing w:line="360" w:lineRule="auto"/>
                    <w:jc w:val="center"/>
                    <w:rPr>
                      <w:color w:val="auto"/>
                      <w:szCs w:val="21"/>
                    </w:rPr>
                  </w:pPr>
                  <w:r>
                    <w:rPr>
                      <w:rFonts w:hint="eastAsia"/>
                      <w:color w:val="auto"/>
                      <w:szCs w:val="21"/>
                    </w:rPr>
                    <w:t>4</w:t>
                  </w:r>
                  <w:r>
                    <w:rPr>
                      <w:color w:val="auto"/>
                      <w:szCs w:val="21"/>
                    </w:rPr>
                    <w:t>6</w:t>
                  </w:r>
                </w:p>
              </w:tc>
              <w:tc>
                <w:tcPr>
                  <w:tcW w:w="792" w:type="pct"/>
                  <w:vAlign w:val="center"/>
                </w:tcPr>
                <w:p>
                  <w:pPr>
                    <w:spacing w:line="360" w:lineRule="auto"/>
                    <w:jc w:val="center"/>
                    <w:rPr>
                      <w:color w:val="auto"/>
                      <w:szCs w:val="21"/>
                    </w:rPr>
                  </w:pPr>
                  <w:r>
                    <w:rPr>
                      <w:rFonts w:hint="eastAsia"/>
                      <w:color w:val="auto"/>
                      <w:szCs w:val="21"/>
                    </w:rPr>
                    <w:t>4</w:t>
                  </w:r>
                  <w:r>
                    <w:rPr>
                      <w:color w:val="auto"/>
                      <w:szCs w:val="21"/>
                    </w:rPr>
                    <w:t>5</w:t>
                  </w:r>
                </w:p>
              </w:tc>
              <w:tc>
                <w:tcPr>
                  <w:tcW w:w="767" w:type="pct"/>
                  <w:vAlign w:val="center"/>
                </w:tcPr>
                <w:p>
                  <w:pPr>
                    <w:spacing w:line="360" w:lineRule="auto"/>
                    <w:jc w:val="center"/>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91" w:type="pct"/>
                  <w:vAlign w:val="center"/>
                </w:tcPr>
                <w:p>
                  <w:pPr>
                    <w:spacing w:line="360" w:lineRule="auto"/>
                    <w:jc w:val="center"/>
                    <w:rPr>
                      <w:color w:val="auto"/>
                      <w:szCs w:val="21"/>
                    </w:rPr>
                  </w:pPr>
                  <w:r>
                    <w:rPr>
                      <w:color w:val="auto"/>
                      <w:szCs w:val="21"/>
                    </w:rPr>
                    <w:t>3</w:t>
                  </w:r>
                </w:p>
              </w:tc>
              <w:tc>
                <w:tcPr>
                  <w:tcW w:w="1494" w:type="pct"/>
                  <w:vAlign w:val="center"/>
                </w:tcPr>
                <w:p>
                  <w:pPr>
                    <w:spacing w:line="360" w:lineRule="auto"/>
                    <w:jc w:val="center"/>
                    <w:rPr>
                      <w:color w:val="auto"/>
                      <w:szCs w:val="21"/>
                    </w:rPr>
                  </w:pPr>
                  <w:r>
                    <w:rPr>
                      <w:color w:val="auto"/>
                      <w:szCs w:val="21"/>
                    </w:rPr>
                    <w:t>螺旋除渣机</w:t>
                  </w:r>
                </w:p>
              </w:tc>
              <w:tc>
                <w:tcPr>
                  <w:tcW w:w="738" w:type="pct"/>
                  <w:vAlign w:val="center"/>
                </w:tcPr>
                <w:p>
                  <w:pPr>
                    <w:spacing w:line="360" w:lineRule="auto"/>
                    <w:jc w:val="center"/>
                    <w:rPr>
                      <w:color w:val="auto"/>
                      <w:szCs w:val="21"/>
                    </w:rPr>
                  </w:pPr>
                  <w:r>
                    <w:rPr>
                      <w:rFonts w:hint="eastAsia"/>
                      <w:color w:val="auto"/>
                      <w:szCs w:val="21"/>
                    </w:rPr>
                    <w:t>3</w:t>
                  </w:r>
                  <w:r>
                    <w:rPr>
                      <w:color w:val="auto"/>
                      <w:szCs w:val="21"/>
                    </w:rPr>
                    <w:t>0</w:t>
                  </w:r>
                </w:p>
              </w:tc>
              <w:tc>
                <w:tcPr>
                  <w:tcW w:w="816" w:type="pct"/>
                  <w:vAlign w:val="center"/>
                </w:tcPr>
                <w:p>
                  <w:pPr>
                    <w:spacing w:line="360" w:lineRule="auto"/>
                    <w:jc w:val="center"/>
                    <w:rPr>
                      <w:color w:val="auto"/>
                      <w:szCs w:val="21"/>
                    </w:rPr>
                  </w:pPr>
                  <w:r>
                    <w:rPr>
                      <w:rFonts w:hint="eastAsia"/>
                      <w:color w:val="auto"/>
                      <w:szCs w:val="21"/>
                    </w:rPr>
                    <w:t>4</w:t>
                  </w:r>
                  <w:r>
                    <w:rPr>
                      <w:color w:val="auto"/>
                      <w:szCs w:val="21"/>
                    </w:rPr>
                    <w:t>6</w:t>
                  </w:r>
                </w:p>
              </w:tc>
              <w:tc>
                <w:tcPr>
                  <w:tcW w:w="792" w:type="pct"/>
                  <w:vAlign w:val="center"/>
                </w:tcPr>
                <w:p>
                  <w:pPr>
                    <w:spacing w:line="360" w:lineRule="auto"/>
                    <w:jc w:val="center"/>
                    <w:rPr>
                      <w:color w:val="auto"/>
                      <w:szCs w:val="21"/>
                    </w:rPr>
                  </w:pPr>
                  <w:r>
                    <w:rPr>
                      <w:rFonts w:hint="eastAsia"/>
                      <w:color w:val="auto"/>
                      <w:szCs w:val="21"/>
                    </w:rPr>
                    <w:t>4</w:t>
                  </w:r>
                  <w:r>
                    <w:rPr>
                      <w:color w:val="auto"/>
                      <w:szCs w:val="21"/>
                    </w:rPr>
                    <w:t>0</w:t>
                  </w:r>
                </w:p>
              </w:tc>
              <w:tc>
                <w:tcPr>
                  <w:tcW w:w="767" w:type="pct"/>
                  <w:vAlign w:val="center"/>
                </w:tcPr>
                <w:p>
                  <w:pPr>
                    <w:spacing w:line="360" w:lineRule="auto"/>
                    <w:jc w:val="center"/>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91" w:type="pct"/>
                  <w:vAlign w:val="center"/>
                </w:tcPr>
                <w:p>
                  <w:pPr>
                    <w:spacing w:line="360" w:lineRule="auto"/>
                    <w:jc w:val="center"/>
                    <w:rPr>
                      <w:color w:val="auto"/>
                      <w:szCs w:val="21"/>
                    </w:rPr>
                  </w:pPr>
                  <w:r>
                    <w:rPr>
                      <w:color w:val="auto"/>
                      <w:szCs w:val="21"/>
                    </w:rPr>
                    <w:t>4</w:t>
                  </w:r>
                </w:p>
              </w:tc>
              <w:tc>
                <w:tcPr>
                  <w:tcW w:w="1494" w:type="pct"/>
                  <w:vAlign w:val="center"/>
                </w:tcPr>
                <w:p>
                  <w:pPr>
                    <w:spacing w:line="360" w:lineRule="auto"/>
                    <w:jc w:val="center"/>
                    <w:rPr>
                      <w:color w:val="auto"/>
                      <w:szCs w:val="21"/>
                    </w:rPr>
                  </w:pPr>
                  <w:r>
                    <w:rPr>
                      <w:color w:val="auto"/>
                      <w:szCs w:val="21"/>
                    </w:rPr>
                    <w:t>除铁机</w:t>
                  </w:r>
                </w:p>
              </w:tc>
              <w:tc>
                <w:tcPr>
                  <w:tcW w:w="738" w:type="pct"/>
                  <w:vAlign w:val="center"/>
                </w:tcPr>
                <w:p>
                  <w:pPr>
                    <w:spacing w:line="360" w:lineRule="auto"/>
                    <w:jc w:val="center"/>
                    <w:rPr>
                      <w:color w:val="auto"/>
                      <w:szCs w:val="21"/>
                    </w:rPr>
                  </w:pPr>
                  <w:r>
                    <w:rPr>
                      <w:rFonts w:hint="eastAsia"/>
                      <w:color w:val="auto"/>
                      <w:szCs w:val="21"/>
                    </w:rPr>
                    <w:t>2</w:t>
                  </w:r>
                  <w:r>
                    <w:rPr>
                      <w:color w:val="auto"/>
                      <w:szCs w:val="21"/>
                    </w:rPr>
                    <w:t>0</w:t>
                  </w:r>
                </w:p>
              </w:tc>
              <w:tc>
                <w:tcPr>
                  <w:tcW w:w="816" w:type="pct"/>
                  <w:vAlign w:val="center"/>
                </w:tcPr>
                <w:p>
                  <w:pPr>
                    <w:spacing w:line="360" w:lineRule="auto"/>
                    <w:jc w:val="center"/>
                    <w:rPr>
                      <w:color w:val="auto"/>
                      <w:szCs w:val="21"/>
                    </w:rPr>
                  </w:pPr>
                  <w:r>
                    <w:rPr>
                      <w:rFonts w:hint="eastAsia"/>
                      <w:color w:val="auto"/>
                      <w:szCs w:val="21"/>
                    </w:rPr>
                    <w:t>3</w:t>
                  </w:r>
                  <w:r>
                    <w:rPr>
                      <w:color w:val="auto"/>
                      <w:szCs w:val="21"/>
                    </w:rPr>
                    <w:t>6</w:t>
                  </w:r>
                </w:p>
              </w:tc>
              <w:tc>
                <w:tcPr>
                  <w:tcW w:w="792" w:type="pct"/>
                  <w:vAlign w:val="center"/>
                </w:tcPr>
                <w:p>
                  <w:pPr>
                    <w:spacing w:line="360" w:lineRule="auto"/>
                    <w:jc w:val="center"/>
                    <w:rPr>
                      <w:color w:val="auto"/>
                      <w:szCs w:val="21"/>
                    </w:rPr>
                  </w:pPr>
                  <w:r>
                    <w:rPr>
                      <w:rFonts w:hint="eastAsia"/>
                      <w:color w:val="auto"/>
                      <w:szCs w:val="21"/>
                    </w:rPr>
                    <w:t>5</w:t>
                  </w:r>
                  <w:r>
                    <w:rPr>
                      <w:color w:val="auto"/>
                      <w:szCs w:val="21"/>
                    </w:rPr>
                    <w:t>0</w:t>
                  </w:r>
                </w:p>
              </w:tc>
              <w:tc>
                <w:tcPr>
                  <w:tcW w:w="767" w:type="pct"/>
                  <w:vAlign w:val="center"/>
                </w:tcPr>
                <w:p>
                  <w:pPr>
                    <w:spacing w:line="360" w:lineRule="auto"/>
                    <w:jc w:val="center"/>
                    <w:rPr>
                      <w:color w:val="auto"/>
                      <w:szCs w:val="21"/>
                    </w:rPr>
                  </w:pPr>
                  <w:r>
                    <w:rPr>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91" w:type="pct"/>
                  <w:vAlign w:val="center"/>
                </w:tcPr>
                <w:p>
                  <w:pPr>
                    <w:spacing w:line="360" w:lineRule="auto"/>
                    <w:jc w:val="center"/>
                    <w:rPr>
                      <w:color w:val="auto"/>
                      <w:szCs w:val="21"/>
                    </w:rPr>
                  </w:pPr>
                  <w:r>
                    <w:rPr>
                      <w:color w:val="auto"/>
                      <w:szCs w:val="21"/>
                    </w:rPr>
                    <w:t>5</w:t>
                  </w:r>
                </w:p>
              </w:tc>
              <w:tc>
                <w:tcPr>
                  <w:tcW w:w="1494" w:type="pct"/>
                  <w:vAlign w:val="center"/>
                </w:tcPr>
                <w:p>
                  <w:pPr>
                    <w:spacing w:line="360" w:lineRule="auto"/>
                    <w:jc w:val="center"/>
                    <w:rPr>
                      <w:color w:val="auto"/>
                      <w:szCs w:val="21"/>
                    </w:rPr>
                  </w:pPr>
                  <w:r>
                    <w:rPr>
                      <w:color w:val="auto"/>
                      <w:szCs w:val="21"/>
                    </w:rPr>
                    <w:t>搅笼自动清洗机</w:t>
                  </w:r>
                </w:p>
              </w:tc>
              <w:tc>
                <w:tcPr>
                  <w:tcW w:w="738" w:type="pct"/>
                  <w:vAlign w:val="center"/>
                </w:tcPr>
                <w:p>
                  <w:pPr>
                    <w:spacing w:line="360" w:lineRule="auto"/>
                    <w:jc w:val="center"/>
                    <w:rPr>
                      <w:color w:val="auto"/>
                      <w:szCs w:val="21"/>
                    </w:rPr>
                  </w:pPr>
                  <w:r>
                    <w:rPr>
                      <w:rFonts w:hint="eastAsia"/>
                      <w:color w:val="auto"/>
                      <w:szCs w:val="21"/>
                    </w:rPr>
                    <w:t>2</w:t>
                  </w:r>
                  <w:r>
                    <w:rPr>
                      <w:color w:val="auto"/>
                      <w:szCs w:val="21"/>
                    </w:rPr>
                    <w:t>0</w:t>
                  </w:r>
                </w:p>
              </w:tc>
              <w:tc>
                <w:tcPr>
                  <w:tcW w:w="816" w:type="pct"/>
                  <w:vAlign w:val="center"/>
                </w:tcPr>
                <w:p>
                  <w:pPr>
                    <w:spacing w:line="360" w:lineRule="auto"/>
                    <w:jc w:val="center"/>
                    <w:rPr>
                      <w:color w:val="auto"/>
                      <w:szCs w:val="21"/>
                    </w:rPr>
                  </w:pPr>
                  <w:r>
                    <w:rPr>
                      <w:rFonts w:hint="eastAsia"/>
                      <w:color w:val="auto"/>
                      <w:szCs w:val="21"/>
                    </w:rPr>
                    <w:t>3</w:t>
                  </w:r>
                  <w:r>
                    <w:rPr>
                      <w:color w:val="auto"/>
                      <w:szCs w:val="21"/>
                    </w:rPr>
                    <w:t>6</w:t>
                  </w:r>
                </w:p>
              </w:tc>
              <w:tc>
                <w:tcPr>
                  <w:tcW w:w="792" w:type="pct"/>
                  <w:vAlign w:val="center"/>
                </w:tcPr>
                <w:p>
                  <w:pPr>
                    <w:spacing w:line="360" w:lineRule="auto"/>
                    <w:jc w:val="center"/>
                    <w:rPr>
                      <w:color w:val="auto"/>
                      <w:szCs w:val="21"/>
                    </w:rPr>
                  </w:pPr>
                  <w:r>
                    <w:rPr>
                      <w:rFonts w:hint="eastAsia"/>
                      <w:color w:val="auto"/>
                      <w:szCs w:val="21"/>
                    </w:rPr>
                    <w:t>5</w:t>
                  </w:r>
                  <w:r>
                    <w:rPr>
                      <w:color w:val="auto"/>
                      <w:szCs w:val="21"/>
                    </w:rPr>
                    <w:t>0</w:t>
                  </w:r>
                </w:p>
              </w:tc>
              <w:tc>
                <w:tcPr>
                  <w:tcW w:w="767" w:type="pct"/>
                  <w:vAlign w:val="center"/>
                </w:tcPr>
                <w:p>
                  <w:pPr>
                    <w:spacing w:line="360" w:lineRule="auto"/>
                    <w:jc w:val="center"/>
                    <w:rPr>
                      <w:color w:val="auto"/>
                      <w:szCs w:val="21"/>
                    </w:rPr>
                  </w:pPr>
                  <w:r>
                    <w:rPr>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91" w:type="pct"/>
                  <w:vAlign w:val="center"/>
                </w:tcPr>
                <w:p>
                  <w:pPr>
                    <w:spacing w:line="360" w:lineRule="auto"/>
                    <w:jc w:val="center"/>
                    <w:rPr>
                      <w:color w:val="auto"/>
                      <w:szCs w:val="21"/>
                    </w:rPr>
                  </w:pPr>
                  <w:r>
                    <w:rPr>
                      <w:rFonts w:hint="eastAsia"/>
                      <w:color w:val="auto"/>
                      <w:szCs w:val="21"/>
                    </w:rPr>
                    <w:t>6</w:t>
                  </w:r>
                </w:p>
              </w:tc>
              <w:tc>
                <w:tcPr>
                  <w:tcW w:w="1494" w:type="pct"/>
                  <w:vAlign w:val="center"/>
                </w:tcPr>
                <w:p>
                  <w:pPr>
                    <w:spacing w:line="360" w:lineRule="auto"/>
                    <w:jc w:val="center"/>
                    <w:rPr>
                      <w:color w:val="auto"/>
                      <w:szCs w:val="21"/>
                    </w:rPr>
                  </w:pPr>
                  <w:r>
                    <w:rPr>
                      <w:color w:val="auto"/>
                      <w:szCs w:val="21"/>
                    </w:rPr>
                    <w:t>循环水泵</w:t>
                  </w:r>
                </w:p>
              </w:tc>
              <w:tc>
                <w:tcPr>
                  <w:tcW w:w="738" w:type="pct"/>
                  <w:vAlign w:val="center"/>
                </w:tcPr>
                <w:p>
                  <w:pPr>
                    <w:spacing w:line="360" w:lineRule="auto"/>
                    <w:jc w:val="center"/>
                    <w:rPr>
                      <w:color w:val="auto"/>
                      <w:szCs w:val="21"/>
                    </w:rPr>
                  </w:pPr>
                  <w:r>
                    <w:rPr>
                      <w:rFonts w:hint="eastAsia"/>
                      <w:color w:val="auto"/>
                      <w:szCs w:val="21"/>
                    </w:rPr>
                    <w:t>2</w:t>
                  </w:r>
                  <w:r>
                    <w:rPr>
                      <w:color w:val="auto"/>
                      <w:szCs w:val="21"/>
                    </w:rPr>
                    <w:t>5</w:t>
                  </w:r>
                </w:p>
              </w:tc>
              <w:tc>
                <w:tcPr>
                  <w:tcW w:w="816" w:type="pct"/>
                  <w:vAlign w:val="center"/>
                </w:tcPr>
                <w:p>
                  <w:pPr>
                    <w:spacing w:line="360" w:lineRule="auto"/>
                    <w:jc w:val="center"/>
                    <w:rPr>
                      <w:color w:val="auto"/>
                      <w:szCs w:val="21"/>
                    </w:rPr>
                  </w:pPr>
                  <w:r>
                    <w:rPr>
                      <w:rFonts w:hint="eastAsia"/>
                      <w:color w:val="auto"/>
                      <w:szCs w:val="21"/>
                    </w:rPr>
                    <w:t>2</w:t>
                  </w:r>
                  <w:r>
                    <w:rPr>
                      <w:color w:val="auto"/>
                      <w:szCs w:val="21"/>
                    </w:rPr>
                    <w:t>6</w:t>
                  </w:r>
                </w:p>
              </w:tc>
              <w:tc>
                <w:tcPr>
                  <w:tcW w:w="792" w:type="pct"/>
                  <w:vAlign w:val="center"/>
                </w:tcPr>
                <w:p>
                  <w:pPr>
                    <w:spacing w:line="360" w:lineRule="auto"/>
                    <w:jc w:val="center"/>
                    <w:rPr>
                      <w:color w:val="auto"/>
                      <w:szCs w:val="21"/>
                    </w:rPr>
                  </w:pPr>
                  <w:r>
                    <w:rPr>
                      <w:rFonts w:hint="eastAsia"/>
                      <w:color w:val="auto"/>
                      <w:szCs w:val="21"/>
                    </w:rPr>
                    <w:t>3</w:t>
                  </w:r>
                  <w:r>
                    <w:rPr>
                      <w:color w:val="auto"/>
                      <w:szCs w:val="21"/>
                    </w:rPr>
                    <w:t>5</w:t>
                  </w:r>
                </w:p>
              </w:tc>
              <w:tc>
                <w:tcPr>
                  <w:tcW w:w="767" w:type="pct"/>
                  <w:vAlign w:val="center"/>
                </w:tcPr>
                <w:p>
                  <w:pPr>
                    <w:spacing w:line="360" w:lineRule="auto"/>
                    <w:jc w:val="center"/>
                    <w:rPr>
                      <w:color w:val="auto"/>
                      <w:szCs w:val="21"/>
                    </w:rPr>
                  </w:pPr>
                  <w:r>
                    <w:rPr>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91" w:type="pct"/>
                  <w:vAlign w:val="center"/>
                </w:tcPr>
                <w:p>
                  <w:pPr>
                    <w:spacing w:line="360" w:lineRule="auto"/>
                    <w:jc w:val="center"/>
                    <w:rPr>
                      <w:color w:val="auto"/>
                      <w:szCs w:val="21"/>
                    </w:rPr>
                  </w:pPr>
                  <w:r>
                    <w:rPr>
                      <w:rFonts w:hint="eastAsia"/>
                      <w:color w:val="auto"/>
                      <w:szCs w:val="21"/>
                    </w:rPr>
                    <w:t>7</w:t>
                  </w:r>
                </w:p>
              </w:tc>
              <w:tc>
                <w:tcPr>
                  <w:tcW w:w="1494" w:type="pct"/>
                  <w:vAlign w:val="center"/>
                </w:tcPr>
                <w:p>
                  <w:pPr>
                    <w:spacing w:line="360" w:lineRule="auto"/>
                    <w:jc w:val="center"/>
                    <w:rPr>
                      <w:color w:val="auto"/>
                      <w:szCs w:val="21"/>
                    </w:rPr>
                  </w:pPr>
                  <w:r>
                    <w:rPr>
                      <w:color w:val="auto"/>
                      <w:szCs w:val="21"/>
                    </w:rPr>
                    <w:t>提料甩干机</w:t>
                  </w:r>
                </w:p>
              </w:tc>
              <w:tc>
                <w:tcPr>
                  <w:tcW w:w="738" w:type="pct"/>
                  <w:vAlign w:val="center"/>
                </w:tcPr>
                <w:p>
                  <w:pPr>
                    <w:spacing w:line="360" w:lineRule="auto"/>
                    <w:jc w:val="center"/>
                    <w:rPr>
                      <w:color w:val="auto"/>
                      <w:szCs w:val="21"/>
                    </w:rPr>
                  </w:pPr>
                  <w:r>
                    <w:rPr>
                      <w:rFonts w:hint="eastAsia"/>
                      <w:color w:val="auto"/>
                      <w:szCs w:val="21"/>
                    </w:rPr>
                    <w:t>3</w:t>
                  </w:r>
                  <w:r>
                    <w:rPr>
                      <w:color w:val="auto"/>
                      <w:szCs w:val="21"/>
                    </w:rPr>
                    <w:t>0</w:t>
                  </w:r>
                </w:p>
              </w:tc>
              <w:tc>
                <w:tcPr>
                  <w:tcW w:w="816" w:type="pct"/>
                  <w:vAlign w:val="center"/>
                </w:tcPr>
                <w:p>
                  <w:pPr>
                    <w:spacing w:line="360" w:lineRule="auto"/>
                    <w:jc w:val="center"/>
                    <w:rPr>
                      <w:color w:val="auto"/>
                      <w:szCs w:val="21"/>
                    </w:rPr>
                  </w:pPr>
                  <w:r>
                    <w:rPr>
                      <w:rFonts w:hint="eastAsia"/>
                      <w:color w:val="auto"/>
                      <w:szCs w:val="21"/>
                    </w:rPr>
                    <w:t>3</w:t>
                  </w:r>
                  <w:r>
                    <w:rPr>
                      <w:color w:val="auto"/>
                      <w:szCs w:val="21"/>
                    </w:rPr>
                    <w:t>6</w:t>
                  </w:r>
                </w:p>
              </w:tc>
              <w:tc>
                <w:tcPr>
                  <w:tcW w:w="792" w:type="pct"/>
                  <w:vAlign w:val="center"/>
                </w:tcPr>
                <w:p>
                  <w:pPr>
                    <w:spacing w:line="360" w:lineRule="auto"/>
                    <w:jc w:val="center"/>
                    <w:rPr>
                      <w:color w:val="auto"/>
                      <w:szCs w:val="21"/>
                    </w:rPr>
                  </w:pPr>
                  <w:r>
                    <w:rPr>
                      <w:rFonts w:hint="eastAsia"/>
                      <w:color w:val="auto"/>
                      <w:szCs w:val="21"/>
                    </w:rPr>
                    <w:t>3</w:t>
                  </w:r>
                  <w:r>
                    <w:rPr>
                      <w:color w:val="auto"/>
                      <w:szCs w:val="21"/>
                    </w:rPr>
                    <w:t>0</w:t>
                  </w:r>
                </w:p>
              </w:tc>
              <w:tc>
                <w:tcPr>
                  <w:tcW w:w="767" w:type="pct"/>
                  <w:vAlign w:val="center"/>
                </w:tcPr>
                <w:p>
                  <w:pPr>
                    <w:spacing w:line="360" w:lineRule="auto"/>
                    <w:jc w:val="center"/>
                    <w:rPr>
                      <w:color w:val="auto"/>
                      <w:szCs w:val="21"/>
                    </w:rPr>
                  </w:pPr>
                  <w:r>
                    <w:rPr>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91" w:type="pct"/>
                  <w:vAlign w:val="center"/>
                </w:tcPr>
                <w:p>
                  <w:pPr>
                    <w:spacing w:line="360" w:lineRule="auto"/>
                    <w:jc w:val="center"/>
                    <w:rPr>
                      <w:color w:val="auto"/>
                      <w:szCs w:val="21"/>
                    </w:rPr>
                  </w:pPr>
                  <w:r>
                    <w:rPr>
                      <w:rFonts w:hint="eastAsia"/>
                      <w:color w:val="auto"/>
                      <w:szCs w:val="21"/>
                    </w:rPr>
                    <w:t>8</w:t>
                  </w:r>
                </w:p>
              </w:tc>
              <w:tc>
                <w:tcPr>
                  <w:tcW w:w="1494" w:type="pct"/>
                  <w:vAlign w:val="center"/>
                </w:tcPr>
                <w:p>
                  <w:pPr>
                    <w:spacing w:line="360" w:lineRule="auto"/>
                    <w:jc w:val="center"/>
                    <w:rPr>
                      <w:color w:val="auto"/>
                      <w:szCs w:val="21"/>
                    </w:rPr>
                  </w:pPr>
                  <w:r>
                    <w:rPr>
                      <w:color w:val="auto"/>
                      <w:szCs w:val="21"/>
                    </w:rPr>
                    <w:t>破碎机</w:t>
                  </w:r>
                </w:p>
              </w:tc>
              <w:tc>
                <w:tcPr>
                  <w:tcW w:w="738" w:type="pct"/>
                  <w:vAlign w:val="center"/>
                </w:tcPr>
                <w:p>
                  <w:pPr>
                    <w:spacing w:line="360" w:lineRule="auto"/>
                    <w:jc w:val="center"/>
                    <w:rPr>
                      <w:color w:val="auto"/>
                      <w:szCs w:val="21"/>
                    </w:rPr>
                  </w:pPr>
                  <w:r>
                    <w:rPr>
                      <w:rFonts w:hint="eastAsia"/>
                      <w:color w:val="auto"/>
                      <w:szCs w:val="21"/>
                    </w:rPr>
                    <w:t>2</w:t>
                  </w:r>
                  <w:r>
                    <w:rPr>
                      <w:color w:val="auto"/>
                      <w:szCs w:val="21"/>
                    </w:rPr>
                    <w:t>0</w:t>
                  </w:r>
                </w:p>
              </w:tc>
              <w:tc>
                <w:tcPr>
                  <w:tcW w:w="816" w:type="pct"/>
                  <w:vAlign w:val="center"/>
                </w:tcPr>
                <w:p>
                  <w:pPr>
                    <w:spacing w:line="360" w:lineRule="auto"/>
                    <w:jc w:val="center"/>
                    <w:rPr>
                      <w:color w:val="auto"/>
                      <w:szCs w:val="21"/>
                    </w:rPr>
                  </w:pPr>
                  <w:r>
                    <w:rPr>
                      <w:rFonts w:hint="eastAsia"/>
                      <w:color w:val="auto"/>
                      <w:szCs w:val="21"/>
                    </w:rPr>
                    <w:t>2</w:t>
                  </w:r>
                  <w:r>
                    <w:rPr>
                      <w:color w:val="auto"/>
                      <w:szCs w:val="21"/>
                    </w:rPr>
                    <w:t>0</w:t>
                  </w:r>
                </w:p>
              </w:tc>
              <w:tc>
                <w:tcPr>
                  <w:tcW w:w="792" w:type="pct"/>
                  <w:vAlign w:val="center"/>
                </w:tcPr>
                <w:p>
                  <w:pPr>
                    <w:spacing w:line="360" w:lineRule="auto"/>
                    <w:jc w:val="center"/>
                    <w:rPr>
                      <w:color w:val="auto"/>
                      <w:szCs w:val="21"/>
                    </w:rPr>
                  </w:pPr>
                  <w:r>
                    <w:rPr>
                      <w:rFonts w:hint="eastAsia"/>
                      <w:color w:val="auto"/>
                      <w:szCs w:val="21"/>
                    </w:rPr>
                    <w:t>4</w:t>
                  </w:r>
                  <w:r>
                    <w:rPr>
                      <w:color w:val="auto"/>
                      <w:szCs w:val="21"/>
                    </w:rPr>
                    <w:t>0</w:t>
                  </w:r>
                </w:p>
              </w:tc>
              <w:tc>
                <w:tcPr>
                  <w:tcW w:w="767" w:type="pct"/>
                  <w:vAlign w:val="center"/>
                </w:tcPr>
                <w:p>
                  <w:pPr>
                    <w:spacing w:line="360" w:lineRule="auto"/>
                    <w:jc w:val="center"/>
                    <w:rPr>
                      <w:color w:val="auto"/>
                      <w:szCs w:val="21"/>
                    </w:rPr>
                  </w:pPr>
                  <w:r>
                    <w:rPr>
                      <w:color w:val="auto"/>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91" w:type="pct"/>
                  <w:vAlign w:val="center"/>
                </w:tcPr>
                <w:p>
                  <w:pPr>
                    <w:spacing w:line="360" w:lineRule="auto"/>
                    <w:jc w:val="center"/>
                    <w:rPr>
                      <w:color w:val="auto"/>
                      <w:szCs w:val="21"/>
                    </w:rPr>
                  </w:pPr>
                  <w:r>
                    <w:rPr>
                      <w:rFonts w:hint="eastAsia"/>
                      <w:color w:val="auto"/>
                      <w:szCs w:val="21"/>
                    </w:rPr>
                    <w:t>9</w:t>
                  </w:r>
                </w:p>
              </w:tc>
              <w:tc>
                <w:tcPr>
                  <w:tcW w:w="1494" w:type="pct"/>
                  <w:vAlign w:val="center"/>
                </w:tcPr>
                <w:p>
                  <w:pPr>
                    <w:spacing w:line="360" w:lineRule="auto"/>
                    <w:jc w:val="center"/>
                    <w:rPr>
                      <w:color w:val="auto"/>
                      <w:szCs w:val="21"/>
                    </w:rPr>
                  </w:pPr>
                  <w:r>
                    <w:rPr>
                      <w:color w:val="auto"/>
                      <w:szCs w:val="21"/>
                    </w:rPr>
                    <w:t>混料机</w:t>
                  </w:r>
                </w:p>
              </w:tc>
              <w:tc>
                <w:tcPr>
                  <w:tcW w:w="738" w:type="pct"/>
                  <w:vAlign w:val="center"/>
                </w:tcPr>
                <w:p>
                  <w:pPr>
                    <w:spacing w:line="360" w:lineRule="auto"/>
                    <w:jc w:val="center"/>
                    <w:rPr>
                      <w:color w:val="auto"/>
                      <w:szCs w:val="21"/>
                    </w:rPr>
                  </w:pPr>
                  <w:r>
                    <w:rPr>
                      <w:rFonts w:hint="eastAsia"/>
                      <w:color w:val="auto"/>
                      <w:szCs w:val="21"/>
                    </w:rPr>
                    <w:t>3</w:t>
                  </w:r>
                  <w:r>
                    <w:rPr>
                      <w:color w:val="auto"/>
                      <w:szCs w:val="21"/>
                    </w:rPr>
                    <w:t>5</w:t>
                  </w:r>
                </w:p>
              </w:tc>
              <w:tc>
                <w:tcPr>
                  <w:tcW w:w="816" w:type="pct"/>
                  <w:vAlign w:val="center"/>
                </w:tcPr>
                <w:p>
                  <w:pPr>
                    <w:spacing w:line="360" w:lineRule="auto"/>
                    <w:jc w:val="center"/>
                    <w:rPr>
                      <w:color w:val="auto"/>
                      <w:szCs w:val="21"/>
                    </w:rPr>
                  </w:pPr>
                  <w:r>
                    <w:rPr>
                      <w:rFonts w:hint="eastAsia"/>
                      <w:color w:val="auto"/>
                      <w:szCs w:val="21"/>
                    </w:rPr>
                    <w:t>2</w:t>
                  </w:r>
                  <w:r>
                    <w:rPr>
                      <w:color w:val="auto"/>
                      <w:szCs w:val="21"/>
                    </w:rPr>
                    <w:t>0</w:t>
                  </w:r>
                </w:p>
              </w:tc>
              <w:tc>
                <w:tcPr>
                  <w:tcW w:w="792" w:type="pct"/>
                  <w:vAlign w:val="center"/>
                </w:tcPr>
                <w:p>
                  <w:pPr>
                    <w:spacing w:line="360" w:lineRule="auto"/>
                    <w:jc w:val="center"/>
                    <w:rPr>
                      <w:color w:val="auto"/>
                      <w:szCs w:val="21"/>
                    </w:rPr>
                  </w:pPr>
                  <w:r>
                    <w:rPr>
                      <w:rFonts w:hint="eastAsia"/>
                      <w:color w:val="auto"/>
                      <w:szCs w:val="21"/>
                    </w:rPr>
                    <w:t>2</w:t>
                  </w:r>
                  <w:r>
                    <w:rPr>
                      <w:color w:val="auto"/>
                      <w:szCs w:val="21"/>
                    </w:rPr>
                    <w:t>5</w:t>
                  </w:r>
                </w:p>
              </w:tc>
              <w:tc>
                <w:tcPr>
                  <w:tcW w:w="767" w:type="pct"/>
                  <w:vAlign w:val="center"/>
                </w:tcPr>
                <w:p>
                  <w:pPr>
                    <w:spacing w:line="360" w:lineRule="auto"/>
                    <w:jc w:val="center"/>
                    <w:rPr>
                      <w:color w:val="auto"/>
                      <w:szCs w:val="21"/>
                    </w:rPr>
                  </w:pPr>
                  <w:r>
                    <w:rPr>
                      <w:color w:val="auto"/>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91" w:type="pct"/>
                  <w:vAlign w:val="center"/>
                </w:tcPr>
                <w:p>
                  <w:pPr>
                    <w:spacing w:line="360" w:lineRule="auto"/>
                    <w:jc w:val="center"/>
                    <w:rPr>
                      <w:color w:val="auto"/>
                      <w:szCs w:val="21"/>
                    </w:rPr>
                  </w:pPr>
                  <w:r>
                    <w:rPr>
                      <w:rFonts w:hint="eastAsia"/>
                      <w:color w:val="auto"/>
                      <w:szCs w:val="21"/>
                    </w:rPr>
                    <w:t>10</w:t>
                  </w:r>
                </w:p>
              </w:tc>
              <w:tc>
                <w:tcPr>
                  <w:tcW w:w="1494" w:type="pct"/>
                  <w:vAlign w:val="center"/>
                </w:tcPr>
                <w:p>
                  <w:pPr>
                    <w:spacing w:line="360" w:lineRule="auto"/>
                    <w:jc w:val="center"/>
                    <w:rPr>
                      <w:color w:val="auto"/>
                      <w:szCs w:val="21"/>
                    </w:rPr>
                  </w:pPr>
                  <w:r>
                    <w:rPr>
                      <w:color w:val="auto"/>
                      <w:szCs w:val="21"/>
                    </w:rPr>
                    <w:t>热熔机</w:t>
                  </w:r>
                </w:p>
              </w:tc>
              <w:tc>
                <w:tcPr>
                  <w:tcW w:w="738" w:type="pct"/>
                  <w:vAlign w:val="center"/>
                </w:tcPr>
                <w:p>
                  <w:pPr>
                    <w:spacing w:line="360" w:lineRule="auto"/>
                    <w:jc w:val="center"/>
                    <w:rPr>
                      <w:color w:val="auto"/>
                      <w:szCs w:val="21"/>
                    </w:rPr>
                  </w:pPr>
                  <w:r>
                    <w:rPr>
                      <w:rFonts w:hint="eastAsia"/>
                      <w:color w:val="auto"/>
                      <w:szCs w:val="21"/>
                    </w:rPr>
                    <w:t>2</w:t>
                  </w:r>
                  <w:r>
                    <w:rPr>
                      <w:color w:val="auto"/>
                      <w:szCs w:val="21"/>
                    </w:rPr>
                    <w:t>0</w:t>
                  </w:r>
                </w:p>
              </w:tc>
              <w:tc>
                <w:tcPr>
                  <w:tcW w:w="816" w:type="pct"/>
                  <w:vAlign w:val="center"/>
                </w:tcPr>
                <w:p>
                  <w:pPr>
                    <w:spacing w:line="360" w:lineRule="auto"/>
                    <w:jc w:val="center"/>
                    <w:rPr>
                      <w:color w:val="auto"/>
                      <w:szCs w:val="21"/>
                    </w:rPr>
                  </w:pPr>
                  <w:r>
                    <w:rPr>
                      <w:rFonts w:hint="eastAsia"/>
                      <w:color w:val="auto"/>
                      <w:szCs w:val="21"/>
                    </w:rPr>
                    <w:t>2</w:t>
                  </w:r>
                  <w:r>
                    <w:rPr>
                      <w:color w:val="auto"/>
                      <w:szCs w:val="21"/>
                    </w:rPr>
                    <w:t>0</w:t>
                  </w:r>
                </w:p>
              </w:tc>
              <w:tc>
                <w:tcPr>
                  <w:tcW w:w="792" w:type="pct"/>
                  <w:vAlign w:val="center"/>
                </w:tcPr>
                <w:p>
                  <w:pPr>
                    <w:spacing w:line="360" w:lineRule="auto"/>
                    <w:jc w:val="center"/>
                    <w:rPr>
                      <w:color w:val="auto"/>
                      <w:szCs w:val="21"/>
                    </w:rPr>
                  </w:pPr>
                  <w:r>
                    <w:rPr>
                      <w:rFonts w:hint="eastAsia"/>
                      <w:color w:val="auto"/>
                      <w:szCs w:val="21"/>
                    </w:rPr>
                    <w:t>3</w:t>
                  </w:r>
                  <w:r>
                    <w:rPr>
                      <w:color w:val="auto"/>
                      <w:szCs w:val="21"/>
                    </w:rPr>
                    <w:t>0</w:t>
                  </w:r>
                </w:p>
              </w:tc>
              <w:tc>
                <w:tcPr>
                  <w:tcW w:w="767" w:type="pct"/>
                  <w:vAlign w:val="center"/>
                </w:tcPr>
                <w:p>
                  <w:pPr>
                    <w:spacing w:line="360" w:lineRule="auto"/>
                    <w:jc w:val="center"/>
                    <w:rPr>
                      <w:color w:val="auto"/>
                      <w:szCs w:val="21"/>
                    </w:rPr>
                  </w:pPr>
                  <w:r>
                    <w:rPr>
                      <w:rFonts w:hint="eastAsia"/>
                      <w:color w:val="auto"/>
                      <w:szCs w:val="21"/>
                    </w:rPr>
                    <w:t>3</w:t>
                  </w:r>
                  <w:r>
                    <w:rPr>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91" w:type="pct"/>
                  <w:vAlign w:val="center"/>
                </w:tcPr>
                <w:p>
                  <w:pPr>
                    <w:spacing w:line="360" w:lineRule="auto"/>
                    <w:jc w:val="center"/>
                    <w:rPr>
                      <w:color w:val="auto"/>
                      <w:szCs w:val="21"/>
                    </w:rPr>
                  </w:pPr>
                  <w:r>
                    <w:rPr>
                      <w:rFonts w:hint="eastAsia"/>
                      <w:color w:val="auto"/>
                      <w:szCs w:val="21"/>
                    </w:rPr>
                    <w:t>11</w:t>
                  </w:r>
                </w:p>
              </w:tc>
              <w:tc>
                <w:tcPr>
                  <w:tcW w:w="1494" w:type="pct"/>
                  <w:vAlign w:val="center"/>
                </w:tcPr>
                <w:p>
                  <w:pPr>
                    <w:spacing w:line="360" w:lineRule="auto"/>
                    <w:jc w:val="center"/>
                    <w:rPr>
                      <w:color w:val="auto"/>
                      <w:szCs w:val="21"/>
                    </w:rPr>
                  </w:pPr>
                  <w:r>
                    <w:rPr>
                      <w:color w:val="auto"/>
                      <w:szCs w:val="21"/>
                    </w:rPr>
                    <w:t>切粒机</w:t>
                  </w:r>
                </w:p>
              </w:tc>
              <w:tc>
                <w:tcPr>
                  <w:tcW w:w="738" w:type="pct"/>
                  <w:vAlign w:val="center"/>
                </w:tcPr>
                <w:p>
                  <w:pPr>
                    <w:spacing w:line="360" w:lineRule="auto"/>
                    <w:jc w:val="center"/>
                    <w:rPr>
                      <w:color w:val="auto"/>
                      <w:szCs w:val="21"/>
                    </w:rPr>
                  </w:pPr>
                  <w:r>
                    <w:rPr>
                      <w:rFonts w:hint="eastAsia"/>
                      <w:color w:val="auto"/>
                      <w:szCs w:val="21"/>
                    </w:rPr>
                    <w:t>2</w:t>
                  </w:r>
                  <w:r>
                    <w:rPr>
                      <w:color w:val="auto"/>
                      <w:szCs w:val="21"/>
                    </w:rPr>
                    <w:t>0</w:t>
                  </w:r>
                </w:p>
              </w:tc>
              <w:tc>
                <w:tcPr>
                  <w:tcW w:w="816" w:type="pct"/>
                  <w:vAlign w:val="center"/>
                </w:tcPr>
                <w:p>
                  <w:pPr>
                    <w:spacing w:line="360" w:lineRule="auto"/>
                    <w:jc w:val="center"/>
                    <w:rPr>
                      <w:color w:val="auto"/>
                      <w:szCs w:val="21"/>
                    </w:rPr>
                  </w:pPr>
                  <w:r>
                    <w:rPr>
                      <w:rFonts w:hint="eastAsia"/>
                      <w:color w:val="auto"/>
                      <w:szCs w:val="21"/>
                    </w:rPr>
                    <w:t>2</w:t>
                  </w:r>
                  <w:r>
                    <w:rPr>
                      <w:color w:val="auto"/>
                      <w:szCs w:val="21"/>
                    </w:rPr>
                    <w:t>0</w:t>
                  </w:r>
                </w:p>
              </w:tc>
              <w:tc>
                <w:tcPr>
                  <w:tcW w:w="792" w:type="pct"/>
                  <w:vAlign w:val="center"/>
                </w:tcPr>
                <w:p>
                  <w:pPr>
                    <w:spacing w:line="360" w:lineRule="auto"/>
                    <w:jc w:val="center"/>
                    <w:rPr>
                      <w:color w:val="auto"/>
                      <w:szCs w:val="21"/>
                    </w:rPr>
                  </w:pPr>
                  <w:r>
                    <w:rPr>
                      <w:rFonts w:hint="eastAsia"/>
                      <w:color w:val="auto"/>
                      <w:szCs w:val="21"/>
                    </w:rPr>
                    <w:t>3</w:t>
                  </w:r>
                  <w:r>
                    <w:rPr>
                      <w:color w:val="auto"/>
                      <w:szCs w:val="21"/>
                    </w:rPr>
                    <w:t>0</w:t>
                  </w:r>
                </w:p>
              </w:tc>
              <w:tc>
                <w:tcPr>
                  <w:tcW w:w="767" w:type="pct"/>
                  <w:vAlign w:val="center"/>
                </w:tcPr>
                <w:p>
                  <w:pPr>
                    <w:spacing w:line="360" w:lineRule="auto"/>
                    <w:jc w:val="center"/>
                    <w:rPr>
                      <w:color w:val="auto"/>
                      <w:szCs w:val="21"/>
                    </w:rPr>
                  </w:pPr>
                  <w:r>
                    <w:rPr>
                      <w:rFonts w:hint="eastAsia"/>
                      <w:color w:val="auto"/>
                      <w:szCs w:val="21"/>
                    </w:rPr>
                    <w:t>3</w:t>
                  </w:r>
                  <w:r>
                    <w:rPr>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91" w:type="pct"/>
                  <w:vAlign w:val="center"/>
                </w:tcPr>
                <w:p>
                  <w:pPr>
                    <w:spacing w:line="360" w:lineRule="auto"/>
                    <w:jc w:val="center"/>
                    <w:rPr>
                      <w:color w:val="auto"/>
                      <w:szCs w:val="21"/>
                    </w:rPr>
                  </w:pPr>
                  <w:r>
                    <w:rPr>
                      <w:rFonts w:hint="eastAsia"/>
                      <w:color w:val="auto"/>
                      <w:szCs w:val="21"/>
                    </w:rPr>
                    <w:t>12</w:t>
                  </w:r>
                </w:p>
              </w:tc>
              <w:tc>
                <w:tcPr>
                  <w:tcW w:w="1494" w:type="pct"/>
                  <w:vAlign w:val="center"/>
                </w:tcPr>
                <w:p>
                  <w:pPr>
                    <w:spacing w:line="360" w:lineRule="auto"/>
                    <w:jc w:val="center"/>
                    <w:rPr>
                      <w:color w:val="auto"/>
                      <w:szCs w:val="21"/>
                    </w:rPr>
                  </w:pPr>
                  <w:r>
                    <w:rPr>
                      <w:color w:val="auto"/>
                      <w:szCs w:val="21"/>
                    </w:rPr>
                    <w:t>振动筛</w:t>
                  </w:r>
                </w:p>
              </w:tc>
              <w:tc>
                <w:tcPr>
                  <w:tcW w:w="738" w:type="pct"/>
                  <w:vAlign w:val="center"/>
                </w:tcPr>
                <w:p>
                  <w:pPr>
                    <w:spacing w:line="360" w:lineRule="auto"/>
                    <w:jc w:val="center"/>
                    <w:rPr>
                      <w:color w:val="auto"/>
                      <w:szCs w:val="21"/>
                    </w:rPr>
                  </w:pPr>
                  <w:r>
                    <w:rPr>
                      <w:rFonts w:hint="eastAsia"/>
                      <w:color w:val="auto"/>
                      <w:szCs w:val="21"/>
                    </w:rPr>
                    <w:t>2</w:t>
                  </w:r>
                  <w:r>
                    <w:rPr>
                      <w:color w:val="auto"/>
                      <w:szCs w:val="21"/>
                    </w:rPr>
                    <w:t>0</w:t>
                  </w:r>
                </w:p>
              </w:tc>
              <w:tc>
                <w:tcPr>
                  <w:tcW w:w="816" w:type="pct"/>
                  <w:vAlign w:val="center"/>
                </w:tcPr>
                <w:p>
                  <w:pPr>
                    <w:spacing w:line="360" w:lineRule="auto"/>
                    <w:jc w:val="center"/>
                    <w:rPr>
                      <w:color w:val="auto"/>
                      <w:szCs w:val="21"/>
                    </w:rPr>
                  </w:pPr>
                  <w:r>
                    <w:rPr>
                      <w:rFonts w:hint="eastAsia"/>
                      <w:color w:val="auto"/>
                      <w:szCs w:val="21"/>
                    </w:rPr>
                    <w:t>2</w:t>
                  </w:r>
                  <w:r>
                    <w:rPr>
                      <w:color w:val="auto"/>
                      <w:szCs w:val="21"/>
                    </w:rPr>
                    <w:t>0</w:t>
                  </w:r>
                </w:p>
              </w:tc>
              <w:tc>
                <w:tcPr>
                  <w:tcW w:w="792" w:type="pct"/>
                  <w:vAlign w:val="center"/>
                </w:tcPr>
                <w:p>
                  <w:pPr>
                    <w:spacing w:line="360" w:lineRule="auto"/>
                    <w:jc w:val="center"/>
                    <w:rPr>
                      <w:color w:val="auto"/>
                      <w:szCs w:val="21"/>
                    </w:rPr>
                  </w:pPr>
                  <w:r>
                    <w:rPr>
                      <w:rFonts w:hint="eastAsia"/>
                      <w:color w:val="auto"/>
                      <w:szCs w:val="21"/>
                    </w:rPr>
                    <w:t>3</w:t>
                  </w:r>
                  <w:r>
                    <w:rPr>
                      <w:color w:val="auto"/>
                      <w:szCs w:val="21"/>
                    </w:rPr>
                    <w:t>0</w:t>
                  </w:r>
                </w:p>
              </w:tc>
              <w:tc>
                <w:tcPr>
                  <w:tcW w:w="767" w:type="pct"/>
                  <w:vAlign w:val="center"/>
                </w:tcPr>
                <w:p>
                  <w:pPr>
                    <w:spacing w:line="360" w:lineRule="auto"/>
                    <w:jc w:val="center"/>
                    <w:rPr>
                      <w:color w:val="auto"/>
                      <w:szCs w:val="21"/>
                    </w:rPr>
                  </w:pPr>
                  <w:r>
                    <w:rPr>
                      <w:rFonts w:hint="eastAsia"/>
                      <w:color w:val="auto"/>
                      <w:szCs w:val="21"/>
                    </w:rPr>
                    <w:t>3</w:t>
                  </w: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91" w:type="pct"/>
                  <w:vAlign w:val="center"/>
                </w:tcPr>
                <w:p>
                  <w:pPr>
                    <w:spacing w:line="360" w:lineRule="auto"/>
                    <w:jc w:val="center"/>
                    <w:rPr>
                      <w:color w:val="auto"/>
                      <w:szCs w:val="21"/>
                    </w:rPr>
                  </w:pPr>
                  <w:r>
                    <w:rPr>
                      <w:rFonts w:hint="eastAsia"/>
                      <w:color w:val="auto"/>
                      <w:szCs w:val="21"/>
                    </w:rPr>
                    <w:t>13</w:t>
                  </w:r>
                </w:p>
              </w:tc>
              <w:tc>
                <w:tcPr>
                  <w:tcW w:w="1494" w:type="pct"/>
                  <w:vAlign w:val="center"/>
                </w:tcPr>
                <w:p>
                  <w:pPr>
                    <w:spacing w:line="360" w:lineRule="auto"/>
                    <w:jc w:val="center"/>
                    <w:rPr>
                      <w:color w:val="auto"/>
                      <w:szCs w:val="21"/>
                    </w:rPr>
                  </w:pPr>
                  <w:r>
                    <w:rPr>
                      <w:rFonts w:hint="eastAsia"/>
                      <w:color w:val="auto"/>
                      <w:szCs w:val="21"/>
                    </w:rPr>
                    <w:t>潜污泵</w:t>
                  </w:r>
                </w:p>
              </w:tc>
              <w:tc>
                <w:tcPr>
                  <w:tcW w:w="738" w:type="pct"/>
                  <w:vAlign w:val="center"/>
                </w:tcPr>
                <w:p>
                  <w:pPr>
                    <w:spacing w:line="360" w:lineRule="auto"/>
                    <w:jc w:val="center"/>
                    <w:rPr>
                      <w:color w:val="auto"/>
                      <w:szCs w:val="21"/>
                    </w:rPr>
                  </w:pPr>
                  <w:r>
                    <w:rPr>
                      <w:rFonts w:hint="eastAsia"/>
                      <w:color w:val="auto"/>
                      <w:szCs w:val="21"/>
                    </w:rPr>
                    <w:t>40</w:t>
                  </w:r>
                </w:p>
              </w:tc>
              <w:tc>
                <w:tcPr>
                  <w:tcW w:w="816" w:type="pct"/>
                  <w:vAlign w:val="center"/>
                </w:tcPr>
                <w:p>
                  <w:pPr>
                    <w:spacing w:line="360" w:lineRule="auto"/>
                    <w:jc w:val="center"/>
                    <w:rPr>
                      <w:color w:val="auto"/>
                      <w:szCs w:val="21"/>
                    </w:rPr>
                  </w:pPr>
                  <w:r>
                    <w:rPr>
                      <w:rFonts w:hint="eastAsia"/>
                      <w:color w:val="auto"/>
                      <w:szCs w:val="21"/>
                    </w:rPr>
                    <w:t>50</w:t>
                  </w:r>
                </w:p>
              </w:tc>
              <w:tc>
                <w:tcPr>
                  <w:tcW w:w="792" w:type="pct"/>
                  <w:vAlign w:val="center"/>
                </w:tcPr>
                <w:p>
                  <w:pPr>
                    <w:spacing w:line="360" w:lineRule="auto"/>
                    <w:jc w:val="center"/>
                    <w:rPr>
                      <w:color w:val="auto"/>
                      <w:szCs w:val="21"/>
                    </w:rPr>
                  </w:pPr>
                  <w:r>
                    <w:rPr>
                      <w:rFonts w:hint="eastAsia"/>
                      <w:color w:val="auto"/>
                      <w:szCs w:val="21"/>
                    </w:rPr>
                    <w:t>25</w:t>
                  </w:r>
                </w:p>
              </w:tc>
              <w:tc>
                <w:tcPr>
                  <w:tcW w:w="767" w:type="pct"/>
                  <w:vAlign w:val="center"/>
                </w:tcPr>
                <w:p>
                  <w:pPr>
                    <w:spacing w:line="360" w:lineRule="auto"/>
                    <w:jc w:val="center"/>
                    <w:rPr>
                      <w:color w:val="auto"/>
                      <w:szCs w:val="21"/>
                    </w:rPr>
                  </w:pPr>
                  <w:r>
                    <w:rPr>
                      <w:rFonts w:hint="eastAsia"/>
                      <w:color w:val="auto"/>
                      <w:szCs w:val="21"/>
                    </w:rPr>
                    <w:t>20</w:t>
                  </w:r>
                </w:p>
              </w:tc>
            </w:tr>
          </w:tbl>
          <w:p>
            <w:pPr>
              <w:tabs>
                <w:tab w:val="left" w:pos="564"/>
              </w:tabs>
              <w:spacing w:line="360" w:lineRule="auto"/>
              <w:ind w:firstLine="482" w:firstLineChars="200"/>
              <w:rPr>
                <w:color w:val="auto"/>
                <w:sz w:val="24"/>
              </w:rPr>
            </w:pPr>
            <w:r>
              <w:rPr>
                <w:b/>
                <w:bCs/>
                <w:color w:val="auto"/>
                <w:sz w:val="24"/>
              </w:rPr>
              <w:t>2、预测点达标评价</w:t>
            </w:r>
          </w:p>
          <w:p>
            <w:pPr>
              <w:spacing w:line="360" w:lineRule="auto"/>
              <w:ind w:firstLine="480"/>
              <w:rPr>
                <w:color w:val="auto"/>
                <w:sz w:val="24"/>
              </w:rPr>
            </w:pPr>
            <w:r>
              <w:rPr>
                <w:color w:val="auto"/>
                <w:sz w:val="24"/>
              </w:rPr>
              <w:t>项目预测点的评价结果见表</w:t>
            </w:r>
            <w:r>
              <w:rPr>
                <w:rFonts w:hint="eastAsia"/>
                <w:color w:val="auto"/>
                <w:sz w:val="24"/>
              </w:rPr>
              <w:t>4-11</w:t>
            </w:r>
            <w:r>
              <w:rPr>
                <w:color w:val="auto"/>
                <w:sz w:val="24"/>
              </w:rPr>
              <w:t>。</w:t>
            </w:r>
          </w:p>
          <w:p>
            <w:pPr>
              <w:autoSpaceDE w:val="0"/>
              <w:autoSpaceDN w:val="0"/>
              <w:spacing w:line="360" w:lineRule="auto"/>
              <w:jc w:val="center"/>
              <w:rPr>
                <w:b/>
                <w:bCs/>
                <w:color w:val="auto"/>
                <w:sz w:val="24"/>
              </w:rPr>
            </w:pPr>
          </w:p>
          <w:p>
            <w:pPr>
              <w:autoSpaceDE w:val="0"/>
              <w:autoSpaceDN w:val="0"/>
              <w:spacing w:line="360" w:lineRule="auto"/>
              <w:jc w:val="center"/>
              <w:rPr>
                <w:b/>
                <w:bCs/>
                <w:color w:val="auto"/>
                <w:sz w:val="24"/>
              </w:rPr>
            </w:pPr>
            <w:r>
              <w:rPr>
                <w:b/>
                <w:bCs/>
                <w:color w:val="auto"/>
                <w:sz w:val="24"/>
              </w:rPr>
              <w:t>表</w:t>
            </w:r>
            <w:r>
              <w:rPr>
                <w:rFonts w:hint="eastAsia"/>
                <w:b/>
                <w:bCs/>
                <w:color w:val="auto"/>
                <w:sz w:val="24"/>
              </w:rPr>
              <w:t>4-11</w:t>
            </w:r>
            <w:r>
              <w:rPr>
                <w:b/>
                <w:bCs/>
                <w:color w:val="auto"/>
                <w:sz w:val="24"/>
              </w:rPr>
              <w:t xml:space="preserve">  评价结果一览表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664"/>
              <w:gridCol w:w="1105"/>
              <w:gridCol w:w="1010"/>
              <w:gridCol w:w="1416"/>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930" w:type="pct"/>
                  <w:vMerge w:val="restart"/>
                  <w:vAlign w:val="center"/>
                </w:tcPr>
                <w:p>
                  <w:pPr>
                    <w:pStyle w:val="8"/>
                    <w:spacing w:line="360" w:lineRule="auto"/>
                    <w:ind w:firstLine="0" w:firstLineChars="0"/>
                    <w:jc w:val="center"/>
                    <w:rPr>
                      <w:b/>
                      <w:bCs/>
                      <w:color w:val="auto"/>
                      <w:sz w:val="21"/>
                      <w:szCs w:val="21"/>
                    </w:rPr>
                  </w:pPr>
                  <w:r>
                    <w:rPr>
                      <w:b/>
                      <w:bCs/>
                      <w:color w:val="auto"/>
                      <w:sz w:val="21"/>
                      <w:szCs w:val="21"/>
                    </w:rPr>
                    <w:t>预测点</w:t>
                  </w:r>
                </w:p>
              </w:tc>
              <w:tc>
                <w:tcPr>
                  <w:tcW w:w="4069" w:type="pct"/>
                  <w:gridSpan w:val="5"/>
                  <w:vAlign w:val="center"/>
                </w:tcPr>
                <w:p>
                  <w:pPr>
                    <w:pStyle w:val="8"/>
                    <w:spacing w:line="360" w:lineRule="auto"/>
                    <w:ind w:firstLine="0" w:firstLineChars="0"/>
                    <w:jc w:val="center"/>
                    <w:rPr>
                      <w:b/>
                      <w:bCs/>
                      <w:color w:val="auto"/>
                      <w:sz w:val="21"/>
                      <w:szCs w:val="21"/>
                    </w:rPr>
                  </w:pPr>
                  <w:r>
                    <w:rPr>
                      <w:b/>
                      <w:bCs/>
                      <w:color w:val="auto"/>
                      <w:sz w:val="21"/>
                      <w:szCs w:val="21"/>
                    </w:rPr>
                    <w:t>评价标准及达标情况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0" w:type="pct"/>
                  <w:vMerge w:val="continue"/>
                  <w:vAlign w:val="center"/>
                </w:tcPr>
                <w:p>
                  <w:pPr>
                    <w:pStyle w:val="8"/>
                    <w:spacing w:line="360" w:lineRule="auto"/>
                    <w:ind w:firstLine="0" w:firstLineChars="0"/>
                    <w:jc w:val="center"/>
                    <w:rPr>
                      <w:b/>
                      <w:bCs/>
                      <w:color w:val="auto"/>
                      <w:sz w:val="21"/>
                      <w:szCs w:val="21"/>
                    </w:rPr>
                  </w:pPr>
                </w:p>
              </w:tc>
              <w:tc>
                <w:tcPr>
                  <w:tcW w:w="1032" w:type="pct"/>
                  <w:vAlign w:val="center"/>
                </w:tcPr>
                <w:p>
                  <w:pPr>
                    <w:pStyle w:val="8"/>
                    <w:spacing w:line="360" w:lineRule="auto"/>
                    <w:ind w:firstLine="0" w:firstLineChars="0"/>
                    <w:jc w:val="center"/>
                    <w:rPr>
                      <w:b/>
                      <w:bCs/>
                      <w:color w:val="auto"/>
                      <w:sz w:val="21"/>
                      <w:szCs w:val="21"/>
                    </w:rPr>
                  </w:pPr>
                  <w:r>
                    <w:rPr>
                      <w:b/>
                      <w:bCs/>
                      <w:color w:val="auto"/>
                      <w:sz w:val="21"/>
                      <w:szCs w:val="21"/>
                    </w:rPr>
                    <w:t>背景值</w:t>
                  </w:r>
                </w:p>
              </w:tc>
              <w:tc>
                <w:tcPr>
                  <w:tcW w:w="686" w:type="pct"/>
                  <w:vAlign w:val="center"/>
                </w:tcPr>
                <w:p>
                  <w:pPr>
                    <w:pStyle w:val="8"/>
                    <w:spacing w:line="360" w:lineRule="auto"/>
                    <w:ind w:firstLine="0" w:firstLineChars="0"/>
                    <w:jc w:val="center"/>
                    <w:rPr>
                      <w:b/>
                      <w:bCs/>
                      <w:color w:val="auto"/>
                      <w:sz w:val="21"/>
                      <w:szCs w:val="21"/>
                    </w:rPr>
                  </w:pPr>
                  <w:r>
                    <w:rPr>
                      <w:b/>
                      <w:bCs/>
                      <w:color w:val="auto"/>
                      <w:sz w:val="21"/>
                      <w:szCs w:val="21"/>
                    </w:rPr>
                    <w:t>贡献值</w:t>
                  </w:r>
                </w:p>
              </w:tc>
              <w:tc>
                <w:tcPr>
                  <w:tcW w:w="627" w:type="pct"/>
                  <w:vAlign w:val="center"/>
                </w:tcPr>
                <w:p>
                  <w:pPr>
                    <w:pStyle w:val="8"/>
                    <w:spacing w:line="360" w:lineRule="auto"/>
                    <w:ind w:firstLine="0" w:firstLineChars="0"/>
                    <w:jc w:val="center"/>
                    <w:rPr>
                      <w:b/>
                      <w:bCs/>
                      <w:color w:val="auto"/>
                      <w:sz w:val="21"/>
                      <w:szCs w:val="21"/>
                    </w:rPr>
                  </w:pPr>
                  <w:r>
                    <w:rPr>
                      <w:b/>
                      <w:bCs/>
                      <w:color w:val="auto"/>
                      <w:sz w:val="21"/>
                      <w:szCs w:val="21"/>
                    </w:rPr>
                    <w:t>预测值</w:t>
                  </w:r>
                </w:p>
              </w:tc>
              <w:tc>
                <w:tcPr>
                  <w:tcW w:w="879" w:type="pct"/>
                  <w:vAlign w:val="center"/>
                </w:tcPr>
                <w:p>
                  <w:pPr>
                    <w:pStyle w:val="8"/>
                    <w:spacing w:line="360" w:lineRule="auto"/>
                    <w:ind w:firstLine="0" w:firstLineChars="0"/>
                    <w:jc w:val="center"/>
                    <w:rPr>
                      <w:b/>
                      <w:bCs/>
                      <w:color w:val="auto"/>
                      <w:sz w:val="21"/>
                      <w:szCs w:val="21"/>
                    </w:rPr>
                  </w:pPr>
                  <w:r>
                    <w:rPr>
                      <w:b/>
                      <w:bCs/>
                      <w:color w:val="auto"/>
                      <w:sz w:val="21"/>
                      <w:szCs w:val="21"/>
                    </w:rPr>
                    <w:t>昼间标准值</w:t>
                  </w:r>
                </w:p>
              </w:tc>
              <w:tc>
                <w:tcPr>
                  <w:tcW w:w="843" w:type="pct"/>
                  <w:vAlign w:val="center"/>
                </w:tcPr>
                <w:p>
                  <w:pPr>
                    <w:pStyle w:val="8"/>
                    <w:spacing w:line="360" w:lineRule="auto"/>
                    <w:ind w:firstLine="0" w:firstLineChars="0"/>
                    <w:jc w:val="center"/>
                    <w:rPr>
                      <w:b/>
                      <w:bCs/>
                      <w:color w:val="auto"/>
                      <w:sz w:val="21"/>
                      <w:szCs w:val="21"/>
                    </w:rPr>
                  </w:pPr>
                  <w:r>
                    <w:rPr>
                      <w:b/>
                      <w:bCs/>
                      <w:color w:val="auto"/>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930" w:type="pct"/>
                  <w:vAlign w:val="center"/>
                </w:tcPr>
                <w:p>
                  <w:pPr>
                    <w:pStyle w:val="8"/>
                    <w:spacing w:line="360" w:lineRule="auto"/>
                    <w:ind w:firstLine="0" w:firstLineChars="0"/>
                    <w:jc w:val="center"/>
                    <w:rPr>
                      <w:color w:val="auto"/>
                      <w:sz w:val="21"/>
                      <w:szCs w:val="21"/>
                    </w:rPr>
                  </w:pPr>
                  <w:r>
                    <w:rPr>
                      <w:color w:val="auto"/>
                      <w:sz w:val="21"/>
                      <w:szCs w:val="21"/>
                    </w:rPr>
                    <w:t>北厂界</w:t>
                  </w:r>
                </w:p>
              </w:tc>
              <w:tc>
                <w:tcPr>
                  <w:tcW w:w="1032" w:type="pct"/>
                  <w:vAlign w:val="center"/>
                </w:tcPr>
                <w:p>
                  <w:pPr>
                    <w:widowControl/>
                    <w:spacing w:line="360" w:lineRule="auto"/>
                    <w:jc w:val="center"/>
                    <w:textAlignment w:val="center"/>
                    <w:rPr>
                      <w:rFonts w:hint="default" w:eastAsia="宋体"/>
                      <w:color w:val="auto"/>
                      <w:szCs w:val="21"/>
                      <w:lang w:val="en-US" w:eastAsia="zh-CN"/>
                    </w:rPr>
                  </w:pPr>
                  <w:r>
                    <w:rPr>
                      <w:rFonts w:hint="eastAsia"/>
                      <w:color w:val="auto"/>
                      <w:szCs w:val="21"/>
                      <w:lang w:val="en-US" w:eastAsia="zh-CN"/>
                    </w:rPr>
                    <w:t>55</w:t>
                  </w:r>
                </w:p>
              </w:tc>
              <w:tc>
                <w:tcPr>
                  <w:tcW w:w="686" w:type="pct"/>
                  <w:vAlign w:val="center"/>
                </w:tcPr>
                <w:p>
                  <w:pPr>
                    <w:widowControl/>
                    <w:spacing w:line="360" w:lineRule="auto"/>
                    <w:jc w:val="center"/>
                    <w:textAlignment w:val="center"/>
                    <w:rPr>
                      <w:color w:val="auto"/>
                      <w:szCs w:val="21"/>
                    </w:rPr>
                  </w:pPr>
                  <w:r>
                    <w:rPr>
                      <w:rFonts w:hint="eastAsia"/>
                      <w:color w:val="auto"/>
                      <w:szCs w:val="21"/>
                    </w:rPr>
                    <w:t>4</w:t>
                  </w:r>
                  <w:r>
                    <w:rPr>
                      <w:color w:val="auto"/>
                      <w:szCs w:val="21"/>
                    </w:rPr>
                    <w:t>7.8</w:t>
                  </w:r>
                </w:p>
              </w:tc>
              <w:tc>
                <w:tcPr>
                  <w:tcW w:w="627" w:type="pct"/>
                  <w:vAlign w:val="center"/>
                </w:tcPr>
                <w:p>
                  <w:pPr>
                    <w:widowControl/>
                    <w:spacing w:line="360" w:lineRule="auto"/>
                    <w:jc w:val="center"/>
                    <w:textAlignment w:val="center"/>
                    <w:rPr>
                      <w:rFonts w:hint="eastAsia" w:eastAsia="宋体"/>
                      <w:color w:val="auto"/>
                      <w:szCs w:val="21"/>
                      <w:lang w:val="en-US" w:eastAsia="zh-CN"/>
                    </w:rPr>
                  </w:pPr>
                  <w:r>
                    <w:rPr>
                      <w:rFonts w:hint="eastAsia"/>
                      <w:color w:val="auto"/>
                      <w:szCs w:val="21"/>
                    </w:rPr>
                    <w:t>55.</w:t>
                  </w:r>
                  <w:r>
                    <w:rPr>
                      <w:rFonts w:hint="eastAsia"/>
                      <w:color w:val="auto"/>
                      <w:szCs w:val="21"/>
                      <w:lang w:val="en-US" w:eastAsia="zh-CN"/>
                    </w:rPr>
                    <w:t>8</w:t>
                  </w:r>
                </w:p>
              </w:tc>
              <w:tc>
                <w:tcPr>
                  <w:tcW w:w="879" w:type="pct"/>
                  <w:vAlign w:val="center"/>
                </w:tcPr>
                <w:p>
                  <w:pPr>
                    <w:pStyle w:val="8"/>
                    <w:spacing w:line="360" w:lineRule="auto"/>
                    <w:ind w:firstLine="0" w:firstLineChars="0"/>
                    <w:jc w:val="center"/>
                    <w:rPr>
                      <w:color w:val="auto"/>
                      <w:sz w:val="21"/>
                      <w:szCs w:val="21"/>
                    </w:rPr>
                  </w:pPr>
                  <w:r>
                    <w:rPr>
                      <w:color w:val="auto"/>
                      <w:sz w:val="21"/>
                      <w:szCs w:val="21"/>
                    </w:rPr>
                    <w:t>65</w:t>
                  </w:r>
                </w:p>
              </w:tc>
              <w:tc>
                <w:tcPr>
                  <w:tcW w:w="843" w:type="pct"/>
                  <w:vAlign w:val="center"/>
                </w:tcPr>
                <w:p>
                  <w:pPr>
                    <w:pStyle w:val="8"/>
                    <w:spacing w:line="360" w:lineRule="auto"/>
                    <w:ind w:firstLine="0" w:firstLineChars="0"/>
                    <w:jc w:val="center"/>
                    <w:rPr>
                      <w:color w:val="auto"/>
                      <w:sz w:val="21"/>
                      <w:szCs w:val="21"/>
                    </w:rPr>
                  </w:pPr>
                  <w:r>
                    <w:rPr>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930" w:type="pct"/>
                  <w:vAlign w:val="center"/>
                </w:tcPr>
                <w:p>
                  <w:pPr>
                    <w:pStyle w:val="8"/>
                    <w:spacing w:line="360" w:lineRule="auto"/>
                    <w:ind w:firstLine="0" w:firstLineChars="0"/>
                    <w:jc w:val="center"/>
                    <w:rPr>
                      <w:color w:val="auto"/>
                      <w:sz w:val="21"/>
                      <w:szCs w:val="21"/>
                    </w:rPr>
                  </w:pPr>
                  <w:r>
                    <w:rPr>
                      <w:color w:val="auto"/>
                      <w:sz w:val="21"/>
                      <w:szCs w:val="21"/>
                    </w:rPr>
                    <w:t>东厂界</w:t>
                  </w:r>
                </w:p>
              </w:tc>
              <w:tc>
                <w:tcPr>
                  <w:tcW w:w="1032" w:type="pct"/>
                  <w:vAlign w:val="center"/>
                </w:tcPr>
                <w:p>
                  <w:pPr>
                    <w:widowControl/>
                    <w:spacing w:line="360" w:lineRule="auto"/>
                    <w:jc w:val="center"/>
                    <w:textAlignment w:val="center"/>
                    <w:rPr>
                      <w:rFonts w:hint="default" w:eastAsia="宋体"/>
                      <w:color w:val="auto"/>
                      <w:szCs w:val="21"/>
                      <w:lang w:val="en-US" w:eastAsia="zh-CN"/>
                    </w:rPr>
                  </w:pPr>
                  <w:r>
                    <w:rPr>
                      <w:rFonts w:hint="eastAsia"/>
                      <w:color w:val="auto"/>
                      <w:szCs w:val="21"/>
                      <w:lang w:val="en-US" w:eastAsia="zh-CN"/>
                    </w:rPr>
                    <w:t>55</w:t>
                  </w:r>
                </w:p>
              </w:tc>
              <w:tc>
                <w:tcPr>
                  <w:tcW w:w="686" w:type="pct"/>
                  <w:vAlign w:val="center"/>
                </w:tcPr>
                <w:p>
                  <w:pPr>
                    <w:widowControl/>
                    <w:spacing w:line="360" w:lineRule="auto"/>
                    <w:jc w:val="center"/>
                    <w:textAlignment w:val="center"/>
                    <w:rPr>
                      <w:color w:val="auto"/>
                      <w:szCs w:val="21"/>
                    </w:rPr>
                  </w:pPr>
                  <w:r>
                    <w:rPr>
                      <w:rFonts w:hint="eastAsia"/>
                      <w:color w:val="auto"/>
                      <w:szCs w:val="21"/>
                    </w:rPr>
                    <w:t>4</w:t>
                  </w:r>
                  <w:r>
                    <w:rPr>
                      <w:color w:val="auto"/>
                      <w:szCs w:val="21"/>
                    </w:rPr>
                    <w:t>5.3</w:t>
                  </w:r>
                </w:p>
              </w:tc>
              <w:tc>
                <w:tcPr>
                  <w:tcW w:w="627" w:type="pct"/>
                  <w:vAlign w:val="center"/>
                </w:tcPr>
                <w:p>
                  <w:pPr>
                    <w:widowControl/>
                    <w:spacing w:line="360" w:lineRule="auto"/>
                    <w:jc w:val="center"/>
                    <w:textAlignment w:val="center"/>
                    <w:rPr>
                      <w:rFonts w:hint="eastAsia" w:eastAsia="宋体"/>
                      <w:color w:val="auto"/>
                      <w:szCs w:val="21"/>
                      <w:lang w:val="en-US" w:eastAsia="zh-CN"/>
                    </w:rPr>
                  </w:pPr>
                  <w:r>
                    <w:rPr>
                      <w:rFonts w:hint="eastAsia"/>
                      <w:color w:val="auto"/>
                      <w:szCs w:val="21"/>
                    </w:rPr>
                    <w:t>55.</w:t>
                  </w:r>
                  <w:r>
                    <w:rPr>
                      <w:rFonts w:hint="eastAsia"/>
                      <w:color w:val="auto"/>
                      <w:szCs w:val="21"/>
                      <w:lang w:val="en-US" w:eastAsia="zh-CN"/>
                    </w:rPr>
                    <w:t>4</w:t>
                  </w:r>
                </w:p>
              </w:tc>
              <w:tc>
                <w:tcPr>
                  <w:tcW w:w="879" w:type="pct"/>
                  <w:vAlign w:val="center"/>
                </w:tcPr>
                <w:p>
                  <w:pPr>
                    <w:pStyle w:val="8"/>
                    <w:spacing w:line="360" w:lineRule="auto"/>
                    <w:ind w:firstLine="0" w:firstLineChars="0"/>
                    <w:jc w:val="center"/>
                    <w:rPr>
                      <w:color w:val="auto"/>
                      <w:sz w:val="21"/>
                      <w:szCs w:val="21"/>
                    </w:rPr>
                  </w:pPr>
                  <w:r>
                    <w:rPr>
                      <w:color w:val="auto"/>
                      <w:sz w:val="21"/>
                      <w:szCs w:val="21"/>
                    </w:rPr>
                    <w:t>65</w:t>
                  </w:r>
                </w:p>
              </w:tc>
              <w:tc>
                <w:tcPr>
                  <w:tcW w:w="843" w:type="pct"/>
                  <w:vAlign w:val="center"/>
                </w:tcPr>
                <w:p>
                  <w:pPr>
                    <w:pStyle w:val="8"/>
                    <w:spacing w:line="360" w:lineRule="auto"/>
                    <w:ind w:firstLine="0" w:firstLineChars="0"/>
                    <w:jc w:val="center"/>
                    <w:rPr>
                      <w:color w:val="auto"/>
                      <w:sz w:val="21"/>
                      <w:szCs w:val="21"/>
                    </w:rPr>
                  </w:pPr>
                  <w:r>
                    <w:rPr>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930" w:type="pct"/>
                  <w:vAlign w:val="center"/>
                </w:tcPr>
                <w:p>
                  <w:pPr>
                    <w:pStyle w:val="8"/>
                    <w:spacing w:line="360" w:lineRule="auto"/>
                    <w:ind w:firstLine="0" w:firstLineChars="0"/>
                    <w:jc w:val="center"/>
                    <w:rPr>
                      <w:color w:val="auto"/>
                      <w:sz w:val="21"/>
                      <w:szCs w:val="21"/>
                    </w:rPr>
                  </w:pPr>
                  <w:r>
                    <w:rPr>
                      <w:color w:val="auto"/>
                      <w:sz w:val="21"/>
                      <w:szCs w:val="21"/>
                    </w:rPr>
                    <w:t>南厂界</w:t>
                  </w:r>
                </w:p>
              </w:tc>
              <w:tc>
                <w:tcPr>
                  <w:tcW w:w="1032" w:type="pct"/>
                  <w:vAlign w:val="center"/>
                </w:tcPr>
                <w:p>
                  <w:pPr>
                    <w:widowControl/>
                    <w:spacing w:line="360" w:lineRule="auto"/>
                    <w:jc w:val="center"/>
                    <w:textAlignment w:val="center"/>
                    <w:rPr>
                      <w:rFonts w:hint="default" w:eastAsia="宋体"/>
                      <w:color w:val="auto"/>
                      <w:szCs w:val="21"/>
                      <w:lang w:val="en-US" w:eastAsia="zh-CN"/>
                    </w:rPr>
                  </w:pPr>
                  <w:r>
                    <w:rPr>
                      <w:rFonts w:hint="eastAsia"/>
                      <w:color w:val="auto"/>
                      <w:szCs w:val="21"/>
                      <w:lang w:val="en-US" w:eastAsia="zh-CN"/>
                    </w:rPr>
                    <w:t>56</w:t>
                  </w:r>
                </w:p>
              </w:tc>
              <w:tc>
                <w:tcPr>
                  <w:tcW w:w="686" w:type="pct"/>
                  <w:vAlign w:val="center"/>
                </w:tcPr>
                <w:p>
                  <w:pPr>
                    <w:widowControl/>
                    <w:spacing w:line="360" w:lineRule="auto"/>
                    <w:jc w:val="center"/>
                    <w:textAlignment w:val="center"/>
                    <w:rPr>
                      <w:color w:val="auto"/>
                      <w:szCs w:val="21"/>
                    </w:rPr>
                  </w:pPr>
                  <w:r>
                    <w:rPr>
                      <w:rFonts w:hint="eastAsia"/>
                      <w:color w:val="auto"/>
                      <w:szCs w:val="21"/>
                    </w:rPr>
                    <w:t>5</w:t>
                  </w:r>
                  <w:r>
                    <w:rPr>
                      <w:color w:val="auto"/>
                      <w:szCs w:val="21"/>
                    </w:rPr>
                    <w:t>4.0</w:t>
                  </w:r>
                </w:p>
              </w:tc>
              <w:tc>
                <w:tcPr>
                  <w:tcW w:w="627" w:type="pct"/>
                  <w:vAlign w:val="center"/>
                </w:tcPr>
                <w:p>
                  <w:pPr>
                    <w:widowControl/>
                    <w:spacing w:line="360" w:lineRule="auto"/>
                    <w:jc w:val="center"/>
                    <w:textAlignment w:val="center"/>
                    <w:rPr>
                      <w:rFonts w:hint="default" w:eastAsia="宋体"/>
                      <w:color w:val="auto"/>
                      <w:szCs w:val="21"/>
                      <w:lang w:val="en-US" w:eastAsia="zh-CN"/>
                    </w:rPr>
                  </w:pPr>
                  <w:r>
                    <w:rPr>
                      <w:rFonts w:hint="eastAsia"/>
                      <w:color w:val="auto"/>
                      <w:szCs w:val="21"/>
                      <w:lang w:val="en-US" w:eastAsia="zh-CN"/>
                    </w:rPr>
                    <w:t>58.1</w:t>
                  </w:r>
                </w:p>
              </w:tc>
              <w:tc>
                <w:tcPr>
                  <w:tcW w:w="879" w:type="pct"/>
                  <w:vAlign w:val="center"/>
                </w:tcPr>
                <w:p>
                  <w:pPr>
                    <w:pStyle w:val="8"/>
                    <w:spacing w:line="360" w:lineRule="auto"/>
                    <w:ind w:firstLine="0" w:firstLineChars="0"/>
                    <w:jc w:val="center"/>
                    <w:rPr>
                      <w:color w:val="auto"/>
                      <w:sz w:val="21"/>
                      <w:szCs w:val="21"/>
                    </w:rPr>
                  </w:pPr>
                  <w:r>
                    <w:rPr>
                      <w:color w:val="auto"/>
                      <w:sz w:val="21"/>
                      <w:szCs w:val="21"/>
                    </w:rPr>
                    <w:t>65</w:t>
                  </w:r>
                </w:p>
              </w:tc>
              <w:tc>
                <w:tcPr>
                  <w:tcW w:w="843" w:type="pct"/>
                  <w:vAlign w:val="center"/>
                </w:tcPr>
                <w:p>
                  <w:pPr>
                    <w:pStyle w:val="8"/>
                    <w:spacing w:line="360" w:lineRule="auto"/>
                    <w:ind w:firstLine="0" w:firstLineChars="0"/>
                    <w:jc w:val="center"/>
                    <w:rPr>
                      <w:color w:val="auto"/>
                      <w:sz w:val="21"/>
                      <w:szCs w:val="21"/>
                    </w:rPr>
                  </w:pPr>
                  <w:r>
                    <w:rPr>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930" w:type="pct"/>
                  <w:vAlign w:val="center"/>
                </w:tcPr>
                <w:p>
                  <w:pPr>
                    <w:pStyle w:val="8"/>
                    <w:spacing w:line="360" w:lineRule="auto"/>
                    <w:ind w:firstLine="0" w:firstLineChars="0"/>
                    <w:jc w:val="center"/>
                    <w:rPr>
                      <w:color w:val="auto"/>
                      <w:sz w:val="21"/>
                      <w:szCs w:val="21"/>
                    </w:rPr>
                  </w:pPr>
                  <w:r>
                    <w:rPr>
                      <w:color w:val="auto"/>
                      <w:sz w:val="21"/>
                      <w:szCs w:val="21"/>
                    </w:rPr>
                    <w:t>西厂界</w:t>
                  </w:r>
                </w:p>
              </w:tc>
              <w:tc>
                <w:tcPr>
                  <w:tcW w:w="1032" w:type="pct"/>
                  <w:vAlign w:val="center"/>
                </w:tcPr>
                <w:p>
                  <w:pPr>
                    <w:widowControl/>
                    <w:spacing w:line="360" w:lineRule="auto"/>
                    <w:jc w:val="center"/>
                    <w:textAlignment w:val="center"/>
                    <w:rPr>
                      <w:rFonts w:hint="default" w:eastAsia="宋体"/>
                      <w:color w:val="auto"/>
                      <w:szCs w:val="21"/>
                      <w:lang w:val="en-US" w:eastAsia="zh-CN"/>
                    </w:rPr>
                  </w:pPr>
                  <w:r>
                    <w:rPr>
                      <w:rFonts w:hint="eastAsia"/>
                      <w:color w:val="auto"/>
                      <w:szCs w:val="21"/>
                      <w:lang w:val="en-US" w:eastAsia="zh-CN"/>
                    </w:rPr>
                    <w:t>54</w:t>
                  </w:r>
                </w:p>
              </w:tc>
              <w:tc>
                <w:tcPr>
                  <w:tcW w:w="686" w:type="pct"/>
                  <w:vAlign w:val="center"/>
                </w:tcPr>
                <w:p>
                  <w:pPr>
                    <w:widowControl/>
                    <w:spacing w:line="360" w:lineRule="auto"/>
                    <w:jc w:val="center"/>
                    <w:textAlignment w:val="center"/>
                    <w:rPr>
                      <w:color w:val="auto"/>
                      <w:szCs w:val="21"/>
                    </w:rPr>
                  </w:pPr>
                  <w:r>
                    <w:rPr>
                      <w:rFonts w:hint="eastAsia"/>
                      <w:color w:val="auto"/>
                      <w:szCs w:val="21"/>
                    </w:rPr>
                    <w:t>39</w:t>
                  </w:r>
                  <w:r>
                    <w:rPr>
                      <w:color w:val="auto"/>
                      <w:szCs w:val="21"/>
                    </w:rPr>
                    <w:t>.4</w:t>
                  </w:r>
                </w:p>
              </w:tc>
              <w:tc>
                <w:tcPr>
                  <w:tcW w:w="627" w:type="pct"/>
                  <w:vAlign w:val="center"/>
                </w:tcPr>
                <w:p>
                  <w:pPr>
                    <w:widowControl/>
                    <w:spacing w:line="360" w:lineRule="auto"/>
                    <w:jc w:val="center"/>
                    <w:textAlignment w:val="center"/>
                    <w:rPr>
                      <w:rFonts w:hint="default" w:eastAsia="宋体"/>
                      <w:color w:val="auto"/>
                      <w:szCs w:val="21"/>
                      <w:lang w:val="en-US" w:eastAsia="zh-CN"/>
                    </w:rPr>
                  </w:pPr>
                  <w:r>
                    <w:rPr>
                      <w:rFonts w:hint="eastAsia"/>
                      <w:color w:val="auto"/>
                      <w:szCs w:val="21"/>
                      <w:lang w:val="en-US" w:eastAsia="zh-CN"/>
                    </w:rPr>
                    <w:t>54.1</w:t>
                  </w:r>
                </w:p>
              </w:tc>
              <w:tc>
                <w:tcPr>
                  <w:tcW w:w="879" w:type="pct"/>
                  <w:vAlign w:val="center"/>
                </w:tcPr>
                <w:p>
                  <w:pPr>
                    <w:pStyle w:val="8"/>
                    <w:spacing w:line="360" w:lineRule="auto"/>
                    <w:ind w:firstLine="0" w:firstLineChars="0"/>
                    <w:jc w:val="center"/>
                    <w:rPr>
                      <w:color w:val="auto"/>
                      <w:sz w:val="21"/>
                      <w:szCs w:val="21"/>
                    </w:rPr>
                  </w:pPr>
                  <w:r>
                    <w:rPr>
                      <w:color w:val="auto"/>
                      <w:sz w:val="21"/>
                      <w:szCs w:val="21"/>
                    </w:rPr>
                    <w:t>65</w:t>
                  </w:r>
                </w:p>
              </w:tc>
              <w:tc>
                <w:tcPr>
                  <w:tcW w:w="843" w:type="pct"/>
                  <w:vAlign w:val="center"/>
                </w:tcPr>
                <w:p>
                  <w:pPr>
                    <w:pStyle w:val="8"/>
                    <w:spacing w:line="360" w:lineRule="auto"/>
                    <w:ind w:firstLine="0" w:firstLineChars="0"/>
                    <w:jc w:val="center"/>
                    <w:rPr>
                      <w:color w:val="auto"/>
                      <w:sz w:val="21"/>
                      <w:szCs w:val="21"/>
                    </w:rPr>
                  </w:pPr>
                  <w:r>
                    <w:rPr>
                      <w:color w:val="auto"/>
                      <w:sz w:val="21"/>
                      <w:szCs w:val="21"/>
                    </w:rPr>
                    <w:t>达标</w:t>
                  </w:r>
                </w:p>
              </w:tc>
            </w:tr>
          </w:tbl>
          <w:p>
            <w:pPr>
              <w:spacing w:line="360" w:lineRule="auto"/>
              <w:ind w:firstLine="480" w:firstLineChars="200"/>
              <w:rPr>
                <w:color w:val="auto"/>
                <w:sz w:val="24"/>
                <w:szCs w:val="24"/>
              </w:rPr>
            </w:pPr>
            <w:r>
              <w:rPr>
                <w:color w:val="auto"/>
                <w:sz w:val="24"/>
                <w:lang w:val="zh-CN"/>
              </w:rPr>
              <w:t>项目夜间不运营</w:t>
            </w:r>
            <w:r>
              <w:rPr>
                <w:color w:val="auto"/>
                <w:sz w:val="24"/>
              </w:rPr>
              <w:t>，</w:t>
            </w:r>
            <w:r>
              <w:rPr>
                <w:color w:val="auto"/>
                <w:sz w:val="24"/>
                <w:lang w:val="zh-CN"/>
              </w:rPr>
              <w:t>昼间噪声能满足</w:t>
            </w:r>
            <w:r>
              <w:rPr>
                <w:color w:val="auto"/>
                <w:sz w:val="24"/>
              </w:rPr>
              <w:t>《工业企业厂界环境噪声排放标准》（GB12348-2008）中3</w:t>
            </w:r>
            <w:r>
              <w:rPr>
                <w:color w:val="auto"/>
                <w:sz w:val="24"/>
                <w:lang w:val="zh-CN"/>
              </w:rPr>
              <w:t>类标准，</w:t>
            </w:r>
            <w:r>
              <w:rPr>
                <w:color w:val="auto"/>
                <w:sz w:val="24"/>
              </w:rPr>
              <w:t>即</w:t>
            </w:r>
            <w:r>
              <w:rPr>
                <w:color w:val="auto"/>
                <w:sz w:val="24"/>
                <w:lang w:val="zh-CN"/>
              </w:rPr>
              <w:t>昼间</w:t>
            </w:r>
            <w:r>
              <w:rPr>
                <w:color w:val="auto"/>
                <w:sz w:val="24"/>
              </w:rPr>
              <w:t>≤</w:t>
            </w:r>
            <w:r>
              <w:rPr>
                <w:color w:val="auto"/>
                <w:sz w:val="24"/>
                <w:lang w:val="zh-CN"/>
              </w:rPr>
              <w:t>6</w:t>
            </w:r>
            <w:r>
              <w:rPr>
                <w:color w:val="auto"/>
                <w:sz w:val="24"/>
              </w:rPr>
              <w:t>5</w:t>
            </w:r>
            <w:r>
              <w:rPr>
                <w:color w:val="auto"/>
                <w:sz w:val="24"/>
                <w:lang w:val="zh-CN"/>
              </w:rPr>
              <w:t>dB（A）的要求，</w:t>
            </w:r>
            <w:r>
              <w:rPr>
                <w:color w:val="auto"/>
                <w:sz w:val="24"/>
              </w:rPr>
              <w:t>夜间不生产</w:t>
            </w:r>
            <w:r>
              <w:rPr>
                <w:color w:val="auto"/>
                <w:sz w:val="24"/>
                <w:lang w:val="zh-CN"/>
              </w:rPr>
              <w:t>。</w:t>
            </w:r>
            <w:r>
              <w:rPr>
                <w:color w:val="auto"/>
                <w:sz w:val="24"/>
              </w:rPr>
              <w:t>厂界</w:t>
            </w:r>
            <w:r>
              <w:rPr>
                <w:color w:val="auto"/>
                <w:sz w:val="24"/>
                <w:lang w:val="zh-CN"/>
              </w:rPr>
              <w:t>噪声背景值在叠加了项目贡献值后，昼间夜间噪声也</w:t>
            </w:r>
            <w:r>
              <w:rPr>
                <w:color w:val="auto"/>
                <w:sz w:val="24"/>
              </w:rPr>
              <w:t>均</w:t>
            </w:r>
            <w:r>
              <w:rPr>
                <w:color w:val="auto"/>
                <w:sz w:val="24"/>
                <w:lang w:val="zh-CN"/>
              </w:rPr>
              <w:t>能满足《声环境质量标准》（GB3096-2008）中</w:t>
            </w:r>
            <w:r>
              <w:rPr>
                <w:color w:val="auto"/>
                <w:sz w:val="24"/>
              </w:rPr>
              <w:t>3</w:t>
            </w:r>
            <w:r>
              <w:rPr>
                <w:color w:val="auto"/>
                <w:sz w:val="24"/>
                <w:lang w:val="zh-CN"/>
              </w:rPr>
              <w:t>类区标准，</w:t>
            </w:r>
            <w:r>
              <w:rPr>
                <w:color w:val="auto"/>
                <w:sz w:val="24"/>
              </w:rPr>
              <w:t>即</w:t>
            </w:r>
            <w:r>
              <w:rPr>
                <w:color w:val="auto"/>
                <w:sz w:val="24"/>
                <w:lang w:val="zh-CN"/>
              </w:rPr>
              <w:t>昼间</w:t>
            </w:r>
            <w:r>
              <w:rPr>
                <w:color w:val="auto"/>
                <w:sz w:val="24"/>
              </w:rPr>
              <w:t>≤</w:t>
            </w:r>
            <w:r>
              <w:rPr>
                <w:color w:val="auto"/>
                <w:sz w:val="24"/>
                <w:lang w:val="zh-CN"/>
              </w:rPr>
              <w:t>6</w:t>
            </w:r>
            <w:r>
              <w:rPr>
                <w:color w:val="auto"/>
                <w:sz w:val="24"/>
              </w:rPr>
              <w:t>5</w:t>
            </w:r>
            <w:r>
              <w:rPr>
                <w:color w:val="auto"/>
                <w:sz w:val="24"/>
                <w:lang w:val="zh-CN"/>
              </w:rPr>
              <w:t>dB（A）的要求，</w:t>
            </w:r>
            <w:r>
              <w:rPr>
                <w:rFonts w:hint="eastAsia"/>
                <w:color w:val="auto"/>
                <w:sz w:val="24"/>
              </w:rPr>
              <w:t>项目周边50m范围内无敏感目标</w:t>
            </w:r>
            <w:r>
              <w:rPr>
                <w:rFonts w:hint="eastAsia"/>
                <w:color w:val="auto"/>
                <w:sz w:val="24"/>
                <w:szCs w:val="24"/>
              </w:rPr>
              <w:t>，</w:t>
            </w:r>
            <w:r>
              <w:rPr>
                <w:color w:val="auto"/>
                <w:sz w:val="24"/>
                <w:szCs w:val="24"/>
              </w:rPr>
              <w:t>项目</w:t>
            </w:r>
            <w:r>
              <w:rPr>
                <w:rStyle w:val="37"/>
                <w:rFonts w:hint="eastAsia"/>
                <w:color w:val="auto"/>
                <w:spacing w:val="4"/>
                <w:kern w:val="0"/>
                <w:sz w:val="24"/>
                <w:szCs w:val="24"/>
              </w:rPr>
              <w:t>运营期</w:t>
            </w:r>
            <w:r>
              <w:rPr>
                <w:color w:val="auto"/>
                <w:sz w:val="24"/>
                <w:szCs w:val="24"/>
              </w:rPr>
              <w:t>噪声对</w:t>
            </w:r>
            <w:r>
              <w:rPr>
                <w:rFonts w:hint="eastAsia"/>
                <w:color w:val="auto"/>
                <w:sz w:val="24"/>
                <w:szCs w:val="24"/>
              </w:rPr>
              <w:t>周围环境</w:t>
            </w:r>
            <w:r>
              <w:rPr>
                <w:color w:val="auto"/>
                <w:sz w:val="24"/>
                <w:szCs w:val="24"/>
              </w:rPr>
              <w:t>影响较小。</w:t>
            </w:r>
          </w:p>
          <w:p>
            <w:pPr>
              <w:spacing w:line="360" w:lineRule="auto"/>
              <w:ind w:firstLine="482" w:firstLineChars="200"/>
              <w:rPr>
                <w:b/>
                <w:bCs/>
                <w:color w:val="auto"/>
                <w:sz w:val="24"/>
              </w:rPr>
            </w:pPr>
            <w:r>
              <w:rPr>
                <w:b/>
                <w:bCs/>
                <w:color w:val="auto"/>
                <w:sz w:val="24"/>
              </w:rPr>
              <w:t>3、噪声防治措施</w:t>
            </w:r>
          </w:p>
          <w:p>
            <w:pPr>
              <w:spacing w:line="360" w:lineRule="auto"/>
              <w:ind w:firstLine="480" w:firstLineChars="200"/>
              <w:rPr>
                <w:color w:val="auto"/>
                <w:sz w:val="24"/>
              </w:rPr>
            </w:pPr>
            <w:r>
              <w:rPr>
                <w:color w:val="auto"/>
                <w:sz w:val="24"/>
              </w:rPr>
              <w:t>（1）项目噪声源主要有自动清洗机、提料甩干机、熔融机、切粒机、振动筛等，其等效声级在</w:t>
            </w:r>
            <w:r>
              <w:rPr>
                <w:rFonts w:hint="eastAsia"/>
                <w:color w:val="auto"/>
                <w:sz w:val="24"/>
              </w:rPr>
              <w:t>7</w:t>
            </w:r>
            <w:r>
              <w:rPr>
                <w:color w:val="auto"/>
                <w:sz w:val="24"/>
              </w:rPr>
              <w:t>0dB（A）～9</w:t>
            </w:r>
            <w:r>
              <w:rPr>
                <w:rFonts w:hint="eastAsia"/>
                <w:color w:val="auto"/>
                <w:sz w:val="24"/>
              </w:rPr>
              <w:t>0</w:t>
            </w:r>
            <w:r>
              <w:rPr>
                <w:color w:val="auto"/>
                <w:sz w:val="24"/>
              </w:rPr>
              <w:t>dB（A）之间。采用选用低噪声设备、高噪声设备设隔振基础或铺设减振垫、封闭厂房隔声、优化布局、距离衰减等措施进行治理。水泵进、出管、管道穿越变形缝均设金属软管接头。</w:t>
            </w:r>
          </w:p>
          <w:p>
            <w:pPr>
              <w:spacing w:line="360" w:lineRule="auto"/>
              <w:ind w:firstLine="480" w:firstLineChars="200"/>
              <w:rPr>
                <w:color w:val="auto"/>
                <w:sz w:val="24"/>
              </w:rPr>
            </w:pPr>
            <w:r>
              <w:rPr>
                <w:color w:val="auto"/>
                <w:sz w:val="24"/>
              </w:rPr>
              <w:t>（2）风机选用低噪声设备，设备减震，进出口软连接，安装消声器；消声器是安装在空气动力设备的气流通道上或进、排气系统中的降低噪声的装置，能够阻挡声波的传播，允许气流通过，是控制噪声的有效工具。</w:t>
            </w:r>
          </w:p>
          <w:p>
            <w:pPr>
              <w:spacing w:line="360" w:lineRule="auto"/>
              <w:ind w:firstLine="480" w:firstLineChars="200"/>
              <w:rPr>
                <w:color w:val="auto"/>
                <w:sz w:val="24"/>
              </w:rPr>
            </w:pPr>
            <w:r>
              <w:rPr>
                <w:color w:val="auto"/>
                <w:sz w:val="24"/>
              </w:rPr>
              <w:t>（3）加强职工环保教育意识，提倡文明生产，防止人为噪声。</w:t>
            </w:r>
          </w:p>
          <w:p>
            <w:pPr>
              <w:spacing w:line="360" w:lineRule="auto"/>
              <w:ind w:firstLine="480" w:firstLineChars="200"/>
              <w:rPr>
                <w:color w:val="auto"/>
                <w:sz w:val="24"/>
              </w:rPr>
            </w:pPr>
            <w:r>
              <w:rPr>
                <w:color w:val="auto"/>
                <w:sz w:val="24"/>
              </w:rPr>
              <w:t>（4）本次环评要求建设单位强化生产管理，车间封闭，确保降噪设施的有效运行，并加强对生产设备的保养、检修与润滑，保证设备处于良好的运转状态，杜绝因设备不正常运转而产生的高噪声现象。</w:t>
            </w:r>
          </w:p>
          <w:p>
            <w:pPr>
              <w:spacing w:line="360" w:lineRule="auto"/>
              <w:ind w:firstLine="482" w:firstLineChars="200"/>
              <w:rPr>
                <w:b/>
                <w:bCs/>
                <w:color w:val="auto"/>
                <w:sz w:val="24"/>
              </w:rPr>
            </w:pPr>
            <w:r>
              <w:rPr>
                <w:b/>
                <w:bCs/>
                <w:color w:val="auto"/>
                <w:sz w:val="24"/>
              </w:rPr>
              <w:t>4、噪声环境影响分析</w:t>
            </w:r>
          </w:p>
          <w:p>
            <w:pPr>
              <w:spacing w:line="360" w:lineRule="auto"/>
              <w:ind w:firstLine="480" w:firstLineChars="200"/>
              <w:rPr>
                <w:color w:val="auto"/>
                <w:sz w:val="24"/>
              </w:rPr>
            </w:pPr>
            <w:r>
              <w:rPr>
                <w:color w:val="auto"/>
                <w:sz w:val="24"/>
              </w:rPr>
              <w:t>项目运营期采取的噪声防治措施主要是声源上控制措施及噪声隔声措施，在做好措施后，可降低15dB（A）左右的噪声值。本次评价噪声排放执行《工业企业厂界环境噪声排放标准》（GB12348-2008）中</w:t>
            </w:r>
            <w:r>
              <w:rPr>
                <w:rFonts w:hint="eastAsia"/>
                <w:color w:val="auto"/>
                <w:sz w:val="24"/>
              </w:rPr>
              <w:t>3</w:t>
            </w:r>
            <w:r>
              <w:rPr>
                <w:color w:val="auto"/>
                <w:sz w:val="24"/>
              </w:rPr>
              <w:t>类标准，在采取了本次评价提出噪声防治措施后，项目厂界噪声排放可满足《工业企业厂界环境噪声排放标准》（GB12348-2008）中</w:t>
            </w:r>
            <w:r>
              <w:rPr>
                <w:rFonts w:hint="eastAsia"/>
                <w:color w:val="auto"/>
                <w:sz w:val="24"/>
              </w:rPr>
              <w:t>3</w:t>
            </w:r>
            <w:r>
              <w:rPr>
                <w:color w:val="auto"/>
                <w:sz w:val="24"/>
              </w:rPr>
              <w:t>类标准要求。</w:t>
            </w:r>
          </w:p>
          <w:p>
            <w:pPr>
              <w:spacing w:line="360" w:lineRule="auto"/>
              <w:ind w:firstLine="480" w:firstLineChars="200"/>
              <w:rPr>
                <w:color w:val="auto"/>
                <w:sz w:val="24"/>
              </w:rPr>
            </w:pPr>
            <w:r>
              <w:rPr>
                <w:color w:val="auto"/>
                <w:sz w:val="24"/>
              </w:rPr>
              <w:t>项目环境监测目的是为了监督各项环保措施的落实，项目运营期噪声排污监测计划根据</w:t>
            </w:r>
            <w:r>
              <w:rPr>
                <w:rFonts w:hint="eastAsia"/>
                <w:color w:val="auto"/>
                <w:sz w:val="24"/>
              </w:rPr>
              <w:t>《排污单位自行监测技术指南 总则》（HJ819-2017）、</w:t>
            </w:r>
            <w:r>
              <w:rPr>
                <w:color w:val="auto"/>
                <w:sz w:val="24"/>
              </w:rPr>
              <w:t>《排污许可证申请与核发技术规范</w:t>
            </w:r>
            <w:r>
              <w:rPr>
                <w:rFonts w:hint="eastAsia"/>
                <w:color w:val="auto"/>
                <w:sz w:val="24"/>
              </w:rPr>
              <w:t xml:space="preserve"> </w:t>
            </w:r>
            <w:r>
              <w:rPr>
                <w:color w:val="auto"/>
                <w:sz w:val="24"/>
              </w:rPr>
              <w:t>废弃资源加工工业》（HJ1034-2019）进行设置，项目运营期环境监测计划见表4-</w:t>
            </w:r>
            <w:r>
              <w:rPr>
                <w:rFonts w:hint="eastAsia"/>
                <w:color w:val="auto"/>
                <w:sz w:val="24"/>
              </w:rPr>
              <w:t>12</w:t>
            </w:r>
            <w:r>
              <w:rPr>
                <w:color w:val="auto"/>
                <w:sz w:val="24"/>
              </w:rPr>
              <w:t>所示。</w:t>
            </w:r>
          </w:p>
          <w:p>
            <w:pPr>
              <w:spacing w:line="360" w:lineRule="auto"/>
              <w:ind w:firstLine="482" w:firstLineChars="200"/>
              <w:jc w:val="center"/>
              <w:rPr>
                <w:b/>
                <w:bCs/>
                <w:color w:val="auto"/>
                <w:sz w:val="24"/>
              </w:rPr>
            </w:pPr>
            <w:r>
              <w:rPr>
                <w:b/>
                <w:bCs/>
                <w:color w:val="auto"/>
                <w:sz w:val="24"/>
              </w:rPr>
              <w:t>表4-</w:t>
            </w:r>
            <w:r>
              <w:rPr>
                <w:rFonts w:hint="eastAsia"/>
                <w:b/>
                <w:bCs/>
                <w:color w:val="auto"/>
                <w:sz w:val="24"/>
              </w:rPr>
              <w:t>12</w:t>
            </w:r>
            <w:r>
              <w:rPr>
                <w:b/>
                <w:bCs/>
                <w:color w:val="auto"/>
                <w:sz w:val="24"/>
              </w:rPr>
              <w:t>项目运营期环境监测计划一览表</w:t>
            </w:r>
          </w:p>
          <w:tbl>
            <w:tblPr>
              <w:tblStyle w:val="30"/>
              <w:tblW w:w="7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00"/>
              <w:gridCol w:w="1334"/>
              <w:gridCol w:w="1115"/>
              <w:gridCol w:w="1935"/>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 w:type="dxa"/>
                  <w:noWrap/>
                  <w:vAlign w:val="center"/>
                </w:tcPr>
                <w:p>
                  <w:pPr>
                    <w:jc w:val="center"/>
                    <w:rPr>
                      <w:b/>
                      <w:bCs/>
                      <w:color w:val="auto"/>
                      <w:szCs w:val="21"/>
                    </w:rPr>
                  </w:pPr>
                  <w:r>
                    <w:rPr>
                      <w:b/>
                      <w:bCs/>
                      <w:color w:val="auto"/>
                      <w:szCs w:val="21"/>
                    </w:rPr>
                    <w:t>监测时段</w:t>
                  </w:r>
                </w:p>
              </w:tc>
              <w:tc>
                <w:tcPr>
                  <w:tcW w:w="800" w:type="dxa"/>
                  <w:noWrap/>
                  <w:vAlign w:val="center"/>
                </w:tcPr>
                <w:p>
                  <w:pPr>
                    <w:jc w:val="center"/>
                    <w:rPr>
                      <w:b/>
                      <w:bCs/>
                      <w:color w:val="auto"/>
                      <w:szCs w:val="21"/>
                    </w:rPr>
                  </w:pPr>
                  <w:r>
                    <w:rPr>
                      <w:b/>
                      <w:bCs/>
                      <w:color w:val="auto"/>
                      <w:szCs w:val="21"/>
                    </w:rPr>
                    <w:t>因素</w:t>
                  </w:r>
                </w:p>
              </w:tc>
              <w:tc>
                <w:tcPr>
                  <w:tcW w:w="1334" w:type="dxa"/>
                  <w:noWrap/>
                  <w:vAlign w:val="center"/>
                </w:tcPr>
                <w:p>
                  <w:pPr>
                    <w:jc w:val="center"/>
                    <w:rPr>
                      <w:b/>
                      <w:bCs/>
                      <w:color w:val="auto"/>
                      <w:szCs w:val="21"/>
                    </w:rPr>
                  </w:pPr>
                  <w:r>
                    <w:rPr>
                      <w:b/>
                      <w:bCs/>
                      <w:color w:val="auto"/>
                      <w:szCs w:val="21"/>
                    </w:rPr>
                    <w:t>监测点位</w:t>
                  </w:r>
                </w:p>
              </w:tc>
              <w:tc>
                <w:tcPr>
                  <w:tcW w:w="1115" w:type="dxa"/>
                  <w:noWrap/>
                  <w:vAlign w:val="center"/>
                </w:tcPr>
                <w:p>
                  <w:pPr>
                    <w:jc w:val="center"/>
                    <w:rPr>
                      <w:b/>
                      <w:bCs/>
                      <w:color w:val="auto"/>
                      <w:szCs w:val="21"/>
                    </w:rPr>
                  </w:pPr>
                  <w:r>
                    <w:rPr>
                      <w:b/>
                      <w:bCs/>
                      <w:color w:val="auto"/>
                      <w:szCs w:val="21"/>
                    </w:rPr>
                    <w:t>监测项目</w:t>
                  </w:r>
                </w:p>
              </w:tc>
              <w:tc>
                <w:tcPr>
                  <w:tcW w:w="1935" w:type="dxa"/>
                  <w:noWrap/>
                  <w:vAlign w:val="center"/>
                </w:tcPr>
                <w:p>
                  <w:pPr>
                    <w:jc w:val="center"/>
                    <w:rPr>
                      <w:b/>
                      <w:bCs/>
                      <w:color w:val="auto"/>
                      <w:szCs w:val="21"/>
                    </w:rPr>
                  </w:pPr>
                  <w:r>
                    <w:rPr>
                      <w:b/>
                      <w:bCs/>
                      <w:color w:val="auto"/>
                      <w:szCs w:val="21"/>
                    </w:rPr>
                    <w:t>监测方法及频率</w:t>
                  </w:r>
                </w:p>
              </w:tc>
              <w:tc>
                <w:tcPr>
                  <w:tcW w:w="1913" w:type="dxa"/>
                  <w:noWrap/>
                  <w:vAlign w:val="center"/>
                </w:tcPr>
                <w:p>
                  <w:pPr>
                    <w:jc w:val="center"/>
                    <w:rPr>
                      <w:b/>
                      <w:bCs/>
                      <w:color w:val="auto"/>
                      <w:szCs w:val="21"/>
                    </w:rPr>
                  </w:pPr>
                  <w:r>
                    <w:rPr>
                      <w:b/>
                      <w:bCs/>
                      <w:color w:val="auto"/>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4" w:hRule="atLeast"/>
                <w:jc w:val="center"/>
              </w:trPr>
              <w:tc>
                <w:tcPr>
                  <w:tcW w:w="850" w:type="dxa"/>
                  <w:noWrap/>
                  <w:vAlign w:val="center"/>
                </w:tcPr>
                <w:p>
                  <w:pPr>
                    <w:jc w:val="center"/>
                    <w:rPr>
                      <w:color w:val="auto"/>
                      <w:szCs w:val="21"/>
                    </w:rPr>
                  </w:pPr>
                  <w:r>
                    <w:rPr>
                      <w:color w:val="auto"/>
                      <w:szCs w:val="21"/>
                    </w:rPr>
                    <w:t>运营期</w:t>
                  </w:r>
                </w:p>
              </w:tc>
              <w:tc>
                <w:tcPr>
                  <w:tcW w:w="800" w:type="dxa"/>
                  <w:noWrap/>
                  <w:vAlign w:val="center"/>
                </w:tcPr>
                <w:p>
                  <w:pPr>
                    <w:jc w:val="center"/>
                    <w:rPr>
                      <w:color w:val="auto"/>
                      <w:szCs w:val="21"/>
                    </w:rPr>
                  </w:pPr>
                  <w:r>
                    <w:rPr>
                      <w:color w:val="auto"/>
                      <w:szCs w:val="21"/>
                    </w:rPr>
                    <w:t>噪声</w:t>
                  </w:r>
                </w:p>
              </w:tc>
              <w:tc>
                <w:tcPr>
                  <w:tcW w:w="1334" w:type="dxa"/>
                  <w:noWrap/>
                  <w:vAlign w:val="center"/>
                </w:tcPr>
                <w:p>
                  <w:pPr>
                    <w:jc w:val="center"/>
                    <w:rPr>
                      <w:color w:val="auto"/>
                      <w:szCs w:val="21"/>
                    </w:rPr>
                  </w:pPr>
                  <w:r>
                    <w:rPr>
                      <w:color w:val="auto"/>
                      <w:szCs w:val="21"/>
                    </w:rPr>
                    <w:t>项目东、南、西、北四个厂界外1m处</w:t>
                  </w:r>
                </w:p>
              </w:tc>
              <w:tc>
                <w:tcPr>
                  <w:tcW w:w="1115" w:type="dxa"/>
                  <w:noWrap/>
                  <w:vAlign w:val="center"/>
                </w:tcPr>
                <w:p>
                  <w:pPr>
                    <w:jc w:val="center"/>
                    <w:rPr>
                      <w:color w:val="auto"/>
                      <w:szCs w:val="21"/>
                    </w:rPr>
                  </w:pPr>
                  <w:r>
                    <w:rPr>
                      <w:color w:val="auto"/>
                      <w:szCs w:val="21"/>
                    </w:rPr>
                    <w:t>等效连续A声级</w:t>
                  </w:r>
                </w:p>
              </w:tc>
              <w:tc>
                <w:tcPr>
                  <w:tcW w:w="1935" w:type="dxa"/>
                  <w:noWrap/>
                  <w:vAlign w:val="center"/>
                </w:tcPr>
                <w:p>
                  <w:pPr>
                    <w:jc w:val="center"/>
                    <w:rPr>
                      <w:color w:val="auto"/>
                      <w:szCs w:val="21"/>
                    </w:rPr>
                  </w:pPr>
                  <w:r>
                    <w:rPr>
                      <w:color w:val="auto"/>
                      <w:szCs w:val="21"/>
                    </w:rPr>
                    <w:t>1次/季度，按照国家相关噪声监测技术方法进行监测</w:t>
                  </w:r>
                </w:p>
              </w:tc>
              <w:tc>
                <w:tcPr>
                  <w:tcW w:w="1913" w:type="dxa"/>
                  <w:noWrap/>
                  <w:vAlign w:val="center"/>
                </w:tcPr>
                <w:p>
                  <w:pPr>
                    <w:jc w:val="center"/>
                    <w:rPr>
                      <w:color w:val="auto"/>
                      <w:szCs w:val="21"/>
                    </w:rPr>
                  </w:pPr>
                  <w:r>
                    <w:rPr>
                      <w:color w:val="auto"/>
                      <w:szCs w:val="21"/>
                    </w:rPr>
                    <w:t>《工业企业厂界环境噪声排放标准》（GB12348-2008）中</w:t>
                  </w:r>
                  <w:r>
                    <w:rPr>
                      <w:rFonts w:hint="eastAsia"/>
                      <w:color w:val="auto"/>
                      <w:szCs w:val="21"/>
                    </w:rPr>
                    <w:t>3</w:t>
                  </w:r>
                  <w:r>
                    <w:rPr>
                      <w:color w:val="auto"/>
                      <w:szCs w:val="21"/>
                    </w:rPr>
                    <w:t>类标准</w:t>
                  </w:r>
                </w:p>
              </w:tc>
            </w:tr>
          </w:tbl>
          <w:p>
            <w:pPr>
              <w:spacing w:line="360" w:lineRule="auto"/>
              <w:ind w:firstLine="482" w:firstLineChars="200"/>
              <w:rPr>
                <w:b/>
                <w:bCs/>
                <w:color w:val="auto"/>
                <w:sz w:val="24"/>
              </w:rPr>
            </w:pPr>
            <w:r>
              <w:rPr>
                <w:b/>
                <w:bCs/>
                <w:color w:val="auto"/>
                <w:sz w:val="24"/>
              </w:rPr>
              <w:t>四、固废环境影响及防治措施</w:t>
            </w:r>
          </w:p>
          <w:p>
            <w:pPr>
              <w:spacing w:line="360" w:lineRule="auto"/>
              <w:ind w:firstLine="482" w:firstLineChars="200"/>
              <w:rPr>
                <w:b/>
                <w:bCs/>
                <w:color w:val="auto"/>
                <w:sz w:val="24"/>
              </w:rPr>
            </w:pPr>
            <w:r>
              <w:rPr>
                <w:b/>
                <w:bCs/>
                <w:color w:val="auto"/>
                <w:sz w:val="24"/>
              </w:rPr>
              <w:t>1、固废产生情况</w:t>
            </w:r>
          </w:p>
          <w:p>
            <w:pPr>
              <w:spacing w:line="360" w:lineRule="auto"/>
              <w:ind w:firstLine="480" w:firstLineChars="200"/>
              <w:rPr>
                <w:color w:val="auto"/>
                <w:kern w:val="0"/>
                <w:sz w:val="24"/>
              </w:rPr>
            </w:pPr>
            <w:r>
              <w:rPr>
                <w:rFonts w:hint="eastAsia"/>
                <w:color w:val="auto"/>
                <w:kern w:val="0"/>
                <w:sz w:val="24"/>
              </w:rPr>
              <w:t>本项目运营期固体废物主要为分拣杂物、清洗泥渣、不合格粒料、废滤网、</w:t>
            </w:r>
            <w:r>
              <w:rPr>
                <w:rFonts w:hint="eastAsia"/>
                <w:color w:val="auto"/>
                <w:kern w:val="0"/>
                <w:sz w:val="24"/>
                <w:lang w:val="en-US" w:eastAsia="zh-CN"/>
              </w:rPr>
              <w:t>生产废水处理设施</w:t>
            </w:r>
            <w:r>
              <w:rPr>
                <w:rFonts w:hint="eastAsia"/>
                <w:color w:val="auto"/>
                <w:kern w:val="0"/>
                <w:sz w:val="24"/>
              </w:rPr>
              <w:t>污泥、废活性炭、废光氧管、废机油、生活垃圾等</w:t>
            </w:r>
            <w:r>
              <w:rPr>
                <w:color w:val="auto"/>
                <w:kern w:val="0"/>
                <w:sz w:val="24"/>
              </w:rPr>
              <w:t>。</w:t>
            </w:r>
          </w:p>
          <w:p>
            <w:pPr>
              <w:spacing w:line="360" w:lineRule="auto"/>
              <w:ind w:firstLine="482" w:firstLineChars="200"/>
              <w:rPr>
                <w:b/>
                <w:bCs/>
                <w:color w:val="auto"/>
                <w:sz w:val="24"/>
                <w:szCs w:val="20"/>
              </w:rPr>
            </w:pPr>
            <w:r>
              <w:rPr>
                <w:b/>
                <w:bCs/>
                <w:color w:val="auto"/>
                <w:sz w:val="24"/>
                <w:szCs w:val="20"/>
              </w:rPr>
              <w:t>（1）杂物</w:t>
            </w:r>
            <w:r>
              <w:rPr>
                <w:rFonts w:hint="eastAsia"/>
                <w:b/>
                <w:bCs/>
                <w:color w:val="auto"/>
                <w:sz w:val="24"/>
                <w:szCs w:val="20"/>
              </w:rPr>
              <w:t>（S1）</w:t>
            </w:r>
          </w:p>
          <w:p>
            <w:pPr>
              <w:spacing w:line="360" w:lineRule="auto"/>
              <w:ind w:firstLine="480" w:firstLineChars="200"/>
              <w:rPr>
                <w:color w:val="auto"/>
                <w:sz w:val="24"/>
                <w:szCs w:val="20"/>
              </w:rPr>
            </w:pPr>
            <w:r>
              <w:rPr>
                <w:color w:val="auto"/>
                <w:sz w:val="24"/>
                <w:szCs w:val="20"/>
              </w:rPr>
              <w:t>本项目外购的原料中携带少量杂物，</w:t>
            </w:r>
            <w:r>
              <w:rPr>
                <w:rFonts w:hint="eastAsia"/>
                <w:color w:val="auto"/>
                <w:sz w:val="24"/>
                <w:szCs w:val="20"/>
              </w:rPr>
              <w:t>原料收购后进行分类，同时再进行一次除杂。项目使用废塑料仅为PP废旧塑料和PE农用地膜、废编织袋等，杂质主要泥沙、废铁等，根据参考类比同类型项目，项目原料夹带物的产生量取总物料的1.3%。项目年处理废旧塑料5121.1t。则杂质产生量为66.57t/a，主要成分为泥沙及废铁等。收集后能回收利用的外卖给废品回收站，不能回收利用的及时清运至园区指定地点由环卫部门集中清运处置。</w:t>
            </w:r>
          </w:p>
          <w:p>
            <w:pPr>
              <w:spacing w:line="360" w:lineRule="auto"/>
              <w:ind w:firstLine="482" w:firstLineChars="200"/>
              <w:rPr>
                <w:b/>
                <w:bCs/>
                <w:color w:val="auto"/>
                <w:sz w:val="24"/>
                <w:szCs w:val="20"/>
              </w:rPr>
            </w:pPr>
            <w:r>
              <w:rPr>
                <w:b/>
                <w:bCs/>
                <w:color w:val="auto"/>
                <w:sz w:val="24"/>
                <w:szCs w:val="20"/>
              </w:rPr>
              <w:t>（2）清洗泥渣</w:t>
            </w:r>
            <w:r>
              <w:rPr>
                <w:rFonts w:hint="eastAsia"/>
                <w:b/>
                <w:bCs/>
                <w:color w:val="auto"/>
                <w:sz w:val="24"/>
                <w:szCs w:val="20"/>
              </w:rPr>
              <w:t>（S2）</w:t>
            </w:r>
          </w:p>
          <w:p>
            <w:pPr>
              <w:spacing w:line="360" w:lineRule="auto"/>
              <w:ind w:firstLine="480" w:firstLineChars="200"/>
              <w:rPr>
                <w:color w:val="auto"/>
                <w:sz w:val="24"/>
              </w:rPr>
            </w:pPr>
            <w:r>
              <w:rPr>
                <w:color w:val="auto"/>
                <w:sz w:val="24"/>
                <w:szCs w:val="20"/>
              </w:rPr>
              <w:t>本项目回收的废旧编织袋夹杂一定量的尘土，经清洗、破碎、脱水后，送入熔融挤出设备进行造粒。清洗废水经污水处理设施处理后回用，清洗泥渣</w:t>
            </w:r>
            <w:r>
              <w:rPr>
                <w:rFonts w:hint="eastAsia"/>
                <w:color w:val="auto"/>
                <w:sz w:val="24"/>
              </w:rPr>
              <w:t>根据《排放源统计调查产排污核算方法和手册》42废弃资源</w:t>
            </w:r>
            <w:r>
              <w:rPr>
                <w:rFonts w:hint="eastAsia" w:cs="宋体"/>
                <w:color w:val="auto"/>
                <w:kern w:val="0"/>
                <w:sz w:val="24"/>
                <w:lang w:bidi="ar"/>
              </w:rPr>
              <w:t>综合利用行业系数手册，</w:t>
            </w:r>
            <w:r>
              <w:rPr>
                <w:rFonts w:hint="eastAsia"/>
                <w:color w:val="auto"/>
                <w:sz w:val="24"/>
              </w:rPr>
              <w:t>以废PE/PP为原料、前端采用湿法破碎+清洗工艺的，其固废属于一般固体废物，固废产污系数为8.3千克/吨-原料。</w:t>
            </w:r>
            <w:r>
              <w:rPr>
                <w:rFonts w:hint="eastAsia" w:cs="宋体"/>
                <w:color w:val="auto"/>
                <w:kern w:val="0"/>
                <w:sz w:val="24"/>
                <w:lang w:bidi="ar"/>
              </w:rPr>
              <w:t>本项目原料使用量为5</w:t>
            </w:r>
            <w:r>
              <w:rPr>
                <w:color w:val="auto"/>
                <w:kern w:val="0"/>
                <w:sz w:val="24"/>
                <w:lang w:bidi="ar"/>
              </w:rPr>
              <w:t>12</w:t>
            </w:r>
            <w:r>
              <w:rPr>
                <w:rFonts w:hint="eastAsia"/>
                <w:color w:val="auto"/>
                <w:kern w:val="0"/>
                <w:sz w:val="24"/>
                <w:lang w:bidi="ar"/>
              </w:rPr>
              <w:t>1.1</w:t>
            </w:r>
            <w:r>
              <w:rPr>
                <w:color w:val="auto"/>
                <w:kern w:val="0"/>
                <w:sz w:val="24"/>
                <w:lang w:bidi="ar"/>
              </w:rPr>
              <w:t>t/a</w:t>
            </w:r>
            <w:r>
              <w:rPr>
                <w:rFonts w:hint="eastAsia"/>
                <w:color w:val="auto"/>
                <w:kern w:val="0"/>
                <w:sz w:val="24"/>
                <w:lang w:bidi="ar"/>
              </w:rPr>
              <w:t>，</w:t>
            </w:r>
            <w:r>
              <w:rPr>
                <w:rFonts w:hint="eastAsia"/>
                <w:color w:val="auto"/>
                <w:sz w:val="24"/>
                <w:szCs w:val="20"/>
              </w:rPr>
              <w:t>清洗泥渣</w:t>
            </w:r>
            <w:r>
              <w:rPr>
                <w:color w:val="auto"/>
                <w:sz w:val="24"/>
                <w:szCs w:val="20"/>
              </w:rPr>
              <w:t>产生量约为</w:t>
            </w:r>
            <w:r>
              <w:rPr>
                <w:rFonts w:hint="eastAsia"/>
                <w:color w:val="auto"/>
                <w:sz w:val="24"/>
                <w:szCs w:val="20"/>
              </w:rPr>
              <w:t>42.5</w:t>
            </w:r>
            <w:r>
              <w:rPr>
                <w:color w:val="auto"/>
                <w:sz w:val="24"/>
                <w:szCs w:val="20"/>
              </w:rPr>
              <w:t>t/a，</w:t>
            </w:r>
            <w:r>
              <w:rPr>
                <w:rFonts w:hint="eastAsia"/>
                <w:color w:val="auto"/>
                <w:sz w:val="24"/>
                <w:szCs w:val="20"/>
              </w:rPr>
              <w:t>收集后</w:t>
            </w:r>
            <w:r>
              <w:rPr>
                <w:color w:val="auto"/>
                <w:sz w:val="24"/>
              </w:rPr>
              <w:t>外售给当地砖厂制砖</w:t>
            </w:r>
            <w:r>
              <w:rPr>
                <w:rFonts w:hint="eastAsia"/>
                <w:color w:val="auto"/>
                <w:sz w:val="24"/>
                <w:szCs w:val="20"/>
              </w:rPr>
              <w:t>。</w:t>
            </w:r>
          </w:p>
          <w:p>
            <w:pPr>
              <w:widowControl/>
              <w:spacing w:line="360" w:lineRule="auto"/>
              <w:ind w:firstLine="482" w:firstLineChars="200"/>
              <w:jc w:val="left"/>
              <w:rPr>
                <w:b/>
                <w:bCs/>
                <w:color w:val="auto"/>
                <w:sz w:val="24"/>
              </w:rPr>
            </w:pPr>
            <w:r>
              <w:rPr>
                <w:b/>
                <w:bCs/>
                <w:color w:val="auto"/>
                <w:sz w:val="24"/>
                <w:szCs w:val="20"/>
              </w:rPr>
              <w:t>（</w:t>
            </w:r>
            <w:r>
              <w:rPr>
                <w:rFonts w:hint="eastAsia"/>
                <w:b/>
                <w:bCs/>
                <w:color w:val="auto"/>
                <w:sz w:val="24"/>
                <w:szCs w:val="20"/>
              </w:rPr>
              <w:t>3</w:t>
            </w:r>
            <w:r>
              <w:rPr>
                <w:b/>
                <w:bCs/>
                <w:color w:val="auto"/>
                <w:sz w:val="24"/>
                <w:szCs w:val="20"/>
              </w:rPr>
              <w:t>）</w:t>
            </w:r>
            <w:r>
              <w:rPr>
                <w:rFonts w:hint="eastAsia" w:cs="宋体"/>
                <w:b/>
                <w:bCs/>
                <w:color w:val="auto"/>
                <w:kern w:val="0"/>
                <w:sz w:val="24"/>
                <w:lang w:bidi="ar"/>
              </w:rPr>
              <w:t>不合格粒料（S4）</w:t>
            </w:r>
          </w:p>
          <w:p>
            <w:pPr>
              <w:widowControl/>
              <w:spacing w:line="360" w:lineRule="auto"/>
              <w:ind w:firstLine="480" w:firstLineChars="200"/>
              <w:jc w:val="left"/>
              <w:rPr>
                <w:color w:val="auto"/>
                <w:sz w:val="24"/>
                <w:szCs w:val="20"/>
              </w:rPr>
            </w:pPr>
            <w:r>
              <w:rPr>
                <w:rFonts w:hint="eastAsia" w:cs="宋体"/>
                <w:color w:val="auto"/>
                <w:kern w:val="0"/>
                <w:sz w:val="24"/>
                <w:lang w:bidi="ar"/>
              </w:rPr>
              <w:t xml:space="preserve">本项目切粒时无法保证都能满足产品质量标准，不合格产品均返回热熔挤出机重新热熔生产。根据《排放源统计调查产排污核算方法和系数手册》（生态环境部公告 </w:t>
            </w:r>
            <w:r>
              <w:rPr>
                <w:color w:val="auto"/>
                <w:kern w:val="0"/>
                <w:sz w:val="24"/>
                <w:lang w:bidi="ar"/>
              </w:rPr>
              <w:t>2021</w:t>
            </w:r>
            <w:r>
              <w:rPr>
                <w:rFonts w:hint="eastAsia" w:cs="宋体"/>
                <w:color w:val="auto"/>
                <w:kern w:val="0"/>
                <w:sz w:val="24"/>
                <w:lang w:bidi="ar"/>
              </w:rPr>
              <w:t>年 第</w:t>
            </w:r>
            <w:r>
              <w:rPr>
                <w:color w:val="auto"/>
                <w:kern w:val="0"/>
                <w:sz w:val="24"/>
                <w:lang w:bidi="ar"/>
              </w:rPr>
              <w:t>24</w:t>
            </w:r>
            <w:r>
              <w:rPr>
                <w:rFonts w:hint="eastAsia" w:cs="宋体"/>
                <w:color w:val="auto"/>
                <w:kern w:val="0"/>
                <w:sz w:val="24"/>
                <w:lang w:bidi="ar"/>
              </w:rPr>
              <w:t>号）中“</w:t>
            </w:r>
            <w:r>
              <w:rPr>
                <w:color w:val="auto"/>
                <w:kern w:val="0"/>
                <w:sz w:val="24"/>
                <w:lang w:bidi="ar"/>
              </w:rPr>
              <w:t xml:space="preserve">42 </w:t>
            </w:r>
            <w:r>
              <w:rPr>
                <w:rFonts w:hint="eastAsia" w:cs="宋体"/>
                <w:color w:val="auto"/>
                <w:kern w:val="0"/>
                <w:sz w:val="24"/>
                <w:lang w:bidi="ar"/>
              </w:rPr>
              <w:t>废弃资源综合利用行业系数手册”，以“废</w:t>
            </w:r>
            <w:r>
              <w:rPr>
                <w:color w:val="auto"/>
                <w:kern w:val="0"/>
                <w:sz w:val="24"/>
                <w:lang w:bidi="ar"/>
              </w:rPr>
              <w:t>PE/PP</w:t>
            </w:r>
            <w:r>
              <w:rPr>
                <w:rFonts w:hint="eastAsia" w:cs="宋体"/>
                <w:color w:val="auto"/>
                <w:kern w:val="0"/>
                <w:sz w:val="24"/>
                <w:lang w:bidi="ar"/>
              </w:rPr>
              <w:t>”为原料通过挤出造粒工艺生产再生塑料粒子的，其固废属一般固体废物，固废产污系数为</w:t>
            </w:r>
            <w:r>
              <w:rPr>
                <w:color w:val="auto"/>
                <w:kern w:val="0"/>
                <w:sz w:val="24"/>
                <w:lang w:bidi="ar"/>
              </w:rPr>
              <w:t>11.9</w:t>
            </w:r>
            <w:r>
              <w:rPr>
                <w:rFonts w:hint="eastAsia" w:cs="宋体"/>
                <w:color w:val="auto"/>
                <w:kern w:val="0"/>
                <w:sz w:val="24"/>
                <w:lang w:bidi="ar"/>
              </w:rPr>
              <w:t>千克</w:t>
            </w:r>
            <w:r>
              <w:rPr>
                <w:color w:val="auto"/>
                <w:kern w:val="0"/>
                <w:sz w:val="24"/>
                <w:lang w:bidi="ar"/>
              </w:rPr>
              <w:t>/</w:t>
            </w:r>
            <w:r>
              <w:rPr>
                <w:rFonts w:hint="eastAsia" w:cs="宋体"/>
                <w:color w:val="auto"/>
                <w:kern w:val="0"/>
                <w:sz w:val="24"/>
                <w:lang w:bidi="ar"/>
              </w:rPr>
              <w:t>吨</w:t>
            </w:r>
            <w:r>
              <w:rPr>
                <w:color w:val="auto"/>
                <w:kern w:val="0"/>
                <w:sz w:val="24"/>
                <w:lang w:bidi="ar"/>
              </w:rPr>
              <w:t>-</w:t>
            </w:r>
            <w:r>
              <w:rPr>
                <w:rFonts w:hint="eastAsia" w:cs="宋体"/>
                <w:color w:val="auto"/>
                <w:kern w:val="0"/>
                <w:sz w:val="24"/>
                <w:lang w:bidi="ar"/>
              </w:rPr>
              <w:t>原料。本项目原料使用量为5</w:t>
            </w:r>
            <w:r>
              <w:rPr>
                <w:color w:val="auto"/>
                <w:kern w:val="0"/>
                <w:sz w:val="24"/>
                <w:lang w:bidi="ar"/>
              </w:rPr>
              <w:t>12</w:t>
            </w:r>
            <w:r>
              <w:rPr>
                <w:rFonts w:hint="eastAsia"/>
                <w:color w:val="auto"/>
                <w:kern w:val="0"/>
                <w:sz w:val="24"/>
                <w:lang w:bidi="ar"/>
              </w:rPr>
              <w:t>1</w:t>
            </w:r>
            <w:r>
              <w:rPr>
                <w:color w:val="auto"/>
                <w:kern w:val="0"/>
                <w:sz w:val="24"/>
                <w:lang w:bidi="ar"/>
              </w:rPr>
              <w:t>.</w:t>
            </w:r>
            <w:r>
              <w:rPr>
                <w:rFonts w:hint="eastAsia"/>
                <w:color w:val="auto"/>
                <w:kern w:val="0"/>
                <w:sz w:val="24"/>
                <w:lang w:bidi="ar"/>
              </w:rPr>
              <w:t>1</w:t>
            </w:r>
            <w:r>
              <w:rPr>
                <w:color w:val="auto"/>
                <w:kern w:val="0"/>
                <w:sz w:val="24"/>
                <w:lang w:bidi="ar"/>
              </w:rPr>
              <w:t>t/a</w:t>
            </w:r>
            <w:r>
              <w:rPr>
                <w:rFonts w:hint="eastAsia" w:cs="宋体"/>
                <w:color w:val="auto"/>
                <w:kern w:val="0"/>
                <w:sz w:val="24"/>
                <w:lang w:bidi="ar"/>
              </w:rPr>
              <w:t>，则挤出工序不合格塑料粒子产生量为</w:t>
            </w:r>
            <w:r>
              <w:rPr>
                <w:rFonts w:hint="eastAsia"/>
                <w:color w:val="auto"/>
                <w:kern w:val="0"/>
                <w:sz w:val="24"/>
                <w:lang w:bidi="ar"/>
              </w:rPr>
              <w:t>60.94</w:t>
            </w:r>
            <w:r>
              <w:rPr>
                <w:color w:val="auto"/>
                <w:kern w:val="0"/>
                <w:sz w:val="24"/>
                <w:lang w:bidi="ar"/>
              </w:rPr>
              <w:t>t/a</w:t>
            </w:r>
            <w:r>
              <w:rPr>
                <w:rFonts w:hint="eastAsia" w:cs="宋体"/>
                <w:color w:val="auto"/>
                <w:kern w:val="0"/>
                <w:sz w:val="24"/>
                <w:lang w:bidi="ar"/>
              </w:rPr>
              <w:t>，不合格产品返回生产。</w:t>
            </w:r>
          </w:p>
          <w:p>
            <w:pPr>
              <w:spacing w:line="360" w:lineRule="auto"/>
              <w:ind w:firstLine="482" w:firstLineChars="200"/>
              <w:rPr>
                <w:b/>
                <w:bCs/>
                <w:color w:val="auto"/>
                <w:sz w:val="24"/>
                <w:szCs w:val="20"/>
              </w:rPr>
            </w:pPr>
            <w:r>
              <w:rPr>
                <w:rFonts w:hint="eastAsia"/>
                <w:b/>
                <w:bCs/>
                <w:color w:val="auto"/>
                <w:sz w:val="24"/>
                <w:szCs w:val="20"/>
              </w:rPr>
              <w:t>（4）</w:t>
            </w:r>
            <w:r>
              <w:rPr>
                <w:b/>
                <w:bCs/>
                <w:color w:val="auto"/>
                <w:sz w:val="24"/>
                <w:szCs w:val="20"/>
              </w:rPr>
              <w:t>废滤网</w:t>
            </w:r>
            <w:r>
              <w:rPr>
                <w:rFonts w:hint="eastAsia"/>
                <w:b/>
                <w:bCs/>
                <w:color w:val="auto"/>
                <w:sz w:val="24"/>
                <w:szCs w:val="20"/>
              </w:rPr>
              <w:t>（S3）</w:t>
            </w:r>
          </w:p>
          <w:p>
            <w:pPr>
              <w:spacing w:line="360" w:lineRule="auto"/>
              <w:ind w:firstLine="480" w:firstLineChars="200"/>
              <w:rPr>
                <w:color w:val="auto"/>
                <w:kern w:val="0"/>
                <w:sz w:val="24"/>
              </w:rPr>
            </w:pPr>
            <w:r>
              <w:rPr>
                <w:color w:val="auto"/>
                <w:sz w:val="24"/>
                <w:szCs w:val="20"/>
              </w:rPr>
              <w:t>废旧塑料中混有其他杂质，为防止损坏造粒设备和降低产品质量，塑料在高温熔化后、挤出之前必须经过细丝网过筛。挤出机中的过滤筛网又名铁丝网，材质是低碳钢烧丝。熔融挤出设备在运行一段时间后，滤网会被塑料堵塞，需要定期更换。造粒设备上有2道滤网，4~5h更换一次，每天换4次，</w:t>
            </w:r>
            <w:r>
              <w:rPr>
                <w:rFonts w:hint="eastAsia"/>
                <w:color w:val="auto"/>
                <w:sz w:val="24"/>
                <w:szCs w:val="20"/>
              </w:rPr>
              <w:t>共6台造粒设备，</w:t>
            </w:r>
            <w:r>
              <w:rPr>
                <w:color w:val="auto"/>
                <w:sz w:val="24"/>
                <w:szCs w:val="20"/>
              </w:rPr>
              <w:t>每天更换滤网约</w:t>
            </w:r>
            <w:r>
              <w:rPr>
                <w:rFonts w:hint="eastAsia"/>
                <w:color w:val="auto"/>
                <w:sz w:val="24"/>
                <w:szCs w:val="20"/>
              </w:rPr>
              <w:t>48</w:t>
            </w:r>
            <w:r>
              <w:rPr>
                <w:color w:val="auto"/>
                <w:sz w:val="24"/>
                <w:szCs w:val="20"/>
              </w:rPr>
              <w:t>片，年更换滤网约</w:t>
            </w:r>
            <w:r>
              <w:rPr>
                <w:rFonts w:hint="eastAsia"/>
                <w:color w:val="auto"/>
                <w:sz w:val="24"/>
                <w:szCs w:val="20"/>
              </w:rPr>
              <w:t>14400</w:t>
            </w:r>
            <w:r>
              <w:rPr>
                <w:color w:val="auto"/>
                <w:sz w:val="24"/>
                <w:szCs w:val="20"/>
              </w:rPr>
              <w:t>片，每个废滤网重约0.0</w:t>
            </w:r>
            <w:r>
              <w:rPr>
                <w:rFonts w:hint="eastAsia"/>
                <w:color w:val="auto"/>
                <w:sz w:val="24"/>
                <w:szCs w:val="20"/>
              </w:rPr>
              <w:t>8</w:t>
            </w:r>
            <w:r>
              <w:rPr>
                <w:color w:val="auto"/>
                <w:sz w:val="24"/>
                <w:szCs w:val="20"/>
              </w:rPr>
              <w:t>kg，则废滤网为</w:t>
            </w:r>
            <w:r>
              <w:rPr>
                <w:rFonts w:hint="eastAsia"/>
                <w:color w:val="auto"/>
                <w:sz w:val="24"/>
                <w:szCs w:val="20"/>
              </w:rPr>
              <w:t>1.17</w:t>
            </w:r>
            <w:r>
              <w:rPr>
                <w:color w:val="auto"/>
                <w:sz w:val="24"/>
                <w:szCs w:val="20"/>
              </w:rPr>
              <w:t>t/a</w:t>
            </w:r>
            <w:r>
              <w:rPr>
                <w:color w:val="auto"/>
                <w:kern w:val="0"/>
                <w:sz w:val="24"/>
              </w:rPr>
              <w:t>，主要为不可回用的废旧塑料等杂质。根据《废塑料加工利用污染防治管理规定》：废塑料加工利用单位应当以环境无害化方式处理废塑料加工利用过程产生的残余垃圾、滤网；禁止交不符合环保要求的单位或个人处置。废滤网禁止露天焚烧，设置240L带盖垃圾收集桶，废滤网经建设单位集中收集后外售合法且具备废滤网回收再生能力的单位回收处置。</w:t>
            </w:r>
          </w:p>
          <w:p>
            <w:pPr>
              <w:spacing w:line="360" w:lineRule="auto"/>
              <w:ind w:firstLine="482" w:firstLineChars="200"/>
              <w:rPr>
                <w:b/>
                <w:bCs/>
                <w:color w:val="auto"/>
                <w:sz w:val="24"/>
              </w:rPr>
            </w:pPr>
            <w:r>
              <w:rPr>
                <w:rFonts w:hint="eastAsia"/>
                <w:b/>
                <w:bCs/>
                <w:color w:val="auto"/>
                <w:sz w:val="24"/>
              </w:rPr>
              <w:t>（5）</w:t>
            </w:r>
            <w:r>
              <w:rPr>
                <w:rFonts w:hint="eastAsia"/>
                <w:b/>
                <w:bCs/>
                <w:color w:val="auto"/>
                <w:sz w:val="24"/>
                <w:lang w:val="en-US" w:eastAsia="zh-CN"/>
              </w:rPr>
              <w:t>生产废水处理设施</w:t>
            </w:r>
            <w:r>
              <w:rPr>
                <w:rFonts w:hint="eastAsia"/>
                <w:b/>
                <w:bCs/>
                <w:color w:val="auto"/>
                <w:sz w:val="24"/>
              </w:rPr>
              <w:t>污泥</w:t>
            </w:r>
          </w:p>
          <w:p>
            <w:pPr>
              <w:spacing w:line="360" w:lineRule="auto"/>
              <w:ind w:firstLine="480" w:firstLineChars="200"/>
              <w:rPr>
                <w:b/>
                <w:bCs/>
                <w:color w:val="auto"/>
                <w:sz w:val="24"/>
                <w:szCs w:val="20"/>
              </w:rPr>
            </w:pPr>
            <w:r>
              <w:rPr>
                <w:rFonts w:hint="eastAsia"/>
                <w:color w:val="auto"/>
                <w:sz w:val="24"/>
              </w:rPr>
              <w:t>项目</w:t>
            </w:r>
            <w:r>
              <w:rPr>
                <w:rFonts w:hint="eastAsia"/>
                <w:color w:val="auto"/>
                <w:sz w:val="24"/>
                <w:lang w:val="en-US" w:eastAsia="zh-CN"/>
              </w:rPr>
              <w:t>生产废水处理设施</w:t>
            </w:r>
            <w:r>
              <w:rPr>
                <w:rFonts w:hint="eastAsia"/>
                <w:color w:val="auto"/>
                <w:sz w:val="24"/>
              </w:rPr>
              <w:t>产生的污泥量不大，主要含塑料渣、泥沙等污泥，不含危险废物，根据</w:t>
            </w:r>
            <w:r>
              <w:rPr>
                <w:rFonts w:hint="eastAsia"/>
                <w:color w:val="auto"/>
                <w:sz w:val="24"/>
                <w:lang w:val="en-US" w:eastAsia="zh-CN"/>
              </w:rPr>
              <w:t>生产废水处理设施</w:t>
            </w:r>
            <w:r>
              <w:rPr>
                <w:rFonts w:hint="eastAsia"/>
                <w:color w:val="auto"/>
                <w:sz w:val="24"/>
              </w:rPr>
              <w:t>进出水浓度计算，SS的产生量=5259m</w:t>
            </w:r>
            <w:r>
              <w:rPr>
                <w:rFonts w:hint="eastAsia"/>
                <w:color w:val="auto"/>
                <w:sz w:val="24"/>
                <w:vertAlign w:val="superscript"/>
              </w:rPr>
              <w:t>3</w:t>
            </w:r>
            <w:r>
              <w:rPr>
                <w:rFonts w:hint="eastAsia"/>
                <w:color w:val="auto"/>
                <w:sz w:val="24"/>
              </w:rPr>
              <w:t>/a×（500-25）mg/L=2.49t/a，因此本项目干污泥的产生量为2.49t/a，本项目经</w:t>
            </w:r>
            <w:r>
              <w:rPr>
                <w:rFonts w:hint="eastAsia"/>
                <w:color w:val="auto"/>
                <w:sz w:val="24"/>
                <w:lang w:val="en-US" w:eastAsia="zh-CN"/>
              </w:rPr>
              <w:t>进入污泥暂存池的</w:t>
            </w:r>
            <w:r>
              <w:rPr>
                <w:rFonts w:hint="eastAsia"/>
                <w:color w:val="auto"/>
                <w:sz w:val="24"/>
              </w:rPr>
              <w:t>污泥含水率取70%，因此本项目污泥产生量为8.3t/a。污泥进入污泥暂存池暂存（污泥池容积按照30天污泥量进行设置），</w:t>
            </w:r>
            <w:r>
              <w:rPr>
                <w:rFonts w:hint="eastAsia"/>
                <w:color w:val="auto"/>
                <w:sz w:val="24"/>
                <w:lang w:val="en-US" w:eastAsia="zh-CN"/>
              </w:rPr>
              <w:t>经鉴定后再处置，若为Ⅰ类一般固废外售当地砖厂制砖，否则按相关要求委托资质单位处置。</w:t>
            </w:r>
          </w:p>
          <w:p>
            <w:pPr>
              <w:spacing w:line="360" w:lineRule="auto"/>
              <w:ind w:firstLine="482" w:firstLineChars="200"/>
              <w:rPr>
                <w:b/>
                <w:bCs/>
                <w:color w:val="auto"/>
                <w:sz w:val="24"/>
                <w:szCs w:val="20"/>
              </w:rPr>
            </w:pPr>
            <w:r>
              <w:rPr>
                <w:b/>
                <w:bCs/>
                <w:color w:val="auto"/>
                <w:sz w:val="24"/>
                <w:szCs w:val="20"/>
              </w:rPr>
              <w:t>（</w:t>
            </w:r>
            <w:r>
              <w:rPr>
                <w:rFonts w:hint="eastAsia"/>
                <w:b/>
                <w:bCs/>
                <w:color w:val="auto"/>
                <w:sz w:val="24"/>
                <w:szCs w:val="20"/>
              </w:rPr>
              <w:t>6</w:t>
            </w:r>
            <w:r>
              <w:rPr>
                <w:b/>
                <w:bCs/>
                <w:color w:val="auto"/>
                <w:sz w:val="24"/>
                <w:szCs w:val="20"/>
              </w:rPr>
              <w:t>）废活性炭</w:t>
            </w:r>
          </w:p>
          <w:p>
            <w:pPr>
              <w:spacing w:line="360" w:lineRule="auto"/>
              <w:ind w:firstLine="480" w:firstLineChars="200"/>
              <w:rPr>
                <w:color w:val="auto"/>
                <w:sz w:val="24"/>
              </w:rPr>
            </w:pPr>
            <w:r>
              <w:rPr>
                <w:color w:val="auto"/>
                <w:sz w:val="24"/>
              </w:rPr>
              <w:t>根据《简明通风设计手册》，活性炭对有机废气的有效吸附量：qe=250g/kg活性炭，本次评价有效吸附量效率保守按200g/kg活性炭计算。本项目经活性炭吸附装置处理的有机废气为0.</w:t>
            </w:r>
            <w:r>
              <w:rPr>
                <w:rFonts w:hint="eastAsia"/>
                <w:color w:val="auto"/>
                <w:sz w:val="24"/>
              </w:rPr>
              <w:t>7464</w:t>
            </w:r>
            <w:r>
              <w:rPr>
                <w:color w:val="auto"/>
                <w:sz w:val="24"/>
              </w:rPr>
              <w:t>t/a，需活性炭</w:t>
            </w:r>
            <w:r>
              <w:rPr>
                <w:rFonts w:hint="eastAsia"/>
                <w:color w:val="auto"/>
                <w:sz w:val="24"/>
              </w:rPr>
              <w:t>3.732t</w:t>
            </w:r>
            <w:r>
              <w:rPr>
                <w:color w:val="auto"/>
                <w:sz w:val="24"/>
              </w:rPr>
              <w:t>/a。因此预计废活性炭产生量（含吸附废气量）约</w:t>
            </w:r>
            <w:r>
              <w:rPr>
                <w:rFonts w:hint="eastAsia"/>
                <w:color w:val="auto"/>
                <w:sz w:val="24"/>
              </w:rPr>
              <w:t>4.4784</w:t>
            </w:r>
            <w:r>
              <w:rPr>
                <w:color w:val="auto"/>
                <w:sz w:val="24"/>
              </w:rPr>
              <w:t>/a。查阅《国家危险废物名录（2021版）》，本项目产生的废活性</w:t>
            </w:r>
            <w:r>
              <w:rPr>
                <w:rFonts w:hint="eastAsia"/>
                <w:color w:val="auto"/>
                <w:sz w:val="24"/>
                <w:lang w:eastAsia="zh-CN"/>
              </w:rPr>
              <w:t>炭</w:t>
            </w:r>
            <w:r>
              <w:rPr>
                <w:color w:val="auto"/>
                <w:sz w:val="24"/>
              </w:rPr>
              <w:t>为“HW49其他废物”中“900-041-49含有或沾染毒性、感染性危险废物的废弃包装物、容器、过滤吸附介质”</w:t>
            </w:r>
            <w:r>
              <w:rPr>
                <w:rFonts w:hint="eastAsia"/>
                <w:color w:val="auto"/>
                <w:sz w:val="24"/>
              </w:rPr>
              <w:t>；</w:t>
            </w:r>
            <w:r>
              <w:rPr>
                <w:color w:val="auto"/>
                <w:sz w:val="24"/>
              </w:rPr>
              <w:t>危险特性为T毒性</w:t>
            </w:r>
            <w:r>
              <w:rPr>
                <w:rFonts w:hint="eastAsia"/>
                <w:color w:val="auto"/>
                <w:sz w:val="24"/>
              </w:rPr>
              <w:t>。</w:t>
            </w:r>
            <w:r>
              <w:rPr>
                <w:color w:val="auto"/>
                <w:sz w:val="24"/>
              </w:rPr>
              <w:t>项目设置一间10m</w:t>
            </w:r>
            <w:r>
              <w:rPr>
                <w:color w:val="auto"/>
                <w:sz w:val="24"/>
                <w:vertAlign w:val="superscript"/>
              </w:rPr>
              <w:t>2</w:t>
            </w:r>
            <w:r>
              <w:rPr>
                <w:color w:val="auto"/>
                <w:sz w:val="24"/>
              </w:rPr>
              <w:t>的危废暂存间，废活性炭经建设单位用专用容器收集后暂存于危废暂存间，委托有资质单位清运处置。</w:t>
            </w:r>
          </w:p>
          <w:p>
            <w:pPr>
              <w:pStyle w:val="11"/>
              <w:ind w:firstLine="498" w:firstLineChars="200"/>
              <w:jc w:val="both"/>
              <w:rPr>
                <w:b/>
                <w:bCs/>
                <w:color w:val="auto"/>
              </w:rPr>
            </w:pPr>
            <w:r>
              <w:rPr>
                <w:rFonts w:hint="eastAsia"/>
                <w:b/>
                <w:bCs/>
                <w:color w:val="auto"/>
              </w:rPr>
              <w:t>（</w:t>
            </w:r>
            <w:r>
              <w:rPr>
                <w:rFonts w:hint="eastAsia"/>
                <w:b/>
                <w:bCs/>
                <w:color w:val="auto"/>
                <w:lang w:val="en-US"/>
              </w:rPr>
              <w:t>7</w:t>
            </w:r>
            <w:r>
              <w:rPr>
                <w:rFonts w:hint="eastAsia"/>
                <w:b/>
                <w:bCs/>
                <w:color w:val="auto"/>
              </w:rPr>
              <w:t>）废光氧管</w:t>
            </w:r>
          </w:p>
          <w:p>
            <w:pPr>
              <w:widowControl/>
              <w:adjustRightInd w:val="0"/>
              <w:snapToGrid w:val="0"/>
              <w:spacing w:line="360" w:lineRule="auto"/>
              <w:ind w:firstLine="480" w:firstLineChars="200"/>
              <w:jc w:val="left"/>
              <w:rPr>
                <w:color w:val="auto"/>
                <w:sz w:val="24"/>
                <w:szCs w:val="30"/>
              </w:rPr>
            </w:pPr>
            <w:r>
              <w:rPr>
                <w:rFonts w:hint="eastAsia"/>
                <w:color w:val="auto"/>
                <w:sz w:val="24"/>
                <w:szCs w:val="30"/>
              </w:rPr>
              <w:t>项目热熔挤压废气采用光氧装置处理，项目在运营过程中会产生少量故障的废光氧管，光氧</w:t>
            </w:r>
            <w:r>
              <w:rPr>
                <w:rFonts w:hint="eastAsia" w:cs="宋体"/>
                <w:color w:val="auto"/>
                <w:kern w:val="0"/>
                <w:sz w:val="24"/>
                <w:lang w:bidi="ar"/>
              </w:rPr>
              <w:t>装置灯管使用寿命约为</w:t>
            </w:r>
            <w:r>
              <w:rPr>
                <w:color w:val="auto"/>
                <w:kern w:val="0"/>
                <w:sz w:val="24"/>
                <w:lang w:bidi="ar"/>
              </w:rPr>
              <w:t>3000~4000h</w:t>
            </w:r>
            <w:r>
              <w:rPr>
                <w:rFonts w:hint="eastAsia" w:cs="宋体"/>
                <w:color w:val="auto"/>
                <w:kern w:val="0"/>
                <w:sz w:val="24"/>
                <w:lang w:bidi="ar"/>
              </w:rPr>
              <w:t>，取</w:t>
            </w:r>
            <w:r>
              <w:rPr>
                <w:color w:val="auto"/>
                <w:kern w:val="0"/>
                <w:sz w:val="24"/>
                <w:lang w:bidi="ar"/>
              </w:rPr>
              <w:t>3</w:t>
            </w:r>
            <w:r>
              <w:rPr>
                <w:rFonts w:hint="eastAsia"/>
                <w:color w:val="auto"/>
                <w:kern w:val="0"/>
                <w:sz w:val="24"/>
                <w:lang w:bidi="ar"/>
              </w:rPr>
              <w:t>0</w:t>
            </w:r>
            <w:r>
              <w:rPr>
                <w:color w:val="auto"/>
                <w:kern w:val="0"/>
                <w:sz w:val="24"/>
                <w:lang w:bidi="ar"/>
              </w:rPr>
              <w:t>00h</w:t>
            </w:r>
            <w:r>
              <w:rPr>
                <w:rFonts w:hint="eastAsia" w:cs="宋体"/>
                <w:color w:val="auto"/>
                <w:kern w:val="0"/>
                <w:sz w:val="24"/>
                <w:lang w:bidi="ar"/>
              </w:rPr>
              <w:t>，本项目每年工作时间为</w:t>
            </w:r>
            <w:r>
              <w:rPr>
                <w:rFonts w:hint="eastAsia"/>
                <w:color w:val="auto"/>
                <w:kern w:val="0"/>
                <w:sz w:val="24"/>
                <w:lang w:bidi="ar"/>
              </w:rPr>
              <w:t>4800</w:t>
            </w:r>
            <w:r>
              <w:rPr>
                <w:color w:val="auto"/>
                <w:kern w:val="0"/>
                <w:sz w:val="24"/>
                <w:lang w:bidi="ar"/>
              </w:rPr>
              <w:t>h</w:t>
            </w:r>
            <w:r>
              <w:rPr>
                <w:rFonts w:hint="eastAsia" w:cs="宋体"/>
                <w:color w:val="auto"/>
                <w:kern w:val="0"/>
                <w:sz w:val="24"/>
                <w:lang w:bidi="ar"/>
              </w:rPr>
              <w:t>，则每年大约需更换</w:t>
            </w:r>
            <w:r>
              <w:rPr>
                <w:color w:val="auto"/>
                <w:kern w:val="0"/>
                <w:sz w:val="24"/>
                <w:lang w:bidi="ar"/>
              </w:rPr>
              <w:t>2</w:t>
            </w:r>
            <w:r>
              <w:rPr>
                <w:rFonts w:hint="eastAsia" w:cs="宋体"/>
                <w:color w:val="auto"/>
                <w:kern w:val="0"/>
                <w:sz w:val="24"/>
                <w:lang w:bidi="ar"/>
              </w:rPr>
              <w:t>次灯管，每次更换的灯管重约</w:t>
            </w:r>
            <w:r>
              <w:rPr>
                <w:color w:val="auto"/>
                <w:kern w:val="0"/>
                <w:sz w:val="24"/>
                <w:lang w:bidi="ar"/>
              </w:rPr>
              <w:t>0.02t</w:t>
            </w:r>
            <w:r>
              <w:rPr>
                <w:rFonts w:hint="eastAsia" w:cs="宋体"/>
                <w:color w:val="auto"/>
                <w:kern w:val="0"/>
                <w:sz w:val="24"/>
                <w:lang w:bidi="ar"/>
              </w:rPr>
              <w:t>，即本项目废光氧管产生量为</w:t>
            </w:r>
            <w:r>
              <w:rPr>
                <w:color w:val="auto"/>
                <w:kern w:val="0"/>
                <w:sz w:val="24"/>
                <w:lang w:bidi="ar"/>
              </w:rPr>
              <w:t>0.04t/a</w:t>
            </w:r>
            <w:r>
              <w:rPr>
                <w:rFonts w:hint="eastAsia" w:cs="宋体"/>
                <w:color w:val="auto"/>
                <w:kern w:val="0"/>
                <w:sz w:val="24"/>
                <w:lang w:bidi="ar"/>
              </w:rPr>
              <w:t>。</w:t>
            </w:r>
            <w:r>
              <w:rPr>
                <w:rFonts w:hint="eastAsia"/>
                <w:color w:val="auto"/>
                <w:sz w:val="24"/>
                <w:szCs w:val="30"/>
              </w:rPr>
              <w:t>根据《国家危险废物名录》（2021年版），废光氧管属于危险废物，废物类别为HW29，废物代码为900-023-29“生产、销售及使用过程中产生的废含汞荧光灯管及其他废含汞电光源”。项目生产过程中发生故障的废光氧管联系厂家进行更换处理，更换后的废光氧管暂存危废间，交由资质单位处置。</w:t>
            </w:r>
          </w:p>
          <w:p>
            <w:pPr>
              <w:pStyle w:val="93"/>
              <w:ind w:firstLine="482"/>
              <w:rPr>
                <w:rFonts w:ascii="Times New Roman" w:hAnsi="Times New Roman"/>
                <w:b/>
                <w:bCs/>
                <w:color w:val="auto"/>
              </w:rPr>
            </w:pPr>
            <w:r>
              <w:rPr>
                <w:rFonts w:ascii="Times New Roman" w:hAnsi="Times New Roman"/>
                <w:b/>
                <w:bCs/>
                <w:color w:val="auto"/>
              </w:rPr>
              <w:t>（</w:t>
            </w:r>
            <w:r>
              <w:rPr>
                <w:rFonts w:hint="eastAsia" w:ascii="Times New Roman" w:hAnsi="Times New Roman"/>
                <w:b/>
                <w:bCs/>
                <w:color w:val="auto"/>
              </w:rPr>
              <w:t>8</w:t>
            </w:r>
            <w:r>
              <w:rPr>
                <w:rFonts w:ascii="Times New Roman" w:hAnsi="Times New Roman"/>
                <w:b/>
                <w:bCs/>
                <w:color w:val="auto"/>
              </w:rPr>
              <w:t>）废机油</w:t>
            </w:r>
          </w:p>
          <w:p>
            <w:pPr>
              <w:pStyle w:val="93"/>
              <w:ind w:firstLine="480"/>
              <w:rPr>
                <w:rFonts w:ascii="Times New Roman" w:hAnsi="Times New Roman"/>
                <w:color w:val="auto"/>
              </w:rPr>
            </w:pPr>
            <w:r>
              <w:rPr>
                <w:rFonts w:ascii="Times New Roman" w:hAnsi="Times New Roman"/>
                <w:color w:val="auto"/>
              </w:rPr>
              <w:t>项目使用的设备主要为清洗机、提料甩干机、熔融机、切粒机</w:t>
            </w:r>
            <w:r>
              <w:rPr>
                <w:rFonts w:hint="eastAsia" w:ascii="Times New Roman" w:hAnsi="Times New Roman"/>
                <w:color w:val="auto"/>
              </w:rPr>
              <w:t>等</w:t>
            </w:r>
            <w:r>
              <w:rPr>
                <w:rFonts w:ascii="Times New Roman" w:hAnsi="Times New Roman"/>
                <w:color w:val="auto"/>
              </w:rPr>
              <w:t>，</w:t>
            </w:r>
            <w:r>
              <w:rPr>
                <w:rFonts w:hint="eastAsia" w:ascii="Times New Roman" w:hAnsi="Times New Roman"/>
                <w:color w:val="auto"/>
              </w:rPr>
              <w:t>在日常维护中会产生废机油，</w:t>
            </w:r>
            <w:r>
              <w:rPr>
                <w:rFonts w:ascii="Times New Roman" w:hAnsi="Times New Roman"/>
                <w:color w:val="auto"/>
              </w:rPr>
              <w:t>项目废机油产生量很小，年产生量约</w:t>
            </w:r>
            <w:r>
              <w:rPr>
                <w:rFonts w:ascii="Times New Roman" w:hAnsi="Times New Roman"/>
                <w:color w:val="auto"/>
                <w:szCs w:val="24"/>
              </w:rPr>
              <w:t>0.2t/a</w:t>
            </w:r>
            <w:r>
              <w:rPr>
                <w:rFonts w:hint="eastAsia" w:ascii="Times New Roman" w:hAnsi="Times New Roman"/>
                <w:color w:val="auto"/>
              </w:rPr>
              <w:t>。</w:t>
            </w:r>
          </w:p>
          <w:p>
            <w:pPr>
              <w:pStyle w:val="93"/>
              <w:ind w:firstLine="480"/>
              <w:rPr>
                <w:rFonts w:ascii="Times New Roman" w:hAnsi="Times New Roman"/>
                <w:color w:val="auto"/>
              </w:rPr>
            </w:pPr>
            <w:r>
              <w:rPr>
                <w:rFonts w:ascii="Times New Roman" w:hAnsi="Times New Roman"/>
                <w:color w:val="auto"/>
              </w:rPr>
              <w:t>查阅《国家危险废物名录（2021）》，废机油为</w:t>
            </w:r>
            <w:r>
              <w:rPr>
                <w:rFonts w:hint="eastAsia" w:ascii="Times New Roman" w:hAnsi="Times New Roman"/>
                <w:color w:val="auto"/>
              </w:rPr>
              <w:t>“</w:t>
            </w:r>
            <w:r>
              <w:rPr>
                <w:rFonts w:ascii="Times New Roman" w:hAnsi="Times New Roman"/>
                <w:color w:val="auto"/>
              </w:rPr>
              <w:t>HW08 废矿物油与含矿物油废物</w:t>
            </w:r>
            <w:r>
              <w:rPr>
                <w:rFonts w:hint="eastAsia" w:ascii="Times New Roman" w:hAnsi="Times New Roman"/>
                <w:color w:val="auto"/>
              </w:rPr>
              <w:t>”中“</w:t>
            </w:r>
            <w:r>
              <w:rPr>
                <w:rFonts w:ascii="Times New Roman" w:hAnsi="Times New Roman"/>
                <w:color w:val="auto"/>
              </w:rPr>
              <w:t>900-214-08 车辆、机械维修和拆解过程中产生的废发动机油、制动器油、自动变数器油、齿轮油等废润滑油</w:t>
            </w:r>
            <w:r>
              <w:rPr>
                <w:rFonts w:hint="eastAsia" w:ascii="Times New Roman" w:hAnsi="Times New Roman"/>
                <w:color w:val="auto"/>
              </w:rPr>
              <w:t>”，</w:t>
            </w:r>
            <w:r>
              <w:rPr>
                <w:rFonts w:ascii="Times New Roman" w:hAnsi="Times New Roman"/>
                <w:color w:val="auto"/>
              </w:rPr>
              <w:t>危险特性为T毒性、I易燃性；</w:t>
            </w:r>
            <w:r>
              <w:rPr>
                <w:rFonts w:hint="eastAsia" w:ascii="Times New Roman" w:hAnsi="Times New Roman"/>
                <w:color w:val="auto"/>
              </w:rPr>
              <w:t>废机油</w:t>
            </w:r>
            <w:r>
              <w:rPr>
                <w:rFonts w:ascii="Times New Roman" w:hAnsi="Times New Roman"/>
                <w:color w:val="auto"/>
              </w:rPr>
              <w:t>收集暂存</w:t>
            </w:r>
            <w:r>
              <w:rPr>
                <w:rFonts w:hint="eastAsia" w:ascii="Times New Roman" w:hAnsi="Times New Roman"/>
                <w:color w:val="auto"/>
              </w:rPr>
              <w:t>于</w:t>
            </w:r>
            <w:r>
              <w:rPr>
                <w:rFonts w:ascii="Times New Roman" w:hAnsi="Times New Roman"/>
                <w:color w:val="auto"/>
              </w:rPr>
              <w:t>危废暂存间，委托有资质单位处置，中间建立危废产生台账和转移联单管理。</w:t>
            </w:r>
          </w:p>
          <w:p>
            <w:pPr>
              <w:pStyle w:val="93"/>
              <w:ind w:firstLine="482"/>
              <w:rPr>
                <w:rFonts w:ascii="Times New Roman" w:hAnsi="Times New Roman"/>
                <w:b/>
                <w:bCs/>
                <w:color w:val="auto"/>
              </w:rPr>
            </w:pPr>
            <w:r>
              <w:rPr>
                <w:rFonts w:hint="eastAsia" w:ascii="Times New Roman" w:hAnsi="Times New Roman"/>
                <w:b/>
                <w:bCs/>
                <w:color w:val="auto"/>
              </w:rPr>
              <w:t>（9）生活垃圾</w:t>
            </w:r>
          </w:p>
          <w:p>
            <w:pPr>
              <w:spacing w:line="360" w:lineRule="auto"/>
              <w:ind w:firstLine="480" w:firstLineChars="200"/>
              <w:rPr>
                <w:color w:val="auto"/>
                <w:sz w:val="24"/>
              </w:rPr>
            </w:pPr>
            <w:r>
              <w:rPr>
                <w:color w:val="auto"/>
                <w:sz w:val="24"/>
              </w:rPr>
              <w:t>本项目劳动定员10人，生活垃圾按每人0.5kg/d计算，则产生量约5kg/d（1.5t/a）。环评要求设置垃圾收集设施，生活垃圾统一收集后及时清运至园区指定地点由环卫部门集中处置。</w:t>
            </w:r>
          </w:p>
          <w:p>
            <w:pPr>
              <w:pStyle w:val="93"/>
              <w:ind w:firstLine="482"/>
              <w:rPr>
                <w:rFonts w:ascii="Times New Roman" w:hAnsi="Times New Roman"/>
                <w:b/>
                <w:bCs/>
                <w:color w:val="auto"/>
              </w:rPr>
            </w:pPr>
            <w:r>
              <w:rPr>
                <w:rFonts w:hint="eastAsia" w:ascii="Times New Roman" w:hAnsi="Times New Roman"/>
                <w:b/>
                <w:bCs/>
                <w:color w:val="auto"/>
              </w:rPr>
              <w:t>（10）依托食堂、隔油池、化粪池及污水处理站产生的固废</w:t>
            </w:r>
          </w:p>
          <w:p>
            <w:pPr>
              <w:spacing w:line="360" w:lineRule="auto"/>
              <w:ind w:firstLine="480" w:firstLineChars="200"/>
              <w:rPr>
                <w:color w:val="auto"/>
                <w:sz w:val="24"/>
              </w:rPr>
            </w:pPr>
            <w:r>
              <w:rPr>
                <w:color w:val="auto"/>
                <w:sz w:val="24"/>
              </w:rPr>
              <w:t>项目运营期依托</w:t>
            </w:r>
            <w:r>
              <w:rPr>
                <w:rFonts w:hint="eastAsia"/>
                <w:color w:val="auto"/>
                <w:sz w:val="24"/>
              </w:rPr>
              <w:t>云南鹏腾机械设备制造有限公司</w:t>
            </w:r>
            <w:r>
              <w:rPr>
                <w:color w:val="auto"/>
                <w:sz w:val="24"/>
              </w:rPr>
              <w:t>已建食堂、隔油池、化粪池及</w:t>
            </w:r>
            <w:r>
              <w:rPr>
                <w:rFonts w:hint="eastAsia"/>
                <w:color w:val="auto"/>
                <w:sz w:val="24"/>
              </w:rPr>
              <w:t>一体化</w:t>
            </w:r>
            <w:r>
              <w:rPr>
                <w:color w:val="auto"/>
                <w:sz w:val="24"/>
              </w:rPr>
              <w:t>污水处理站等设施，会产生一定量的餐厨垃圾、隔油池油污、化粪池及污水处理设施污泥，项目生活污水产生量小，依托工程产生的固废量小，依托</w:t>
            </w:r>
            <w:r>
              <w:rPr>
                <w:rFonts w:hint="eastAsia"/>
                <w:color w:val="auto"/>
                <w:sz w:val="24"/>
              </w:rPr>
              <w:t>云南鹏腾机械设备制造有限公司</w:t>
            </w:r>
            <w:r>
              <w:rPr>
                <w:color w:val="auto"/>
                <w:sz w:val="24"/>
              </w:rPr>
              <w:t>处置设施产生的餐厨垃圾、隔油池油污、化粪池及污水处理设施污泥等由</w:t>
            </w:r>
            <w:r>
              <w:rPr>
                <w:rFonts w:hint="eastAsia"/>
                <w:color w:val="auto"/>
                <w:sz w:val="24"/>
              </w:rPr>
              <w:t>云南鹏腾机械设备制造有限公司</w:t>
            </w:r>
            <w:r>
              <w:rPr>
                <w:color w:val="auto"/>
                <w:sz w:val="24"/>
              </w:rPr>
              <w:t>一并委托处置。</w:t>
            </w:r>
          </w:p>
          <w:p>
            <w:pPr>
              <w:spacing w:line="360" w:lineRule="auto"/>
              <w:ind w:firstLine="482" w:firstLineChars="200"/>
              <w:rPr>
                <w:b/>
                <w:bCs/>
                <w:color w:val="auto"/>
                <w:sz w:val="24"/>
              </w:rPr>
            </w:pPr>
            <w:r>
              <w:rPr>
                <w:b/>
                <w:bCs/>
                <w:color w:val="auto"/>
                <w:sz w:val="24"/>
              </w:rPr>
              <w:t>2、固废防治措施</w:t>
            </w:r>
          </w:p>
          <w:p>
            <w:pPr>
              <w:spacing w:line="360" w:lineRule="auto"/>
              <w:ind w:firstLine="480" w:firstLineChars="200"/>
              <w:rPr>
                <w:color w:val="auto"/>
                <w:sz w:val="24"/>
              </w:rPr>
            </w:pPr>
            <w:r>
              <w:rPr>
                <w:color w:val="auto"/>
                <w:sz w:val="24"/>
              </w:rPr>
              <w:t>（1）</w:t>
            </w:r>
            <w:r>
              <w:rPr>
                <w:rFonts w:hint="eastAsia"/>
                <w:color w:val="auto"/>
                <w:sz w:val="24"/>
              </w:rPr>
              <w:t>杂物</w:t>
            </w:r>
            <w:r>
              <w:rPr>
                <w:rFonts w:hint="eastAsia"/>
                <w:color w:val="auto"/>
                <w:sz w:val="24"/>
                <w:szCs w:val="20"/>
              </w:rPr>
              <w:t>收集后能回收利用的外卖给废品回收站，不能回收利用的及时清运至园区指定地点由环卫部门集中清运处置；</w:t>
            </w:r>
          </w:p>
          <w:p>
            <w:pPr>
              <w:spacing w:line="360" w:lineRule="auto"/>
              <w:ind w:firstLine="480" w:firstLineChars="200"/>
              <w:rPr>
                <w:color w:val="auto"/>
                <w:sz w:val="24"/>
                <w:szCs w:val="24"/>
              </w:rPr>
            </w:pPr>
            <w:r>
              <w:rPr>
                <w:color w:val="auto"/>
                <w:sz w:val="24"/>
              </w:rPr>
              <w:t>（2）</w:t>
            </w:r>
            <w:r>
              <w:rPr>
                <w:rFonts w:hint="eastAsia"/>
                <w:color w:val="auto"/>
                <w:sz w:val="24"/>
                <w:szCs w:val="20"/>
                <w:lang w:val="en-US" w:eastAsia="zh-CN"/>
              </w:rPr>
              <w:t>生产废水</w:t>
            </w:r>
            <w:r>
              <w:rPr>
                <w:color w:val="auto"/>
                <w:sz w:val="24"/>
                <w:szCs w:val="20"/>
              </w:rPr>
              <w:t>处理设施污泥</w:t>
            </w:r>
            <w:r>
              <w:rPr>
                <w:rFonts w:hint="eastAsia"/>
                <w:color w:val="auto"/>
                <w:sz w:val="24"/>
                <w:szCs w:val="24"/>
                <w:lang w:val="en-US" w:eastAsia="zh-CN"/>
              </w:rPr>
              <w:t>经鉴定后再处置，若为Ⅰ类一般固废外售当地砖厂制砖，否则按相关要求委托资质单位处置</w:t>
            </w:r>
            <w:r>
              <w:rPr>
                <w:color w:val="auto"/>
                <w:sz w:val="24"/>
                <w:szCs w:val="24"/>
              </w:rPr>
              <w:t>；</w:t>
            </w:r>
          </w:p>
          <w:p>
            <w:pPr>
              <w:spacing w:line="360" w:lineRule="auto"/>
              <w:ind w:firstLine="480" w:firstLineChars="200"/>
              <w:rPr>
                <w:color w:val="auto"/>
              </w:rPr>
            </w:pPr>
            <w:r>
              <w:rPr>
                <w:rFonts w:hint="eastAsia"/>
                <w:color w:val="auto"/>
                <w:sz w:val="24"/>
              </w:rPr>
              <w:t>（3）</w:t>
            </w:r>
            <w:r>
              <w:rPr>
                <w:color w:val="auto"/>
                <w:kern w:val="0"/>
                <w:sz w:val="24"/>
              </w:rPr>
              <w:t>废滤网经建设单位集中收集后外售合法且具备废滤网回收再生能力的单位回收处置</w:t>
            </w:r>
            <w:r>
              <w:rPr>
                <w:color w:val="auto"/>
                <w:sz w:val="24"/>
              </w:rPr>
              <w:t>；</w:t>
            </w:r>
          </w:p>
          <w:p>
            <w:pPr>
              <w:adjustRightInd w:val="0"/>
              <w:snapToGrid w:val="0"/>
              <w:spacing w:line="360" w:lineRule="auto"/>
              <w:ind w:firstLine="480" w:firstLineChars="200"/>
              <w:rPr>
                <w:color w:val="auto"/>
                <w:sz w:val="24"/>
              </w:rPr>
            </w:pPr>
            <w:r>
              <w:rPr>
                <w:color w:val="auto"/>
                <w:sz w:val="24"/>
              </w:rPr>
              <w:t>（</w:t>
            </w:r>
            <w:r>
              <w:rPr>
                <w:rFonts w:hint="eastAsia"/>
                <w:color w:val="auto"/>
                <w:sz w:val="24"/>
              </w:rPr>
              <w:t>4</w:t>
            </w:r>
            <w:r>
              <w:rPr>
                <w:color w:val="auto"/>
                <w:sz w:val="24"/>
              </w:rPr>
              <w:t>）</w:t>
            </w:r>
            <w:r>
              <w:rPr>
                <w:rFonts w:hint="eastAsia"/>
                <w:color w:val="auto"/>
                <w:sz w:val="24"/>
              </w:rPr>
              <w:t>不合格粒料返回生产线重新生产；</w:t>
            </w:r>
          </w:p>
          <w:p>
            <w:pPr>
              <w:spacing w:line="360" w:lineRule="auto"/>
              <w:ind w:firstLine="480" w:firstLineChars="200"/>
              <w:rPr>
                <w:color w:val="auto"/>
                <w:sz w:val="24"/>
              </w:rPr>
            </w:pPr>
            <w:r>
              <w:rPr>
                <w:rFonts w:hint="eastAsia"/>
                <w:color w:val="auto"/>
                <w:sz w:val="24"/>
              </w:rPr>
              <w:t>（5）本项目运营期产生的废机油、废活性炭、废光氧管属于危险废物，分类暂存于危废暂存间内，并定期交由有资质的单位处置。</w:t>
            </w:r>
          </w:p>
          <w:p>
            <w:pPr>
              <w:spacing w:line="360" w:lineRule="auto"/>
              <w:ind w:firstLine="480" w:firstLineChars="200"/>
              <w:rPr>
                <w:color w:val="auto"/>
                <w:sz w:val="24"/>
              </w:rPr>
            </w:pPr>
            <w:r>
              <w:rPr>
                <w:rFonts w:hint="eastAsia"/>
                <w:color w:val="auto"/>
                <w:sz w:val="24"/>
              </w:rPr>
              <w:t>（6）生活垃圾分</w:t>
            </w:r>
            <w:r>
              <w:rPr>
                <w:color w:val="auto"/>
                <w:sz w:val="24"/>
              </w:rPr>
              <w:t>类收集及时清运至园区指定地点由环卫部门集中处置；</w:t>
            </w:r>
          </w:p>
          <w:p>
            <w:pPr>
              <w:spacing w:line="360" w:lineRule="auto"/>
              <w:ind w:firstLine="480" w:firstLineChars="200"/>
              <w:rPr>
                <w:color w:val="auto"/>
                <w:sz w:val="24"/>
              </w:rPr>
            </w:pPr>
            <w:r>
              <w:rPr>
                <w:rFonts w:hint="eastAsia"/>
                <w:color w:val="auto"/>
                <w:sz w:val="24"/>
              </w:rPr>
              <w:t>（7）依托食堂、隔油池、化粪池及污水处理站产生的固废由云南鹏腾机械设备制造有限公司一并委托处置。</w:t>
            </w:r>
          </w:p>
          <w:p>
            <w:pPr>
              <w:spacing w:line="360" w:lineRule="auto"/>
              <w:ind w:firstLine="482" w:firstLineChars="200"/>
              <w:rPr>
                <w:b/>
                <w:bCs/>
                <w:color w:val="auto"/>
                <w:sz w:val="24"/>
              </w:rPr>
            </w:pPr>
            <w:r>
              <w:rPr>
                <w:b/>
                <w:bCs/>
                <w:color w:val="auto"/>
                <w:sz w:val="24"/>
              </w:rPr>
              <w:t>3、固废环境影响分析</w:t>
            </w:r>
          </w:p>
          <w:p>
            <w:pPr>
              <w:spacing w:line="360" w:lineRule="auto"/>
              <w:ind w:firstLine="480" w:firstLineChars="200"/>
              <w:rPr>
                <w:color w:val="auto"/>
                <w:sz w:val="24"/>
              </w:rPr>
            </w:pPr>
            <w:r>
              <w:rPr>
                <w:rFonts w:hint="eastAsia"/>
                <w:color w:val="auto"/>
                <w:sz w:val="24"/>
              </w:rPr>
              <w:t>厂区建立固废分类收集制度，固废按危险固废、一般固废分类收集，同时将生活垃圾与工业固废进行分类收集。</w:t>
            </w:r>
          </w:p>
          <w:p>
            <w:pPr>
              <w:spacing w:line="360" w:lineRule="auto"/>
              <w:ind w:firstLine="480" w:firstLineChars="200"/>
              <w:rPr>
                <w:color w:val="auto"/>
                <w:sz w:val="24"/>
              </w:rPr>
            </w:pPr>
            <w:r>
              <w:rPr>
                <w:rFonts w:hint="eastAsia"/>
                <w:color w:val="auto"/>
                <w:sz w:val="24"/>
              </w:rPr>
              <w:t>本项目新建一座危废暂存间用于危险废物的暂存，危险废物分区分类暂存。</w:t>
            </w:r>
          </w:p>
          <w:p>
            <w:pPr>
              <w:spacing w:line="360" w:lineRule="auto"/>
              <w:ind w:firstLine="482" w:firstLineChars="200"/>
              <w:jc w:val="center"/>
              <w:rPr>
                <w:b/>
                <w:bCs/>
                <w:color w:val="auto"/>
                <w:sz w:val="24"/>
              </w:rPr>
            </w:pPr>
            <w:r>
              <w:rPr>
                <w:rFonts w:hint="eastAsia"/>
                <w:b/>
                <w:bCs/>
                <w:color w:val="auto"/>
                <w:sz w:val="24"/>
              </w:rPr>
              <w:t>表4-13  危险废物贮存场所（设施）基本情况表</w:t>
            </w:r>
          </w:p>
          <w:tbl>
            <w:tblPr>
              <w:tblStyle w:val="3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057"/>
              <w:gridCol w:w="1152"/>
              <w:gridCol w:w="1010"/>
              <w:gridCol w:w="1351"/>
              <w:gridCol w:w="723"/>
              <w:gridCol w:w="69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 w:type="pct"/>
                </w:tcPr>
                <w:p>
                  <w:pPr>
                    <w:pStyle w:val="2"/>
                    <w:spacing w:before="0" w:after="0" w:line="240" w:lineRule="auto"/>
                    <w:ind w:right="0"/>
                    <w:rPr>
                      <w:color w:val="auto"/>
                      <w:sz w:val="21"/>
                      <w:szCs w:val="21"/>
                    </w:rPr>
                  </w:pPr>
                  <w:r>
                    <w:rPr>
                      <w:color w:val="auto"/>
                      <w:sz w:val="21"/>
                      <w:szCs w:val="21"/>
                    </w:rPr>
                    <w:t>序号</w:t>
                  </w:r>
                </w:p>
              </w:tc>
              <w:tc>
                <w:tcPr>
                  <w:tcW w:w="655" w:type="pct"/>
                </w:tcPr>
                <w:p>
                  <w:pPr>
                    <w:pStyle w:val="2"/>
                    <w:spacing w:before="0" w:after="0" w:line="240" w:lineRule="auto"/>
                    <w:ind w:right="0"/>
                    <w:rPr>
                      <w:color w:val="auto"/>
                      <w:sz w:val="21"/>
                      <w:szCs w:val="21"/>
                    </w:rPr>
                  </w:pPr>
                  <w:r>
                    <w:rPr>
                      <w:color w:val="auto"/>
                      <w:sz w:val="21"/>
                      <w:szCs w:val="21"/>
                    </w:rPr>
                    <w:t>贮存场所（设施）名称</w:t>
                  </w:r>
                </w:p>
              </w:tc>
              <w:tc>
                <w:tcPr>
                  <w:tcW w:w="714" w:type="pct"/>
                </w:tcPr>
                <w:p>
                  <w:pPr>
                    <w:pStyle w:val="2"/>
                    <w:spacing w:before="0" w:after="0" w:line="240" w:lineRule="auto"/>
                    <w:ind w:right="0"/>
                    <w:rPr>
                      <w:color w:val="auto"/>
                      <w:sz w:val="21"/>
                      <w:szCs w:val="21"/>
                    </w:rPr>
                  </w:pPr>
                  <w:r>
                    <w:rPr>
                      <w:color w:val="auto"/>
                      <w:sz w:val="21"/>
                      <w:szCs w:val="21"/>
                    </w:rPr>
                    <w:t>危险废物名称</w:t>
                  </w:r>
                </w:p>
              </w:tc>
              <w:tc>
                <w:tcPr>
                  <w:tcW w:w="626" w:type="pct"/>
                </w:tcPr>
                <w:p>
                  <w:pPr>
                    <w:pStyle w:val="2"/>
                    <w:spacing w:before="0" w:after="0" w:line="240" w:lineRule="auto"/>
                    <w:ind w:right="0"/>
                    <w:rPr>
                      <w:color w:val="auto"/>
                      <w:sz w:val="21"/>
                      <w:szCs w:val="21"/>
                    </w:rPr>
                  </w:pPr>
                  <w:r>
                    <w:rPr>
                      <w:color w:val="auto"/>
                      <w:sz w:val="21"/>
                      <w:szCs w:val="21"/>
                    </w:rPr>
                    <w:t>危险废物类别</w:t>
                  </w:r>
                </w:p>
              </w:tc>
              <w:tc>
                <w:tcPr>
                  <w:tcW w:w="838" w:type="pct"/>
                </w:tcPr>
                <w:p>
                  <w:pPr>
                    <w:pStyle w:val="2"/>
                    <w:spacing w:before="0" w:after="0" w:line="240" w:lineRule="auto"/>
                    <w:ind w:right="0"/>
                    <w:rPr>
                      <w:color w:val="auto"/>
                      <w:sz w:val="21"/>
                      <w:szCs w:val="21"/>
                    </w:rPr>
                  </w:pPr>
                  <w:r>
                    <w:rPr>
                      <w:color w:val="auto"/>
                      <w:sz w:val="21"/>
                      <w:szCs w:val="21"/>
                    </w:rPr>
                    <w:t>危险废物代码</w:t>
                  </w:r>
                </w:p>
              </w:tc>
              <w:tc>
                <w:tcPr>
                  <w:tcW w:w="449" w:type="pct"/>
                </w:tcPr>
                <w:p>
                  <w:pPr>
                    <w:pStyle w:val="2"/>
                    <w:spacing w:before="0" w:after="0" w:line="240" w:lineRule="auto"/>
                    <w:ind w:right="0"/>
                    <w:rPr>
                      <w:color w:val="auto"/>
                      <w:sz w:val="21"/>
                      <w:szCs w:val="21"/>
                    </w:rPr>
                  </w:pPr>
                  <w:r>
                    <w:rPr>
                      <w:color w:val="auto"/>
                      <w:sz w:val="21"/>
                      <w:szCs w:val="21"/>
                    </w:rPr>
                    <w:t>位置</w:t>
                  </w:r>
                </w:p>
              </w:tc>
              <w:tc>
                <w:tcPr>
                  <w:tcW w:w="432" w:type="pct"/>
                </w:tcPr>
                <w:p>
                  <w:pPr>
                    <w:pStyle w:val="2"/>
                    <w:spacing w:before="0" w:after="0" w:line="240" w:lineRule="auto"/>
                    <w:ind w:right="0"/>
                    <w:rPr>
                      <w:color w:val="auto"/>
                      <w:sz w:val="21"/>
                      <w:szCs w:val="21"/>
                    </w:rPr>
                  </w:pPr>
                  <w:r>
                    <w:rPr>
                      <w:color w:val="auto"/>
                      <w:sz w:val="21"/>
                      <w:szCs w:val="21"/>
                    </w:rPr>
                    <w:t>占地面积</w:t>
                  </w:r>
                </w:p>
              </w:tc>
              <w:tc>
                <w:tcPr>
                  <w:tcW w:w="928" w:type="pct"/>
                </w:tcPr>
                <w:p>
                  <w:pPr>
                    <w:pStyle w:val="2"/>
                    <w:spacing w:before="0" w:after="0" w:line="240" w:lineRule="auto"/>
                    <w:ind w:right="0"/>
                    <w:rPr>
                      <w:color w:val="auto"/>
                      <w:sz w:val="21"/>
                      <w:szCs w:val="21"/>
                    </w:rPr>
                  </w:pPr>
                  <w:r>
                    <w:rPr>
                      <w:color w:val="auto"/>
                      <w:sz w:val="21"/>
                      <w:szCs w:val="21"/>
                    </w:rPr>
                    <w:t>贮存方式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 w:type="pct"/>
                </w:tcPr>
                <w:p>
                  <w:pPr>
                    <w:pStyle w:val="2"/>
                    <w:spacing w:before="0" w:after="0" w:line="240" w:lineRule="auto"/>
                    <w:ind w:right="0"/>
                    <w:rPr>
                      <w:color w:val="auto"/>
                      <w:sz w:val="21"/>
                      <w:szCs w:val="21"/>
                    </w:rPr>
                  </w:pPr>
                  <w:r>
                    <w:rPr>
                      <w:color w:val="auto"/>
                      <w:sz w:val="21"/>
                      <w:szCs w:val="21"/>
                    </w:rPr>
                    <w:t>1</w:t>
                  </w:r>
                </w:p>
              </w:tc>
              <w:tc>
                <w:tcPr>
                  <w:tcW w:w="655" w:type="pct"/>
                  <w:vMerge w:val="restart"/>
                </w:tcPr>
                <w:p>
                  <w:pPr>
                    <w:pStyle w:val="2"/>
                    <w:spacing w:before="0" w:after="0" w:line="240" w:lineRule="auto"/>
                    <w:ind w:right="0"/>
                    <w:rPr>
                      <w:color w:val="auto"/>
                      <w:sz w:val="21"/>
                      <w:szCs w:val="21"/>
                    </w:rPr>
                  </w:pPr>
                  <w:r>
                    <w:rPr>
                      <w:color w:val="auto"/>
                      <w:sz w:val="21"/>
                      <w:szCs w:val="21"/>
                    </w:rPr>
                    <w:t>危险废物暂存间</w:t>
                  </w:r>
                </w:p>
              </w:tc>
              <w:tc>
                <w:tcPr>
                  <w:tcW w:w="714" w:type="pct"/>
                </w:tcPr>
                <w:p>
                  <w:pPr>
                    <w:pStyle w:val="2"/>
                    <w:spacing w:before="0" w:after="0" w:line="240" w:lineRule="auto"/>
                    <w:ind w:right="0"/>
                    <w:rPr>
                      <w:color w:val="auto"/>
                      <w:sz w:val="21"/>
                      <w:szCs w:val="21"/>
                    </w:rPr>
                  </w:pPr>
                  <w:r>
                    <w:rPr>
                      <w:color w:val="auto"/>
                      <w:sz w:val="21"/>
                      <w:szCs w:val="21"/>
                    </w:rPr>
                    <w:t>废活性炭</w:t>
                  </w:r>
                </w:p>
              </w:tc>
              <w:tc>
                <w:tcPr>
                  <w:tcW w:w="626" w:type="pct"/>
                </w:tcPr>
                <w:p>
                  <w:pPr>
                    <w:pStyle w:val="2"/>
                    <w:spacing w:before="0" w:after="0" w:line="240" w:lineRule="auto"/>
                    <w:ind w:right="0"/>
                    <w:rPr>
                      <w:color w:val="auto"/>
                      <w:sz w:val="21"/>
                      <w:szCs w:val="21"/>
                    </w:rPr>
                  </w:pPr>
                  <w:r>
                    <w:rPr>
                      <w:color w:val="auto"/>
                      <w:sz w:val="21"/>
                      <w:szCs w:val="21"/>
                    </w:rPr>
                    <w:t>HW49</w:t>
                  </w:r>
                </w:p>
              </w:tc>
              <w:tc>
                <w:tcPr>
                  <w:tcW w:w="838" w:type="pct"/>
                </w:tcPr>
                <w:p>
                  <w:pPr>
                    <w:pStyle w:val="2"/>
                    <w:spacing w:before="0" w:after="0" w:line="240" w:lineRule="auto"/>
                    <w:ind w:right="0"/>
                    <w:rPr>
                      <w:color w:val="auto"/>
                      <w:sz w:val="21"/>
                      <w:szCs w:val="21"/>
                    </w:rPr>
                  </w:pPr>
                  <w:r>
                    <w:rPr>
                      <w:color w:val="auto"/>
                      <w:sz w:val="21"/>
                      <w:szCs w:val="21"/>
                    </w:rPr>
                    <w:t>900-041-49</w:t>
                  </w:r>
                </w:p>
              </w:tc>
              <w:tc>
                <w:tcPr>
                  <w:tcW w:w="449" w:type="pct"/>
                  <w:vMerge w:val="restart"/>
                </w:tcPr>
                <w:p>
                  <w:pPr>
                    <w:pStyle w:val="2"/>
                    <w:spacing w:before="0" w:after="0" w:line="240" w:lineRule="auto"/>
                    <w:ind w:right="0"/>
                    <w:rPr>
                      <w:color w:val="auto"/>
                      <w:sz w:val="21"/>
                      <w:szCs w:val="21"/>
                    </w:rPr>
                  </w:pPr>
                  <w:r>
                    <w:rPr>
                      <w:color w:val="auto"/>
                      <w:sz w:val="21"/>
                      <w:szCs w:val="21"/>
                    </w:rPr>
                    <w:t>生产车间</w:t>
                  </w:r>
                </w:p>
              </w:tc>
              <w:tc>
                <w:tcPr>
                  <w:tcW w:w="432" w:type="pct"/>
                  <w:vMerge w:val="restart"/>
                </w:tcPr>
                <w:p>
                  <w:pPr>
                    <w:pStyle w:val="2"/>
                    <w:spacing w:before="0" w:after="0" w:line="240" w:lineRule="auto"/>
                    <w:ind w:right="0"/>
                    <w:rPr>
                      <w:color w:val="auto"/>
                      <w:sz w:val="21"/>
                      <w:szCs w:val="21"/>
                    </w:rPr>
                  </w:pPr>
                  <w:r>
                    <w:rPr>
                      <w:color w:val="auto"/>
                      <w:sz w:val="21"/>
                      <w:szCs w:val="21"/>
                    </w:rPr>
                    <w:t>10m</w:t>
                  </w:r>
                  <w:r>
                    <w:rPr>
                      <w:color w:val="auto"/>
                      <w:sz w:val="21"/>
                      <w:szCs w:val="21"/>
                      <w:vertAlign w:val="superscript"/>
                    </w:rPr>
                    <w:t>2</w:t>
                  </w:r>
                </w:p>
              </w:tc>
              <w:tc>
                <w:tcPr>
                  <w:tcW w:w="928" w:type="pct"/>
                </w:tcPr>
                <w:p>
                  <w:pPr>
                    <w:pStyle w:val="2"/>
                    <w:spacing w:before="0" w:after="0" w:line="240" w:lineRule="auto"/>
                    <w:ind w:right="0"/>
                    <w:rPr>
                      <w:color w:val="auto"/>
                      <w:sz w:val="21"/>
                      <w:szCs w:val="21"/>
                    </w:rPr>
                  </w:pPr>
                  <w:r>
                    <w:rPr>
                      <w:color w:val="auto"/>
                      <w:sz w:val="21"/>
                      <w:szCs w:val="21"/>
                    </w:rPr>
                    <w:t>专用容器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 w:type="pct"/>
                </w:tcPr>
                <w:p>
                  <w:pPr>
                    <w:pStyle w:val="2"/>
                    <w:spacing w:before="0" w:after="0" w:line="240" w:lineRule="auto"/>
                    <w:ind w:right="0"/>
                    <w:rPr>
                      <w:color w:val="auto"/>
                      <w:sz w:val="21"/>
                      <w:szCs w:val="21"/>
                    </w:rPr>
                  </w:pPr>
                  <w:r>
                    <w:rPr>
                      <w:color w:val="auto"/>
                      <w:sz w:val="21"/>
                      <w:szCs w:val="21"/>
                    </w:rPr>
                    <w:t>2</w:t>
                  </w:r>
                </w:p>
              </w:tc>
              <w:tc>
                <w:tcPr>
                  <w:tcW w:w="655" w:type="pct"/>
                  <w:vMerge w:val="continue"/>
                </w:tcPr>
                <w:p>
                  <w:pPr>
                    <w:pStyle w:val="2"/>
                    <w:spacing w:before="0" w:after="0" w:line="240" w:lineRule="auto"/>
                    <w:ind w:right="0"/>
                    <w:rPr>
                      <w:color w:val="auto"/>
                      <w:sz w:val="21"/>
                      <w:szCs w:val="21"/>
                    </w:rPr>
                  </w:pPr>
                </w:p>
              </w:tc>
              <w:tc>
                <w:tcPr>
                  <w:tcW w:w="714" w:type="pct"/>
                </w:tcPr>
                <w:p>
                  <w:pPr>
                    <w:pStyle w:val="2"/>
                    <w:spacing w:before="0" w:after="0" w:line="240" w:lineRule="auto"/>
                    <w:ind w:right="0"/>
                    <w:rPr>
                      <w:color w:val="auto"/>
                      <w:sz w:val="21"/>
                      <w:szCs w:val="21"/>
                    </w:rPr>
                  </w:pPr>
                  <w:r>
                    <w:rPr>
                      <w:color w:val="auto"/>
                      <w:sz w:val="21"/>
                      <w:szCs w:val="21"/>
                    </w:rPr>
                    <w:t>废光氧管</w:t>
                  </w:r>
                </w:p>
              </w:tc>
              <w:tc>
                <w:tcPr>
                  <w:tcW w:w="626" w:type="pct"/>
                </w:tcPr>
                <w:p>
                  <w:pPr>
                    <w:pStyle w:val="2"/>
                    <w:spacing w:before="0" w:after="0" w:line="240" w:lineRule="auto"/>
                    <w:ind w:right="0"/>
                    <w:rPr>
                      <w:color w:val="auto"/>
                      <w:sz w:val="21"/>
                      <w:szCs w:val="21"/>
                    </w:rPr>
                  </w:pPr>
                  <w:r>
                    <w:rPr>
                      <w:color w:val="auto"/>
                      <w:sz w:val="21"/>
                      <w:szCs w:val="21"/>
                    </w:rPr>
                    <w:t>HW29</w:t>
                  </w:r>
                </w:p>
              </w:tc>
              <w:tc>
                <w:tcPr>
                  <w:tcW w:w="838" w:type="pct"/>
                </w:tcPr>
                <w:p>
                  <w:pPr>
                    <w:pStyle w:val="2"/>
                    <w:spacing w:before="0" w:after="0" w:line="240" w:lineRule="auto"/>
                    <w:ind w:right="0"/>
                    <w:rPr>
                      <w:color w:val="auto"/>
                      <w:sz w:val="21"/>
                      <w:szCs w:val="21"/>
                    </w:rPr>
                  </w:pPr>
                  <w:r>
                    <w:rPr>
                      <w:color w:val="auto"/>
                      <w:sz w:val="21"/>
                      <w:szCs w:val="21"/>
                    </w:rPr>
                    <w:t>900-023-29</w:t>
                  </w:r>
                </w:p>
              </w:tc>
              <w:tc>
                <w:tcPr>
                  <w:tcW w:w="449" w:type="pct"/>
                  <w:vMerge w:val="continue"/>
                </w:tcPr>
                <w:p>
                  <w:pPr>
                    <w:pStyle w:val="2"/>
                    <w:spacing w:before="0" w:after="0" w:line="240" w:lineRule="auto"/>
                    <w:ind w:right="0"/>
                    <w:rPr>
                      <w:color w:val="auto"/>
                      <w:sz w:val="21"/>
                      <w:szCs w:val="21"/>
                    </w:rPr>
                  </w:pPr>
                </w:p>
              </w:tc>
              <w:tc>
                <w:tcPr>
                  <w:tcW w:w="432" w:type="pct"/>
                  <w:vMerge w:val="continue"/>
                </w:tcPr>
                <w:p>
                  <w:pPr>
                    <w:pStyle w:val="2"/>
                    <w:spacing w:before="0" w:after="0" w:line="240" w:lineRule="auto"/>
                    <w:ind w:right="0"/>
                    <w:rPr>
                      <w:color w:val="auto"/>
                      <w:sz w:val="21"/>
                      <w:szCs w:val="21"/>
                    </w:rPr>
                  </w:pPr>
                </w:p>
              </w:tc>
              <w:tc>
                <w:tcPr>
                  <w:tcW w:w="928" w:type="pct"/>
                </w:tcPr>
                <w:p>
                  <w:pPr>
                    <w:pStyle w:val="2"/>
                    <w:spacing w:before="0" w:after="0" w:line="240" w:lineRule="auto"/>
                    <w:ind w:right="0"/>
                    <w:rPr>
                      <w:color w:val="auto"/>
                      <w:sz w:val="21"/>
                      <w:szCs w:val="21"/>
                    </w:rPr>
                  </w:pPr>
                  <w:r>
                    <w:rPr>
                      <w:color w:val="auto"/>
                      <w:sz w:val="21"/>
                      <w:szCs w:val="21"/>
                    </w:rPr>
                    <w:t>专用容器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 w:type="pct"/>
                </w:tcPr>
                <w:p>
                  <w:pPr>
                    <w:pStyle w:val="2"/>
                    <w:spacing w:before="0" w:after="0" w:line="240" w:lineRule="auto"/>
                    <w:ind w:right="0"/>
                    <w:rPr>
                      <w:color w:val="auto"/>
                      <w:sz w:val="21"/>
                      <w:szCs w:val="21"/>
                    </w:rPr>
                  </w:pPr>
                  <w:r>
                    <w:rPr>
                      <w:color w:val="auto"/>
                      <w:sz w:val="21"/>
                      <w:szCs w:val="21"/>
                    </w:rPr>
                    <w:t>3</w:t>
                  </w:r>
                </w:p>
              </w:tc>
              <w:tc>
                <w:tcPr>
                  <w:tcW w:w="655" w:type="pct"/>
                  <w:vMerge w:val="continue"/>
                </w:tcPr>
                <w:p>
                  <w:pPr>
                    <w:pStyle w:val="2"/>
                    <w:spacing w:before="0" w:after="0" w:line="240" w:lineRule="auto"/>
                    <w:ind w:right="0"/>
                    <w:rPr>
                      <w:color w:val="auto"/>
                      <w:sz w:val="21"/>
                      <w:szCs w:val="21"/>
                    </w:rPr>
                  </w:pPr>
                </w:p>
              </w:tc>
              <w:tc>
                <w:tcPr>
                  <w:tcW w:w="714" w:type="pct"/>
                </w:tcPr>
                <w:p>
                  <w:pPr>
                    <w:pStyle w:val="2"/>
                    <w:spacing w:before="0" w:after="0" w:line="240" w:lineRule="auto"/>
                    <w:ind w:right="0"/>
                    <w:rPr>
                      <w:color w:val="auto"/>
                      <w:sz w:val="21"/>
                      <w:szCs w:val="21"/>
                    </w:rPr>
                  </w:pPr>
                  <w:r>
                    <w:rPr>
                      <w:color w:val="auto"/>
                      <w:sz w:val="21"/>
                      <w:szCs w:val="21"/>
                    </w:rPr>
                    <w:t>废机油</w:t>
                  </w:r>
                </w:p>
              </w:tc>
              <w:tc>
                <w:tcPr>
                  <w:tcW w:w="626" w:type="pct"/>
                </w:tcPr>
                <w:p>
                  <w:pPr>
                    <w:pStyle w:val="2"/>
                    <w:spacing w:before="0" w:after="0" w:line="240" w:lineRule="auto"/>
                    <w:ind w:right="0"/>
                    <w:rPr>
                      <w:color w:val="auto"/>
                      <w:sz w:val="21"/>
                      <w:szCs w:val="21"/>
                    </w:rPr>
                  </w:pPr>
                  <w:r>
                    <w:rPr>
                      <w:color w:val="auto"/>
                      <w:sz w:val="21"/>
                      <w:szCs w:val="21"/>
                    </w:rPr>
                    <w:t>HW08</w:t>
                  </w:r>
                </w:p>
              </w:tc>
              <w:tc>
                <w:tcPr>
                  <w:tcW w:w="838" w:type="pct"/>
                </w:tcPr>
                <w:p>
                  <w:pPr>
                    <w:pStyle w:val="2"/>
                    <w:spacing w:before="0" w:after="0" w:line="240" w:lineRule="auto"/>
                    <w:ind w:right="0"/>
                    <w:rPr>
                      <w:color w:val="auto"/>
                      <w:sz w:val="21"/>
                      <w:szCs w:val="21"/>
                    </w:rPr>
                  </w:pPr>
                  <w:r>
                    <w:rPr>
                      <w:color w:val="auto"/>
                      <w:sz w:val="21"/>
                      <w:szCs w:val="21"/>
                    </w:rPr>
                    <w:t>900-214-08</w:t>
                  </w:r>
                </w:p>
              </w:tc>
              <w:tc>
                <w:tcPr>
                  <w:tcW w:w="449" w:type="pct"/>
                  <w:vMerge w:val="continue"/>
                </w:tcPr>
                <w:p>
                  <w:pPr>
                    <w:pStyle w:val="2"/>
                    <w:spacing w:before="0" w:after="0" w:line="240" w:lineRule="auto"/>
                    <w:ind w:right="0"/>
                    <w:rPr>
                      <w:color w:val="auto"/>
                      <w:sz w:val="21"/>
                      <w:szCs w:val="21"/>
                    </w:rPr>
                  </w:pPr>
                </w:p>
              </w:tc>
              <w:tc>
                <w:tcPr>
                  <w:tcW w:w="432" w:type="pct"/>
                  <w:vMerge w:val="continue"/>
                </w:tcPr>
                <w:p>
                  <w:pPr>
                    <w:pStyle w:val="2"/>
                    <w:spacing w:before="0" w:after="0" w:line="240" w:lineRule="auto"/>
                    <w:ind w:right="0"/>
                    <w:rPr>
                      <w:color w:val="auto"/>
                      <w:sz w:val="21"/>
                      <w:szCs w:val="21"/>
                    </w:rPr>
                  </w:pPr>
                </w:p>
              </w:tc>
              <w:tc>
                <w:tcPr>
                  <w:tcW w:w="928" w:type="pct"/>
                </w:tcPr>
                <w:p>
                  <w:pPr>
                    <w:pStyle w:val="2"/>
                    <w:spacing w:before="0" w:after="0" w:line="240" w:lineRule="auto"/>
                    <w:ind w:right="0"/>
                    <w:rPr>
                      <w:color w:val="auto"/>
                      <w:sz w:val="21"/>
                      <w:szCs w:val="21"/>
                    </w:rPr>
                  </w:pPr>
                  <w:r>
                    <w:rPr>
                      <w:color w:val="auto"/>
                      <w:sz w:val="21"/>
                      <w:szCs w:val="21"/>
                    </w:rPr>
                    <w:t>废机油收集桶</w:t>
                  </w:r>
                </w:p>
              </w:tc>
            </w:tr>
          </w:tbl>
          <w:p>
            <w:pPr>
              <w:spacing w:line="360" w:lineRule="auto"/>
              <w:ind w:firstLine="480" w:firstLineChars="200"/>
              <w:rPr>
                <w:color w:val="auto"/>
                <w:sz w:val="24"/>
              </w:rPr>
            </w:pPr>
            <w:r>
              <w:rPr>
                <w:color w:val="auto"/>
                <w:sz w:val="24"/>
              </w:rPr>
              <w:t>为了保证本项目产生的危险废物不对周围环境产生二次污染，根据《建设项目危险废物环境影响评价指南》的规定，危险废物的储存运输按《危险废物贮存污染控制标准》(GB18597-20</w:t>
            </w:r>
            <w:r>
              <w:rPr>
                <w:rFonts w:hint="eastAsia"/>
                <w:color w:val="auto"/>
                <w:sz w:val="24"/>
              </w:rPr>
              <w:t>23</w:t>
            </w:r>
            <w:r>
              <w:rPr>
                <w:color w:val="auto"/>
                <w:sz w:val="24"/>
              </w:rPr>
              <w:t>) 和《危险废物污染防治技术政策》的要求进行。</w:t>
            </w:r>
          </w:p>
          <w:p>
            <w:pPr>
              <w:spacing w:line="360" w:lineRule="auto"/>
              <w:ind w:firstLine="480" w:firstLineChars="200"/>
              <w:rPr>
                <w:color w:val="auto"/>
                <w:sz w:val="24"/>
              </w:rPr>
            </w:pPr>
            <w:r>
              <w:rPr>
                <w:color w:val="auto"/>
                <w:sz w:val="24"/>
              </w:rPr>
              <w:t>根据危险废物的性质， 用符合标准要求，且不易破损、变形、老化，并能有效地防止渗漏、扩散的专门容器分类收集储存。同时在装有危险废物的容器上贴上标签，详细标明危险废物的名称、重量、成分、特性以及发生泄漏、扩散污染事故时的应急措施和补救方法。</w:t>
            </w:r>
          </w:p>
          <w:p>
            <w:pPr>
              <w:spacing w:line="360" w:lineRule="auto"/>
              <w:ind w:firstLine="480" w:firstLineChars="200"/>
              <w:rPr>
                <w:color w:val="auto"/>
                <w:sz w:val="24"/>
              </w:rPr>
            </w:pPr>
            <w:r>
              <w:rPr>
                <w:color w:val="auto"/>
                <w:sz w:val="24"/>
              </w:rPr>
              <w:t>拟建项目设置危废暂存间，危废暂存间做好“三防”措施，按《危险废物贮存污染控制标准》(GB 18597-2001)及修改单的要求进行建设，应建设堵截泄露的裙角，地面与裙角所围建的容积不低于总储量的五分之一，地面与裙角进行水泥硬化并采用2.0mm厚高密度聚乙烯进行防渗，使其单元渗透系数≤1× 10</w:t>
            </w:r>
            <w:r>
              <w:rPr>
                <w:rFonts w:hint="eastAsia"/>
                <w:color w:val="auto"/>
                <w:sz w:val="24"/>
                <w:vertAlign w:val="superscript"/>
              </w:rPr>
              <w:t>-10</w:t>
            </w:r>
            <w:r>
              <w:rPr>
                <w:color w:val="auto"/>
                <w:sz w:val="24"/>
              </w:rPr>
              <w:t>cm/s</w:t>
            </w:r>
            <w:r>
              <w:rPr>
                <w:rFonts w:hint="eastAsia"/>
                <w:color w:val="auto"/>
                <w:sz w:val="24"/>
              </w:rPr>
              <w:t>。</w:t>
            </w:r>
            <w:r>
              <w:rPr>
                <w:color w:val="auto"/>
                <w:sz w:val="24"/>
              </w:rPr>
              <w:t>危险废物的转移应遵从《危险废物转移联单管理办法》及其他有关规定的要求，并禁止在转移过程中将危险废物排放至环境中。</w:t>
            </w:r>
          </w:p>
          <w:p>
            <w:pPr>
              <w:spacing w:line="360" w:lineRule="auto"/>
              <w:ind w:firstLine="480" w:firstLineChars="200"/>
              <w:rPr>
                <w:color w:val="auto"/>
                <w:sz w:val="24"/>
              </w:rPr>
            </w:pPr>
            <w:r>
              <w:rPr>
                <w:rFonts w:hint="eastAsia"/>
                <w:color w:val="auto"/>
                <w:sz w:val="24"/>
              </w:rPr>
              <w:t>一般</w:t>
            </w:r>
            <w:r>
              <w:rPr>
                <w:color w:val="auto"/>
                <w:sz w:val="24"/>
              </w:rPr>
              <w:t>固废暂存库按《一般工业固体废物贮存和填埋污染控制标准》(GB18599-2020)相关要求设置。根据</w:t>
            </w:r>
            <w:r>
              <w:rPr>
                <w:rFonts w:hint="eastAsia"/>
                <w:color w:val="auto"/>
                <w:sz w:val="24"/>
              </w:rPr>
              <w:t>一般</w:t>
            </w:r>
            <w:r>
              <w:rPr>
                <w:color w:val="auto"/>
                <w:sz w:val="24"/>
              </w:rPr>
              <w:t>固废的特性进行分区贮存，危险废物与生活垃圾不得进入一般固废暂存库，</w:t>
            </w:r>
            <w:r>
              <w:rPr>
                <w:rFonts w:hint="eastAsia"/>
                <w:color w:val="auto"/>
                <w:sz w:val="24"/>
              </w:rPr>
              <w:t>一般</w:t>
            </w:r>
            <w:r>
              <w:rPr>
                <w:color w:val="auto"/>
                <w:sz w:val="24"/>
              </w:rPr>
              <w:t>固废暂存库应设置防渗、渗滤液收集和导排系统等防止二次污染的措施。</w:t>
            </w:r>
          </w:p>
          <w:p>
            <w:pPr>
              <w:spacing w:line="360" w:lineRule="auto"/>
              <w:ind w:firstLine="480" w:firstLineChars="200"/>
              <w:rPr>
                <w:color w:val="auto"/>
                <w:sz w:val="24"/>
              </w:rPr>
            </w:pPr>
            <w:r>
              <w:rPr>
                <w:color w:val="auto"/>
                <w:sz w:val="24"/>
              </w:rPr>
              <w:t>本项目运营期间产生的固体废物均得到合理处置，不会对周围环境造成不良影响。对周围环境影响较小。</w:t>
            </w:r>
          </w:p>
          <w:p>
            <w:pPr>
              <w:spacing w:line="360" w:lineRule="auto"/>
              <w:ind w:firstLine="482" w:firstLineChars="200"/>
              <w:rPr>
                <w:rStyle w:val="37"/>
                <w:b/>
                <w:bCs/>
                <w:color w:val="auto"/>
                <w:sz w:val="24"/>
              </w:rPr>
            </w:pPr>
            <w:r>
              <w:rPr>
                <w:rStyle w:val="37"/>
                <w:rFonts w:hint="eastAsia"/>
                <w:b/>
                <w:bCs/>
                <w:color w:val="auto"/>
                <w:sz w:val="24"/>
              </w:rPr>
              <w:t>五</w:t>
            </w:r>
            <w:r>
              <w:rPr>
                <w:rStyle w:val="37"/>
                <w:b/>
                <w:bCs/>
                <w:color w:val="auto"/>
                <w:sz w:val="24"/>
              </w:rPr>
              <w:t>、地下水、土壤环境影响分析</w:t>
            </w:r>
          </w:p>
          <w:p>
            <w:pPr>
              <w:pStyle w:val="2"/>
              <w:spacing w:before="0" w:after="0" w:line="360" w:lineRule="auto"/>
              <w:ind w:right="0" w:firstLine="480" w:firstLineChars="200"/>
              <w:jc w:val="left"/>
              <w:rPr>
                <w:color w:val="auto"/>
                <w:kern w:val="2"/>
                <w:sz w:val="24"/>
                <w:szCs w:val="24"/>
              </w:rPr>
            </w:pPr>
            <w:r>
              <w:rPr>
                <w:rFonts w:hint="eastAsia"/>
                <w:color w:val="auto"/>
                <w:kern w:val="2"/>
                <w:sz w:val="24"/>
                <w:szCs w:val="24"/>
              </w:rPr>
              <w:t>根据《建设项目环境影响报告表编制技术指南（污染影响类）》中地下水、土壤环境，原则上不开展环境质量现状调查。建设项目存在土壤、地下水环境污染途径的，应结合污染源、保护目标分布情况开展现状调查以留作背景值。</w:t>
            </w:r>
          </w:p>
          <w:p>
            <w:pPr>
              <w:spacing w:line="360" w:lineRule="auto"/>
              <w:ind w:firstLine="480" w:firstLineChars="200"/>
              <w:jc w:val="left"/>
              <w:rPr>
                <w:color w:val="auto"/>
                <w:sz w:val="24"/>
              </w:rPr>
            </w:pPr>
            <w:r>
              <w:rPr>
                <w:rFonts w:hint="eastAsia"/>
                <w:color w:val="auto"/>
                <w:sz w:val="24"/>
              </w:rPr>
              <w:t>项目所使用的废旧塑料在生产过程中产生的废气为挥发性有机物、颗粒物；项目生产废水经自建污水处理站处理后循环使用于生产过程，不外排，生活污水依托云南鹏腾机械设备制造有限公司厂区内已建好的隔油池、化粪池和污水处理设备对污水进行处理达标后回用于绿化；本项目的危险物质为废机油、废活性炭和废光氧管，不涉及有毒有害和易燃易爆危险物质存储量超过临界量；项目不需要对地下水、土壤进行现状调查，无需开展现状监测。</w:t>
            </w:r>
          </w:p>
          <w:p>
            <w:pPr>
              <w:pStyle w:val="2"/>
              <w:spacing w:before="0" w:after="0" w:line="360" w:lineRule="auto"/>
              <w:ind w:right="0" w:firstLine="480" w:firstLineChars="200"/>
              <w:jc w:val="left"/>
              <w:rPr>
                <w:color w:val="auto"/>
                <w:kern w:val="2"/>
                <w:sz w:val="24"/>
                <w:szCs w:val="24"/>
              </w:rPr>
            </w:pPr>
            <w:r>
              <w:rPr>
                <w:rFonts w:hint="eastAsia"/>
                <w:color w:val="auto"/>
                <w:kern w:val="2"/>
                <w:sz w:val="24"/>
                <w:szCs w:val="24"/>
              </w:rPr>
              <w:t>项目运行期正常工况不会对地下水、土壤造成污染，非正常工况地下水、土壤污染途径主要为废机油泄漏下渗、污水泄漏污染地下水及土壤。废机油暂存对地下水及土壤产生污染的途径主要为下渗污染。下渗污染是导致地下水污染的普遍和主要方式，因此项目内根据项目各生产、生活功能单元可能产生污染的地区，将项目划分为重点防渗区、一般防渗区、简单防渗区。环评要求对危险废物暂存间做重点防渗处理；生产废水处理系统做一般防渗；生产车间等厂区地面做简单防渗。具体防渗措施如下：</w:t>
            </w:r>
          </w:p>
          <w:p>
            <w:pPr>
              <w:spacing w:line="360" w:lineRule="auto"/>
              <w:ind w:firstLine="480" w:firstLineChars="200"/>
              <w:rPr>
                <w:color w:val="auto"/>
                <w:sz w:val="24"/>
              </w:rPr>
            </w:pPr>
            <w:r>
              <w:rPr>
                <w:rFonts w:hint="eastAsia"/>
                <w:color w:val="auto"/>
                <w:sz w:val="24"/>
              </w:rPr>
              <w:t>1、危废暂存间为重点防渗区：建设堵截泄露的裙角，地面与裙角所围建的容积不低于总储量的五分之一，地面与裙角进行水泥硬化并采用2.0mm厚高密度聚乙烯进行防渗，使其单元渗透系数</w:t>
            </w:r>
            <w:r>
              <w:rPr>
                <w:color w:val="auto"/>
                <w:sz w:val="24"/>
              </w:rPr>
              <w:t>≤1× 10</w:t>
            </w:r>
            <w:r>
              <w:rPr>
                <w:rFonts w:hint="eastAsia"/>
                <w:color w:val="auto"/>
                <w:sz w:val="24"/>
                <w:vertAlign w:val="superscript"/>
              </w:rPr>
              <w:t>-10</w:t>
            </w:r>
            <w:r>
              <w:rPr>
                <w:color w:val="auto"/>
                <w:sz w:val="24"/>
              </w:rPr>
              <w:t>cm/s</w:t>
            </w:r>
            <w:r>
              <w:rPr>
                <w:rFonts w:hint="eastAsia"/>
                <w:color w:val="auto"/>
                <w:sz w:val="24"/>
              </w:rPr>
              <w:t>。</w:t>
            </w:r>
          </w:p>
          <w:p>
            <w:pPr>
              <w:spacing w:line="360" w:lineRule="auto"/>
              <w:ind w:firstLine="480" w:firstLineChars="200"/>
              <w:rPr>
                <w:color w:val="auto"/>
                <w:sz w:val="24"/>
              </w:rPr>
            </w:pPr>
            <w:r>
              <w:rPr>
                <w:rFonts w:hint="eastAsia"/>
                <w:color w:val="auto"/>
                <w:sz w:val="24"/>
              </w:rPr>
              <w:t>2、冷却水池、清洗水池、事故池、污水处理站为一般防渗区：等效黏土防渗层厚度Mb≥1.5m，渗透系数K≤1.0</w:t>
            </w:r>
            <w:r>
              <w:rPr>
                <w:color w:val="auto"/>
                <w:sz w:val="24"/>
              </w:rPr>
              <w:t>×</w:t>
            </w:r>
            <w:r>
              <w:rPr>
                <w:rFonts w:hint="eastAsia"/>
                <w:color w:val="auto"/>
                <w:sz w:val="24"/>
              </w:rPr>
              <w:t>10</w:t>
            </w:r>
            <w:r>
              <w:rPr>
                <w:rFonts w:hint="eastAsia"/>
                <w:color w:val="auto"/>
                <w:sz w:val="24"/>
                <w:vertAlign w:val="superscript"/>
              </w:rPr>
              <w:t>-7</w:t>
            </w:r>
            <w:r>
              <w:rPr>
                <w:rFonts w:hint="eastAsia"/>
                <w:color w:val="auto"/>
                <w:sz w:val="24"/>
              </w:rPr>
              <w:t>cm/s。</w:t>
            </w:r>
          </w:p>
          <w:p>
            <w:pPr>
              <w:spacing w:line="360" w:lineRule="auto"/>
              <w:ind w:firstLine="480" w:firstLineChars="200"/>
              <w:rPr>
                <w:color w:val="auto"/>
                <w:sz w:val="24"/>
              </w:rPr>
            </w:pPr>
            <w:r>
              <w:rPr>
                <w:rFonts w:hint="eastAsia"/>
                <w:color w:val="auto"/>
                <w:sz w:val="24"/>
              </w:rPr>
              <w:t>3、厂区地面采用水泥进行硬化。</w:t>
            </w:r>
          </w:p>
          <w:p>
            <w:pPr>
              <w:adjustRightInd w:val="0"/>
              <w:snapToGrid w:val="0"/>
              <w:spacing w:line="360" w:lineRule="auto"/>
              <w:ind w:firstLine="482" w:firstLineChars="200"/>
              <w:rPr>
                <w:b/>
                <w:bCs/>
                <w:color w:val="auto"/>
                <w:kern w:val="0"/>
                <w:sz w:val="24"/>
              </w:rPr>
            </w:pPr>
            <w:r>
              <w:rPr>
                <w:rFonts w:hint="eastAsia"/>
                <w:b/>
                <w:bCs/>
                <w:color w:val="auto"/>
                <w:kern w:val="0"/>
                <w:sz w:val="24"/>
              </w:rPr>
              <w:t>六</w:t>
            </w:r>
            <w:r>
              <w:rPr>
                <w:b/>
                <w:bCs/>
                <w:color w:val="auto"/>
                <w:kern w:val="0"/>
                <w:sz w:val="24"/>
              </w:rPr>
              <w:t>、生态环境影响分析</w:t>
            </w:r>
          </w:p>
          <w:p>
            <w:pPr>
              <w:pStyle w:val="4"/>
              <w:spacing w:before="0" w:after="0" w:line="360" w:lineRule="auto"/>
              <w:ind w:left="0" w:firstLine="480" w:firstLineChars="200"/>
              <w:rPr>
                <w:rFonts w:eastAsia="宋体"/>
                <w:color w:val="auto"/>
                <w:kern w:val="0"/>
                <w:sz w:val="24"/>
                <w:szCs w:val="24"/>
              </w:rPr>
            </w:pPr>
            <w:r>
              <w:rPr>
                <w:rFonts w:eastAsia="宋体"/>
                <w:b w:val="0"/>
                <w:bCs w:val="0"/>
                <w:color w:val="auto"/>
                <w:kern w:val="0"/>
                <w:sz w:val="24"/>
                <w:szCs w:val="24"/>
              </w:rPr>
              <w:t>本次项目在现有空闲厂房内建设，未新增用地，对项目区生态环境影响较小。</w:t>
            </w:r>
          </w:p>
          <w:p>
            <w:pPr>
              <w:pStyle w:val="4"/>
              <w:spacing w:before="0" w:after="0" w:line="360" w:lineRule="auto"/>
              <w:ind w:left="0" w:firstLine="482" w:firstLineChars="200"/>
              <w:rPr>
                <w:rFonts w:eastAsia="宋体"/>
                <w:color w:val="auto"/>
                <w:kern w:val="2"/>
                <w:sz w:val="24"/>
                <w:szCs w:val="24"/>
              </w:rPr>
            </w:pPr>
            <w:r>
              <w:rPr>
                <w:rFonts w:hint="eastAsia" w:eastAsia="宋体"/>
                <w:color w:val="auto"/>
                <w:kern w:val="2"/>
                <w:sz w:val="24"/>
                <w:szCs w:val="24"/>
              </w:rPr>
              <w:t>七</w:t>
            </w:r>
            <w:r>
              <w:rPr>
                <w:rFonts w:eastAsia="宋体"/>
                <w:color w:val="auto"/>
                <w:kern w:val="2"/>
                <w:sz w:val="24"/>
                <w:szCs w:val="24"/>
              </w:rPr>
              <w:t>、环境风险</w:t>
            </w:r>
          </w:p>
          <w:p>
            <w:pPr>
              <w:pStyle w:val="4"/>
              <w:spacing w:before="0" w:after="0" w:line="360" w:lineRule="auto"/>
              <w:ind w:left="0" w:firstLine="480" w:firstLineChars="200"/>
              <w:rPr>
                <w:rFonts w:eastAsia="宋体"/>
                <w:color w:val="auto"/>
                <w:kern w:val="2"/>
                <w:sz w:val="24"/>
                <w:szCs w:val="24"/>
              </w:rPr>
            </w:pPr>
            <w:r>
              <w:rPr>
                <w:rFonts w:hint="eastAsia" w:eastAsia="宋体"/>
                <w:b w:val="0"/>
                <w:bCs w:val="0"/>
                <w:color w:val="auto"/>
                <w:kern w:val="2"/>
                <w:sz w:val="24"/>
                <w:szCs w:val="24"/>
              </w:rPr>
              <w:t>1、</w:t>
            </w:r>
            <w:r>
              <w:rPr>
                <w:rFonts w:hint="eastAsia" w:eastAsia="宋体"/>
                <w:color w:val="auto"/>
                <w:kern w:val="2"/>
                <w:sz w:val="24"/>
                <w:szCs w:val="24"/>
              </w:rPr>
              <w:t>评价依据</w:t>
            </w:r>
          </w:p>
          <w:p>
            <w:pPr>
              <w:pStyle w:val="4"/>
              <w:spacing w:before="0" w:after="0" w:line="360" w:lineRule="auto"/>
              <w:ind w:left="0" w:firstLine="480" w:firstLineChars="200"/>
              <w:rPr>
                <w:rFonts w:eastAsia="宋体"/>
                <w:b w:val="0"/>
                <w:bCs w:val="0"/>
                <w:color w:val="auto"/>
                <w:kern w:val="2"/>
                <w:sz w:val="24"/>
                <w:szCs w:val="24"/>
              </w:rPr>
            </w:pPr>
            <w:r>
              <w:rPr>
                <w:rFonts w:eastAsia="宋体"/>
                <w:b w:val="0"/>
                <w:bCs w:val="0"/>
                <w:color w:val="auto"/>
                <w:kern w:val="2"/>
                <w:sz w:val="24"/>
                <w:szCs w:val="24"/>
              </w:rPr>
              <w:t>对照《建设项目环境风险影响评价技术导则》(HJ169-2018) 附录B</w:t>
            </w:r>
            <w:r>
              <w:rPr>
                <w:rFonts w:hint="eastAsia" w:eastAsia="宋体"/>
                <w:b w:val="0"/>
                <w:bCs w:val="0"/>
                <w:color w:val="auto"/>
                <w:kern w:val="2"/>
                <w:sz w:val="24"/>
                <w:szCs w:val="24"/>
              </w:rPr>
              <w:t>，</w:t>
            </w:r>
            <w:r>
              <w:rPr>
                <w:rFonts w:eastAsia="宋体"/>
                <w:b w:val="0"/>
                <w:bCs w:val="0"/>
                <w:color w:val="auto"/>
                <w:kern w:val="2"/>
                <w:sz w:val="24"/>
                <w:szCs w:val="24"/>
              </w:rPr>
              <w:t>计算废机油厂区内的最大存在总量与其在附录B中对应临界量的比值Q。</w:t>
            </w:r>
          </w:p>
          <w:p>
            <w:pPr>
              <w:jc w:val="center"/>
              <w:rPr>
                <w:b/>
                <w:bCs/>
                <w:color w:val="auto"/>
                <w:sz w:val="24"/>
              </w:rPr>
            </w:pPr>
            <w:r>
              <w:rPr>
                <w:rFonts w:hint="eastAsia"/>
                <w:b/>
                <w:bCs/>
                <w:color w:val="auto"/>
                <w:sz w:val="24"/>
              </w:rPr>
              <w:t>表4-14  本项目风险物质确认表</w:t>
            </w:r>
          </w:p>
          <w:tbl>
            <w:tblPr>
              <w:tblStyle w:val="31"/>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100"/>
              <w:gridCol w:w="1909"/>
              <w:gridCol w:w="1391"/>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pStyle w:val="2"/>
                    <w:spacing w:before="0" w:after="0" w:line="240" w:lineRule="auto"/>
                    <w:ind w:right="0"/>
                    <w:jc w:val="center"/>
                    <w:rPr>
                      <w:color w:val="auto"/>
                      <w:sz w:val="21"/>
                      <w:szCs w:val="21"/>
                    </w:rPr>
                  </w:pPr>
                  <w:r>
                    <w:rPr>
                      <w:color w:val="auto"/>
                      <w:sz w:val="21"/>
                      <w:szCs w:val="21"/>
                    </w:rPr>
                    <w:t>序号</w:t>
                  </w:r>
                </w:p>
              </w:tc>
              <w:tc>
                <w:tcPr>
                  <w:tcW w:w="2100" w:type="dxa"/>
                </w:tcPr>
                <w:p>
                  <w:pPr>
                    <w:pStyle w:val="2"/>
                    <w:spacing w:before="0" w:after="0" w:line="240" w:lineRule="auto"/>
                    <w:ind w:right="0"/>
                    <w:jc w:val="center"/>
                    <w:rPr>
                      <w:color w:val="auto"/>
                      <w:sz w:val="21"/>
                      <w:szCs w:val="21"/>
                    </w:rPr>
                  </w:pPr>
                  <w:r>
                    <w:rPr>
                      <w:color w:val="auto"/>
                      <w:sz w:val="21"/>
                      <w:szCs w:val="21"/>
                    </w:rPr>
                    <w:t>危险物质名称</w:t>
                  </w:r>
                </w:p>
              </w:tc>
              <w:tc>
                <w:tcPr>
                  <w:tcW w:w="1909" w:type="dxa"/>
                </w:tcPr>
                <w:p>
                  <w:pPr>
                    <w:pStyle w:val="2"/>
                    <w:spacing w:before="0" w:after="0" w:line="240" w:lineRule="auto"/>
                    <w:ind w:right="0"/>
                    <w:jc w:val="center"/>
                    <w:rPr>
                      <w:color w:val="auto"/>
                      <w:sz w:val="21"/>
                      <w:szCs w:val="21"/>
                    </w:rPr>
                  </w:pPr>
                  <w:r>
                    <w:rPr>
                      <w:color w:val="auto"/>
                      <w:sz w:val="21"/>
                      <w:szCs w:val="21"/>
                    </w:rPr>
                    <w:t>最大存在总量q</w:t>
                  </w:r>
                  <w:r>
                    <w:rPr>
                      <w:color w:val="auto"/>
                      <w:sz w:val="21"/>
                      <w:szCs w:val="21"/>
                      <w:vertAlign w:val="subscript"/>
                    </w:rPr>
                    <w:t>n</w:t>
                  </w:r>
                  <w:r>
                    <w:rPr>
                      <w:color w:val="auto"/>
                      <w:sz w:val="21"/>
                      <w:szCs w:val="21"/>
                    </w:rPr>
                    <w:t>/t</w:t>
                  </w:r>
                </w:p>
              </w:tc>
              <w:tc>
                <w:tcPr>
                  <w:tcW w:w="1391" w:type="dxa"/>
                </w:tcPr>
                <w:p>
                  <w:pPr>
                    <w:pStyle w:val="2"/>
                    <w:spacing w:before="0" w:after="0" w:line="240" w:lineRule="auto"/>
                    <w:ind w:right="0"/>
                    <w:jc w:val="center"/>
                    <w:rPr>
                      <w:color w:val="auto"/>
                      <w:sz w:val="21"/>
                      <w:szCs w:val="21"/>
                    </w:rPr>
                  </w:pPr>
                  <w:r>
                    <w:rPr>
                      <w:color w:val="auto"/>
                      <w:sz w:val="21"/>
                      <w:szCs w:val="21"/>
                    </w:rPr>
                    <w:t>临界量Q</w:t>
                  </w:r>
                  <w:r>
                    <w:rPr>
                      <w:color w:val="auto"/>
                      <w:sz w:val="21"/>
                      <w:szCs w:val="21"/>
                      <w:vertAlign w:val="subscript"/>
                    </w:rPr>
                    <w:t>n</w:t>
                  </w:r>
                  <w:r>
                    <w:rPr>
                      <w:color w:val="auto"/>
                      <w:sz w:val="21"/>
                      <w:szCs w:val="21"/>
                    </w:rPr>
                    <w:t>/t</w:t>
                  </w:r>
                </w:p>
              </w:tc>
              <w:tc>
                <w:tcPr>
                  <w:tcW w:w="2025" w:type="dxa"/>
                </w:tcPr>
                <w:p>
                  <w:pPr>
                    <w:pStyle w:val="2"/>
                    <w:spacing w:before="0" w:after="0" w:line="240" w:lineRule="auto"/>
                    <w:ind w:right="0"/>
                    <w:jc w:val="center"/>
                    <w:rPr>
                      <w:color w:val="auto"/>
                      <w:sz w:val="21"/>
                      <w:szCs w:val="21"/>
                    </w:rPr>
                  </w:pPr>
                  <w:r>
                    <w:rPr>
                      <w:color w:val="auto"/>
                      <w:sz w:val="21"/>
                      <w:szCs w:val="21"/>
                    </w:rPr>
                    <w:t>该种危险物质Q值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pStyle w:val="2"/>
                    <w:spacing w:before="0" w:after="0" w:line="240" w:lineRule="auto"/>
                    <w:ind w:right="0"/>
                    <w:jc w:val="center"/>
                    <w:rPr>
                      <w:color w:val="auto"/>
                      <w:sz w:val="21"/>
                      <w:szCs w:val="21"/>
                    </w:rPr>
                  </w:pPr>
                  <w:r>
                    <w:rPr>
                      <w:color w:val="auto"/>
                      <w:sz w:val="21"/>
                      <w:szCs w:val="21"/>
                    </w:rPr>
                    <w:t>1</w:t>
                  </w:r>
                </w:p>
              </w:tc>
              <w:tc>
                <w:tcPr>
                  <w:tcW w:w="2100" w:type="dxa"/>
                </w:tcPr>
                <w:p>
                  <w:pPr>
                    <w:pStyle w:val="2"/>
                    <w:spacing w:before="0" w:after="0" w:line="240" w:lineRule="auto"/>
                    <w:ind w:right="0"/>
                    <w:jc w:val="center"/>
                    <w:rPr>
                      <w:color w:val="auto"/>
                      <w:sz w:val="21"/>
                      <w:szCs w:val="21"/>
                    </w:rPr>
                  </w:pPr>
                  <w:r>
                    <w:rPr>
                      <w:color w:val="auto"/>
                      <w:sz w:val="21"/>
                      <w:szCs w:val="21"/>
                    </w:rPr>
                    <w:t>废机油</w:t>
                  </w:r>
                </w:p>
              </w:tc>
              <w:tc>
                <w:tcPr>
                  <w:tcW w:w="1909" w:type="dxa"/>
                </w:tcPr>
                <w:p>
                  <w:pPr>
                    <w:pStyle w:val="2"/>
                    <w:spacing w:before="0" w:after="0" w:line="240" w:lineRule="auto"/>
                    <w:ind w:right="0"/>
                    <w:jc w:val="center"/>
                    <w:rPr>
                      <w:color w:val="auto"/>
                      <w:sz w:val="21"/>
                      <w:szCs w:val="21"/>
                    </w:rPr>
                  </w:pPr>
                  <w:r>
                    <w:rPr>
                      <w:color w:val="auto"/>
                      <w:sz w:val="21"/>
                      <w:szCs w:val="21"/>
                    </w:rPr>
                    <w:t>0.2</w:t>
                  </w:r>
                </w:p>
              </w:tc>
              <w:tc>
                <w:tcPr>
                  <w:tcW w:w="1391" w:type="dxa"/>
                </w:tcPr>
                <w:p>
                  <w:pPr>
                    <w:pStyle w:val="2"/>
                    <w:spacing w:before="0" w:after="0" w:line="240" w:lineRule="auto"/>
                    <w:ind w:right="0"/>
                    <w:jc w:val="center"/>
                    <w:rPr>
                      <w:color w:val="auto"/>
                      <w:sz w:val="21"/>
                      <w:szCs w:val="21"/>
                    </w:rPr>
                  </w:pPr>
                  <w:r>
                    <w:rPr>
                      <w:color w:val="auto"/>
                      <w:sz w:val="21"/>
                      <w:szCs w:val="21"/>
                    </w:rPr>
                    <w:t>2500</w:t>
                  </w:r>
                </w:p>
              </w:tc>
              <w:tc>
                <w:tcPr>
                  <w:tcW w:w="2025" w:type="dxa"/>
                </w:tcPr>
                <w:p>
                  <w:pPr>
                    <w:pStyle w:val="2"/>
                    <w:spacing w:before="0" w:after="0" w:line="240" w:lineRule="auto"/>
                    <w:ind w:right="0"/>
                    <w:jc w:val="center"/>
                    <w:rPr>
                      <w:color w:val="auto"/>
                      <w:sz w:val="21"/>
                      <w:szCs w:val="21"/>
                    </w:rPr>
                  </w:pPr>
                  <w:r>
                    <w:rPr>
                      <w:color w:val="auto"/>
                      <w:sz w:val="21"/>
                      <w:szCs w:val="21"/>
                    </w:rPr>
                    <w:t>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5" w:type="dxa"/>
                  <w:gridSpan w:val="4"/>
                </w:tcPr>
                <w:p>
                  <w:pPr>
                    <w:pStyle w:val="2"/>
                    <w:spacing w:before="0" w:after="0" w:line="240" w:lineRule="auto"/>
                    <w:ind w:right="0"/>
                    <w:jc w:val="center"/>
                    <w:rPr>
                      <w:color w:val="auto"/>
                      <w:sz w:val="21"/>
                      <w:szCs w:val="21"/>
                    </w:rPr>
                  </w:pPr>
                  <w:r>
                    <w:rPr>
                      <w:color w:val="auto"/>
                      <w:sz w:val="21"/>
                      <w:szCs w:val="21"/>
                    </w:rPr>
                    <w:t>合计</w:t>
                  </w:r>
                </w:p>
              </w:tc>
              <w:tc>
                <w:tcPr>
                  <w:tcW w:w="2025" w:type="dxa"/>
                </w:tcPr>
                <w:p>
                  <w:pPr>
                    <w:pStyle w:val="2"/>
                    <w:spacing w:before="0" w:after="0" w:line="240" w:lineRule="auto"/>
                    <w:ind w:right="0"/>
                    <w:jc w:val="center"/>
                    <w:rPr>
                      <w:color w:val="auto"/>
                      <w:sz w:val="21"/>
                      <w:szCs w:val="21"/>
                    </w:rPr>
                  </w:pPr>
                  <w:r>
                    <w:rPr>
                      <w:color w:val="auto"/>
                      <w:sz w:val="21"/>
                      <w:szCs w:val="21"/>
                    </w:rPr>
                    <w:t>0.00008</w:t>
                  </w:r>
                </w:p>
              </w:tc>
            </w:tr>
          </w:tbl>
          <w:p>
            <w:pPr>
              <w:pStyle w:val="4"/>
              <w:spacing w:before="0" w:after="0" w:line="360" w:lineRule="auto"/>
              <w:ind w:left="0" w:firstLine="480" w:firstLineChars="200"/>
              <w:rPr>
                <w:rFonts w:eastAsia="宋体"/>
                <w:b w:val="0"/>
                <w:bCs w:val="0"/>
                <w:color w:val="auto"/>
                <w:kern w:val="2"/>
                <w:sz w:val="24"/>
                <w:szCs w:val="24"/>
              </w:rPr>
            </w:pPr>
            <w:r>
              <w:rPr>
                <w:rFonts w:hint="eastAsia" w:eastAsia="宋体"/>
                <w:b w:val="0"/>
                <w:bCs w:val="0"/>
                <w:color w:val="auto"/>
                <w:kern w:val="2"/>
                <w:sz w:val="24"/>
                <w:szCs w:val="24"/>
              </w:rPr>
              <w:t>由上表可知，Q＜1。</w:t>
            </w:r>
          </w:p>
          <w:p>
            <w:pPr>
              <w:pStyle w:val="4"/>
              <w:spacing w:before="0" w:after="0" w:line="360" w:lineRule="auto"/>
              <w:ind w:left="0" w:firstLine="480" w:firstLineChars="200"/>
              <w:rPr>
                <w:rFonts w:eastAsia="宋体"/>
                <w:b w:val="0"/>
                <w:bCs w:val="0"/>
                <w:color w:val="auto"/>
                <w:kern w:val="2"/>
                <w:sz w:val="24"/>
                <w:szCs w:val="24"/>
              </w:rPr>
            </w:pPr>
            <w:r>
              <w:rPr>
                <w:rFonts w:hint="eastAsia" w:eastAsia="宋体"/>
                <w:b w:val="0"/>
                <w:bCs w:val="0"/>
                <w:color w:val="auto"/>
                <w:kern w:val="2"/>
                <w:sz w:val="24"/>
                <w:szCs w:val="24"/>
              </w:rPr>
              <w:t>Q值小于1，项目环境风险潜势为Ⅰ，直接判定为简单分析。</w:t>
            </w:r>
          </w:p>
          <w:p>
            <w:pPr>
              <w:pStyle w:val="4"/>
              <w:spacing w:before="0" w:after="0" w:line="360" w:lineRule="auto"/>
              <w:ind w:left="0" w:firstLine="482" w:firstLineChars="200"/>
              <w:rPr>
                <w:rFonts w:eastAsia="宋体"/>
                <w:color w:val="auto"/>
                <w:kern w:val="2"/>
                <w:sz w:val="24"/>
                <w:szCs w:val="24"/>
              </w:rPr>
            </w:pPr>
            <w:r>
              <w:rPr>
                <w:rFonts w:hint="eastAsia" w:eastAsia="宋体"/>
                <w:color w:val="auto"/>
                <w:kern w:val="2"/>
                <w:sz w:val="24"/>
                <w:szCs w:val="24"/>
              </w:rPr>
              <w:t>2、环境敏感目标概况</w:t>
            </w:r>
          </w:p>
          <w:p>
            <w:pPr>
              <w:pStyle w:val="4"/>
              <w:spacing w:before="0" w:after="0" w:line="360" w:lineRule="auto"/>
              <w:ind w:left="0" w:firstLine="480" w:firstLineChars="200"/>
              <w:rPr>
                <w:rFonts w:eastAsia="宋体"/>
                <w:b w:val="0"/>
                <w:bCs w:val="0"/>
                <w:color w:val="auto"/>
                <w:kern w:val="2"/>
                <w:sz w:val="24"/>
                <w:szCs w:val="24"/>
              </w:rPr>
            </w:pPr>
            <w:r>
              <w:rPr>
                <w:rFonts w:eastAsia="宋体"/>
                <w:b w:val="0"/>
                <w:bCs w:val="0"/>
                <w:color w:val="auto"/>
                <w:kern w:val="2"/>
                <w:sz w:val="24"/>
                <w:szCs w:val="24"/>
              </w:rPr>
              <w:t>本项目环境风险评价仅进行简单分析，不设环境风险评价范围，故无环境风险保护目标。</w:t>
            </w:r>
          </w:p>
          <w:p>
            <w:pPr>
              <w:pStyle w:val="4"/>
              <w:spacing w:before="0" w:after="0" w:line="360" w:lineRule="auto"/>
              <w:ind w:left="0" w:firstLine="482" w:firstLineChars="200"/>
              <w:rPr>
                <w:rFonts w:eastAsia="宋体"/>
                <w:color w:val="auto"/>
                <w:kern w:val="2"/>
                <w:sz w:val="24"/>
                <w:szCs w:val="24"/>
              </w:rPr>
            </w:pPr>
            <w:r>
              <w:rPr>
                <w:rFonts w:eastAsia="宋体"/>
                <w:color w:val="auto"/>
                <w:kern w:val="2"/>
                <w:sz w:val="24"/>
                <w:szCs w:val="24"/>
              </w:rPr>
              <w:t>3、环境风险识别与分析</w:t>
            </w:r>
          </w:p>
          <w:p>
            <w:pPr>
              <w:pStyle w:val="4"/>
              <w:spacing w:before="0" w:after="0" w:line="360" w:lineRule="auto"/>
              <w:ind w:left="0" w:firstLine="480" w:firstLineChars="200"/>
              <w:rPr>
                <w:rFonts w:eastAsia="宋体"/>
                <w:b w:val="0"/>
                <w:bCs w:val="0"/>
                <w:color w:val="auto"/>
                <w:kern w:val="2"/>
                <w:sz w:val="24"/>
                <w:szCs w:val="24"/>
              </w:rPr>
            </w:pPr>
            <w:r>
              <w:rPr>
                <w:rFonts w:eastAsia="宋体"/>
                <w:b w:val="0"/>
                <w:bCs w:val="0"/>
                <w:color w:val="auto"/>
                <w:kern w:val="2"/>
                <w:sz w:val="24"/>
                <w:szCs w:val="24"/>
              </w:rPr>
              <w:t>①废机油收集、储存不当，造成泄露，影响地下水和土壤</w:t>
            </w:r>
            <w:r>
              <w:rPr>
                <w:rFonts w:hint="eastAsia" w:eastAsia="宋体"/>
                <w:b w:val="0"/>
                <w:bCs w:val="0"/>
                <w:color w:val="auto"/>
                <w:kern w:val="2"/>
                <w:sz w:val="24"/>
                <w:szCs w:val="24"/>
              </w:rPr>
              <w:t>；</w:t>
            </w:r>
          </w:p>
          <w:p>
            <w:pPr>
              <w:pStyle w:val="4"/>
              <w:spacing w:before="0" w:after="0" w:line="360" w:lineRule="auto"/>
              <w:ind w:left="0" w:firstLine="480" w:firstLineChars="200"/>
              <w:rPr>
                <w:rFonts w:eastAsia="宋体"/>
                <w:b w:val="0"/>
                <w:bCs w:val="0"/>
                <w:color w:val="auto"/>
                <w:kern w:val="2"/>
                <w:sz w:val="24"/>
                <w:szCs w:val="24"/>
              </w:rPr>
            </w:pPr>
            <w:r>
              <w:rPr>
                <w:rFonts w:eastAsia="宋体"/>
                <w:b w:val="0"/>
                <w:bCs w:val="0"/>
                <w:color w:val="auto"/>
                <w:kern w:val="2"/>
                <w:sz w:val="24"/>
                <w:szCs w:val="24"/>
              </w:rPr>
              <w:t>②原料因操作不当或其他原因引发火灾</w:t>
            </w:r>
            <w:r>
              <w:rPr>
                <w:rFonts w:hint="eastAsia" w:eastAsia="宋体"/>
                <w:b w:val="0"/>
                <w:bCs w:val="0"/>
                <w:color w:val="auto"/>
                <w:kern w:val="2"/>
                <w:sz w:val="24"/>
                <w:szCs w:val="24"/>
              </w:rPr>
              <w:t>，</w:t>
            </w:r>
            <w:r>
              <w:rPr>
                <w:rFonts w:eastAsia="宋体"/>
                <w:b w:val="0"/>
                <w:bCs w:val="0"/>
                <w:color w:val="auto"/>
                <w:kern w:val="2"/>
                <w:sz w:val="24"/>
                <w:szCs w:val="24"/>
              </w:rPr>
              <w:t>其产生的次生污染物CO、SO</w:t>
            </w:r>
            <w:r>
              <w:rPr>
                <w:rFonts w:eastAsia="宋体"/>
                <w:b w:val="0"/>
                <w:bCs w:val="0"/>
                <w:color w:val="auto"/>
                <w:kern w:val="2"/>
                <w:sz w:val="24"/>
                <w:szCs w:val="24"/>
                <w:vertAlign w:val="subscript"/>
              </w:rPr>
              <w:t>2</w:t>
            </w:r>
            <w:r>
              <w:rPr>
                <w:rFonts w:eastAsia="宋体"/>
                <w:b w:val="0"/>
                <w:bCs w:val="0"/>
                <w:color w:val="auto"/>
                <w:kern w:val="2"/>
                <w:sz w:val="24"/>
                <w:szCs w:val="24"/>
              </w:rPr>
              <w:t>、烟尘等进入大气环境，对区域环境空气造成不利影响。</w:t>
            </w:r>
          </w:p>
          <w:p>
            <w:pPr>
              <w:pStyle w:val="4"/>
              <w:spacing w:before="0" w:after="0" w:line="360" w:lineRule="auto"/>
              <w:ind w:left="0" w:firstLine="482" w:firstLineChars="200"/>
              <w:rPr>
                <w:rFonts w:eastAsia="宋体"/>
                <w:color w:val="auto"/>
                <w:kern w:val="2"/>
                <w:sz w:val="24"/>
                <w:szCs w:val="24"/>
              </w:rPr>
            </w:pPr>
            <w:r>
              <w:rPr>
                <w:rFonts w:eastAsia="宋体"/>
                <w:color w:val="auto"/>
                <w:kern w:val="2"/>
                <w:sz w:val="24"/>
                <w:szCs w:val="24"/>
              </w:rPr>
              <w:t>4、环境风险污染途径</w:t>
            </w:r>
          </w:p>
          <w:p>
            <w:pPr>
              <w:pStyle w:val="4"/>
              <w:spacing w:before="0" w:after="0" w:line="360" w:lineRule="auto"/>
              <w:ind w:left="0" w:firstLine="480" w:firstLineChars="200"/>
              <w:rPr>
                <w:rFonts w:eastAsia="宋体"/>
                <w:b w:val="0"/>
                <w:bCs w:val="0"/>
                <w:color w:val="auto"/>
                <w:kern w:val="2"/>
                <w:sz w:val="24"/>
                <w:szCs w:val="24"/>
              </w:rPr>
            </w:pPr>
            <w:r>
              <w:rPr>
                <w:rFonts w:eastAsia="宋体"/>
                <w:b w:val="0"/>
                <w:bCs w:val="0"/>
                <w:color w:val="auto"/>
                <w:kern w:val="2"/>
                <w:sz w:val="24"/>
                <w:szCs w:val="24"/>
              </w:rPr>
              <w:t>项目的风险类型为风险物质泄漏及火灾爆炸事故，若发生泄漏及火灾爆炸事故，会对周围大气环境、地下水、地表水及土壤环境产生不利影响。</w:t>
            </w:r>
          </w:p>
          <w:p>
            <w:pPr>
              <w:pStyle w:val="4"/>
              <w:spacing w:before="0" w:after="0" w:line="360" w:lineRule="auto"/>
              <w:ind w:left="0" w:firstLine="482" w:firstLineChars="200"/>
              <w:rPr>
                <w:rFonts w:eastAsia="宋体"/>
                <w:color w:val="auto"/>
                <w:kern w:val="2"/>
                <w:sz w:val="24"/>
                <w:szCs w:val="24"/>
              </w:rPr>
            </w:pPr>
            <w:r>
              <w:rPr>
                <w:rFonts w:eastAsia="宋体"/>
                <w:color w:val="auto"/>
                <w:kern w:val="2"/>
                <w:sz w:val="24"/>
                <w:szCs w:val="24"/>
              </w:rPr>
              <w:t>5、环境风险防范措施及应急要求</w:t>
            </w:r>
          </w:p>
          <w:p>
            <w:pPr>
              <w:pStyle w:val="4"/>
              <w:spacing w:before="0" w:after="0" w:line="360" w:lineRule="auto"/>
              <w:ind w:left="0" w:firstLine="480" w:firstLineChars="200"/>
              <w:rPr>
                <w:rFonts w:eastAsia="宋体"/>
                <w:b w:val="0"/>
                <w:bCs w:val="0"/>
                <w:color w:val="auto"/>
                <w:kern w:val="2"/>
                <w:sz w:val="24"/>
                <w:szCs w:val="24"/>
              </w:rPr>
            </w:pPr>
            <w:r>
              <w:rPr>
                <w:rFonts w:eastAsia="宋体"/>
                <w:b w:val="0"/>
                <w:bCs w:val="0"/>
                <w:color w:val="auto"/>
                <w:kern w:val="2"/>
                <w:sz w:val="24"/>
                <w:szCs w:val="24"/>
              </w:rPr>
              <w:t>①危废暂存间做好“三防”措施，按《危险废物贮存污染控制标准》(GB18597-20</w:t>
            </w:r>
            <w:r>
              <w:rPr>
                <w:rFonts w:hint="eastAsia" w:eastAsia="宋体"/>
                <w:b w:val="0"/>
                <w:bCs w:val="0"/>
                <w:color w:val="auto"/>
                <w:kern w:val="2"/>
                <w:sz w:val="24"/>
                <w:szCs w:val="24"/>
              </w:rPr>
              <w:t>23</w:t>
            </w:r>
            <w:r>
              <w:rPr>
                <w:rFonts w:eastAsia="宋体"/>
                <w:b w:val="0"/>
                <w:bCs w:val="0"/>
                <w:color w:val="auto"/>
                <w:kern w:val="2"/>
                <w:sz w:val="24"/>
                <w:szCs w:val="24"/>
              </w:rPr>
              <w:t>)</w:t>
            </w:r>
            <w:r>
              <w:rPr>
                <w:rFonts w:hint="eastAsia" w:eastAsia="宋体"/>
                <w:b w:val="0"/>
                <w:bCs w:val="0"/>
                <w:color w:val="auto"/>
                <w:kern w:val="2"/>
                <w:sz w:val="24"/>
                <w:szCs w:val="24"/>
              </w:rPr>
              <w:t>中</w:t>
            </w:r>
            <w:r>
              <w:rPr>
                <w:rFonts w:eastAsia="宋体"/>
                <w:b w:val="0"/>
                <w:bCs w:val="0"/>
                <w:color w:val="auto"/>
                <w:kern w:val="2"/>
                <w:sz w:val="24"/>
                <w:szCs w:val="24"/>
              </w:rPr>
              <w:t>的要求进行建设，应建设堵截泄露的裙角，地面与裙角所围建的容积不低于总储量的五分之</w:t>
            </w:r>
            <w:r>
              <w:rPr>
                <w:rFonts w:hint="eastAsia" w:eastAsia="宋体"/>
                <w:b w:val="0"/>
                <w:bCs w:val="0"/>
                <w:color w:val="auto"/>
                <w:kern w:val="2"/>
                <w:sz w:val="24"/>
                <w:szCs w:val="24"/>
              </w:rPr>
              <w:t>一</w:t>
            </w:r>
            <w:r>
              <w:rPr>
                <w:rFonts w:eastAsia="宋体"/>
                <w:b w:val="0"/>
                <w:bCs w:val="0"/>
                <w:color w:val="auto"/>
                <w:kern w:val="2"/>
                <w:sz w:val="24"/>
                <w:szCs w:val="24"/>
              </w:rPr>
              <w:t>，地面与裙角进行水泥硬化并采用2.0mm厚高密度聚乙烯进行防渗，使其单元渗透系数≤1× 10</w:t>
            </w:r>
            <w:r>
              <w:rPr>
                <w:rFonts w:hint="eastAsia" w:eastAsia="宋体"/>
                <w:b w:val="0"/>
                <w:bCs w:val="0"/>
                <w:color w:val="auto"/>
                <w:kern w:val="2"/>
                <w:sz w:val="24"/>
                <w:szCs w:val="24"/>
                <w:vertAlign w:val="superscript"/>
              </w:rPr>
              <w:t>-10</w:t>
            </w:r>
            <w:r>
              <w:rPr>
                <w:rFonts w:eastAsia="宋体"/>
                <w:b w:val="0"/>
                <w:bCs w:val="0"/>
                <w:color w:val="auto"/>
                <w:kern w:val="2"/>
                <w:sz w:val="24"/>
                <w:szCs w:val="24"/>
              </w:rPr>
              <w:t>cm/s</w:t>
            </w:r>
            <w:r>
              <w:rPr>
                <w:rFonts w:hint="eastAsia" w:eastAsia="宋体"/>
                <w:b w:val="0"/>
                <w:bCs w:val="0"/>
                <w:color w:val="auto"/>
                <w:kern w:val="2"/>
                <w:sz w:val="24"/>
                <w:szCs w:val="24"/>
              </w:rPr>
              <w:t>；</w:t>
            </w:r>
          </w:p>
          <w:p>
            <w:pPr>
              <w:pStyle w:val="4"/>
              <w:spacing w:before="0" w:after="0" w:line="360" w:lineRule="auto"/>
              <w:ind w:left="0" w:firstLine="480" w:firstLineChars="200"/>
              <w:rPr>
                <w:rFonts w:eastAsia="宋体"/>
                <w:b w:val="0"/>
                <w:bCs w:val="0"/>
                <w:color w:val="auto"/>
                <w:kern w:val="2"/>
                <w:sz w:val="24"/>
                <w:szCs w:val="24"/>
              </w:rPr>
            </w:pPr>
            <w:r>
              <w:rPr>
                <w:rFonts w:eastAsia="宋体"/>
                <w:b w:val="0"/>
                <w:bCs w:val="0"/>
                <w:color w:val="auto"/>
                <w:kern w:val="2"/>
                <w:sz w:val="24"/>
                <w:szCs w:val="24"/>
              </w:rPr>
              <w:t>②加强对厂区日常管理工作，及时掌握可能引发火灾的情况，以便及时采取有效的防灭火措施，有效预防火灾事故的发生。</w:t>
            </w:r>
          </w:p>
          <w:p>
            <w:pPr>
              <w:pStyle w:val="4"/>
              <w:spacing w:before="0" w:after="0" w:line="360" w:lineRule="auto"/>
              <w:ind w:left="0" w:firstLine="480" w:firstLineChars="200"/>
              <w:rPr>
                <w:rFonts w:eastAsia="宋体"/>
                <w:b w:val="0"/>
                <w:bCs w:val="0"/>
                <w:color w:val="auto"/>
                <w:kern w:val="2"/>
                <w:sz w:val="24"/>
                <w:szCs w:val="24"/>
              </w:rPr>
            </w:pPr>
            <w:r>
              <w:rPr>
                <w:rFonts w:eastAsia="宋体"/>
                <w:b w:val="0"/>
                <w:bCs w:val="0"/>
                <w:color w:val="auto"/>
                <w:kern w:val="2"/>
                <w:sz w:val="24"/>
                <w:szCs w:val="24"/>
              </w:rPr>
              <w:t>③对生产设备、危废暂存间及收集容器进行日常检查，保证生产设备不出现跑冒滴漏情况，危废暂存间防渗层未发生破裂，收集容器完好无泄漏。</w:t>
            </w:r>
          </w:p>
          <w:p>
            <w:pPr>
              <w:pStyle w:val="4"/>
              <w:spacing w:before="0" w:after="0" w:line="360" w:lineRule="auto"/>
              <w:ind w:left="0" w:firstLine="480" w:firstLineChars="200"/>
              <w:rPr>
                <w:rFonts w:eastAsia="宋体"/>
                <w:b w:val="0"/>
                <w:bCs w:val="0"/>
                <w:color w:val="auto"/>
                <w:kern w:val="2"/>
                <w:sz w:val="24"/>
                <w:szCs w:val="24"/>
              </w:rPr>
            </w:pPr>
            <w:r>
              <w:rPr>
                <w:rFonts w:eastAsia="宋体"/>
                <w:b w:val="0"/>
                <w:bCs w:val="0"/>
                <w:color w:val="auto"/>
                <w:kern w:val="2"/>
                <w:sz w:val="24"/>
                <w:szCs w:val="24"/>
              </w:rPr>
              <w:t>④企业须编制突发环境事件应急预案，并报昆明市生态环境局寻甸分局备案。</w:t>
            </w:r>
          </w:p>
          <w:p>
            <w:pPr>
              <w:pStyle w:val="4"/>
              <w:spacing w:before="0" w:after="0" w:line="360" w:lineRule="auto"/>
              <w:ind w:left="0" w:firstLine="482" w:firstLineChars="200"/>
              <w:rPr>
                <w:rFonts w:eastAsia="宋体"/>
                <w:color w:val="auto"/>
                <w:kern w:val="2"/>
                <w:sz w:val="24"/>
                <w:szCs w:val="24"/>
              </w:rPr>
            </w:pPr>
            <w:r>
              <w:rPr>
                <w:rFonts w:eastAsia="宋体"/>
                <w:color w:val="auto"/>
                <w:kern w:val="2"/>
                <w:sz w:val="24"/>
                <w:szCs w:val="24"/>
              </w:rPr>
              <w:t>6、分析结论</w:t>
            </w:r>
          </w:p>
          <w:p>
            <w:pPr>
              <w:pStyle w:val="4"/>
              <w:spacing w:before="0" w:after="0" w:line="360" w:lineRule="auto"/>
              <w:ind w:left="0" w:firstLine="480" w:firstLineChars="200"/>
              <w:rPr>
                <w:rFonts w:eastAsia="宋体"/>
                <w:b w:val="0"/>
                <w:bCs w:val="0"/>
                <w:color w:val="auto"/>
                <w:kern w:val="2"/>
                <w:sz w:val="24"/>
                <w:szCs w:val="24"/>
              </w:rPr>
            </w:pPr>
            <w:r>
              <w:rPr>
                <w:rFonts w:eastAsia="宋体"/>
                <w:b w:val="0"/>
                <w:bCs w:val="0"/>
                <w:color w:val="auto"/>
                <w:kern w:val="2"/>
                <w:sz w:val="24"/>
                <w:szCs w:val="24"/>
              </w:rPr>
              <w:t>项目存在一定的环境风险，但经采取相关防范控制措施后，项目环境风险处于可接受的水平。企业须编制突发环境事件应急预案，并报昆明市生态环境局寻甸分局备案。</w:t>
            </w:r>
          </w:p>
          <w:p>
            <w:pPr>
              <w:pStyle w:val="4"/>
              <w:spacing w:before="0" w:after="0" w:line="360" w:lineRule="auto"/>
              <w:ind w:left="0" w:firstLine="480" w:firstLineChars="200"/>
              <w:rPr>
                <w:rFonts w:eastAsia="宋体"/>
                <w:b w:val="0"/>
                <w:bCs w:val="0"/>
                <w:color w:val="auto"/>
                <w:kern w:val="2"/>
                <w:sz w:val="24"/>
                <w:szCs w:val="24"/>
              </w:rPr>
            </w:pPr>
            <w:r>
              <w:rPr>
                <w:rFonts w:eastAsia="宋体"/>
                <w:b w:val="0"/>
                <w:bCs w:val="0"/>
                <w:color w:val="auto"/>
                <w:kern w:val="2"/>
                <w:sz w:val="24"/>
                <w:szCs w:val="24"/>
              </w:rPr>
              <w:t>本项目环境风险简单分析内容见下表4-1</w:t>
            </w:r>
            <w:r>
              <w:rPr>
                <w:rFonts w:hint="eastAsia" w:eastAsia="宋体"/>
                <w:b w:val="0"/>
                <w:bCs w:val="0"/>
                <w:color w:val="auto"/>
                <w:kern w:val="2"/>
                <w:sz w:val="24"/>
                <w:szCs w:val="24"/>
              </w:rPr>
              <w:t>5</w:t>
            </w:r>
            <w:r>
              <w:rPr>
                <w:rFonts w:eastAsia="宋体"/>
                <w:b w:val="0"/>
                <w:bCs w:val="0"/>
                <w:color w:val="auto"/>
                <w:kern w:val="2"/>
                <w:sz w:val="24"/>
                <w:szCs w:val="24"/>
              </w:rPr>
              <w:t>。</w:t>
            </w:r>
          </w:p>
          <w:p>
            <w:pPr>
              <w:jc w:val="center"/>
              <w:rPr>
                <w:b/>
                <w:bCs/>
                <w:color w:val="auto"/>
                <w:sz w:val="24"/>
              </w:rPr>
            </w:pPr>
            <w:r>
              <w:rPr>
                <w:b/>
                <w:bCs/>
                <w:color w:val="auto"/>
                <w:sz w:val="24"/>
              </w:rPr>
              <w:t>表4-1</w:t>
            </w:r>
            <w:r>
              <w:rPr>
                <w:rFonts w:hint="eastAsia"/>
                <w:b/>
                <w:bCs/>
                <w:color w:val="auto"/>
                <w:sz w:val="24"/>
              </w:rPr>
              <w:t>5</w:t>
            </w:r>
            <w:r>
              <w:rPr>
                <w:b/>
                <w:bCs/>
                <w:color w:val="auto"/>
                <w:sz w:val="24"/>
              </w:rPr>
              <w:t xml:space="preserve">  建设项目环境风险简单分析内容表</w:t>
            </w:r>
          </w:p>
          <w:tbl>
            <w:tblPr>
              <w:tblStyle w:val="31"/>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pStyle w:val="2"/>
                    <w:spacing w:before="0" w:after="0" w:line="260" w:lineRule="auto"/>
                    <w:ind w:right="0"/>
                    <w:jc w:val="center"/>
                    <w:rPr>
                      <w:b/>
                      <w:bCs/>
                      <w:color w:val="auto"/>
                      <w:sz w:val="21"/>
                      <w:szCs w:val="21"/>
                    </w:rPr>
                  </w:pPr>
                  <w:r>
                    <w:rPr>
                      <w:rFonts w:hint="eastAsia"/>
                      <w:b/>
                      <w:bCs/>
                      <w:color w:val="auto"/>
                      <w:sz w:val="21"/>
                      <w:szCs w:val="21"/>
                    </w:rPr>
                    <w:t>建设项目名称</w:t>
                  </w:r>
                </w:p>
              </w:tc>
              <w:tc>
                <w:tcPr>
                  <w:tcW w:w="6103" w:type="dxa"/>
                </w:tcPr>
                <w:p>
                  <w:pPr>
                    <w:pStyle w:val="2"/>
                    <w:spacing w:before="0" w:after="0" w:line="260" w:lineRule="auto"/>
                    <w:ind w:right="0"/>
                    <w:jc w:val="center"/>
                    <w:rPr>
                      <w:color w:val="auto"/>
                      <w:sz w:val="21"/>
                      <w:szCs w:val="21"/>
                    </w:rPr>
                  </w:pPr>
                  <w:r>
                    <w:rPr>
                      <w:color w:val="auto"/>
                      <w:sz w:val="21"/>
                      <w:szCs w:val="21"/>
                    </w:rPr>
                    <w:t>云南塑发科技有限公司新建改性塑料生产建设项目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pStyle w:val="2"/>
                    <w:spacing w:before="0" w:after="0" w:line="260" w:lineRule="auto"/>
                    <w:ind w:right="0"/>
                    <w:jc w:val="center"/>
                    <w:rPr>
                      <w:b/>
                      <w:bCs/>
                      <w:color w:val="auto"/>
                      <w:sz w:val="21"/>
                      <w:szCs w:val="21"/>
                    </w:rPr>
                  </w:pPr>
                  <w:r>
                    <w:rPr>
                      <w:rFonts w:hint="eastAsia"/>
                      <w:b/>
                      <w:bCs/>
                      <w:color w:val="auto"/>
                      <w:sz w:val="21"/>
                      <w:szCs w:val="21"/>
                    </w:rPr>
                    <w:t>建设地点</w:t>
                  </w:r>
                </w:p>
              </w:tc>
              <w:tc>
                <w:tcPr>
                  <w:tcW w:w="6103" w:type="dxa"/>
                </w:tcPr>
                <w:p>
                  <w:pPr>
                    <w:pStyle w:val="2"/>
                    <w:spacing w:before="0" w:after="0" w:line="260" w:lineRule="auto"/>
                    <w:ind w:right="0"/>
                    <w:jc w:val="center"/>
                    <w:rPr>
                      <w:color w:val="auto"/>
                      <w:sz w:val="21"/>
                      <w:szCs w:val="21"/>
                    </w:rPr>
                  </w:pPr>
                  <w:r>
                    <w:rPr>
                      <w:color w:val="auto"/>
                      <w:sz w:val="21"/>
                      <w:szCs w:val="21"/>
                    </w:rPr>
                    <w:t>寻甸</w:t>
                  </w:r>
                  <w:r>
                    <w:rPr>
                      <w:rFonts w:hint="eastAsia"/>
                      <w:color w:val="auto"/>
                      <w:sz w:val="21"/>
                      <w:szCs w:val="21"/>
                    </w:rPr>
                    <w:t>回族彝族自治县</w:t>
                  </w:r>
                  <w:r>
                    <w:rPr>
                      <w:color w:val="auto"/>
                      <w:sz w:val="21"/>
                      <w:szCs w:val="21"/>
                    </w:rPr>
                    <w:t>特色产业园区羊街片区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pStyle w:val="2"/>
                    <w:spacing w:before="0" w:after="0" w:line="260" w:lineRule="auto"/>
                    <w:ind w:right="0"/>
                    <w:jc w:val="center"/>
                    <w:rPr>
                      <w:b/>
                      <w:bCs/>
                      <w:color w:val="auto"/>
                      <w:sz w:val="21"/>
                      <w:szCs w:val="21"/>
                    </w:rPr>
                  </w:pPr>
                  <w:r>
                    <w:rPr>
                      <w:rFonts w:hint="eastAsia"/>
                      <w:b/>
                      <w:bCs/>
                      <w:color w:val="auto"/>
                      <w:sz w:val="21"/>
                      <w:szCs w:val="21"/>
                    </w:rPr>
                    <w:t>地理坐标</w:t>
                  </w:r>
                </w:p>
              </w:tc>
              <w:tc>
                <w:tcPr>
                  <w:tcW w:w="6103" w:type="dxa"/>
                </w:tcPr>
                <w:p>
                  <w:pPr>
                    <w:pStyle w:val="2"/>
                    <w:spacing w:before="0" w:after="0" w:line="260" w:lineRule="auto"/>
                    <w:ind w:right="0"/>
                    <w:jc w:val="center"/>
                    <w:rPr>
                      <w:color w:val="auto"/>
                      <w:sz w:val="21"/>
                      <w:szCs w:val="21"/>
                    </w:rPr>
                  </w:pPr>
                  <w:r>
                    <w:rPr>
                      <w:color w:val="auto"/>
                      <w:kern w:val="2"/>
                      <w:sz w:val="21"/>
                      <w:szCs w:val="21"/>
                    </w:rPr>
                    <w:t>东经103°09′07.24″，北纬25°28′33.20″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pStyle w:val="2"/>
                    <w:spacing w:before="0" w:after="0" w:line="260" w:lineRule="auto"/>
                    <w:ind w:right="0"/>
                    <w:jc w:val="center"/>
                    <w:rPr>
                      <w:b/>
                      <w:bCs/>
                      <w:color w:val="auto"/>
                      <w:sz w:val="21"/>
                      <w:szCs w:val="21"/>
                    </w:rPr>
                  </w:pPr>
                  <w:r>
                    <w:rPr>
                      <w:rFonts w:hint="eastAsia"/>
                      <w:b/>
                      <w:bCs/>
                      <w:color w:val="auto"/>
                      <w:sz w:val="21"/>
                      <w:szCs w:val="21"/>
                    </w:rPr>
                    <w:t>主要危险物质及分布</w:t>
                  </w:r>
                </w:p>
              </w:tc>
              <w:tc>
                <w:tcPr>
                  <w:tcW w:w="6103" w:type="dxa"/>
                </w:tcPr>
                <w:p>
                  <w:pPr>
                    <w:pStyle w:val="2"/>
                    <w:spacing w:before="0" w:after="0" w:line="260" w:lineRule="auto"/>
                    <w:ind w:right="0"/>
                    <w:jc w:val="center"/>
                    <w:rPr>
                      <w:color w:val="auto"/>
                      <w:sz w:val="21"/>
                      <w:szCs w:val="21"/>
                    </w:rPr>
                  </w:pPr>
                  <w:r>
                    <w:rPr>
                      <w:rFonts w:hint="eastAsia"/>
                      <w:color w:val="auto"/>
                      <w:sz w:val="21"/>
                      <w:szCs w:val="21"/>
                    </w:rPr>
                    <w:t>废机油：危险废物暂存间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pStyle w:val="2"/>
                    <w:spacing w:before="0" w:after="0" w:line="260" w:lineRule="auto"/>
                    <w:ind w:right="0"/>
                    <w:jc w:val="center"/>
                    <w:rPr>
                      <w:b/>
                      <w:bCs/>
                      <w:color w:val="auto"/>
                      <w:sz w:val="21"/>
                      <w:szCs w:val="21"/>
                    </w:rPr>
                  </w:pPr>
                  <w:r>
                    <w:rPr>
                      <w:rFonts w:hint="eastAsia"/>
                      <w:b/>
                      <w:bCs/>
                      <w:color w:val="auto"/>
                      <w:sz w:val="21"/>
                      <w:szCs w:val="21"/>
                    </w:rPr>
                    <w:t>环境影响途径及危害后果（大气、地表水、地下水等）</w:t>
                  </w:r>
                </w:p>
              </w:tc>
              <w:tc>
                <w:tcPr>
                  <w:tcW w:w="6103" w:type="dxa"/>
                </w:tcPr>
                <w:p>
                  <w:pPr>
                    <w:pStyle w:val="2"/>
                    <w:spacing w:before="0" w:after="0" w:line="260" w:lineRule="auto"/>
                    <w:ind w:right="0"/>
                    <w:rPr>
                      <w:color w:val="auto"/>
                      <w:sz w:val="21"/>
                      <w:szCs w:val="21"/>
                    </w:rPr>
                  </w:pPr>
                  <w:r>
                    <w:rPr>
                      <w:color w:val="auto"/>
                      <w:sz w:val="21"/>
                      <w:szCs w:val="21"/>
                    </w:rPr>
                    <w:t>①废机油收集、储存不当，造成泄露，影响地下水和土壤</w:t>
                  </w:r>
                </w:p>
                <w:p>
                  <w:pPr>
                    <w:pStyle w:val="2"/>
                    <w:spacing w:before="0" w:after="0" w:line="260" w:lineRule="auto"/>
                    <w:ind w:right="0"/>
                    <w:rPr>
                      <w:color w:val="auto"/>
                      <w:sz w:val="21"/>
                      <w:szCs w:val="21"/>
                    </w:rPr>
                  </w:pPr>
                  <w:r>
                    <w:rPr>
                      <w:color w:val="auto"/>
                      <w:sz w:val="21"/>
                      <w:szCs w:val="21"/>
                    </w:rPr>
                    <w:t>②原料因操作不当或其他原因引发火灾，其产生的次生污染物CO、SO</w:t>
                  </w:r>
                  <w:r>
                    <w:rPr>
                      <w:color w:val="auto"/>
                      <w:sz w:val="21"/>
                      <w:szCs w:val="21"/>
                      <w:vertAlign w:val="subscript"/>
                    </w:rPr>
                    <w:t>2</w:t>
                  </w:r>
                  <w:r>
                    <w:rPr>
                      <w:color w:val="auto"/>
                      <w:sz w:val="21"/>
                      <w:szCs w:val="21"/>
                    </w:rPr>
                    <w:t>、烟尘等进入大气环境，对区域环境空气造成不利影响。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pStyle w:val="2"/>
                    <w:spacing w:before="0" w:after="0" w:line="260" w:lineRule="auto"/>
                    <w:ind w:right="0"/>
                    <w:jc w:val="center"/>
                    <w:rPr>
                      <w:b/>
                      <w:bCs/>
                      <w:color w:val="auto"/>
                      <w:sz w:val="21"/>
                      <w:szCs w:val="21"/>
                    </w:rPr>
                  </w:pPr>
                  <w:r>
                    <w:rPr>
                      <w:rFonts w:hint="eastAsia"/>
                      <w:b/>
                      <w:bCs/>
                      <w:color w:val="auto"/>
                      <w:sz w:val="21"/>
                      <w:szCs w:val="21"/>
                    </w:rPr>
                    <w:t>风险防范措施要求</w:t>
                  </w:r>
                </w:p>
              </w:tc>
              <w:tc>
                <w:tcPr>
                  <w:tcW w:w="6103" w:type="dxa"/>
                </w:tcPr>
                <w:p>
                  <w:pPr>
                    <w:pStyle w:val="2"/>
                    <w:spacing w:before="0" w:after="0" w:line="260" w:lineRule="auto"/>
                    <w:ind w:right="0"/>
                    <w:jc w:val="center"/>
                    <w:rPr>
                      <w:color w:val="auto"/>
                      <w:sz w:val="21"/>
                      <w:szCs w:val="21"/>
                    </w:rPr>
                  </w:pPr>
                  <w:r>
                    <w:rPr>
                      <w:color w:val="auto"/>
                      <w:sz w:val="21"/>
                      <w:szCs w:val="21"/>
                    </w:rPr>
                    <w:t>①危废暂存间做好“三防”措施，按《危险废物贮存污染控制标准》(GB18597-2</w:t>
                  </w:r>
                  <w:r>
                    <w:rPr>
                      <w:rFonts w:hint="eastAsia"/>
                      <w:color w:val="auto"/>
                      <w:sz w:val="21"/>
                      <w:szCs w:val="21"/>
                    </w:rPr>
                    <w:t>023</w:t>
                  </w:r>
                  <w:r>
                    <w:rPr>
                      <w:color w:val="auto"/>
                      <w:sz w:val="21"/>
                      <w:szCs w:val="21"/>
                    </w:rPr>
                    <w:t>)及修改单的要求进行建设，应建设堵截泄露的裙角，地面与裙角所围建的容积不低于总储量的五分之一，地面与裙角进行水泥硬化并采用2.0mm厚高密度聚乙烯进行防渗，使其单元渗透系数</w:t>
                  </w:r>
                  <w:r>
                    <w:rPr>
                      <w:color w:val="auto"/>
                      <w:kern w:val="2"/>
                      <w:sz w:val="21"/>
                      <w:szCs w:val="21"/>
                    </w:rPr>
                    <w:t>≤1× 10</w:t>
                  </w:r>
                  <w:r>
                    <w:rPr>
                      <w:color w:val="auto"/>
                      <w:kern w:val="2"/>
                      <w:sz w:val="21"/>
                      <w:szCs w:val="21"/>
                      <w:vertAlign w:val="superscript"/>
                    </w:rPr>
                    <w:t>-10</w:t>
                  </w:r>
                  <w:r>
                    <w:rPr>
                      <w:color w:val="auto"/>
                      <w:kern w:val="2"/>
                      <w:sz w:val="21"/>
                      <w:szCs w:val="21"/>
                    </w:rPr>
                    <w:t>cm/s</w:t>
                  </w:r>
                  <w:r>
                    <w:rPr>
                      <w:color w:val="auto"/>
                      <w:sz w:val="21"/>
                      <w:szCs w:val="21"/>
                    </w:rPr>
                    <w:t>；</w:t>
                  </w:r>
                </w:p>
                <w:p>
                  <w:pPr>
                    <w:pStyle w:val="2"/>
                    <w:spacing w:before="0" w:after="0" w:line="260" w:lineRule="auto"/>
                    <w:ind w:right="0"/>
                    <w:jc w:val="center"/>
                    <w:rPr>
                      <w:color w:val="auto"/>
                      <w:sz w:val="21"/>
                      <w:szCs w:val="21"/>
                    </w:rPr>
                  </w:pPr>
                  <w:r>
                    <w:rPr>
                      <w:color w:val="auto"/>
                      <w:sz w:val="21"/>
                      <w:szCs w:val="21"/>
                    </w:rPr>
                    <w:t>②加强对厂区日常管理工作，及时掌握可能引发火灾的情况，以便及时采取有效的防灭火措施，有效预防火灾事故的发生。</w:t>
                  </w:r>
                </w:p>
                <w:p>
                  <w:pPr>
                    <w:pStyle w:val="2"/>
                    <w:spacing w:before="0" w:after="0" w:line="260" w:lineRule="auto"/>
                    <w:ind w:right="0"/>
                    <w:jc w:val="center"/>
                    <w:rPr>
                      <w:color w:val="auto"/>
                      <w:sz w:val="21"/>
                      <w:szCs w:val="21"/>
                    </w:rPr>
                  </w:pPr>
                  <w:r>
                    <w:rPr>
                      <w:color w:val="auto"/>
                      <w:sz w:val="21"/>
                      <w:szCs w:val="21"/>
                    </w:rPr>
                    <w:t>③对生产设备、危废暂存间及收集容器进行日常检查，保证生产设备不出现跑冒滴漏情况，危废暂存间防渗层未发生破裂，收集容器完好无泄漏。</w:t>
                  </w:r>
                </w:p>
                <w:p>
                  <w:pPr>
                    <w:pStyle w:val="2"/>
                    <w:spacing w:before="0" w:after="0" w:line="260" w:lineRule="auto"/>
                    <w:ind w:right="0"/>
                    <w:jc w:val="center"/>
                    <w:rPr>
                      <w:color w:val="auto"/>
                      <w:sz w:val="21"/>
                      <w:szCs w:val="21"/>
                    </w:rPr>
                  </w:pPr>
                  <w:r>
                    <w:rPr>
                      <w:color w:val="auto"/>
                      <w:sz w:val="21"/>
                      <w:szCs w:val="21"/>
                    </w:rPr>
                    <w:t>④企业须编制突发环境事件应急预案，并报昆明市生态环境局寻甸分局备案。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gridSpan w:val="2"/>
                </w:tcPr>
                <w:p>
                  <w:pPr>
                    <w:pStyle w:val="2"/>
                    <w:spacing w:before="0" w:after="0" w:line="260" w:lineRule="auto"/>
                    <w:ind w:right="0"/>
                    <w:jc w:val="center"/>
                    <w:rPr>
                      <w:color w:val="auto"/>
                      <w:sz w:val="21"/>
                      <w:szCs w:val="21"/>
                    </w:rPr>
                  </w:pPr>
                  <w:r>
                    <w:rPr>
                      <w:rFonts w:hint="eastAsia"/>
                      <w:b/>
                      <w:bCs/>
                      <w:color w:val="auto"/>
                      <w:sz w:val="21"/>
                      <w:szCs w:val="21"/>
                    </w:rPr>
                    <w:t>分析结论：</w:t>
                  </w:r>
                  <w:r>
                    <w:rPr>
                      <w:rFonts w:hint="eastAsia"/>
                      <w:color w:val="auto"/>
                      <w:sz w:val="21"/>
                      <w:szCs w:val="21"/>
                    </w:rPr>
                    <w:t>项目不存在重大危险源，环境风险属于可接受水平</w:t>
                  </w:r>
                </w:p>
              </w:tc>
            </w:tr>
          </w:tbl>
          <w:p>
            <w:pPr>
              <w:pStyle w:val="4"/>
              <w:spacing w:before="0" w:after="0" w:line="360" w:lineRule="auto"/>
              <w:ind w:left="0" w:firstLine="480" w:firstLineChars="200"/>
              <w:rPr>
                <w:rFonts w:eastAsia="宋体"/>
                <w:color w:val="auto"/>
                <w:sz w:val="24"/>
                <w:szCs w:val="24"/>
              </w:rPr>
            </w:pPr>
            <w:r>
              <w:rPr>
                <w:rFonts w:eastAsia="宋体"/>
                <w:b w:val="0"/>
                <w:bCs w:val="0"/>
                <w:color w:val="auto"/>
                <w:kern w:val="2"/>
                <w:sz w:val="24"/>
                <w:szCs w:val="24"/>
              </w:rPr>
              <w:t>综上所述，</w:t>
            </w:r>
            <w:r>
              <w:rPr>
                <w:rFonts w:hint="eastAsia" w:eastAsia="宋体"/>
                <w:b w:val="0"/>
                <w:bCs w:val="0"/>
                <w:color w:val="auto"/>
                <w:kern w:val="2"/>
                <w:sz w:val="24"/>
                <w:szCs w:val="24"/>
              </w:rPr>
              <w:t>项目存在一定的环境风险，但经采取相关防范控制措施后，项目环境风险处于可接受的水平。</w:t>
            </w:r>
          </w:p>
        </w:tc>
      </w:tr>
    </w:tbl>
    <w:p>
      <w:pPr>
        <w:pStyle w:val="4"/>
        <w:rPr>
          <w:rFonts w:eastAsia="宋体"/>
          <w:color w:val="auto"/>
        </w:rPr>
        <w:sectPr>
          <w:pgSz w:w="11906" w:h="16838"/>
          <w:pgMar w:top="1531" w:right="1701" w:bottom="1531" w:left="1701" w:header="851" w:footer="851" w:gutter="0"/>
          <w:cols w:space="720" w:num="1"/>
          <w:docGrid w:linePitch="312" w:charSpace="0"/>
        </w:sectPr>
      </w:pPr>
    </w:p>
    <w:p>
      <w:pPr>
        <w:pStyle w:val="4"/>
        <w:rPr>
          <w:rFonts w:eastAsia="宋体"/>
          <w:color w:val="auto"/>
        </w:rPr>
      </w:pPr>
      <w:r>
        <w:rPr>
          <w:rFonts w:eastAsia="宋体"/>
          <w:color w:val="auto"/>
        </w:rPr>
        <w:t>五、</w:t>
      </w:r>
      <w:bookmarkStart w:id="32" w:name="_Hlk54167917"/>
      <w:r>
        <w:rPr>
          <w:rFonts w:eastAsia="宋体"/>
          <w:color w:val="auto"/>
        </w:rPr>
        <w:t>环境保护措施监督检查清单</w:t>
      </w:r>
      <w:bookmarkEnd w:id="26"/>
      <w:bookmarkEnd w:id="27"/>
      <w:bookmarkEnd w:id="28"/>
      <w:bookmarkEnd w:id="32"/>
    </w:p>
    <w:tbl>
      <w:tblPr>
        <w:tblStyle w:val="30"/>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6"/>
        <w:gridCol w:w="1211"/>
        <w:gridCol w:w="3143"/>
        <w:gridCol w:w="19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51" w:type="pct"/>
            <w:tcBorders>
              <w:tl2br w:val="single" w:color="auto" w:sz="4" w:space="0"/>
            </w:tcBorders>
            <w:vAlign w:val="center"/>
          </w:tcPr>
          <w:p>
            <w:pPr>
              <w:jc w:val="right"/>
              <w:rPr>
                <w:b/>
                <w:bCs/>
                <w:color w:val="auto"/>
                <w:sz w:val="24"/>
              </w:rPr>
            </w:pPr>
            <w:r>
              <w:rPr>
                <w:b/>
                <w:bCs/>
                <w:color w:val="auto"/>
                <w:sz w:val="24"/>
              </w:rPr>
              <w:t>内容</w:t>
            </w:r>
          </w:p>
          <w:p>
            <w:pPr>
              <w:jc w:val="left"/>
              <w:rPr>
                <w:b/>
                <w:bCs/>
                <w:color w:val="auto"/>
                <w:sz w:val="24"/>
              </w:rPr>
            </w:pPr>
            <w:r>
              <w:rPr>
                <w:b/>
                <w:bCs/>
                <w:color w:val="auto"/>
                <w:sz w:val="24"/>
              </w:rPr>
              <w:t>要素</w:t>
            </w:r>
          </w:p>
        </w:tc>
        <w:tc>
          <w:tcPr>
            <w:tcW w:w="806" w:type="pct"/>
            <w:vAlign w:val="center"/>
          </w:tcPr>
          <w:p>
            <w:pPr>
              <w:jc w:val="center"/>
              <w:rPr>
                <w:b/>
                <w:bCs/>
                <w:color w:val="auto"/>
                <w:sz w:val="24"/>
              </w:rPr>
            </w:pPr>
            <w:r>
              <w:rPr>
                <w:b/>
                <w:bCs/>
                <w:color w:val="auto"/>
                <w:sz w:val="24"/>
              </w:rPr>
              <w:t>排放口(编号、名称)/污染源</w:t>
            </w:r>
          </w:p>
        </w:tc>
        <w:tc>
          <w:tcPr>
            <w:tcW w:w="694" w:type="pct"/>
            <w:vAlign w:val="center"/>
          </w:tcPr>
          <w:p>
            <w:pPr>
              <w:jc w:val="center"/>
              <w:rPr>
                <w:b/>
                <w:bCs/>
                <w:color w:val="auto"/>
                <w:sz w:val="24"/>
              </w:rPr>
            </w:pPr>
            <w:r>
              <w:rPr>
                <w:b/>
                <w:bCs/>
                <w:color w:val="auto"/>
                <w:sz w:val="24"/>
              </w:rPr>
              <w:t>污染物项目</w:t>
            </w:r>
          </w:p>
        </w:tc>
        <w:tc>
          <w:tcPr>
            <w:tcW w:w="1803" w:type="pct"/>
            <w:vAlign w:val="center"/>
          </w:tcPr>
          <w:p>
            <w:pPr>
              <w:jc w:val="center"/>
              <w:rPr>
                <w:b/>
                <w:bCs/>
                <w:color w:val="auto"/>
                <w:sz w:val="24"/>
              </w:rPr>
            </w:pPr>
            <w:r>
              <w:rPr>
                <w:b/>
                <w:bCs/>
                <w:color w:val="auto"/>
                <w:sz w:val="24"/>
              </w:rPr>
              <w:t>环境保护措施</w:t>
            </w:r>
          </w:p>
        </w:tc>
        <w:tc>
          <w:tcPr>
            <w:tcW w:w="1144" w:type="pct"/>
            <w:vAlign w:val="center"/>
          </w:tcPr>
          <w:p>
            <w:pPr>
              <w:jc w:val="center"/>
              <w:rPr>
                <w:b/>
                <w:bCs/>
                <w:color w:val="auto"/>
                <w:sz w:val="24"/>
              </w:rPr>
            </w:pPr>
            <w:r>
              <w:rPr>
                <w:b/>
                <w:bCs/>
                <w:color w:val="auto"/>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51" w:type="pct"/>
            <w:vMerge w:val="restart"/>
            <w:vAlign w:val="center"/>
          </w:tcPr>
          <w:p>
            <w:pPr>
              <w:jc w:val="center"/>
              <w:rPr>
                <w:color w:val="auto"/>
                <w:sz w:val="24"/>
              </w:rPr>
            </w:pPr>
            <w:r>
              <w:rPr>
                <w:color w:val="auto"/>
                <w:sz w:val="24"/>
              </w:rPr>
              <w:t>大气环境</w:t>
            </w:r>
          </w:p>
        </w:tc>
        <w:tc>
          <w:tcPr>
            <w:tcW w:w="806" w:type="pct"/>
            <w:vAlign w:val="center"/>
          </w:tcPr>
          <w:p>
            <w:pPr>
              <w:jc w:val="center"/>
              <w:rPr>
                <w:color w:val="auto"/>
                <w:sz w:val="24"/>
              </w:rPr>
            </w:pPr>
            <w:r>
              <w:rPr>
                <w:rFonts w:hint="eastAsia"/>
                <w:color w:val="auto"/>
                <w:sz w:val="24"/>
              </w:rPr>
              <w:t>DA001/熔融挤出</w:t>
            </w:r>
          </w:p>
        </w:tc>
        <w:tc>
          <w:tcPr>
            <w:tcW w:w="694" w:type="pct"/>
            <w:vAlign w:val="center"/>
          </w:tcPr>
          <w:p>
            <w:pPr>
              <w:jc w:val="center"/>
              <w:rPr>
                <w:color w:val="auto"/>
                <w:sz w:val="24"/>
              </w:rPr>
            </w:pPr>
            <w:r>
              <w:rPr>
                <w:rFonts w:hint="eastAsia"/>
                <w:color w:val="auto"/>
                <w:sz w:val="24"/>
              </w:rPr>
              <w:t>颗粒物、非甲烷总烃</w:t>
            </w:r>
          </w:p>
        </w:tc>
        <w:tc>
          <w:tcPr>
            <w:tcW w:w="1803" w:type="pct"/>
            <w:vAlign w:val="center"/>
          </w:tcPr>
          <w:p>
            <w:pPr>
              <w:rPr>
                <w:color w:val="auto"/>
                <w:sz w:val="24"/>
              </w:rPr>
            </w:pPr>
            <w:r>
              <w:rPr>
                <w:color w:val="auto"/>
                <w:kern w:val="0"/>
                <w:sz w:val="24"/>
              </w:rPr>
              <w:t>熔融挤出机废气排放点</w:t>
            </w:r>
            <w:r>
              <w:rPr>
                <w:color w:val="auto"/>
                <w:sz w:val="24"/>
              </w:rPr>
              <w:t>设置集气罩（每条生产线设置3个集气罩，共设置</w:t>
            </w:r>
            <w:r>
              <w:rPr>
                <w:rFonts w:hint="eastAsia"/>
                <w:color w:val="auto"/>
                <w:sz w:val="24"/>
              </w:rPr>
              <w:t>18</w:t>
            </w:r>
            <w:r>
              <w:rPr>
                <w:color w:val="auto"/>
                <w:sz w:val="24"/>
              </w:rPr>
              <w:t>个集气罩），</w:t>
            </w:r>
            <w:r>
              <w:rPr>
                <w:color w:val="auto"/>
                <w:kern w:val="0"/>
                <w:sz w:val="24"/>
              </w:rPr>
              <w:t>收集废气经“</w:t>
            </w:r>
            <w:r>
              <w:rPr>
                <w:rFonts w:hint="eastAsia"/>
                <w:color w:val="auto"/>
                <w:kern w:val="0"/>
                <w:sz w:val="24"/>
              </w:rPr>
              <w:t>水洗</w:t>
            </w:r>
            <w:r>
              <w:rPr>
                <w:color w:val="auto"/>
                <w:kern w:val="0"/>
                <w:sz w:val="24"/>
              </w:rPr>
              <w:t>装置+除湿除雾装置+</w:t>
            </w:r>
            <w:r>
              <w:rPr>
                <w:rFonts w:hint="eastAsia"/>
                <w:color w:val="auto"/>
                <w:kern w:val="0"/>
                <w:sz w:val="24"/>
                <w:lang w:val="en-US" w:eastAsia="zh-CN"/>
              </w:rPr>
              <w:t>一级</w:t>
            </w:r>
            <w:r>
              <w:rPr>
                <w:color w:val="auto"/>
                <w:kern w:val="0"/>
                <w:sz w:val="24"/>
              </w:rPr>
              <w:t>活性炭吸附装置+光氧催化装置</w:t>
            </w:r>
            <w:r>
              <w:rPr>
                <w:color w:val="auto"/>
                <w:sz w:val="24"/>
              </w:rPr>
              <w:t>”（</w:t>
            </w:r>
            <w:r>
              <w:rPr>
                <w:rFonts w:hint="eastAsia"/>
                <w:color w:val="auto"/>
                <w:sz w:val="24"/>
              </w:rPr>
              <w:t>6</w:t>
            </w:r>
            <w:r>
              <w:rPr>
                <w:color w:val="auto"/>
                <w:sz w:val="24"/>
              </w:rPr>
              <w:t>条生产线共用1套废气处理设施）处理后</w:t>
            </w:r>
            <w:r>
              <w:rPr>
                <w:color w:val="auto"/>
                <w:kern w:val="0"/>
                <w:sz w:val="24"/>
              </w:rPr>
              <w:t>，经</w:t>
            </w:r>
            <w:r>
              <w:rPr>
                <w:rFonts w:hint="eastAsia"/>
                <w:color w:val="auto"/>
                <w:kern w:val="0"/>
                <w:sz w:val="24"/>
              </w:rPr>
              <w:t>20</w:t>
            </w:r>
            <w:r>
              <w:rPr>
                <w:color w:val="auto"/>
                <w:kern w:val="0"/>
                <w:sz w:val="24"/>
              </w:rPr>
              <w:t>m高排气筒</w:t>
            </w:r>
            <w:r>
              <w:rPr>
                <w:rFonts w:hint="eastAsia"/>
                <w:color w:val="auto"/>
                <w:kern w:val="0"/>
                <w:sz w:val="24"/>
              </w:rPr>
              <w:t>（DA001）</w:t>
            </w:r>
            <w:r>
              <w:rPr>
                <w:color w:val="auto"/>
                <w:kern w:val="0"/>
                <w:sz w:val="24"/>
              </w:rPr>
              <w:t>排放；</w:t>
            </w:r>
            <w:r>
              <w:rPr>
                <w:rFonts w:hint="eastAsia"/>
                <w:color w:val="auto"/>
                <w:kern w:val="0"/>
                <w:sz w:val="24"/>
              </w:rPr>
              <w:t>风机总排风量为8535.16m</w:t>
            </w:r>
            <w:r>
              <w:rPr>
                <w:rFonts w:hint="eastAsia"/>
                <w:color w:val="auto"/>
                <w:kern w:val="0"/>
                <w:sz w:val="24"/>
                <w:vertAlign w:val="superscript"/>
              </w:rPr>
              <w:t>3</w:t>
            </w:r>
            <w:r>
              <w:rPr>
                <w:rFonts w:hint="eastAsia"/>
                <w:color w:val="auto"/>
                <w:kern w:val="0"/>
                <w:sz w:val="24"/>
              </w:rPr>
              <w:t>/h，集气罩收集效率约80%，其余20%的废气以无组织形式排放。本次评价取“水洗</w:t>
            </w:r>
            <w:r>
              <w:rPr>
                <w:color w:val="auto"/>
                <w:kern w:val="0"/>
                <w:sz w:val="24"/>
              </w:rPr>
              <w:t>装置+除湿除雾装置+</w:t>
            </w:r>
            <w:r>
              <w:rPr>
                <w:rFonts w:hint="eastAsia"/>
                <w:color w:val="auto"/>
                <w:kern w:val="0"/>
                <w:sz w:val="24"/>
                <w:lang w:val="en-US" w:eastAsia="zh-CN"/>
              </w:rPr>
              <w:t>一级</w:t>
            </w:r>
            <w:r>
              <w:rPr>
                <w:color w:val="auto"/>
                <w:kern w:val="0"/>
                <w:sz w:val="24"/>
              </w:rPr>
              <w:t>活性炭吸附+光氧催化装置</w:t>
            </w:r>
            <w:r>
              <w:rPr>
                <w:rFonts w:hint="eastAsia"/>
                <w:color w:val="auto"/>
                <w:kern w:val="0"/>
                <w:sz w:val="24"/>
              </w:rPr>
              <w:t>”对颗粒物的去除效率为75%，对非甲烷总烃的去除效率为80%。</w:t>
            </w:r>
          </w:p>
        </w:tc>
        <w:tc>
          <w:tcPr>
            <w:tcW w:w="1144" w:type="pct"/>
            <w:vMerge w:val="restart"/>
            <w:vAlign w:val="center"/>
          </w:tcPr>
          <w:p>
            <w:pPr>
              <w:jc w:val="center"/>
              <w:rPr>
                <w:color w:val="auto"/>
                <w:sz w:val="24"/>
              </w:rPr>
            </w:pPr>
            <w:r>
              <w:rPr>
                <w:rFonts w:hint="eastAsia"/>
                <w:color w:val="auto"/>
                <w:sz w:val="24"/>
              </w:rPr>
              <w:t>《合成树脂工业污染物排放标准》（GB31572-2015），即有组织颗粒物≤30mg/m</w:t>
            </w:r>
            <w:r>
              <w:rPr>
                <w:rFonts w:hint="eastAsia"/>
                <w:color w:val="auto"/>
                <w:sz w:val="24"/>
                <w:vertAlign w:val="superscript"/>
              </w:rPr>
              <w:t>3</w:t>
            </w:r>
            <w:r>
              <w:rPr>
                <w:rFonts w:hint="eastAsia"/>
                <w:color w:val="auto"/>
                <w:sz w:val="24"/>
              </w:rPr>
              <w:t>，有组织非甲烷总烃≤100mg/m</w:t>
            </w:r>
            <w:r>
              <w:rPr>
                <w:rFonts w:hint="eastAsia"/>
                <w:color w:val="auto"/>
                <w:sz w:val="24"/>
                <w:vertAlign w:val="superscript"/>
              </w:rPr>
              <w:t>3</w:t>
            </w:r>
            <w:r>
              <w:rPr>
                <w:rFonts w:hint="eastAsia"/>
                <w:color w:val="auto"/>
                <w:sz w:val="24"/>
              </w:rPr>
              <w:t>，无组织颗粒物≤1.0mg/m</w:t>
            </w:r>
            <w:r>
              <w:rPr>
                <w:rFonts w:hint="eastAsia"/>
                <w:color w:val="auto"/>
                <w:sz w:val="24"/>
                <w:vertAlign w:val="superscript"/>
              </w:rPr>
              <w:t>3</w:t>
            </w:r>
            <w:r>
              <w:rPr>
                <w:rFonts w:hint="eastAsia"/>
                <w:color w:val="auto"/>
                <w:sz w:val="24"/>
              </w:rPr>
              <w:t>，无组织非甲烷总烃≤4.0mg/m</w:t>
            </w:r>
            <w:r>
              <w:rPr>
                <w:rFonts w:hint="eastAsia"/>
                <w:color w:val="auto"/>
                <w:sz w:val="24"/>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51" w:type="pct"/>
            <w:vMerge w:val="continue"/>
            <w:vAlign w:val="center"/>
          </w:tcPr>
          <w:p>
            <w:pPr>
              <w:jc w:val="center"/>
              <w:rPr>
                <w:color w:val="auto"/>
              </w:rPr>
            </w:pPr>
          </w:p>
        </w:tc>
        <w:tc>
          <w:tcPr>
            <w:tcW w:w="806" w:type="pct"/>
            <w:vAlign w:val="center"/>
          </w:tcPr>
          <w:p>
            <w:pPr>
              <w:jc w:val="center"/>
              <w:rPr>
                <w:color w:val="auto"/>
                <w:sz w:val="24"/>
              </w:rPr>
            </w:pPr>
            <w:r>
              <w:rPr>
                <w:rFonts w:hint="eastAsia"/>
                <w:color w:val="auto"/>
                <w:sz w:val="24"/>
              </w:rPr>
              <w:t>原料开包投料粉尘</w:t>
            </w:r>
          </w:p>
        </w:tc>
        <w:tc>
          <w:tcPr>
            <w:tcW w:w="694" w:type="pct"/>
            <w:vAlign w:val="center"/>
          </w:tcPr>
          <w:p>
            <w:pPr>
              <w:jc w:val="center"/>
              <w:rPr>
                <w:color w:val="auto"/>
                <w:sz w:val="24"/>
              </w:rPr>
            </w:pPr>
            <w:r>
              <w:rPr>
                <w:rFonts w:hint="eastAsia"/>
                <w:color w:val="auto"/>
                <w:sz w:val="24"/>
              </w:rPr>
              <w:t>颗粒物</w:t>
            </w:r>
          </w:p>
        </w:tc>
        <w:tc>
          <w:tcPr>
            <w:tcW w:w="1803" w:type="pct"/>
            <w:vAlign w:val="center"/>
          </w:tcPr>
          <w:p>
            <w:pPr>
              <w:jc w:val="center"/>
              <w:rPr>
                <w:color w:val="auto"/>
                <w:sz w:val="24"/>
              </w:rPr>
            </w:pPr>
            <w:r>
              <w:rPr>
                <w:rFonts w:hint="eastAsia"/>
                <w:color w:val="auto"/>
                <w:sz w:val="24"/>
              </w:rPr>
              <w:t>车间内自然沉降</w:t>
            </w:r>
          </w:p>
        </w:tc>
        <w:tc>
          <w:tcPr>
            <w:tcW w:w="1144" w:type="pct"/>
            <w:vMerge w:val="continue"/>
            <w:vAlign w:val="center"/>
          </w:tcPr>
          <w:p>
            <w:pPr>
              <w:jc w:val="center"/>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51" w:type="pct"/>
            <w:vMerge w:val="continue"/>
            <w:vAlign w:val="center"/>
          </w:tcPr>
          <w:p>
            <w:pPr>
              <w:jc w:val="center"/>
              <w:rPr>
                <w:color w:val="auto"/>
              </w:rPr>
            </w:pPr>
          </w:p>
        </w:tc>
        <w:tc>
          <w:tcPr>
            <w:tcW w:w="806" w:type="pct"/>
            <w:vAlign w:val="center"/>
          </w:tcPr>
          <w:p>
            <w:pPr>
              <w:jc w:val="center"/>
              <w:rPr>
                <w:color w:val="auto"/>
                <w:sz w:val="24"/>
              </w:rPr>
            </w:pPr>
            <w:r>
              <w:rPr>
                <w:rFonts w:hint="eastAsia"/>
                <w:color w:val="auto"/>
                <w:sz w:val="24"/>
                <w:szCs w:val="20"/>
              </w:rPr>
              <w:t>熔融挤出工序、污水处理站、</w:t>
            </w:r>
            <w:r>
              <w:rPr>
                <w:rFonts w:hint="eastAsia"/>
                <w:color w:val="auto"/>
                <w:sz w:val="24"/>
                <w:szCs w:val="20"/>
                <w:lang w:val="en-US" w:eastAsia="zh-CN"/>
              </w:rPr>
              <w:t>污泥池</w:t>
            </w:r>
            <w:r>
              <w:rPr>
                <w:rFonts w:hint="eastAsia"/>
                <w:color w:val="auto"/>
                <w:sz w:val="24"/>
                <w:szCs w:val="20"/>
              </w:rPr>
              <w:t>等产生的少量恶臭</w:t>
            </w:r>
          </w:p>
        </w:tc>
        <w:tc>
          <w:tcPr>
            <w:tcW w:w="694" w:type="pct"/>
            <w:vAlign w:val="center"/>
          </w:tcPr>
          <w:p>
            <w:pPr>
              <w:jc w:val="center"/>
              <w:rPr>
                <w:color w:val="auto"/>
                <w:sz w:val="24"/>
              </w:rPr>
            </w:pPr>
            <w:r>
              <w:rPr>
                <w:rFonts w:hint="eastAsia"/>
                <w:color w:val="auto"/>
                <w:sz w:val="24"/>
              </w:rPr>
              <w:t>臭气浓度</w:t>
            </w:r>
          </w:p>
        </w:tc>
        <w:tc>
          <w:tcPr>
            <w:tcW w:w="1803" w:type="pct"/>
            <w:vAlign w:val="center"/>
          </w:tcPr>
          <w:p>
            <w:pPr>
              <w:jc w:val="center"/>
              <w:rPr>
                <w:color w:val="auto"/>
                <w:sz w:val="24"/>
              </w:rPr>
            </w:pPr>
            <w:r>
              <w:rPr>
                <w:rFonts w:hint="eastAsia"/>
                <w:color w:val="auto"/>
                <w:sz w:val="24"/>
                <w:szCs w:val="20"/>
              </w:rPr>
              <w:t>熔融挤出阶段产生的恶臭经集气罩收集后通过“水洗装置+除湿除雾装置+</w:t>
            </w:r>
            <w:r>
              <w:rPr>
                <w:rFonts w:hint="eastAsia"/>
                <w:color w:val="auto"/>
                <w:sz w:val="24"/>
                <w:szCs w:val="20"/>
                <w:lang w:val="en-US" w:eastAsia="zh-CN"/>
              </w:rPr>
              <w:t>一级</w:t>
            </w:r>
            <w:r>
              <w:rPr>
                <w:rFonts w:hint="eastAsia"/>
                <w:color w:val="auto"/>
                <w:sz w:val="24"/>
                <w:szCs w:val="20"/>
              </w:rPr>
              <w:t>活性炭吸附装置+光氧催化装置”处理；少量恶臭无组织逸散。</w:t>
            </w:r>
          </w:p>
        </w:tc>
        <w:tc>
          <w:tcPr>
            <w:tcW w:w="1144" w:type="pct"/>
            <w:vAlign w:val="center"/>
          </w:tcPr>
          <w:p>
            <w:pPr>
              <w:jc w:val="center"/>
              <w:rPr>
                <w:color w:val="auto"/>
                <w:sz w:val="24"/>
              </w:rPr>
            </w:pPr>
            <w:r>
              <w:rPr>
                <w:rFonts w:hint="eastAsia"/>
                <w:color w:val="auto"/>
                <w:sz w:val="24"/>
              </w:rPr>
              <w:t>《恶臭污染物排放标准》（GB14554-93）二级标准，即有组织臭气浓度≤</w:t>
            </w:r>
            <w:r>
              <w:rPr>
                <w:rFonts w:hint="eastAsia"/>
                <w:color w:val="auto"/>
                <w:sz w:val="24"/>
                <w:lang w:val="en-US" w:eastAsia="zh-CN"/>
              </w:rPr>
              <w:t>2</w:t>
            </w:r>
            <w:r>
              <w:rPr>
                <w:rFonts w:hint="eastAsia"/>
                <w:color w:val="auto"/>
                <w:sz w:val="24"/>
              </w:rPr>
              <w:t>000（无量纲），无组织臭气浓度≤20（无量纲）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51" w:type="pct"/>
            <w:vMerge w:val="continue"/>
            <w:vAlign w:val="center"/>
          </w:tcPr>
          <w:p>
            <w:pPr>
              <w:jc w:val="center"/>
              <w:rPr>
                <w:color w:val="auto"/>
              </w:rPr>
            </w:pPr>
          </w:p>
        </w:tc>
        <w:tc>
          <w:tcPr>
            <w:tcW w:w="806" w:type="pct"/>
            <w:vAlign w:val="center"/>
          </w:tcPr>
          <w:p>
            <w:pPr>
              <w:jc w:val="center"/>
              <w:rPr>
                <w:color w:val="auto"/>
                <w:sz w:val="24"/>
              </w:rPr>
            </w:pPr>
            <w:r>
              <w:rPr>
                <w:rFonts w:hint="eastAsia"/>
                <w:color w:val="auto"/>
                <w:sz w:val="24"/>
              </w:rPr>
              <w:t>食堂</w:t>
            </w:r>
          </w:p>
        </w:tc>
        <w:tc>
          <w:tcPr>
            <w:tcW w:w="694" w:type="pct"/>
            <w:vAlign w:val="center"/>
          </w:tcPr>
          <w:p>
            <w:pPr>
              <w:jc w:val="center"/>
              <w:rPr>
                <w:color w:val="auto"/>
                <w:sz w:val="24"/>
              </w:rPr>
            </w:pPr>
            <w:r>
              <w:rPr>
                <w:rFonts w:hint="eastAsia"/>
                <w:color w:val="auto"/>
                <w:sz w:val="24"/>
              </w:rPr>
              <w:t>食堂油烟</w:t>
            </w:r>
          </w:p>
        </w:tc>
        <w:tc>
          <w:tcPr>
            <w:tcW w:w="1803" w:type="pct"/>
            <w:vAlign w:val="center"/>
          </w:tcPr>
          <w:p>
            <w:pPr>
              <w:jc w:val="center"/>
              <w:rPr>
                <w:color w:val="auto"/>
                <w:sz w:val="24"/>
              </w:rPr>
            </w:pPr>
            <w:r>
              <w:rPr>
                <w:rFonts w:hint="eastAsia"/>
                <w:color w:val="auto"/>
                <w:sz w:val="24"/>
              </w:rPr>
              <w:t>依托云南鹏腾机械设备制造有限公司厂区内已建好的油烟处理设备</w:t>
            </w:r>
          </w:p>
        </w:tc>
        <w:tc>
          <w:tcPr>
            <w:tcW w:w="1144" w:type="pct"/>
            <w:vAlign w:val="center"/>
          </w:tcPr>
          <w:p>
            <w:pPr>
              <w:jc w:val="center"/>
              <w:rPr>
                <w:color w:val="auto"/>
                <w:sz w:val="24"/>
              </w:rPr>
            </w:pPr>
            <w:r>
              <w:rPr>
                <w:rFonts w:hint="eastAsia"/>
                <w:color w:val="auto"/>
                <w:sz w:val="24"/>
              </w:rPr>
              <w:t>《饮食业油烟排放标准》（GB18483-2001）小型标准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51" w:type="pct"/>
            <w:vMerge w:val="restart"/>
            <w:vAlign w:val="center"/>
          </w:tcPr>
          <w:p>
            <w:pPr>
              <w:jc w:val="center"/>
              <w:rPr>
                <w:color w:val="auto"/>
                <w:sz w:val="24"/>
              </w:rPr>
            </w:pPr>
            <w:r>
              <w:rPr>
                <w:color w:val="auto"/>
                <w:sz w:val="24"/>
              </w:rPr>
              <w:t>地表水环境</w:t>
            </w:r>
          </w:p>
        </w:tc>
        <w:tc>
          <w:tcPr>
            <w:tcW w:w="806" w:type="pct"/>
            <w:vAlign w:val="center"/>
          </w:tcPr>
          <w:p>
            <w:pPr>
              <w:jc w:val="center"/>
              <w:rPr>
                <w:color w:val="auto"/>
                <w:kern w:val="0"/>
                <w:sz w:val="24"/>
              </w:rPr>
            </w:pPr>
            <w:r>
              <w:rPr>
                <w:rFonts w:hint="eastAsia"/>
                <w:color w:val="auto"/>
                <w:kern w:val="0"/>
                <w:sz w:val="24"/>
              </w:rPr>
              <w:t>湿法破碎及清洗废水</w:t>
            </w:r>
          </w:p>
        </w:tc>
        <w:tc>
          <w:tcPr>
            <w:tcW w:w="694" w:type="pct"/>
            <w:vAlign w:val="center"/>
          </w:tcPr>
          <w:p>
            <w:pPr>
              <w:jc w:val="center"/>
              <w:rPr>
                <w:color w:val="auto"/>
                <w:sz w:val="24"/>
              </w:rPr>
            </w:pPr>
            <w:r>
              <w:rPr>
                <w:rFonts w:hint="eastAsia"/>
                <w:color w:val="auto"/>
                <w:sz w:val="24"/>
              </w:rPr>
              <w:t>SS、氨氮、COD、BOD</w:t>
            </w:r>
            <w:r>
              <w:rPr>
                <w:rFonts w:hint="eastAsia"/>
                <w:color w:val="auto"/>
                <w:sz w:val="24"/>
                <w:vertAlign w:val="subscript"/>
              </w:rPr>
              <w:t>5</w:t>
            </w:r>
          </w:p>
        </w:tc>
        <w:tc>
          <w:tcPr>
            <w:tcW w:w="1803" w:type="pct"/>
            <w:vAlign w:val="center"/>
          </w:tcPr>
          <w:p>
            <w:pPr>
              <w:jc w:val="center"/>
              <w:rPr>
                <w:color w:val="auto"/>
                <w:sz w:val="24"/>
              </w:rPr>
            </w:pPr>
            <w:r>
              <w:rPr>
                <w:rFonts w:hint="eastAsia"/>
                <w:color w:val="auto"/>
                <w:sz w:val="24"/>
              </w:rPr>
              <w:t>经厂内自建污水处理站处理后回用</w:t>
            </w:r>
          </w:p>
        </w:tc>
        <w:tc>
          <w:tcPr>
            <w:tcW w:w="1144" w:type="pct"/>
            <w:vMerge w:val="restart"/>
            <w:vAlign w:val="center"/>
          </w:tcPr>
          <w:p>
            <w:pPr>
              <w:jc w:val="center"/>
              <w:rPr>
                <w:color w:val="auto"/>
                <w:sz w:val="24"/>
              </w:rPr>
            </w:pPr>
            <w:r>
              <w:rPr>
                <w:color w:val="auto"/>
                <w:sz w:val="24"/>
              </w:rPr>
              <w:t>《城市污水再生利用城市杂用水水质》（GB/T</w:t>
            </w:r>
            <w:r>
              <w:rPr>
                <w:rFonts w:hint="eastAsia"/>
                <w:color w:val="auto"/>
                <w:sz w:val="24"/>
              </w:rPr>
              <w:t>19923-2005）中“洗涤用水、冷却用水”水质标准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51" w:type="pct"/>
            <w:vMerge w:val="continue"/>
            <w:vAlign w:val="center"/>
          </w:tcPr>
          <w:p>
            <w:pPr>
              <w:jc w:val="center"/>
              <w:rPr>
                <w:color w:val="auto"/>
                <w:sz w:val="24"/>
              </w:rPr>
            </w:pPr>
          </w:p>
        </w:tc>
        <w:tc>
          <w:tcPr>
            <w:tcW w:w="806" w:type="pct"/>
            <w:vAlign w:val="center"/>
          </w:tcPr>
          <w:p>
            <w:pPr>
              <w:jc w:val="center"/>
              <w:rPr>
                <w:color w:val="auto"/>
                <w:sz w:val="24"/>
              </w:rPr>
            </w:pPr>
            <w:r>
              <w:rPr>
                <w:rFonts w:hint="eastAsia"/>
                <w:color w:val="auto"/>
                <w:sz w:val="24"/>
              </w:rPr>
              <w:t>废气处理系统废水</w:t>
            </w:r>
          </w:p>
        </w:tc>
        <w:tc>
          <w:tcPr>
            <w:tcW w:w="694" w:type="pct"/>
            <w:vAlign w:val="center"/>
          </w:tcPr>
          <w:p>
            <w:pPr>
              <w:jc w:val="center"/>
              <w:rPr>
                <w:color w:val="auto"/>
                <w:sz w:val="24"/>
              </w:rPr>
            </w:pPr>
            <w:r>
              <w:rPr>
                <w:rFonts w:hint="eastAsia"/>
                <w:color w:val="auto"/>
                <w:sz w:val="24"/>
              </w:rPr>
              <w:t>COD、SS</w:t>
            </w:r>
          </w:p>
        </w:tc>
        <w:tc>
          <w:tcPr>
            <w:tcW w:w="1803" w:type="pct"/>
            <w:vAlign w:val="center"/>
          </w:tcPr>
          <w:p>
            <w:pPr>
              <w:jc w:val="center"/>
              <w:rPr>
                <w:color w:val="auto"/>
                <w:sz w:val="24"/>
              </w:rPr>
            </w:pPr>
            <w:r>
              <w:rPr>
                <w:rFonts w:hint="eastAsia"/>
                <w:color w:val="auto"/>
                <w:sz w:val="24"/>
              </w:rPr>
              <w:t>定期排放至厂内自建污水处理站处理后回用</w:t>
            </w:r>
          </w:p>
        </w:tc>
        <w:tc>
          <w:tcPr>
            <w:tcW w:w="1144" w:type="pct"/>
            <w:vMerge w:val="continue"/>
            <w:vAlign w:val="center"/>
          </w:tcPr>
          <w:p>
            <w:pPr>
              <w:jc w:val="center"/>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51" w:type="pct"/>
            <w:vMerge w:val="continue"/>
            <w:vAlign w:val="center"/>
          </w:tcPr>
          <w:p>
            <w:pPr>
              <w:jc w:val="center"/>
              <w:rPr>
                <w:color w:val="auto"/>
                <w:sz w:val="24"/>
              </w:rPr>
            </w:pPr>
          </w:p>
        </w:tc>
        <w:tc>
          <w:tcPr>
            <w:tcW w:w="806" w:type="pct"/>
            <w:vAlign w:val="center"/>
          </w:tcPr>
          <w:p>
            <w:pPr>
              <w:jc w:val="center"/>
              <w:rPr>
                <w:color w:val="auto"/>
                <w:sz w:val="24"/>
              </w:rPr>
            </w:pPr>
            <w:r>
              <w:rPr>
                <w:rFonts w:hint="eastAsia"/>
                <w:color w:val="auto"/>
                <w:sz w:val="24"/>
              </w:rPr>
              <w:t>冷却</w:t>
            </w:r>
          </w:p>
        </w:tc>
        <w:tc>
          <w:tcPr>
            <w:tcW w:w="694" w:type="pct"/>
            <w:vAlign w:val="center"/>
          </w:tcPr>
          <w:p>
            <w:pPr>
              <w:jc w:val="center"/>
              <w:rPr>
                <w:color w:val="auto"/>
                <w:sz w:val="24"/>
              </w:rPr>
            </w:pPr>
            <w:r>
              <w:rPr>
                <w:rFonts w:hint="eastAsia"/>
                <w:color w:val="auto"/>
                <w:sz w:val="24"/>
              </w:rPr>
              <w:t>温度</w:t>
            </w:r>
          </w:p>
        </w:tc>
        <w:tc>
          <w:tcPr>
            <w:tcW w:w="1803" w:type="pct"/>
            <w:vAlign w:val="center"/>
          </w:tcPr>
          <w:p>
            <w:pPr>
              <w:jc w:val="center"/>
              <w:rPr>
                <w:color w:val="auto"/>
                <w:sz w:val="24"/>
              </w:rPr>
            </w:pPr>
            <w:r>
              <w:rPr>
                <w:rFonts w:hint="eastAsia"/>
                <w:color w:val="auto"/>
                <w:sz w:val="24"/>
              </w:rPr>
              <w:t>经冷却水池冷却后循环使用</w:t>
            </w:r>
          </w:p>
        </w:tc>
        <w:tc>
          <w:tcPr>
            <w:tcW w:w="1144" w:type="pct"/>
            <w:vAlign w:val="center"/>
          </w:tcPr>
          <w:p>
            <w:pPr>
              <w:jc w:val="center"/>
              <w:rPr>
                <w:color w:val="auto"/>
                <w:sz w:val="24"/>
              </w:rPr>
            </w:pPr>
            <w:r>
              <w:rPr>
                <w:rFonts w:hint="eastAsia"/>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51" w:type="pct"/>
            <w:vMerge w:val="continue"/>
            <w:vAlign w:val="center"/>
          </w:tcPr>
          <w:p>
            <w:pPr>
              <w:jc w:val="center"/>
              <w:rPr>
                <w:color w:val="auto"/>
                <w:sz w:val="24"/>
              </w:rPr>
            </w:pPr>
          </w:p>
        </w:tc>
        <w:tc>
          <w:tcPr>
            <w:tcW w:w="806" w:type="pct"/>
            <w:vAlign w:val="center"/>
          </w:tcPr>
          <w:p>
            <w:pPr>
              <w:jc w:val="center"/>
              <w:rPr>
                <w:color w:val="auto"/>
                <w:sz w:val="24"/>
              </w:rPr>
            </w:pPr>
            <w:r>
              <w:rPr>
                <w:rFonts w:hint="eastAsia"/>
                <w:color w:val="auto"/>
                <w:sz w:val="24"/>
              </w:rPr>
              <w:t>员工产生的办公生活废水、食堂废水</w:t>
            </w:r>
          </w:p>
        </w:tc>
        <w:tc>
          <w:tcPr>
            <w:tcW w:w="694" w:type="pct"/>
            <w:vAlign w:val="center"/>
          </w:tcPr>
          <w:p>
            <w:pPr>
              <w:jc w:val="center"/>
              <w:rPr>
                <w:color w:val="auto"/>
                <w:sz w:val="24"/>
              </w:rPr>
            </w:pPr>
            <w:r>
              <w:rPr>
                <w:rFonts w:hint="eastAsia"/>
                <w:color w:val="auto"/>
                <w:sz w:val="24"/>
              </w:rPr>
              <w:t>COD、BOD</w:t>
            </w:r>
            <w:r>
              <w:rPr>
                <w:rFonts w:hint="eastAsia"/>
                <w:color w:val="auto"/>
                <w:sz w:val="24"/>
                <w:vertAlign w:val="subscript"/>
              </w:rPr>
              <w:t>5</w:t>
            </w:r>
            <w:r>
              <w:rPr>
                <w:rFonts w:hint="eastAsia"/>
                <w:color w:val="auto"/>
                <w:sz w:val="24"/>
              </w:rPr>
              <w:t>、SS、氨氮</w:t>
            </w:r>
          </w:p>
        </w:tc>
        <w:tc>
          <w:tcPr>
            <w:tcW w:w="1803" w:type="pct"/>
            <w:vAlign w:val="center"/>
          </w:tcPr>
          <w:p>
            <w:pPr>
              <w:jc w:val="center"/>
              <w:rPr>
                <w:color w:val="auto"/>
                <w:sz w:val="24"/>
              </w:rPr>
            </w:pPr>
            <w:r>
              <w:rPr>
                <w:rFonts w:hint="eastAsia"/>
                <w:color w:val="auto"/>
                <w:sz w:val="24"/>
              </w:rPr>
              <w:t>依托依托云南鹏腾机械设备制造有限公司厂区内已建好的隔油池、化粪池和污水处理设备对污水进行处理后回用于绿化</w:t>
            </w:r>
          </w:p>
        </w:tc>
        <w:tc>
          <w:tcPr>
            <w:tcW w:w="1144" w:type="pct"/>
            <w:vAlign w:val="center"/>
          </w:tcPr>
          <w:p>
            <w:pPr>
              <w:jc w:val="center"/>
              <w:rPr>
                <w:color w:val="auto"/>
                <w:sz w:val="24"/>
              </w:rPr>
            </w:pPr>
            <w:r>
              <w:rPr>
                <w:color w:val="auto"/>
                <w:sz w:val="24"/>
              </w:rPr>
              <w:t>《城市污水再生利用城市杂用水水质》（GB/T18920-2020）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1" w:type="pct"/>
            <w:vAlign w:val="center"/>
          </w:tcPr>
          <w:p>
            <w:pPr>
              <w:jc w:val="center"/>
              <w:rPr>
                <w:color w:val="auto"/>
                <w:sz w:val="24"/>
              </w:rPr>
            </w:pPr>
            <w:r>
              <w:rPr>
                <w:color w:val="auto"/>
                <w:sz w:val="24"/>
              </w:rPr>
              <w:t>噪声</w:t>
            </w:r>
          </w:p>
        </w:tc>
        <w:tc>
          <w:tcPr>
            <w:tcW w:w="806" w:type="pct"/>
            <w:vAlign w:val="center"/>
          </w:tcPr>
          <w:p>
            <w:pPr>
              <w:jc w:val="center"/>
              <w:rPr>
                <w:color w:val="auto"/>
                <w:kern w:val="0"/>
                <w:sz w:val="24"/>
              </w:rPr>
            </w:pPr>
            <w:r>
              <w:rPr>
                <w:color w:val="auto"/>
                <w:kern w:val="0"/>
                <w:sz w:val="24"/>
              </w:rPr>
              <w:t>设备噪声</w:t>
            </w:r>
          </w:p>
        </w:tc>
        <w:tc>
          <w:tcPr>
            <w:tcW w:w="694" w:type="pct"/>
            <w:vAlign w:val="center"/>
          </w:tcPr>
          <w:p>
            <w:pPr>
              <w:jc w:val="center"/>
              <w:rPr>
                <w:color w:val="auto"/>
                <w:kern w:val="0"/>
                <w:sz w:val="24"/>
              </w:rPr>
            </w:pPr>
            <w:r>
              <w:rPr>
                <w:rFonts w:hint="eastAsia"/>
                <w:color w:val="auto"/>
                <w:sz w:val="24"/>
              </w:rPr>
              <w:t>噪声</w:t>
            </w:r>
          </w:p>
        </w:tc>
        <w:tc>
          <w:tcPr>
            <w:tcW w:w="1803" w:type="pct"/>
            <w:vAlign w:val="center"/>
          </w:tcPr>
          <w:p>
            <w:pPr>
              <w:jc w:val="center"/>
              <w:rPr>
                <w:color w:val="auto"/>
                <w:sz w:val="24"/>
              </w:rPr>
            </w:pPr>
            <w:r>
              <w:rPr>
                <w:color w:val="auto"/>
                <w:sz w:val="24"/>
              </w:rPr>
              <w:t>选用低噪音设备、厂房</w:t>
            </w:r>
            <w:r>
              <w:rPr>
                <w:rFonts w:hint="eastAsia"/>
                <w:color w:val="auto"/>
                <w:sz w:val="24"/>
              </w:rPr>
              <w:t>隔声等</w:t>
            </w:r>
          </w:p>
        </w:tc>
        <w:tc>
          <w:tcPr>
            <w:tcW w:w="1144" w:type="pct"/>
            <w:vAlign w:val="center"/>
          </w:tcPr>
          <w:p>
            <w:pPr>
              <w:jc w:val="center"/>
              <w:rPr>
                <w:color w:val="auto"/>
                <w:sz w:val="24"/>
              </w:rPr>
            </w:pPr>
            <w:r>
              <w:rPr>
                <w:color w:val="auto"/>
                <w:sz w:val="24"/>
              </w:rPr>
              <w:t>《工业企业厂界环境噪声排放标准》（GB12348-2008）中</w:t>
            </w:r>
            <w:r>
              <w:rPr>
                <w:rFonts w:hint="eastAsia"/>
                <w:color w:val="auto"/>
                <w:sz w:val="24"/>
              </w:rPr>
              <w:t>3</w:t>
            </w:r>
            <w:r>
              <w:rPr>
                <w:color w:val="auto"/>
                <w:sz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51" w:type="pct"/>
            <w:vAlign w:val="center"/>
          </w:tcPr>
          <w:p>
            <w:pPr>
              <w:jc w:val="center"/>
              <w:rPr>
                <w:color w:val="auto"/>
                <w:sz w:val="24"/>
              </w:rPr>
            </w:pPr>
            <w:r>
              <w:rPr>
                <w:color w:val="auto"/>
                <w:sz w:val="24"/>
              </w:rPr>
              <w:t>电磁辐射</w:t>
            </w:r>
          </w:p>
        </w:tc>
        <w:tc>
          <w:tcPr>
            <w:tcW w:w="806" w:type="pct"/>
            <w:vAlign w:val="center"/>
          </w:tcPr>
          <w:p>
            <w:pPr>
              <w:jc w:val="center"/>
              <w:rPr>
                <w:color w:val="auto"/>
                <w:sz w:val="24"/>
              </w:rPr>
            </w:pPr>
            <w:r>
              <w:rPr>
                <w:color w:val="auto"/>
                <w:sz w:val="24"/>
              </w:rPr>
              <w:t>无</w:t>
            </w:r>
          </w:p>
        </w:tc>
        <w:tc>
          <w:tcPr>
            <w:tcW w:w="694" w:type="pct"/>
            <w:vAlign w:val="center"/>
          </w:tcPr>
          <w:p>
            <w:pPr>
              <w:jc w:val="center"/>
              <w:rPr>
                <w:color w:val="auto"/>
                <w:sz w:val="24"/>
              </w:rPr>
            </w:pPr>
            <w:r>
              <w:rPr>
                <w:color w:val="auto"/>
                <w:sz w:val="24"/>
              </w:rPr>
              <w:t>无</w:t>
            </w:r>
          </w:p>
        </w:tc>
        <w:tc>
          <w:tcPr>
            <w:tcW w:w="1803" w:type="pct"/>
            <w:vAlign w:val="center"/>
          </w:tcPr>
          <w:p>
            <w:pPr>
              <w:jc w:val="center"/>
              <w:rPr>
                <w:color w:val="auto"/>
                <w:sz w:val="24"/>
              </w:rPr>
            </w:pPr>
            <w:r>
              <w:rPr>
                <w:color w:val="auto"/>
                <w:sz w:val="24"/>
              </w:rPr>
              <w:t>无</w:t>
            </w:r>
          </w:p>
        </w:tc>
        <w:tc>
          <w:tcPr>
            <w:tcW w:w="1144" w:type="pct"/>
            <w:vAlign w:val="center"/>
          </w:tcPr>
          <w:p>
            <w:pPr>
              <w:jc w:val="center"/>
              <w:rPr>
                <w:color w:val="auto"/>
                <w:sz w:val="24"/>
              </w:rPr>
            </w:pPr>
            <w:r>
              <w:rPr>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551" w:type="pct"/>
            <w:vMerge w:val="restart"/>
            <w:vAlign w:val="center"/>
          </w:tcPr>
          <w:p>
            <w:pPr>
              <w:jc w:val="center"/>
              <w:rPr>
                <w:color w:val="auto"/>
                <w:sz w:val="24"/>
              </w:rPr>
            </w:pPr>
            <w:r>
              <w:rPr>
                <w:color w:val="auto"/>
                <w:sz w:val="24"/>
              </w:rPr>
              <w:t>固废</w:t>
            </w:r>
          </w:p>
        </w:tc>
        <w:tc>
          <w:tcPr>
            <w:tcW w:w="806" w:type="pct"/>
            <w:vAlign w:val="center"/>
          </w:tcPr>
          <w:p>
            <w:pPr>
              <w:jc w:val="center"/>
              <w:rPr>
                <w:color w:val="auto"/>
                <w:sz w:val="24"/>
              </w:rPr>
            </w:pPr>
            <w:r>
              <w:rPr>
                <w:rFonts w:hint="eastAsia"/>
                <w:color w:val="auto"/>
                <w:sz w:val="24"/>
              </w:rPr>
              <w:t>除铁、除渣机</w:t>
            </w:r>
          </w:p>
        </w:tc>
        <w:tc>
          <w:tcPr>
            <w:tcW w:w="694" w:type="pct"/>
            <w:vAlign w:val="center"/>
          </w:tcPr>
          <w:p>
            <w:pPr>
              <w:jc w:val="center"/>
              <w:rPr>
                <w:color w:val="auto"/>
                <w:sz w:val="24"/>
              </w:rPr>
            </w:pPr>
            <w:r>
              <w:rPr>
                <w:rFonts w:hint="eastAsia"/>
                <w:color w:val="auto"/>
                <w:sz w:val="24"/>
              </w:rPr>
              <w:t>杂物</w:t>
            </w:r>
          </w:p>
        </w:tc>
        <w:tc>
          <w:tcPr>
            <w:tcW w:w="1803" w:type="pct"/>
            <w:vAlign w:val="center"/>
          </w:tcPr>
          <w:p>
            <w:pPr>
              <w:jc w:val="center"/>
              <w:rPr>
                <w:color w:val="auto"/>
                <w:sz w:val="24"/>
              </w:rPr>
            </w:pPr>
            <w:r>
              <w:rPr>
                <w:color w:val="auto"/>
                <w:sz w:val="24"/>
              </w:rPr>
              <w:t>收集后</w:t>
            </w:r>
            <w:r>
              <w:rPr>
                <w:rFonts w:hint="eastAsia"/>
                <w:color w:val="auto"/>
                <w:sz w:val="24"/>
              </w:rPr>
              <w:t>能回收利用的外卖给废品回收站，不能回收利用的及时清运至园区指定地点由环卫部门集中清运处置</w:t>
            </w:r>
          </w:p>
        </w:tc>
        <w:tc>
          <w:tcPr>
            <w:tcW w:w="1144" w:type="pct"/>
            <w:vMerge w:val="restart"/>
            <w:vAlign w:val="center"/>
          </w:tcPr>
          <w:p>
            <w:pPr>
              <w:jc w:val="center"/>
              <w:rPr>
                <w:color w:val="auto"/>
                <w:sz w:val="24"/>
              </w:rPr>
            </w:pPr>
            <w:r>
              <w:rPr>
                <w:color w:val="auto"/>
                <w:sz w:val="24"/>
              </w:rPr>
              <w:t>《一般工业固体废物贮存和填埋污染控制标准》（GB18599-2020）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51" w:type="pct"/>
            <w:vMerge w:val="continue"/>
            <w:vAlign w:val="center"/>
          </w:tcPr>
          <w:p>
            <w:pPr>
              <w:jc w:val="center"/>
              <w:rPr>
                <w:color w:val="auto"/>
                <w:sz w:val="24"/>
              </w:rPr>
            </w:pPr>
          </w:p>
        </w:tc>
        <w:tc>
          <w:tcPr>
            <w:tcW w:w="806" w:type="pct"/>
            <w:vAlign w:val="center"/>
          </w:tcPr>
          <w:p>
            <w:pPr>
              <w:jc w:val="center"/>
              <w:rPr>
                <w:color w:val="auto"/>
                <w:sz w:val="24"/>
              </w:rPr>
            </w:pPr>
            <w:r>
              <w:rPr>
                <w:rFonts w:hint="eastAsia"/>
                <w:color w:val="auto"/>
                <w:sz w:val="24"/>
              </w:rPr>
              <w:t>湿式破碎+清洗工段</w:t>
            </w:r>
          </w:p>
        </w:tc>
        <w:tc>
          <w:tcPr>
            <w:tcW w:w="694" w:type="pct"/>
            <w:vAlign w:val="center"/>
          </w:tcPr>
          <w:p>
            <w:pPr>
              <w:jc w:val="center"/>
              <w:rPr>
                <w:color w:val="auto"/>
                <w:sz w:val="24"/>
              </w:rPr>
            </w:pPr>
            <w:r>
              <w:rPr>
                <w:rFonts w:hint="eastAsia"/>
                <w:color w:val="auto"/>
                <w:sz w:val="24"/>
              </w:rPr>
              <w:t>清洗泥渣</w:t>
            </w:r>
          </w:p>
        </w:tc>
        <w:tc>
          <w:tcPr>
            <w:tcW w:w="1803" w:type="pct"/>
            <w:vAlign w:val="center"/>
          </w:tcPr>
          <w:p>
            <w:pPr>
              <w:jc w:val="center"/>
              <w:rPr>
                <w:color w:val="auto"/>
                <w:sz w:val="24"/>
              </w:rPr>
            </w:pPr>
            <w:r>
              <w:rPr>
                <w:rFonts w:hint="eastAsia"/>
                <w:color w:val="auto"/>
                <w:sz w:val="24"/>
              </w:rPr>
              <w:t>收集后</w:t>
            </w:r>
            <w:r>
              <w:rPr>
                <w:color w:val="auto"/>
                <w:sz w:val="24"/>
              </w:rPr>
              <w:t>外售给当地砖厂制砖</w:t>
            </w:r>
          </w:p>
        </w:tc>
        <w:tc>
          <w:tcPr>
            <w:tcW w:w="1144" w:type="pct"/>
            <w:vMerge w:val="continue"/>
            <w:vAlign w:val="center"/>
          </w:tcPr>
          <w:p>
            <w:pPr>
              <w:jc w:val="center"/>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551" w:type="pct"/>
            <w:vMerge w:val="continue"/>
            <w:vAlign w:val="center"/>
          </w:tcPr>
          <w:p>
            <w:pPr>
              <w:jc w:val="center"/>
              <w:rPr>
                <w:color w:val="auto"/>
                <w:sz w:val="24"/>
              </w:rPr>
            </w:pPr>
          </w:p>
        </w:tc>
        <w:tc>
          <w:tcPr>
            <w:tcW w:w="806" w:type="pct"/>
            <w:vAlign w:val="center"/>
          </w:tcPr>
          <w:p>
            <w:pPr>
              <w:jc w:val="center"/>
              <w:rPr>
                <w:color w:val="auto"/>
                <w:sz w:val="24"/>
              </w:rPr>
            </w:pPr>
            <w:r>
              <w:rPr>
                <w:color w:val="auto"/>
                <w:sz w:val="24"/>
              </w:rPr>
              <w:t>挤出机</w:t>
            </w:r>
          </w:p>
        </w:tc>
        <w:tc>
          <w:tcPr>
            <w:tcW w:w="694" w:type="pct"/>
            <w:vAlign w:val="center"/>
          </w:tcPr>
          <w:p>
            <w:pPr>
              <w:jc w:val="center"/>
              <w:rPr>
                <w:color w:val="auto"/>
                <w:sz w:val="24"/>
              </w:rPr>
            </w:pPr>
            <w:r>
              <w:rPr>
                <w:color w:val="auto"/>
                <w:sz w:val="24"/>
              </w:rPr>
              <w:t>废滤网</w:t>
            </w:r>
          </w:p>
        </w:tc>
        <w:tc>
          <w:tcPr>
            <w:tcW w:w="1803" w:type="pct"/>
            <w:vAlign w:val="center"/>
          </w:tcPr>
          <w:p>
            <w:pPr>
              <w:jc w:val="center"/>
              <w:rPr>
                <w:color w:val="auto"/>
                <w:sz w:val="24"/>
              </w:rPr>
            </w:pPr>
            <w:r>
              <w:rPr>
                <w:color w:val="auto"/>
                <w:sz w:val="24"/>
              </w:rPr>
              <w:t>外售合法且具备废滤网回收再生能力的单位回收处置</w:t>
            </w:r>
          </w:p>
        </w:tc>
        <w:tc>
          <w:tcPr>
            <w:tcW w:w="1144" w:type="pct"/>
            <w:vMerge w:val="continue"/>
            <w:vAlign w:val="center"/>
          </w:tcPr>
          <w:p>
            <w:pPr>
              <w:jc w:val="center"/>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551" w:type="pct"/>
            <w:vMerge w:val="continue"/>
            <w:vAlign w:val="center"/>
          </w:tcPr>
          <w:p>
            <w:pPr>
              <w:jc w:val="center"/>
              <w:rPr>
                <w:color w:val="auto"/>
                <w:sz w:val="24"/>
              </w:rPr>
            </w:pPr>
          </w:p>
        </w:tc>
        <w:tc>
          <w:tcPr>
            <w:tcW w:w="806" w:type="pct"/>
            <w:vAlign w:val="center"/>
          </w:tcPr>
          <w:p>
            <w:pPr>
              <w:jc w:val="center"/>
              <w:rPr>
                <w:color w:val="auto"/>
                <w:sz w:val="24"/>
              </w:rPr>
            </w:pPr>
            <w:r>
              <w:rPr>
                <w:rFonts w:hint="eastAsia"/>
                <w:color w:val="auto"/>
                <w:sz w:val="24"/>
              </w:rPr>
              <w:t>熔融挤出工段</w:t>
            </w:r>
          </w:p>
        </w:tc>
        <w:tc>
          <w:tcPr>
            <w:tcW w:w="694" w:type="pct"/>
            <w:vAlign w:val="center"/>
          </w:tcPr>
          <w:p>
            <w:pPr>
              <w:jc w:val="center"/>
              <w:rPr>
                <w:color w:val="auto"/>
                <w:sz w:val="24"/>
              </w:rPr>
            </w:pPr>
            <w:r>
              <w:rPr>
                <w:rFonts w:hint="eastAsia"/>
                <w:color w:val="auto"/>
                <w:sz w:val="24"/>
              </w:rPr>
              <w:t>不合格粒料</w:t>
            </w:r>
          </w:p>
        </w:tc>
        <w:tc>
          <w:tcPr>
            <w:tcW w:w="1803" w:type="pct"/>
            <w:vAlign w:val="center"/>
          </w:tcPr>
          <w:p>
            <w:pPr>
              <w:jc w:val="center"/>
              <w:rPr>
                <w:color w:val="auto"/>
                <w:sz w:val="24"/>
              </w:rPr>
            </w:pPr>
            <w:r>
              <w:rPr>
                <w:color w:val="auto"/>
                <w:sz w:val="24"/>
              </w:rPr>
              <w:t>返回熔融机重新进行熔融</w:t>
            </w:r>
            <w:r>
              <w:rPr>
                <w:rFonts w:hint="eastAsia"/>
                <w:color w:val="auto"/>
                <w:sz w:val="24"/>
              </w:rPr>
              <w:t>处理</w:t>
            </w:r>
          </w:p>
        </w:tc>
        <w:tc>
          <w:tcPr>
            <w:tcW w:w="1144" w:type="pct"/>
            <w:vMerge w:val="continue"/>
            <w:vAlign w:val="center"/>
          </w:tcPr>
          <w:p>
            <w:pPr>
              <w:jc w:val="center"/>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551" w:type="pct"/>
            <w:vMerge w:val="continue"/>
            <w:vAlign w:val="center"/>
          </w:tcPr>
          <w:p>
            <w:pPr>
              <w:jc w:val="center"/>
              <w:rPr>
                <w:color w:val="auto"/>
                <w:sz w:val="24"/>
              </w:rPr>
            </w:pPr>
          </w:p>
        </w:tc>
        <w:tc>
          <w:tcPr>
            <w:tcW w:w="806" w:type="pct"/>
            <w:vAlign w:val="center"/>
          </w:tcPr>
          <w:p>
            <w:pPr>
              <w:jc w:val="center"/>
              <w:rPr>
                <w:rFonts w:hint="default" w:eastAsia="宋体"/>
                <w:color w:val="auto"/>
                <w:sz w:val="24"/>
                <w:lang w:val="en-US" w:eastAsia="zh-CN"/>
              </w:rPr>
            </w:pPr>
            <w:r>
              <w:rPr>
                <w:rFonts w:hint="eastAsia"/>
                <w:color w:val="auto"/>
                <w:sz w:val="24"/>
                <w:lang w:val="en-US" w:eastAsia="zh-CN"/>
              </w:rPr>
              <w:t>生产废水处理设施</w:t>
            </w:r>
          </w:p>
        </w:tc>
        <w:tc>
          <w:tcPr>
            <w:tcW w:w="694" w:type="pct"/>
            <w:vAlign w:val="center"/>
          </w:tcPr>
          <w:p>
            <w:pPr>
              <w:jc w:val="center"/>
              <w:rPr>
                <w:color w:val="auto"/>
                <w:sz w:val="24"/>
              </w:rPr>
            </w:pPr>
            <w:r>
              <w:rPr>
                <w:rFonts w:hint="eastAsia"/>
                <w:color w:val="auto"/>
                <w:sz w:val="24"/>
              </w:rPr>
              <w:t>污泥</w:t>
            </w:r>
          </w:p>
        </w:tc>
        <w:tc>
          <w:tcPr>
            <w:tcW w:w="1803" w:type="pct"/>
            <w:vAlign w:val="center"/>
          </w:tcPr>
          <w:p>
            <w:pPr>
              <w:jc w:val="center"/>
              <w:rPr>
                <w:color w:val="auto"/>
                <w:sz w:val="24"/>
              </w:rPr>
            </w:pPr>
            <w:r>
              <w:rPr>
                <w:rFonts w:hint="eastAsia"/>
                <w:color w:val="auto"/>
                <w:sz w:val="24"/>
                <w:szCs w:val="24"/>
                <w:lang w:val="en-US" w:eastAsia="zh-CN"/>
              </w:rPr>
              <w:t>经鉴定后再处置，若为Ⅰ类一般固废外售当地砖厂制砖，否则按相关要求委托资质单位处置</w:t>
            </w:r>
          </w:p>
        </w:tc>
        <w:tc>
          <w:tcPr>
            <w:tcW w:w="1144" w:type="pct"/>
            <w:vMerge w:val="continue"/>
            <w:vAlign w:val="center"/>
          </w:tcPr>
          <w:p>
            <w:pPr>
              <w:jc w:val="center"/>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551" w:type="pct"/>
            <w:vMerge w:val="continue"/>
            <w:vAlign w:val="center"/>
          </w:tcPr>
          <w:p>
            <w:pPr>
              <w:jc w:val="center"/>
              <w:rPr>
                <w:color w:val="auto"/>
                <w:sz w:val="24"/>
              </w:rPr>
            </w:pPr>
          </w:p>
        </w:tc>
        <w:tc>
          <w:tcPr>
            <w:tcW w:w="806" w:type="pct"/>
            <w:vAlign w:val="center"/>
          </w:tcPr>
          <w:p>
            <w:pPr>
              <w:jc w:val="center"/>
              <w:rPr>
                <w:color w:val="auto"/>
                <w:sz w:val="24"/>
              </w:rPr>
            </w:pPr>
            <w:r>
              <w:rPr>
                <w:color w:val="auto"/>
                <w:sz w:val="24"/>
              </w:rPr>
              <w:t>办公、生活</w:t>
            </w:r>
          </w:p>
        </w:tc>
        <w:tc>
          <w:tcPr>
            <w:tcW w:w="694" w:type="pct"/>
            <w:vAlign w:val="center"/>
          </w:tcPr>
          <w:p>
            <w:pPr>
              <w:jc w:val="center"/>
              <w:rPr>
                <w:color w:val="auto"/>
                <w:sz w:val="24"/>
              </w:rPr>
            </w:pPr>
            <w:r>
              <w:rPr>
                <w:color w:val="auto"/>
                <w:sz w:val="24"/>
              </w:rPr>
              <w:t>生活垃圾</w:t>
            </w:r>
          </w:p>
        </w:tc>
        <w:tc>
          <w:tcPr>
            <w:tcW w:w="1803" w:type="pct"/>
            <w:vAlign w:val="center"/>
          </w:tcPr>
          <w:p>
            <w:pPr>
              <w:jc w:val="center"/>
              <w:rPr>
                <w:color w:val="auto"/>
                <w:sz w:val="24"/>
              </w:rPr>
            </w:pPr>
            <w:r>
              <w:rPr>
                <w:color w:val="auto"/>
                <w:sz w:val="24"/>
              </w:rPr>
              <w:t>分类收集及时清运至</w:t>
            </w:r>
            <w:r>
              <w:rPr>
                <w:rFonts w:hint="eastAsia"/>
                <w:color w:val="auto"/>
                <w:sz w:val="24"/>
              </w:rPr>
              <w:t>园区</w:t>
            </w:r>
            <w:r>
              <w:rPr>
                <w:color w:val="auto"/>
                <w:sz w:val="24"/>
              </w:rPr>
              <w:t>指定地点由环卫部门集中处置</w:t>
            </w:r>
          </w:p>
        </w:tc>
        <w:tc>
          <w:tcPr>
            <w:tcW w:w="1144" w:type="pct"/>
            <w:vMerge w:val="continue"/>
            <w:vAlign w:val="center"/>
          </w:tcPr>
          <w:p>
            <w:pPr>
              <w:jc w:val="center"/>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551" w:type="pct"/>
            <w:vMerge w:val="continue"/>
            <w:vAlign w:val="center"/>
          </w:tcPr>
          <w:p>
            <w:pPr>
              <w:jc w:val="center"/>
              <w:rPr>
                <w:color w:val="auto"/>
                <w:sz w:val="24"/>
              </w:rPr>
            </w:pPr>
          </w:p>
        </w:tc>
        <w:tc>
          <w:tcPr>
            <w:tcW w:w="806" w:type="pct"/>
            <w:vAlign w:val="center"/>
          </w:tcPr>
          <w:p>
            <w:pPr>
              <w:jc w:val="center"/>
              <w:rPr>
                <w:color w:val="auto"/>
                <w:sz w:val="24"/>
              </w:rPr>
            </w:pPr>
            <w:r>
              <w:rPr>
                <w:rFonts w:hint="eastAsia"/>
                <w:color w:val="auto"/>
                <w:sz w:val="24"/>
              </w:rPr>
              <w:t>依托工程</w:t>
            </w:r>
          </w:p>
        </w:tc>
        <w:tc>
          <w:tcPr>
            <w:tcW w:w="694" w:type="pct"/>
            <w:vAlign w:val="center"/>
          </w:tcPr>
          <w:p>
            <w:pPr>
              <w:jc w:val="center"/>
              <w:rPr>
                <w:color w:val="auto"/>
                <w:sz w:val="24"/>
              </w:rPr>
            </w:pPr>
            <w:r>
              <w:rPr>
                <w:rFonts w:hint="eastAsia"/>
                <w:color w:val="auto"/>
                <w:sz w:val="24"/>
              </w:rPr>
              <w:t>餐厨垃圾、隔油池油污、污泥</w:t>
            </w:r>
          </w:p>
        </w:tc>
        <w:tc>
          <w:tcPr>
            <w:tcW w:w="1803" w:type="pct"/>
            <w:vAlign w:val="center"/>
          </w:tcPr>
          <w:p>
            <w:pPr>
              <w:jc w:val="center"/>
              <w:rPr>
                <w:color w:val="auto"/>
                <w:sz w:val="24"/>
              </w:rPr>
            </w:pPr>
            <w:r>
              <w:rPr>
                <w:rFonts w:hint="eastAsia"/>
                <w:color w:val="auto"/>
                <w:sz w:val="24"/>
              </w:rPr>
              <w:t>由云南鹏腾机械设备制造有限公司一并委托处置。</w:t>
            </w:r>
          </w:p>
        </w:tc>
        <w:tc>
          <w:tcPr>
            <w:tcW w:w="1144" w:type="pct"/>
            <w:vMerge w:val="continue"/>
            <w:vAlign w:val="center"/>
          </w:tcPr>
          <w:p>
            <w:pPr>
              <w:jc w:val="center"/>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51" w:type="pct"/>
            <w:vMerge w:val="continue"/>
            <w:vAlign w:val="center"/>
          </w:tcPr>
          <w:p>
            <w:pPr>
              <w:jc w:val="center"/>
              <w:rPr>
                <w:color w:val="auto"/>
                <w:sz w:val="24"/>
              </w:rPr>
            </w:pPr>
          </w:p>
        </w:tc>
        <w:tc>
          <w:tcPr>
            <w:tcW w:w="806" w:type="pct"/>
            <w:vMerge w:val="restart"/>
            <w:vAlign w:val="center"/>
          </w:tcPr>
          <w:p>
            <w:pPr>
              <w:jc w:val="center"/>
              <w:rPr>
                <w:snapToGrid w:val="0"/>
                <w:color w:val="auto"/>
                <w:kern w:val="0"/>
                <w:sz w:val="24"/>
              </w:rPr>
            </w:pPr>
            <w:r>
              <w:rPr>
                <w:snapToGrid w:val="0"/>
                <w:color w:val="auto"/>
                <w:kern w:val="0"/>
                <w:sz w:val="24"/>
              </w:rPr>
              <w:t>危险废物</w:t>
            </w:r>
          </w:p>
        </w:tc>
        <w:tc>
          <w:tcPr>
            <w:tcW w:w="694" w:type="pct"/>
            <w:vAlign w:val="center"/>
          </w:tcPr>
          <w:p>
            <w:pPr>
              <w:jc w:val="center"/>
              <w:rPr>
                <w:color w:val="auto"/>
                <w:kern w:val="0"/>
                <w:sz w:val="24"/>
              </w:rPr>
            </w:pPr>
            <w:r>
              <w:rPr>
                <w:rFonts w:hint="eastAsia"/>
                <w:color w:val="auto"/>
                <w:kern w:val="0"/>
                <w:sz w:val="24"/>
              </w:rPr>
              <w:t>废机油</w:t>
            </w:r>
          </w:p>
        </w:tc>
        <w:tc>
          <w:tcPr>
            <w:tcW w:w="1803" w:type="pct"/>
            <w:vMerge w:val="restart"/>
            <w:vAlign w:val="center"/>
          </w:tcPr>
          <w:p>
            <w:pPr>
              <w:jc w:val="center"/>
              <w:rPr>
                <w:snapToGrid w:val="0"/>
                <w:color w:val="auto"/>
                <w:kern w:val="0"/>
                <w:sz w:val="24"/>
              </w:rPr>
            </w:pPr>
            <w:r>
              <w:rPr>
                <w:rFonts w:hint="eastAsia"/>
                <w:snapToGrid w:val="0"/>
                <w:color w:val="auto"/>
                <w:kern w:val="0"/>
                <w:sz w:val="24"/>
              </w:rPr>
              <w:t>危废暂存间暂存，委托有资质单位处置</w:t>
            </w:r>
          </w:p>
        </w:tc>
        <w:tc>
          <w:tcPr>
            <w:tcW w:w="1144" w:type="pct"/>
            <w:vMerge w:val="restart"/>
            <w:vAlign w:val="center"/>
          </w:tcPr>
          <w:p>
            <w:pPr>
              <w:jc w:val="center"/>
              <w:rPr>
                <w:color w:val="auto"/>
                <w:sz w:val="24"/>
              </w:rPr>
            </w:pPr>
            <w:r>
              <w:rPr>
                <w:color w:val="auto"/>
                <w:sz w:val="24"/>
              </w:rPr>
              <w:t>《危险废物贮存污染控制标准》（GB18597-20</w:t>
            </w:r>
            <w:r>
              <w:rPr>
                <w:rFonts w:hint="eastAsia"/>
                <w:color w:val="auto"/>
                <w:sz w:val="24"/>
              </w:rPr>
              <w:t>23</w:t>
            </w:r>
            <w:r>
              <w:rPr>
                <w:color w:val="auto"/>
                <w:sz w:val="24"/>
              </w:rPr>
              <w:t>）</w:t>
            </w:r>
            <w:r>
              <w:rPr>
                <w:rFonts w:hint="eastAsia"/>
                <w:color w:val="auto"/>
                <w:sz w:val="24"/>
              </w:rPr>
              <w:t>中</w:t>
            </w:r>
            <w:r>
              <w:rPr>
                <w:color w:val="auto"/>
                <w:sz w:val="24"/>
              </w:rPr>
              <w:t>的有关规定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51" w:type="pct"/>
            <w:vMerge w:val="continue"/>
            <w:vAlign w:val="center"/>
          </w:tcPr>
          <w:p>
            <w:pPr>
              <w:jc w:val="center"/>
              <w:rPr>
                <w:color w:val="auto"/>
              </w:rPr>
            </w:pPr>
          </w:p>
        </w:tc>
        <w:tc>
          <w:tcPr>
            <w:tcW w:w="806" w:type="pct"/>
            <w:vMerge w:val="continue"/>
            <w:vAlign w:val="center"/>
          </w:tcPr>
          <w:p>
            <w:pPr>
              <w:jc w:val="center"/>
              <w:rPr>
                <w:color w:val="auto"/>
              </w:rPr>
            </w:pPr>
          </w:p>
        </w:tc>
        <w:tc>
          <w:tcPr>
            <w:tcW w:w="694" w:type="pct"/>
            <w:vAlign w:val="center"/>
          </w:tcPr>
          <w:p>
            <w:pPr>
              <w:jc w:val="center"/>
              <w:rPr>
                <w:color w:val="auto"/>
                <w:kern w:val="0"/>
                <w:sz w:val="24"/>
              </w:rPr>
            </w:pPr>
            <w:r>
              <w:rPr>
                <w:rFonts w:hint="eastAsia"/>
                <w:color w:val="auto"/>
                <w:kern w:val="0"/>
                <w:sz w:val="24"/>
              </w:rPr>
              <w:t>废活性炭</w:t>
            </w:r>
          </w:p>
        </w:tc>
        <w:tc>
          <w:tcPr>
            <w:tcW w:w="1803" w:type="pct"/>
            <w:vMerge w:val="continue"/>
            <w:vAlign w:val="center"/>
          </w:tcPr>
          <w:p>
            <w:pPr>
              <w:jc w:val="center"/>
              <w:rPr>
                <w:color w:val="auto"/>
                <w:kern w:val="0"/>
                <w:sz w:val="24"/>
              </w:rPr>
            </w:pPr>
          </w:p>
        </w:tc>
        <w:tc>
          <w:tcPr>
            <w:tcW w:w="1144" w:type="pct"/>
            <w:vMerge w:val="continue"/>
            <w:vAlign w:val="center"/>
          </w:tcPr>
          <w:p>
            <w:pPr>
              <w:jc w:val="center"/>
              <w:rPr>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51" w:type="pct"/>
            <w:vMerge w:val="continue"/>
            <w:vAlign w:val="center"/>
          </w:tcPr>
          <w:p>
            <w:pPr>
              <w:jc w:val="center"/>
              <w:rPr>
                <w:color w:val="auto"/>
                <w:kern w:val="0"/>
                <w:sz w:val="24"/>
              </w:rPr>
            </w:pPr>
          </w:p>
        </w:tc>
        <w:tc>
          <w:tcPr>
            <w:tcW w:w="806" w:type="pct"/>
            <w:vMerge w:val="continue"/>
            <w:vAlign w:val="center"/>
          </w:tcPr>
          <w:p>
            <w:pPr>
              <w:jc w:val="center"/>
              <w:rPr>
                <w:color w:val="auto"/>
                <w:kern w:val="0"/>
                <w:sz w:val="24"/>
              </w:rPr>
            </w:pPr>
          </w:p>
        </w:tc>
        <w:tc>
          <w:tcPr>
            <w:tcW w:w="694" w:type="pct"/>
            <w:vAlign w:val="center"/>
          </w:tcPr>
          <w:p>
            <w:pPr>
              <w:jc w:val="center"/>
              <w:rPr>
                <w:color w:val="auto"/>
                <w:kern w:val="0"/>
                <w:sz w:val="24"/>
              </w:rPr>
            </w:pPr>
            <w:r>
              <w:rPr>
                <w:rFonts w:hint="eastAsia"/>
                <w:color w:val="auto"/>
                <w:kern w:val="0"/>
                <w:sz w:val="24"/>
              </w:rPr>
              <w:t>废光氧管</w:t>
            </w:r>
          </w:p>
        </w:tc>
        <w:tc>
          <w:tcPr>
            <w:tcW w:w="1803" w:type="pct"/>
            <w:vMerge w:val="continue"/>
            <w:vAlign w:val="center"/>
          </w:tcPr>
          <w:p>
            <w:pPr>
              <w:jc w:val="center"/>
              <w:rPr>
                <w:color w:val="auto"/>
                <w:kern w:val="0"/>
                <w:sz w:val="24"/>
              </w:rPr>
            </w:pPr>
          </w:p>
        </w:tc>
        <w:tc>
          <w:tcPr>
            <w:tcW w:w="1144" w:type="pct"/>
            <w:vMerge w:val="continue"/>
            <w:vAlign w:val="center"/>
          </w:tcPr>
          <w:p>
            <w:pPr>
              <w:jc w:val="center"/>
              <w:rPr>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51" w:type="pct"/>
            <w:vAlign w:val="center"/>
          </w:tcPr>
          <w:p>
            <w:pPr>
              <w:jc w:val="center"/>
              <w:rPr>
                <w:color w:val="auto"/>
                <w:kern w:val="0"/>
                <w:sz w:val="24"/>
              </w:rPr>
            </w:pPr>
            <w:r>
              <w:rPr>
                <w:rFonts w:hint="eastAsia"/>
                <w:color w:val="auto"/>
                <w:kern w:val="0"/>
                <w:sz w:val="24"/>
              </w:rPr>
              <w:t>土壤及地下水污染防治措施</w:t>
            </w:r>
          </w:p>
        </w:tc>
        <w:tc>
          <w:tcPr>
            <w:tcW w:w="4448" w:type="pct"/>
            <w:gridSpan w:val="4"/>
            <w:vAlign w:val="center"/>
          </w:tcPr>
          <w:p>
            <w:pPr>
              <w:jc w:val="left"/>
              <w:rPr>
                <w:color w:val="auto"/>
                <w:sz w:val="24"/>
              </w:rPr>
            </w:pPr>
            <w:r>
              <w:rPr>
                <w:rFonts w:hint="eastAsia"/>
                <w:color w:val="auto"/>
                <w:sz w:val="24"/>
              </w:rPr>
              <w:t>1、危废暂存间为重点防渗区：建设堵截泄露的裙角，地面与裙角所围建的容积不低于总储量的五分之一，地面与裙角进行水泥硬化并采用2.0mm厚高密度聚乙烯进行防渗，使其单元渗透系数</w:t>
            </w:r>
            <w:r>
              <w:rPr>
                <w:color w:val="auto"/>
                <w:sz w:val="24"/>
              </w:rPr>
              <w:t>≤1× 10</w:t>
            </w:r>
            <w:r>
              <w:rPr>
                <w:rFonts w:hint="eastAsia"/>
                <w:color w:val="auto"/>
                <w:sz w:val="24"/>
                <w:vertAlign w:val="superscript"/>
              </w:rPr>
              <w:t>-10</w:t>
            </w:r>
            <w:r>
              <w:rPr>
                <w:color w:val="auto"/>
                <w:sz w:val="24"/>
              </w:rPr>
              <w:t>cm/s</w:t>
            </w:r>
            <w:r>
              <w:rPr>
                <w:rFonts w:hint="eastAsia"/>
                <w:color w:val="auto"/>
                <w:sz w:val="24"/>
              </w:rPr>
              <w:t>。</w:t>
            </w:r>
          </w:p>
          <w:p>
            <w:pPr>
              <w:jc w:val="left"/>
              <w:rPr>
                <w:color w:val="auto"/>
                <w:sz w:val="24"/>
              </w:rPr>
            </w:pPr>
            <w:r>
              <w:rPr>
                <w:rFonts w:hint="eastAsia"/>
                <w:color w:val="auto"/>
                <w:sz w:val="24"/>
              </w:rPr>
              <w:t>2、冷却水池、清洗水池、事故池、污水处理站为一般防渗区：等效黏土防渗层厚度Mb≥1.5m，渗透系数K≤1.0</w:t>
            </w:r>
            <w:r>
              <w:rPr>
                <w:color w:val="auto"/>
                <w:sz w:val="24"/>
              </w:rPr>
              <w:t>×</w:t>
            </w:r>
            <w:r>
              <w:rPr>
                <w:rFonts w:hint="eastAsia"/>
                <w:color w:val="auto"/>
                <w:sz w:val="24"/>
              </w:rPr>
              <w:t>10</w:t>
            </w:r>
            <w:r>
              <w:rPr>
                <w:rFonts w:hint="eastAsia"/>
                <w:color w:val="auto"/>
                <w:sz w:val="24"/>
                <w:vertAlign w:val="superscript"/>
              </w:rPr>
              <w:t>-7</w:t>
            </w:r>
            <w:r>
              <w:rPr>
                <w:rFonts w:hint="eastAsia"/>
                <w:color w:val="auto"/>
                <w:sz w:val="24"/>
              </w:rPr>
              <w:t>cm/s。</w:t>
            </w:r>
          </w:p>
          <w:p>
            <w:pPr>
              <w:jc w:val="left"/>
              <w:rPr>
                <w:color w:val="auto"/>
                <w:kern w:val="0"/>
                <w:sz w:val="24"/>
              </w:rPr>
            </w:pPr>
            <w:r>
              <w:rPr>
                <w:rFonts w:hint="eastAsia"/>
                <w:color w:val="auto"/>
                <w:sz w:val="24"/>
              </w:rPr>
              <w:t>3、厂区地面采用水泥进行硬化。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51" w:type="pct"/>
            <w:vAlign w:val="center"/>
          </w:tcPr>
          <w:p>
            <w:pPr>
              <w:jc w:val="center"/>
              <w:rPr>
                <w:color w:val="auto"/>
                <w:kern w:val="0"/>
                <w:sz w:val="24"/>
              </w:rPr>
            </w:pPr>
            <w:r>
              <w:rPr>
                <w:rFonts w:hint="eastAsia"/>
                <w:color w:val="auto"/>
                <w:kern w:val="0"/>
                <w:sz w:val="24"/>
              </w:rPr>
              <w:t>生态保护措施</w:t>
            </w:r>
          </w:p>
        </w:tc>
        <w:tc>
          <w:tcPr>
            <w:tcW w:w="4448" w:type="pct"/>
            <w:gridSpan w:val="4"/>
            <w:vAlign w:val="center"/>
          </w:tcPr>
          <w:p>
            <w:pPr>
              <w:jc w:val="center"/>
              <w:rPr>
                <w:color w:val="auto"/>
                <w:kern w:val="0"/>
                <w:sz w:val="24"/>
              </w:rPr>
            </w:pPr>
            <w:r>
              <w:rPr>
                <w:rFonts w:hint="eastAsia"/>
                <w:color w:val="auto"/>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1" w:type="pct"/>
            <w:vAlign w:val="center"/>
          </w:tcPr>
          <w:p>
            <w:pPr>
              <w:jc w:val="center"/>
              <w:rPr>
                <w:color w:val="auto"/>
                <w:sz w:val="24"/>
              </w:rPr>
            </w:pPr>
            <w:r>
              <w:rPr>
                <w:color w:val="auto"/>
                <w:sz w:val="24"/>
              </w:rPr>
              <w:t>环境风险保护措施</w:t>
            </w:r>
          </w:p>
        </w:tc>
        <w:tc>
          <w:tcPr>
            <w:tcW w:w="4448" w:type="pct"/>
            <w:gridSpan w:val="4"/>
            <w:vAlign w:val="center"/>
          </w:tcPr>
          <w:p>
            <w:pPr>
              <w:pStyle w:val="2"/>
              <w:spacing w:before="0" w:after="0" w:line="240" w:lineRule="auto"/>
              <w:ind w:right="0"/>
              <w:jc w:val="left"/>
              <w:rPr>
                <w:color w:val="auto"/>
                <w:sz w:val="24"/>
                <w:szCs w:val="24"/>
              </w:rPr>
            </w:pPr>
            <w:r>
              <w:rPr>
                <w:color w:val="auto"/>
                <w:sz w:val="24"/>
                <w:szCs w:val="24"/>
              </w:rPr>
              <w:t>①危废暂存间做好“三防”措施，按《危险废物贮存污染控制标准》(GB18597-20</w:t>
            </w:r>
            <w:r>
              <w:rPr>
                <w:rFonts w:hint="eastAsia"/>
                <w:color w:val="auto"/>
                <w:sz w:val="24"/>
                <w:szCs w:val="24"/>
              </w:rPr>
              <w:t>23</w:t>
            </w:r>
            <w:r>
              <w:rPr>
                <w:color w:val="auto"/>
                <w:sz w:val="24"/>
                <w:szCs w:val="24"/>
              </w:rPr>
              <w:t>)的要求进行建设，应建设堵截泄露的裙角，地面与裙角所围建的容积不低于总储量的五分之一，地面与裙角进行水泥硬化并采用2.0mm厚高密度聚乙烯进行防渗，使其单元渗透系数</w:t>
            </w:r>
            <w:r>
              <w:rPr>
                <w:color w:val="auto"/>
                <w:kern w:val="2"/>
                <w:sz w:val="24"/>
                <w:szCs w:val="24"/>
              </w:rPr>
              <w:t>≤1× 10</w:t>
            </w:r>
            <w:r>
              <w:rPr>
                <w:color w:val="auto"/>
                <w:kern w:val="2"/>
                <w:sz w:val="24"/>
                <w:szCs w:val="24"/>
                <w:vertAlign w:val="superscript"/>
              </w:rPr>
              <w:t>-10</w:t>
            </w:r>
            <w:r>
              <w:rPr>
                <w:color w:val="auto"/>
                <w:kern w:val="2"/>
                <w:sz w:val="24"/>
                <w:szCs w:val="24"/>
              </w:rPr>
              <w:t>cm/s</w:t>
            </w:r>
            <w:r>
              <w:rPr>
                <w:color w:val="auto"/>
                <w:sz w:val="24"/>
                <w:szCs w:val="24"/>
              </w:rPr>
              <w:t>；</w:t>
            </w:r>
          </w:p>
          <w:p>
            <w:pPr>
              <w:pStyle w:val="2"/>
              <w:spacing w:before="0" w:after="0" w:line="240" w:lineRule="auto"/>
              <w:ind w:right="0"/>
              <w:jc w:val="left"/>
              <w:rPr>
                <w:color w:val="auto"/>
                <w:sz w:val="24"/>
                <w:szCs w:val="24"/>
              </w:rPr>
            </w:pPr>
            <w:r>
              <w:rPr>
                <w:color w:val="auto"/>
                <w:sz w:val="24"/>
                <w:szCs w:val="24"/>
              </w:rPr>
              <w:t>②加强对厂区日常管理工作，及时掌握可能引发火灾的情况，以便及时采取有效的防灭火措施，有效预防火灾事故的发生。</w:t>
            </w:r>
          </w:p>
          <w:p>
            <w:pPr>
              <w:pStyle w:val="2"/>
              <w:spacing w:before="0" w:after="0" w:line="240" w:lineRule="auto"/>
              <w:ind w:right="0"/>
              <w:jc w:val="left"/>
              <w:rPr>
                <w:color w:val="auto"/>
                <w:sz w:val="24"/>
                <w:szCs w:val="24"/>
              </w:rPr>
            </w:pPr>
            <w:r>
              <w:rPr>
                <w:color w:val="auto"/>
                <w:sz w:val="24"/>
                <w:szCs w:val="24"/>
              </w:rPr>
              <w:t>③对生产设备、危废暂存间及收集容器进行日常检查，保证生产设备不出现跑冒滴漏情况，危废暂存间防渗层未发生破裂，收集容器完好无泄漏。</w:t>
            </w:r>
          </w:p>
          <w:p>
            <w:pPr>
              <w:jc w:val="left"/>
              <w:rPr>
                <w:color w:val="auto"/>
                <w:sz w:val="24"/>
              </w:rPr>
            </w:pPr>
            <w:r>
              <w:rPr>
                <w:color w:val="auto"/>
                <w:sz w:val="24"/>
              </w:rPr>
              <w:t>④企业须编制突发环境事件应急预案，并报昆明市生态环境局寻甸分局备案。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51" w:type="pct"/>
            <w:vAlign w:val="center"/>
          </w:tcPr>
          <w:p>
            <w:pPr>
              <w:jc w:val="center"/>
              <w:rPr>
                <w:color w:val="auto"/>
                <w:sz w:val="24"/>
              </w:rPr>
            </w:pPr>
            <w:r>
              <w:rPr>
                <w:color w:val="auto"/>
                <w:sz w:val="24"/>
              </w:rPr>
              <w:t>其他环境管理要求</w:t>
            </w:r>
          </w:p>
        </w:tc>
        <w:tc>
          <w:tcPr>
            <w:tcW w:w="4448" w:type="pct"/>
            <w:gridSpan w:val="4"/>
            <w:vAlign w:val="center"/>
          </w:tcPr>
          <w:p>
            <w:pPr>
              <w:jc w:val="center"/>
              <w:rPr>
                <w:color w:val="auto"/>
                <w:sz w:val="24"/>
              </w:rPr>
            </w:pPr>
            <w:r>
              <w:rPr>
                <w:rFonts w:hint="eastAsia"/>
                <w:color w:val="auto"/>
                <w:sz w:val="24"/>
              </w:rPr>
              <w:t>开展台账记录、办理排污许可证、自行监测等。</w:t>
            </w:r>
          </w:p>
        </w:tc>
      </w:tr>
    </w:tbl>
    <w:p>
      <w:pPr>
        <w:pStyle w:val="39"/>
        <w:ind w:firstLine="480"/>
        <w:rPr>
          <w:rFonts w:eastAsiaTheme="minorEastAsia"/>
          <w:color w:val="auto"/>
        </w:rPr>
      </w:pPr>
      <w:r>
        <w:rPr>
          <w:color w:val="auto"/>
        </w:rPr>
        <w:br w:type="page"/>
      </w:r>
      <w:bookmarkStart w:id="33" w:name="_Toc7771"/>
      <w:bookmarkStart w:id="34" w:name="_Toc24012"/>
      <w:bookmarkStart w:id="35" w:name="_Toc27799"/>
    </w:p>
    <w:p>
      <w:pPr>
        <w:pStyle w:val="4"/>
        <w:rPr>
          <w:rFonts w:eastAsia="宋体"/>
          <w:color w:val="auto"/>
          <w:sz w:val="21"/>
          <w:szCs w:val="21"/>
        </w:rPr>
      </w:pPr>
      <w:r>
        <w:rPr>
          <w:rFonts w:eastAsia="宋体"/>
          <w:color w:val="auto"/>
        </w:rPr>
        <w:t>六、结论</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tabs>
                <w:tab w:val="left" w:pos="6240"/>
              </w:tabs>
              <w:spacing w:line="360" w:lineRule="auto"/>
              <w:ind w:firstLine="480" w:firstLineChars="200"/>
              <w:rPr>
                <w:color w:val="auto"/>
                <w:sz w:val="24"/>
              </w:rPr>
            </w:pPr>
            <w:r>
              <w:rPr>
                <w:color w:val="auto"/>
                <w:sz w:val="24"/>
              </w:rPr>
              <w:t>本项目符合国家相关产业政策，符合当地规划。项目建设具有较明显的社会经济综合效益。本项目在建设中对周边生态环境、水环境、空气环境以及声环境等有一定影响，严格执行本环评提出的各项环保措施后对环境的影响能控制在可接受水平，不会对环境造成大的影响，不会降低当地的环境功能。在严格执行有关环保法规和</w:t>
            </w:r>
            <w:r>
              <w:rPr>
                <w:rFonts w:hint="eastAsia"/>
                <w:color w:val="auto"/>
                <w:sz w:val="24"/>
              </w:rPr>
              <w:t>“</w:t>
            </w:r>
            <w:r>
              <w:rPr>
                <w:color w:val="auto"/>
                <w:sz w:val="24"/>
              </w:rPr>
              <w:t>三同时</w:t>
            </w:r>
            <w:r>
              <w:rPr>
                <w:rFonts w:hint="eastAsia"/>
                <w:color w:val="auto"/>
                <w:sz w:val="24"/>
              </w:rPr>
              <w:t>”</w:t>
            </w:r>
            <w:r>
              <w:rPr>
                <w:color w:val="auto"/>
                <w:sz w:val="24"/>
              </w:rPr>
              <w:t>制度，认真落实本报告提出的各项污染防治措施的基础上，该项目能够实现社会效益、经济效益和环境效益的协调发展。从环境保护角度分析，本项目的建设</w:t>
            </w:r>
            <w:r>
              <w:rPr>
                <w:rFonts w:hint="eastAsia"/>
                <w:color w:val="auto"/>
                <w:sz w:val="24"/>
              </w:rPr>
              <w:t>是</w:t>
            </w:r>
            <w:r>
              <w:rPr>
                <w:color w:val="auto"/>
                <w:sz w:val="24"/>
              </w:rPr>
              <w:t>可行的。</w:t>
            </w:r>
          </w:p>
          <w:p>
            <w:pPr>
              <w:spacing w:line="360" w:lineRule="auto"/>
              <w:ind w:firstLine="480" w:firstLineChars="200"/>
              <w:rPr>
                <w:color w:val="auto"/>
                <w:sz w:val="24"/>
              </w:rPr>
            </w:pPr>
          </w:p>
        </w:tc>
      </w:tr>
    </w:tbl>
    <w:p>
      <w:pPr>
        <w:rPr>
          <w:rFonts w:eastAsiaTheme="minorEastAsia"/>
          <w:color w:val="auto"/>
          <w:szCs w:val="21"/>
        </w:rPr>
        <w:sectPr>
          <w:pgSz w:w="11906" w:h="16838"/>
          <w:pgMar w:top="1531" w:right="1701" w:bottom="1531" w:left="1701" w:header="851" w:footer="851" w:gutter="0"/>
          <w:cols w:space="720" w:num="1"/>
          <w:docGrid w:linePitch="312" w:charSpace="0"/>
        </w:sectPr>
      </w:pPr>
    </w:p>
    <w:p>
      <w:pPr>
        <w:rPr>
          <w:b/>
          <w:bCs/>
          <w:color w:val="auto"/>
          <w:sz w:val="28"/>
          <w:szCs w:val="28"/>
        </w:rPr>
      </w:pPr>
      <w:r>
        <w:rPr>
          <w:b/>
          <w:bCs/>
          <w:color w:val="auto"/>
          <w:sz w:val="28"/>
          <w:szCs w:val="28"/>
        </w:rPr>
        <w:t>附表</w:t>
      </w:r>
    </w:p>
    <w:p>
      <w:pPr>
        <w:pStyle w:val="4"/>
        <w:spacing w:before="0" w:after="0" w:line="240" w:lineRule="auto"/>
        <w:ind w:left="0"/>
        <w:jc w:val="center"/>
        <w:rPr>
          <w:rFonts w:eastAsia="宋体"/>
          <w:color w:val="auto"/>
          <w:kern w:val="2"/>
          <w:sz w:val="28"/>
          <w:szCs w:val="28"/>
        </w:rPr>
      </w:pPr>
      <w:r>
        <w:rPr>
          <w:rFonts w:eastAsia="宋体"/>
          <w:color w:val="auto"/>
          <w:kern w:val="2"/>
          <w:sz w:val="28"/>
          <w:szCs w:val="28"/>
        </w:rPr>
        <w:t>建设项目污染物排放量汇总表</w:t>
      </w:r>
    </w:p>
    <w:tbl>
      <w:tblPr>
        <w:tblStyle w:val="30"/>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120"/>
        <w:gridCol w:w="1517"/>
        <w:gridCol w:w="1120"/>
        <w:gridCol w:w="1630"/>
        <w:gridCol w:w="1783"/>
        <w:gridCol w:w="1717"/>
        <w:gridCol w:w="1600"/>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4" w:type="dxa"/>
            <w:tcBorders>
              <w:tl2br w:val="single" w:color="auto" w:sz="4" w:space="0"/>
            </w:tcBorders>
            <w:tcMar>
              <w:left w:w="28" w:type="dxa"/>
              <w:right w:w="28" w:type="dxa"/>
            </w:tcMar>
            <w:vAlign w:val="center"/>
          </w:tcPr>
          <w:p>
            <w:pPr>
              <w:ind w:firstLine="211" w:firstLineChars="100"/>
              <w:jc w:val="center"/>
              <w:rPr>
                <w:b/>
                <w:bCs/>
                <w:color w:val="auto"/>
                <w:szCs w:val="21"/>
              </w:rPr>
            </w:pPr>
            <w:r>
              <w:rPr>
                <w:b/>
                <w:bCs/>
                <w:color w:val="auto"/>
                <w:szCs w:val="21"/>
              </w:rPr>
              <w:t>项目</w:t>
            </w:r>
          </w:p>
          <w:p>
            <w:pPr>
              <w:rPr>
                <w:b/>
                <w:bCs/>
                <w:color w:val="auto"/>
                <w:szCs w:val="21"/>
              </w:rPr>
            </w:pPr>
            <w:r>
              <w:rPr>
                <w:b/>
                <w:bCs/>
                <w:color w:val="auto"/>
                <w:szCs w:val="21"/>
              </w:rPr>
              <w:t>分类</w:t>
            </w:r>
          </w:p>
        </w:tc>
        <w:tc>
          <w:tcPr>
            <w:tcW w:w="2120" w:type="dxa"/>
            <w:tcMar>
              <w:left w:w="28" w:type="dxa"/>
              <w:right w:w="28" w:type="dxa"/>
            </w:tcMar>
            <w:vAlign w:val="center"/>
          </w:tcPr>
          <w:p>
            <w:pPr>
              <w:jc w:val="center"/>
              <w:rPr>
                <w:b/>
                <w:bCs/>
                <w:color w:val="auto"/>
                <w:szCs w:val="21"/>
              </w:rPr>
            </w:pPr>
            <w:r>
              <w:rPr>
                <w:b/>
                <w:bCs/>
                <w:color w:val="auto"/>
                <w:szCs w:val="21"/>
              </w:rPr>
              <w:t>污染物名称</w:t>
            </w:r>
          </w:p>
        </w:tc>
        <w:tc>
          <w:tcPr>
            <w:tcW w:w="1517" w:type="dxa"/>
            <w:tcMar>
              <w:left w:w="28" w:type="dxa"/>
              <w:right w:w="28" w:type="dxa"/>
            </w:tcMar>
            <w:vAlign w:val="center"/>
          </w:tcPr>
          <w:p>
            <w:pPr>
              <w:pStyle w:val="51"/>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现有工程</w:t>
            </w:r>
          </w:p>
          <w:p>
            <w:pPr>
              <w:pStyle w:val="51"/>
              <w:spacing w:beforeLines="0" w:afterLines="0" w:line="240" w:lineRule="auto"/>
              <w:rPr>
                <w:bCs/>
                <w:color w:val="auto"/>
                <w:szCs w:val="21"/>
              </w:rPr>
            </w:pPr>
            <w:r>
              <w:rPr>
                <w:rFonts w:ascii="Times New Roman"/>
                <w:snapToGrid w:val="0"/>
                <w:color w:val="auto"/>
                <w:spacing w:val="-6"/>
                <w:kern w:val="21"/>
                <w:szCs w:val="21"/>
              </w:rPr>
              <w:t>排放量（固体废物产生量）</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ascii="Times New Roman"/>
                <w:color w:val="auto"/>
                <w:kern w:val="2"/>
                <w:szCs w:val="21"/>
              </w:rPr>
              <w:t>①</w:t>
            </w:r>
            <w:r>
              <w:rPr>
                <w:rFonts w:ascii="Times New Roman"/>
                <w:snapToGrid w:val="0"/>
                <w:color w:val="auto"/>
                <w:spacing w:val="-6"/>
                <w:kern w:val="21"/>
                <w:szCs w:val="21"/>
              </w:rPr>
              <w:fldChar w:fldCharType="end"/>
            </w:r>
          </w:p>
        </w:tc>
        <w:tc>
          <w:tcPr>
            <w:tcW w:w="1120" w:type="dxa"/>
            <w:tcMar>
              <w:left w:w="28" w:type="dxa"/>
              <w:right w:w="28" w:type="dxa"/>
            </w:tcMar>
            <w:vAlign w:val="center"/>
          </w:tcPr>
          <w:p>
            <w:pPr>
              <w:pStyle w:val="51"/>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现有工程</w:t>
            </w:r>
          </w:p>
          <w:p>
            <w:pPr>
              <w:pStyle w:val="51"/>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许可排放量</w:t>
            </w:r>
          </w:p>
          <w:p>
            <w:pPr>
              <w:pStyle w:val="51"/>
              <w:spacing w:beforeLines="0" w:afterLines="0"/>
              <w:rPr>
                <w:bCs/>
                <w:color w:val="auto"/>
                <w:szCs w:val="21"/>
              </w:rPr>
            </w:pP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2 \* GB3 \* MERGEFORMAT </w:instrText>
            </w:r>
            <w:r>
              <w:rPr>
                <w:rFonts w:ascii="Times New Roman"/>
                <w:snapToGrid w:val="0"/>
                <w:color w:val="auto"/>
                <w:spacing w:val="-6"/>
                <w:kern w:val="21"/>
                <w:szCs w:val="21"/>
              </w:rPr>
              <w:fldChar w:fldCharType="separate"/>
            </w:r>
            <w:r>
              <w:rPr>
                <w:rFonts w:ascii="Times New Roman"/>
                <w:snapToGrid w:val="0"/>
                <w:color w:val="auto"/>
                <w:spacing w:val="-6"/>
                <w:kern w:val="21"/>
                <w:szCs w:val="21"/>
              </w:rPr>
              <w:t>②</w:t>
            </w:r>
            <w:r>
              <w:rPr>
                <w:rFonts w:ascii="Times New Roman"/>
                <w:snapToGrid w:val="0"/>
                <w:color w:val="auto"/>
                <w:spacing w:val="-6"/>
                <w:kern w:val="21"/>
                <w:szCs w:val="21"/>
              </w:rPr>
              <w:fldChar w:fldCharType="end"/>
            </w:r>
          </w:p>
        </w:tc>
        <w:tc>
          <w:tcPr>
            <w:tcW w:w="1630" w:type="dxa"/>
            <w:tcMar>
              <w:left w:w="28" w:type="dxa"/>
              <w:right w:w="28" w:type="dxa"/>
            </w:tcMar>
            <w:vAlign w:val="center"/>
          </w:tcPr>
          <w:p>
            <w:pPr>
              <w:pStyle w:val="51"/>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在建工程</w:t>
            </w:r>
          </w:p>
          <w:p>
            <w:pPr>
              <w:pStyle w:val="51"/>
              <w:spacing w:beforeLines="0" w:afterLines="0" w:line="240" w:lineRule="auto"/>
              <w:rPr>
                <w:bCs/>
                <w:color w:val="auto"/>
                <w:szCs w:val="21"/>
              </w:rPr>
            </w:pPr>
            <w:r>
              <w:rPr>
                <w:rFonts w:ascii="Times New Roman"/>
                <w:snapToGrid w:val="0"/>
                <w:color w:val="auto"/>
                <w:spacing w:val="-6"/>
                <w:kern w:val="21"/>
                <w:szCs w:val="21"/>
              </w:rPr>
              <w:t>排放量（固体废物产生量）</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ascii="Times New Roman"/>
                <w:color w:val="auto"/>
                <w:kern w:val="2"/>
                <w:szCs w:val="21"/>
              </w:rPr>
              <w:t>③</w:t>
            </w:r>
            <w:r>
              <w:rPr>
                <w:rFonts w:ascii="Times New Roman"/>
                <w:snapToGrid w:val="0"/>
                <w:color w:val="auto"/>
                <w:spacing w:val="-6"/>
                <w:kern w:val="21"/>
                <w:szCs w:val="21"/>
              </w:rPr>
              <w:fldChar w:fldCharType="end"/>
            </w:r>
          </w:p>
        </w:tc>
        <w:tc>
          <w:tcPr>
            <w:tcW w:w="1783" w:type="dxa"/>
            <w:tcMar>
              <w:left w:w="28" w:type="dxa"/>
              <w:right w:w="28" w:type="dxa"/>
            </w:tcMar>
            <w:vAlign w:val="center"/>
          </w:tcPr>
          <w:p>
            <w:pPr>
              <w:pStyle w:val="51"/>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本项目</w:t>
            </w:r>
          </w:p>
          <w:p>
            <w:pPr>
              <w:pStyle w:val="51"/>
              <w:spacing w:beforeLines="0" w:afterLines="0" w:line="240" w:lineRule="auto"/>
              <w:rPr>
                <w:bCs/>
                <w:color w:val="auto"/>
                <w:szCs w:val="21"/>
              </w:rPr>
            </w:pPr>
            <w:r>
              <w:rPr>
                <w:rFonts w:ascii="Times New Roman"/>
                <w:snapToGrid w:val="0"/>
                <w:color w:val="auto"/>
                <w:spacing w:val="-6"/>
                <w:kern w:val="21"/>
                <w:szCs w:val="21"/>
              </w:rPr>
              <w:t>排放量（固体废物产生量）</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ascii="Times New Roman"/>
                <w:color w:val="auto"/>
                <w:kern w:val="2"/>
                <w:szCs w:val="21"/>
              </w:rPr>
              <w:t>④</w:t>
            </w:r>
            <w:r>
              <w:rPr>
                <w:rFonts w:ascii="Times New Roman"/>
                <w:snapToGrid w:val="0"/>
                <w:color w:val="auto"/>
                <w:spacing w:val="-6"/>
                <w:kern w:val="21"/>
                <w:szCs w:val="21"/>
              </w:rPr>
              <w:fldChar w:fldCharType="end"/>
            </w:r>
          </w:p>
        </w:tc>
        <w:tc>
          <w:tcPr>
            <w:tcW w:w="1717" w:type="dxa"/>
            <w:tcMar>
              <w:left w:w="28" w:type="dxa"/>
              <w:right w:w="28" w:type="dxa"/>
            </w:tcMar>
            <w:vAlign w:val="center"/>
          </w:tcPr>
          <w:p>
            <w:pPr>
              <w:pStyle w:val="51"/>
              <w:spacing w:beforeLines="0" w:afterLines="0" w:line="240" w:lineRule="auto"/>
              <w:rPr>
                <w:rFonts w:ascii="Times New Roman"/>
                <w:snapToGrid w:val="0"/>
                <w:color w:val="auto"/>
                <w:spacing w:val="-16"/>
                <w:kern w:val="21"/>
                <w:szCs w:val="21"/>
              </w:rPr>
            </w:pPr>
            <w:r>
              <w:rPr>
                <w:rFonts w:ascii="Times New Roman"/>
                <w:snapToGrid w:val="0"/>
                <w:color w:val="auto"/>
                <w:spacing w:val="-16"/>
                <w:kern w:val="21"/>
                <w:szCs w:val="21"/>
              </w:rPr>
              <w:t>以新带老削减量</w:t>
            </w:r>
          </w:p>
          <w:p>
            <w:pPr>
              <w:pStyle w:val="51"/>
              <w:spacing w:beforeLines="0" w:afterLines="0" w:line="240" w:lineRule="auto"/>
              <w:rPr>
                <w:bCs/>
                <w:color w:val="auto"/>
                <w:szCs w:val="21"/>
              </w:rPr>
            </w:pPr>
            <w:r>
              <w:rPr>
                <w:rFonts w:ascii="Times New Roman"/>
                <w:snapToGrid w:val="0"/>
                <w:color w:val="auto"/>
                <w:spacing w:val="-16"/>
                <w:kern w:val="21"/>
                <w:szCs w:val="21"/>
              </w:rPr>
              <w:t>（新建项目不填）</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ascii="Times New Roman"/>
                <w:color w:val="auto"/>
                <w:kern w:val="2"/>
                <w:szCs w:val="21"/>
              </w:rPr>
              <w:t>⑤</w:t>
            </w:r>
            <w:r>
              <w:rPr>
                <w:rFonts w:ascii="Times New Roman"/>
                <w:snapToGrid w:val="0"/>
                <w:color w:val="auto"/>
                <w:spacing w:val="-16"/>
                <w:kern w:val="21"/>
                <w:szCs w:val="21"/>
              </w:rPr>
              <w:fldChar w:fldCharType="end"/>
            </w:r>
          </w:p>
        </w:tc>
        <w:tc>
          <w:tcPr>
            <w:tcW w:w="1600" w:type="dxa"/>
            <w:tcMar>
              <w:left w:w="28" w:type="dxa"/>
              <w:right w:w="28" w:type="dxa"/>
            </w:tcMar>
            <w:vAlign w:val="center"/>
          </w:tcPr>
          <w:p>
            <w:pPr>
              <w:pStyle w:val="51"/>
              <w:spacing w:beforeLines="0" w:afterLines="0" w:line="240" w:lineRule="auto"/>
              <w:rPr>
                <w:rFonts w:ascii="Times New Roman"/>
                <w:snapToGrid w:val="0"/>
                <w:color w:val="auto"/>
                <w:spacing w:val="-16"/>
                <w:kern w:val="21"/>
                <w:szCs w:val="21"/>
              </w:rPr>
            </w:pPr>
            <w:r>
              <w:rPr>
                <w:rFonts w:ascii="Times New Roman"/>
                <w:snapToGrid w:val="0"/>
                <w:color w:val="auto"/>
                <w:spacing w:val="-16"/>
                <w:kern w:val="21"/>
                <w:szCs w:val="21"/>
              </w:rPr>
              <w:t>本项目建成后</w:t>
            </w:r>
          </w:p>
          <w:p>
            <w:pPr>
              <w:pStyle w:val="51"/>
              <w:spacing w:beforeLines="0" w:afterLines="0" w:line="240" w:lineRule="auto"/>
              <w:rPr>
                <w:bCs/>
                <w:color w:val="auto"/>
                <w:szCs w:val="21"/>
              </w:rPr>
            </w:pPr>
            <w:r>
              <w:rPr>
                <w:rFonts w:ascii="Times New Roman"/>
                <w:snapToGrid w:val="0"/>
                <w:color w:val="auto"/>
                <w:spacing w:val="-16"/>
                <w:kern w:val="21"/>
                <w:szCs w:val="21"/>
              </w:rPr>
              <w:t>全厂排放量（固体废物产生量）</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ascii="Times New Roman"/>
                <w:color w:val="auto"/>
                <w:kern w:val="2"/>
                <w:szCs w:val="21"/>
              </w:rPr>
              <w:t>⑥</w:t>
            </w:r>
            <w:r>
              <w:rPr>
                <w:rFonts w:ascii="Times New Roman"/>
                <w:snapToGrid w:val="0"/>
                <w:color w:val="auto"/>
                <w:spacing w:val="-16"/>
                <w:kern w:val="21"/>
                <w:szCs w:val="21"/>
              </w:rPr>
              <w:fldChar w:fldCharType="end"/>
            </w:r>
          </w:p>
        </w:tc>
        <w:tc>
          <w:tcPr>
            <w:tcW w:w="1417" w:type="dxa"/>
            <w:tcMar>
              <w:left w:w="28" w:type="dxa"/>
              <w:right w:w="28" w:type="dxa"/>
            </w:tcMar>
            <w:vAlign w:val="center"/>
          </w:tcPr>
          <w:p>
            <w:pPr>
              <w:jc w:val="center"/>
              <w:rPr>
                <w:b/>
                <w:bCs/>
                <w:color w:val="auto"/>
                <w:szCs w:val="21"/>
              </w:rPr>
            </w:pPr>
            <w:r>
              <w:rPr>
                <w:b/>
                <w:bCs/>
                <w:color w:val="auto"/>
                <w:szCs w:val="21"/>
              </w:rPr>
              <w:t>变化量</w:t>
            </w:r>
            <w:r>
              <w:rPr>
                <w:b/>
                <w:bCs/>
                <w:color w:val="auto"/>
                <w:szCs w:val="21"/>
              </w:rPr>
              <w:fldChar w:fldCharType="begin"/>
            </w:r>
            <w:r>
              <w:rPr>
                <w:b/>
                <w:bCs/>
                <w:color w:val="auto"/>
                <w:szCs w:val="21"/>
              </w:rPr>
              <w:instrText xml:space="preserve"> = 7 \* GB3 \* MERGEFORMAT </w:instrText>
            </w:r>
            <w:r>
              <w:rPr>
                <w:b/>
                <w:bCs/>
                <w:color w:val="auto"/>
                <w:szCs w:val="21"/>
              </w:rPr>
              <w:fldChar w:fldCharType="separate"/>
            </w:r>
            <w:r>
              <w:rPr>
                <w:b/>
                <w:bCs/>
                <w:color w:val="auto"/>
                <w:szCs w:val="21"/>
              </w:rPr>
              <w:t>⑦</w:t>
            </w:r>
            <w:r>
              <w:rPr>
                <w:b/>
                <w:bCs/>
                <w:color w:val="auto"/>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vMerge w:val="restart"/>
            <w:vAlign w:val="center"/>
          </w:tcPr>
          <w:p>
            <w:pPr>
              <w:jc w:val="center"/>
              <w:rPr>
                <w:color w:val="auto"/>
                <w:szCs w:val="21"/>
              </w:rPr>
            </w:pPr>
            <w:r>
              <w:rPr>
                <w:color w:val="auto"/>
                <w:szCs w:val="21"/>
              </w:rPr>
              <w:t>废气</w:t>
            </w:r>
          </w:p>
        </w:tc>
        <w:tc>
          <w:tcPr>
            <w:tcW w:w="2120" w:type="dxa"/>
            <w:vAlign w:val="center"/>
          </w:tcPr>
          <w:p>
            <w:pPr>
              <w:jc w:val="center"/>
              <w:rPr>
                <w:color w:val="auto"/>
                <w:szCs w:val="21"/>
              </w:rPr>
            </w:pPr>
            <w:r>
              <w:rPr>
                <w:color w:val="auto"/>
                <w:szCs w:val="21"/>
              </w:rPr>
              <w:t>废气量</w:t>
            </w:r>
          </w:p>
        </w:tc>
        <w:tc>
          <w:tcPr>
            <w:tcW w:w="1517" w:type="dxa"/>
            <w:vAlign w:val="center"/>
          </w:tcPr>
          <w:p>
            <w:pPr>
              <w:jc w:val="center"/>
              <w:rPr>
                <w:color w:val="auto"/>
                <w:szCs w:val="21"/>
              </w:rPr>
            </w:pPr>
            <w:r>
              <w:rPr>
                <w:rFonts w:hint="eastAsia"/>
                <w:color w:val="auto"/>
                <w:szCs w:val="21"/>
              </w:rPr>
              <w:t>/</w:t>
            </w:r>
          </w:p>
        </w:tc>
        <w:tc>
          <w:tcPr>
            <w:tcW w:w="1120" w:type="dxa"/>
            <w:vAlign w:val="center"/>
          </w:tcPr>
          <w:p>
            <w:pPr>
              <w:jc w:val="center"/>
              <w:rPr>
                <w:color w:val="auto"/>
                <w:szCs w:val="21"/>
              </w:rPr>
            </w:pPr>
            <w:r>
              <w:rPr>
                <w:rFonts w:hint="eastAsia"/>
                <w:color w:val="auto"/>
                <w:szCs w:val="21"/>
              </w:rPr>
              <w:t>/</w:t>
            </w:r>
          </w:p>
        </w:tc>
        <w:tc>
          <w:tcPr>
            <w:tcW w:w="1630" w:type="dxa"/>
            <w:vAlign w:val="center"/>
          </w:tcPr>
          <w:p>
            <w:pPr>
              <w:jc w:val="center"/>
              <w:rPr>
                <w:color w:val="auto"/>
                <w:szCs w:val="21"/>
              </w:rPr>
            </w:pPr>
            <w:r>
              <w:rPr>
                <w:rFonts w:hint="eastAsia"/>
                <w:color w:val="auto"/>
                <w:szCs w:val="21"/>
              </w:rPr>
              <w:t>/</w:t>
            </w:r>
          </w:p>
        </w:tc>
        <w:tc>
          <w:tcPr>
            <w:tcW w:w="1783" w:type="dxa"/>
            <w:vAlign w:val="center"/>
          </w:tcPr>
          <w:p>
            <w:pPr>
              <w:jc w:val="center"/>
              <w:rPr>
                <w:color w:val="auto"/>
                <w:szCs w:val="21"/>
              </w:rPr>
            </w:pPr>
            <w:r>
              <w:rPr>
                <w:rFonts w:hint="eastAsia"/>
                <w:color w:val="auto"/>
                <w:szCs w:val="21"/>
              </w:rPr>
              <w:t>2048.04万m</w:t>
            </w:r>
            <w:r>
              <w:rPr>
                <w:rFonts w:hint="eastAsia"/>
                <w:color w:val="auto"/>
                <w:szCs w:val="21"/>
                <w:vertAlign w:val="superscript"/>
              </w:rPr>
              <w:t>3</w:t>
            </w:r>
            <w:r>
              <w:rPr>
                <w:rFonts w:hint="eastAsia"/>
                <w:color w:val="auto"/>
                <w:szCs w:val="21"/>
              </w:rPr>
              <w:t>/a</w:t>
            </w:r>
          </w:p>
        </w:tc>
        <w:tc>
          <w:tcPr>
            <w:tcW w:w="1717" w:type="dxa"/>
            <w:vAlign w:val="center"/>
          </w:tcPr>
          <w:p>
            <w:pPr>
              <w:jc w:val="center"/>
              <w:rPr>
                <w:color w:val="auto"/>
                <w:szCs w:val="21"/>
              </w:rPr>
            </w:pPr>
            <w:r>
              <w:rPr>
                <w:rFonts w:hint="eastAsia"/>
                <w:color w:val="auto"/>
                <w:szCs w:val="21"/>
              </w:rPr>
              <w:t>/</w:t>
            </w:r>
          </w:p>
        </w:tc>
        <w:tc>
          <w:tcPr>
            <w:tcW w:w="1600" w:type="dxa"/>
            <w:vAlign w:val="center"/>
          </w:tcPr>
          <w:p>
            <w:pPr>
              <w:jc w:val="center"/>
              <w:rPr>
                <w:color w:val="auto"/>
                <w:szCs w:val="21"/>
              </w:rPr>
            </w:pPr>
            <w:r>
              <w:rPr>
                <w:rFonts w:hint="eastAsia"/>
                <w:color w:val="auto"/>
                <w:szCs w:val="21"/>
              </w:rPr>
              <w:t>2048.04万m</w:t>
            </w:r>
            <w:r>
              <w:rPr>
                <w:rFonts w:hint="eastAsia"/>
                <w:color w:val="auto"/>
                <w:szCs w:val="21"/>
                <w:vertAlign w:val="superscript"/>
              </w:rPr>
              <w:t>3</w:t>
            </w:r>
            <w:r>
              <w:rPr>
                <w:rFonts w:hint="eastAsia"/>
                <w:color w:val="auto"/>
                <w:szCs w:val="21"/>
              </w:rPr>
              <w:t>/a</w:t>
            </w:r>
          </w:p>
        </w:tc>
        <w:tc>
          <w:tcPr>
            <w:tcW w:w="1417" w:type="dxa"/>
            <w:vAlign w:val="center"/>
          </w:tcPr>
          <w:p>
            <w:pPr>
              <w:jc w:val="center"/>
              <w:rPr>
                <w:color w:val="auto"/>
                <w:szCs w:val="21"/>
              </w:rPr>
            </w:pPr>
            <w:r>
              <w:rPr>
                <w:rFonts w:hint="eastAsia"/>
                <w:color w:val="auto"/>
                <w:szCs w:val="21"/>
              </w:rPr>
              <w:t>+2048.04万m</w:t>
            </w:r>
            <w:r>
              <w:rPr>
                <w:rFonts w:hint="eastAsia"/>
                <w:color w:val="auto"/>
                <w:szCs w:val="21"/>
                <w:vertAlign w:val="superscript"/>
              </w:rPr>
              <w:t>3</w:t>
            </w:r>
            <w:r>
              <w:rPr>
                <w:rFonts w:hint="eastAsia"/>
                <w:color w:val="auto"/>
                <w:szCs w:val="21"/>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84" w:type="dxa"/>
            <w:vMerge w:val="continue"/>
            <w:vAlign w:val="center"/>
          </w:tcPr>
          <w:p>
            <w:pPr>
              <w:jc w:val="center"/>
              <w:rPr>
                <w:color w:val="auto"/>
                <w:szCs w:val="21"/>
              </w:rPr>
            </w:pPr>
          </w:p>
        </w:tc>
        <w:tc>
          <w:tcPr>
            <w:tcW w:w="2120" w:type="dxa"/>
            <w:vAlign w:val="center"/>
          </w:tcPr>
          <w:p>
            <w:pPr>
              <w:jc w:val="center"/>
              <w:rPr>
                <w:color w:val="auto"/>
                <w:szCs w:val="21"/>
              </w:rPr>
            </w:pPr>
            <w:r>
              <w:rPr>
                <w:rFonts w:hint="eastAsia"/>
                <w:color w:val="auto"/>
                <w:szCs w:val="21"/>
              </w:rPr>
              <w:t>挥发性有机物</w:t>
            </w:r>
          </w:p>
        </w:tc>
        <w:tc>
          <w:tcPr>
            <w:tcW w:w="1517" w:type="dxa"/>
            <w:vAlign w:val="center"/>
          </w:tcPr>
          <w:p>
            <w:pPr>
              <w:jc w:val="center"/>
              <w:rPr>
                <w:color w:val="auto"/>
                <w:szCs w:val="21"/>
              </w:rPr>
            </w:pPr>
            <w:r>
              <w:rPr>
                <w:rFonts w:hint="eastAsia"/>
                <w:color w:val="auto"/>
                <w:szCs w:val="21"/>
              </w:rPr>
              <w:t>/</w:t>
            </w:r>
          </w:p>
        </w:tc>
        <w:tc>
          <w:tcPr>
            <w:tcW w:w="1120" w:type="dxa"/>
            <w:vAlign w:val="center"/>
          </w:tcPr>
          <w:p>
            <w:pPr>
              <w:jc w:val="center"/>
              <w:rPr>
                <w:color w:val="auto"/>
                <w:szCs w:val="21"/>
              </w:rPr>
            </w:pPr>
            <w:r>
              <w:rPr>
                <w:rFonts w:hint="eastAsia"/>
                <w:color w:val="auto"/>
                <w:szCs w:val="21"/>
              </w:rPr>
              <w:t>/</w:t>
            </w:r>
          </w:p>
        </w:tc>
        <w:tc>
          <w:tcPr>
            <w:tcW w:w="1630" w:type="dxa"/>
            <w:vAlign w:val="center"/>
          </w:tcPr>
          <w:p>
            <w:pPr>
              <w:jc w:val="center"/>
              <w:rPr>
                <w:color w:val="auto"/>
                <w:szCs w:val="21"/>
              </w:rPr>
            </w:pPr>
            <w:r>
              <w:rPr>
                <w:rFonts w:hint="eastAsia"/>
                <w:color w:val="auto"/>
                <w:szCs w:val="21"/>
              </w:rPr>
              <w:t>/</w:t>
            </w:r>
          </w:p>
        </w:tc>
        <w:tc>
          <w:tcPr>
            <w:tcW w:w="1783" w:type="dxa"/>
            <w:vAlign w:val="center"/>
          </w:tcPr>
          <w:p>
            <w:pPr>
              <w:jc w:val="center"/>
              <w:rPr>
                <w:color w:val="auto"/>
                <w:szCs w:val="21"/>
              </w:rPr>
            </w:pPr>
            <w:r>
              <w:rPr>
                <w:rFonts w:hint="eastAsia"/>
                <w:color w:val="auto"/>
                <w:szCs w:val="21"/>
              </w:rPr>
              <w:t>0.287t/a</w:t>
            </w:r>
          </w:p>
        </w:tc>
        <w:tc>
          <w:tcPr>
            <w:tcW w:w="1717" w:type="dxa"/>
            <w:vAlign w:val="center"/>
          </w:tcPr>
          <w:p>
            <w:pPr>
              <w:jc w:val="center"/>
              <w:rPr>
                <w:color w:val="auto"/>
                <w:szCs w:val="21"/>
              </w:rPr>
            </w:pPr>
            <w:r>
              <w:rPr>
                <w:rFonts w:hint="eastAsia"/>
                <w:color w:val="auto"/>
                <w:szCs w:val="21"/>
              </w:rPr>
              <w:t>/</w:t>
            </w:r>
          </w:p>
        </w:tc>
        <w:tc>
          <w:tcPr>
            <w:tcW w:w="1600" w:type="dxa"/>
            <w:vAlign w:val="center"/>
          </w:tcPr>
          <w:p>
            <w:pPr>
              <w:jc w:val="center"/>
              <w:rPr>
                <w:color w:val="auto"/>
                <w:szCs w:val="21"/>
              </w:rPr>
            </w:pPr>
            <w:r>
              <w:rPr>
                <w:rFonts w:hint="eastAsia"/>
                <w:color w:val="auto"/>
                <w:szCs w:val="21"/>
              </w:rPr>
              <w:t>0.287t/a</w:t>
            </w:r>
          </w:p>
        </w:tc>
        <w:tc>
          <w:tcPr>
            <w:tcW w:w="1417" w:type="dxa"/>
            <w:vAlign w:val="center"/>
          </w:tcPr>
          <w:p>
            <w:pPr>
              <w:jc w:val="center"/>
              <w:rPr>
                <w:color w:val="auto"/>
                <w:szCs w:val="21"/>
              </w:rPr>
            </w:pPr>
            <w:r>
              <w:rPr>
                <w:rFonts w:hint="eastAsia"/>
                <w:color w:val="auto"/>
                <w:szCs w:val="21"/>
              </w:rPr>
              <w:t>+0.287t/a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4" w:type="dxa"/>
            <w:vMerge w:val="continue"/>
            <w:vAlign w:val="center"/>
          </w:tcPr>
          <w:p>
            <w:pPr>
              <w:jc w:val="center"/>
              <w:rPr>
                <w:color w:val="auto"/>
                <w:szCs w:val="21"/>
              </w:rPr>
            </w:pPr>
          </w:p>
        </w:tc>
        <w:tc>
          <w:tcPr>
            <w:tcW w:w="2120" w:type="dxa"/>
            <w:vAlign w:val="center"/>
          </w:tcPr>
          <w:p>
            <w:pPr>
              <w:jc w:val="center"/>
              <w:rPr>
                <w:color w:val="auto"/>
                <w:szCs w:val="21"/>
              </w:rPr>
            </w:pPr>
            <w:r>
              <w:rPr>
                <w:color w:val="auto"/>
                <w:szCs w:val="21"/>
              </w:rPr>
              <w:t>颗粒物</w:t>
            </w:r>
          </w:p>
        </w:tc>
        <w:tc>
          <w:tcPr>
            <w:tcW w:w="1517" w:type="dxa"/>
            <w:vAlign w:val="center"/>
          </w:tcPr>
          <w:p>
            <w:pPr>
              <w:jc w:val="center"/>
              <w:rPr>
                <w:color w:val="auto"/>
                <w:szCs w:val="21"/>
              </w:rPr>
            </w:pPr>
            <w:r>
              <w:rPr>
                <w:rFonts w:hint="eastAsia"/>
                <w:color w:val="auto"/>
                <w:szCs w:val="21"/>
              </w:rPr>
              <w:t>/</w:t>
            </w:r>
          </w:p>
        </w:tc>
        <w:tc>
          <w:tcPr>
            <w:tcW w:w="1120" w:type="dxa"/>
            <w:vAlign w:val="center"/>
          </w:tcPr>
          <w:p>
            <w:pPr>
              <w:jc w:val="center"/>
              <w:rPr>
                <w:color w:val="auto"/>
                <w:szCs w:val="21"/>
              </w:rPr>
            </w:pPr>
            <w:r>
              <w:rPr>
                <w:rFonts w:hint="eastAsia"/>
                <w:color w:val="auto"/>
                <w:szCs w:val="21"/>
              </w:rPr>
              <w:t>/</w:t>
            </w:r>
          </w:p>
        </w:tc>
        <w:tc>
          <w:tcPr>
            <w:tcW w:w="1630" w:type="dxa"/>
            <w:vAlign w:val="center"/>
          </w:tcPr>
          <w:p>
            <w:pPr>
              <w:jc w:val="center"/>
              <w:rPr>
                <w:color w:val="auto"/>
                <w:szCs w:val="21"/>
              </w:rPr>
            </w:pPr>
            <w:r>
              <w:rPr>
                <w:rFonts w:hint="eastAsia"/>
                <w:color w:val="auto"/>
                <w:szCs w:val="21"/>
              </w:rPr>
              <w:t>/</w:t>
            </w:r>
          </w:p>
        </w:tc>
        <w:tc>
          <w:tcPr>
            <w:tcW w:w="1783" w:type="dxa"/>
            <w:vAlign w:val="center"/>
          </w:tcPr>
          <w:p>
            <w:pPr>
              <w:jc w:val="center"/>
              <w:rPr>
                <w:color w:val="auto"/>
                <w:szCs w:val="21"/>
              </w:rPr>
            </w:pPr>
            <w:r>
              <w:rPr>
                <w:rFonts w:hint="eastAsia"/>
                <w:color w:val="auto"/>
                <w:szCs w:val="21"/>
              </w:rPr>
              <w:t>0.051t/a</w:t>
            </w:r>
          </w:p>
        </w:tc>
        <w:tc>
          <w:tcPr>
            <w:tcW w:w="1717" w:type="dxa"/>
            <w:vAlign w:val="center"/>
          </w:tcPr>
          <w:p>
            <w:pPr>
              <w:jc w:val="center"/>
              <w:rPr>
                <w:color w:val="auto"/>
                <w:szCs w:val="21"/>
              </w:rPr>
            </w:pPr>
            <w:r>
              <w:rPr>
                <w:rFonts w:hint="eastAsia"/>
                <w:color w:val="auto"/>
                <w:szCs w:val="21"/>
              </w:rPr>
              <w:t>/</w:t>
            </w:r>
          </w:p>
        </w:tc>
        <w:tc>
          <w:tcPr>
            <w:tcW w:w="1600" w:type="dxa"/>
            <w:vAlign w:val="center"/>
          </w:tcPr>
          <w:p>
            <w:pPr>
              <w:jc w:val="center"/>
              <w:rPr>
                <w:color w:val="auto"/>
                <w:szCs w:val="21"/>
              </w:rPr>
            </w:pPr>
            <w:r>
              <w:rPr>
                <w:rFonts w:hint="eastAsia"/>
                <w:color w:val="auto"/>
                <w:szCs w:val="21"/>
              </w:rPr>
              <w:t>0.051t/a</w:t>
            </w:r>
          </w:p>
        </w:tc>
        <w:tc>
          <w:tcPr>
            <w:tcW w:w="1417" w:type="dxa"/>
            <w:vAlign w:val="center"/>
          </w:tcPr>
          <w:p>
            <w:pPr>
              <w:jc w:val="center"/>
              <w:rPr>
                <w:color w:val="auto"/>
                <w:szCs w:val="21"/>
              </w:rPr>
            </w:pPr>
            <w:r>
              <w:rPr>
                <w:rFonts w:hint="eastAsia"/>
                <w:color w:val="auto"/>
                <w:szCs w:val="21"/>
              </w:rPr>
              <w:t>+0.051t/a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vMerge w:val="restart"/>
            <w:vAlign w:val="center"/>
          </w:tcPr>
          <w:p>
            <w:pPr>
              <w:jc w:val="center"/>
              <w:rPr>
                <w:color w:val="auto"/>
                <w:szCs w:val="21"/>
              </w:rPr>
            </w:pPr>
            <w:r>
              <w:rPr>
                <w:color w:val="auto"/>
                <w:szCs w:val="21"/>
              </w:rPr>
              <w:t>一般工业固体废物</w:t>
            </w:r>
          </w:p>
        </w:tc>
        <w:tc>
          <w:tcPr>
            <w:tcW w:w="2120" w:type="dxa"/>
            <w:vAlign w:val="center"/>
          </w:tcPr>
          <w:p>
            <w:pPr>
              <w:jc w:val="center"/>
              <w:rPr>
                <w:color w:val="auto"/>
                <w:kern w:val="0"/>
                <w:szCs w:val="21"/>
              </w:rPr>
            </w:pPr>
            <w:r>
              <w:rPr>
                <w:rFonts w:hint="eastAsia"/>
                <w:color w:val="auto"/>
                <w:kern w:val="0"/>
                <w:szCs w:val="21"/>
              </w:rPr>
              <w:t>杂物</w:t>
            </w:r>
          </w:p>
        </w:tc>
        <w:tc>
          <w:tcPr>
            <w:tcW w:w="1517" w:type="dxa"/>
            <w:vAlign w:val="center"/>
          </w:tcPr>
          <w:p>
            <w:pPr>
              <w:jc w:val="center"/>
              <w:rPr>
                <w:color w:val="auto"/>
                <w:szCs w:val="21"/>
              </w:rPr>
            </w:pPr>
            <w:r>
              <w:rPr>
                <w:rFonts w:hint="eastAsia"/>
                <w:color w:val="auto"/>
                <w:szCs w:val="21"/>
              </w:rPr>
              <w:t>/</w:t>
            </w:r>
          </w:p>
        </w:tc>
        <w:tc>
          <w:tcPr>
            <w:tcW w:w="1120" w:type="dxa"/>
            <w:vAlign w:val="center"/>
          </w:tcPr>
          <w:p>
            <w:pPr>
              <w:jc w:val="center"/>
              <w:rPr>
                <w:color w:val="auto"/>
                <w:szCs w:val="21"/>
              </w:rPr>
            </w:pPr>
            <w:r>
              <w:rPr>
                <w:rFonts w:hint="eastAsia"/>
                <w:color w:val="auto"/>
                <w:szCs w:val="21"/>
              </w:rPr>
              <w:t>/</w:t>
            </w:r>
          </w:p>
        </w:tc>
        <w:tc>
          <w:tcPr>
            <w:tcW w:w="1630" w:type="dxa"/>
            <w:vAlign w:val="center"/>
          </w:tcPr>
          <w:p>
            <w:pPr>
              <w:jc w:val="center"/>
              <w:rPr>
                <w:color w:val="auto"/>
                <w:szCs w:val="21"/>
              </w:rPr>
            </w:pPr>
            <w:r>
              <w:rPr>
                <w:rFonts w:hint="eastAsia"/>
                <w:color w:val="auto"/>
                <w:szCs w:val="21"/>
              </w:rPr>
              <w:t>/</w:t>
            </w:r>
          </w:p>
        </w:tc>
        <w:tc>
          <w:tcPr>
            <w:tcW w:w="1783" w:type="dxa"/>
            <w:vAlign w:val="center"/>
          </w:tcPr>
          <w:p>
            <w:pPr>
              <w:jc w:val="center"/>
              <w:rPr>
                <w:color w:val="auto"/>
                <w:szCs w:val="21"/>
              </w:rPr>
            </w:pPr>
            <w:r>
              <w:rPr>
                <w:rFonts w:hint="eastAsia"/>
                <w:color w:val="auto"/>
                <w:szCs w:val="21"/>
              </w:rPr>
              <w:t>66.57t/a</w:t>
            </w:r>
          </w:p>
        </w:tc>
        <w:tc>
          <w:tcPr>
            <w:tcW w:w="1717" w:type="dxa"/>
            <w:vAlign w:val="center"/>
          </w:tcPr>
          <w:p>
            <w:pPr>
              <w:jc w:val="center"/>
              <w:rPr>
                <w:color w:val="auto"/>
                <w:szCs w:val="21"/>
              </w:rPr>
            </w:pPr>
            <w:r>
              <w:rPr>
                <w:rFonts w:hint="eastAsia"/>
                <w:color w:val="auto"/>
                <w:szCs w:val="21"/>
              </w:rPr>
              <w:t>/</w:t>
            </w:r>
          </w:p>
        </w:tc>
        <w:tc>
          <w:tcPr>
            <w:tcW w:w="1600" w:type="dxa"/>
            <w:vAlign w:val="center"/>
          </w:tcPr>
          <w:p>
            <w:pPr>
              <w:jc w:val="center"/>
              <w:rPr>
                <w:color w:val="auto"/>
                <w:szCs w:val="21"/>
              </w:rPr>
            </w:pPr>
            <w:r>
              <w:rPr>
                <w:rFonts w:hint="eastAsia"/>
                <w:color w:val="auto"/>
                <w:szCs w:val="21"/>
              </w:rPr>
              <w:t>66.57t/a</w:t>
            </w:r>
          </w:p>
        </w:tc>
        <w:tc>
          <w:tcPr>
            <w:tcW w:w="1417" w:type="dxa"/>
            <w:vAlign w:val="center"/>
          </w:tcPr>
          <w:p>
            <w:pPr>
              <w:jc w:val="center"/>
              <w:rPr>
                <w:color w:val="auto"/>
                <w:szCs w:val="21"/>
              </w:rPr>
            </w:pPr>
            <w:r>
              <w:rPr>
                <w:rFonts w:hint="eastAsia"/>
                <w:color w:val="auto"/>
                <w:szCs w:val="21"/>
              </w:rPr>
              <w:t>+66.57t/a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84" w:type="dxa"/>
            <w:vMerge w:val="continue"/>
            <w:vAlign w:val="center"/>
          </w:tcPr>
          <w:p>
            <w:pPr>
              <w:jc w:val="center"/>
              <w:rPr>
                <w:color w:val="auto"/>
                <w:szCs w:val="21"/>
              </w:rPr>
            </w:pPr>
          </w:p>
        </w:tc>
        <w:tc>
          <w:tcPr>
            <w:tcW w:w="2120" w:type="dxa"/>
            <w:vAlign w:val="center"/>
          </w:tcPr>
          <w:p>
            <w:pPr>
              <w:jc w:val="center"/>
              <w:rPr>
                <w:color w:val="auto"/>
                <w:kern w:val="0"/>
                <w:szCs w:val="21"/>
              </w:rPr>
            </w:pPr>
            <w:r>
              <w:rPr>
                <w:rFonts w:hint="eastAsia"/>
                <w:color w:val="auto"/>
                <w:kern w:val="0"/>
                <w:szCs w:val="21"/>
              </w:rPr>
              <w:t>清洗泥渣</w:t>
            </w:r>
          </w:p>
        </w:tc>
        <w:tc>
          <w:tcPr>
            <w:tcW w:w="1517" w:type="dxa"/>
            <w:vAlign w:val="center"/>
          </w:tcPr>
          <w:p>
            <w:pPr>
              <w:jc w:val="center"/>
              <w:rPr>
                <w:color w:val="auto"/>
                <w:szCs w:val="21"/>
              </w:rPr>
            </w:pPr>
            <w:r>
              <w:rPr>
                <w:rFonts w:hint="eastAsia"/>
                <w:color w:val="auto"/>
                <w:szCs w:val="21"/>
              </w:rPr>
              <w:t>/</w:t>
            </w:r>
          </w:p>
        </w:tc>
        <w:tc>
          <w:tcPr>
            <w:tcW w:w="1120" w:type="dxa"/>
            <w:vAlign w:val="center"/>
          </w:tcPr>
          <w:p>
            <w:pPr>
              <w:jc w:val="center"/>
              <w:rPr>
                <w:color w:val="auto"/>
                <w:szCs w:val="21"/>
              </w:rPr>
            </w:pPr>
            <w:r>
              <w:rPr>
                <w:rFonts w:hint="eastAsia"/>
                <w:color w:val="auto"/>
                <w:szCs w:val="21"/>
              </w:rPr>
              <w:t>/</w:t>
            </w:r>
          </w:p>
        </w:tc>
        <w:tc>
          <w:tcPr>
            <w:tcW w:w="1630" w:type="dxa"/>
            <w:vAlign w:val="center"/>
          </w:tcPr>
          <w:p>
            <w:pPr>
              <w:jc w:val="center"/>
              <w:rPr>
                <w:color w:val="auto"/>
                <w:szCs w:val="21"/>
              </w:rPr>
            </w:pPr>
            <w:r>
              <w:rPr>
                <w:rFonts w:hint="eastAsia"/>
                <w:color w:val="auto"/>
                <w:szCs w:val="21"/>
              </w:rPr>
              <w:t>/</w:t>
            </w:r>
          </w:p>
        </w:tc>
        <w:tc>
          <w:tcPr>
            <w:tcW w:w="1783" w:type="dxa"/>
            <w:vAlign w:val="center"/>
          </w:tcPr>
          <w:p>
            <w:pPr>
              <w:jc w:val="center"/>
              <w:rPr>
                <w:color w:val="auto"/>
                <w:szCs w:val="21"/>
              </w:rPr>
            </w:pPr>
            <w:r>
              <w:rPr>
                <w:rFonts w:hint="eastAsia"/>
                <w:color w:val="auto"/>
                <w:szCs w:val="21"/>
              </w:rPr>
              <w:t>42.5t/a</w:t>
            </w:r>
          </w:p>
        </w:tc>
        <w:tc>
          <w:tcPr>
            <w:tcW w:w="1717" w:type="dxa"/>
            <w:vAlign w:val="center"/>
          </w:tcPr>
          <w:p>
            <w:pPr>
              <w:jc w:val="center"/>
              <w:rPr>
                <w:color w:val="auto"/>
                <w:szCs w:val="21"/>
              </w:rPr>
            </w:pPr>
            <w:r>
              <w:rPr>
                <w:rFonts w:hint="eastAsia"/>
                <w:color w:val="auto"/>
                <w:szCs w:val="21"/>
              </w:rPr>
              <w:t>/</w:t>
            </w:r>
          </w:p>
        </w:tc>
        <w:tc>
          <w:tcPr>
            <w:tcW w:w="1600" w:type="dxa"/>
            <w:vAlign w:val="center"/>
          </w:tcPr>
          <w:p>
            <w:pPr>
              <w:jc w:val="center"/>
              <w:rPr>
                <w:color w:val="auto"/>
                <w:szCs w:val="21"/>
              </w:rPr>
            </w:pPr>
            <w:r>
              <w:rPr>
                <w:rFonts w:hint="eastAsia"/>
                <w:color w:val="auto"/>
                <w:szCs w:val="21"/>
              </w:rPr>
              <w:t>42.5t/a</w:t>
            </w:r>
          </w:p>
        </w:tc>
        <w:tc>
          <w:tcPr>
            <w:tcW w:w="1417" w:type="dxa"/>
            <w:vAlign w:val="center"/>
          </w:tcPr>
          <w:p>
            <w:pPr>
              <w:jc w:val="center"/>
              <w:rPr>
                <w:color w:val="auto"/>
                <w:szCs w:val="21"/>
              </w:rPr>
            </w:pPr>
            <w:r>
              <w:rPr>
                <w:rFonts w:hint="eastAsia"/>
                <w:color w:val="auto"/>
                <w:szCs w:val="21"/>
              </w:rPr>
              <w:t>+42.5t/a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4" w:type="dxa"/>
            <w:vMerge w:val="continue"/>
            <w:vAlign w:val="center"/>
          </w:tcPr>
          <w:p>
            <w:pPr>
              <w:jc w:val="center"/>
              <w:rPr>
                <w:color w:val="auto"/>
                <w:szCs w:val="21"/>
              </w:rPr>
            </w:pPr>
          </w:p>
        </w:tc>
        <w:tc>
          <w:tcPr>
            <w:tcW w:w="2120" w:type="dxa"/>
            <w:vAlign w:val="center"/>
          </w:tcPr>
          <w:p>
            <w:pPr>
              <w:jc w:val="center"/>
              <w:rPr>
                <w:color w:val="auto"/>
                <w:kern w:val="0"/>
                <w:szCs w:val="21"/>
              </w:rPr>
            </w:pPr>
            <w:r>
              <w:rPr>
                <w:rFonts w:hint="eastAsia"/>
                <w:color w:val="auto"/>
                <w:kern w:val="0"/>
                <w:szCs w:val="21"/>
              </w:rPr>
              <w:t>不合格粒料</w:t>
            </w:r>
          </w:p>
        </w:tc>
        <w:tc>
          <w:tcPr>
            <w:tcW w:w="1517" w:type="dxa"/>
            <w:vAlign w:val="center"/>
          </w:tcPr>
          <w:p>
            <w:pPr>
              <w:jc w:val="center"/>
              <w:rPr>
                <w:color w:val="auto"/>
                <w:szCs w:val="21"/>
              </w:rPr>
            </w:pPr>
            <w:r>
              <w:rPr>
                <w:rFonts w:hint="eastAsia"/>
                <w:color w:val="auto"/>
                <w:szCs w:val="21"/>
              </w:rPr>
              <w:t>/</w:t>
            </w:r>
          </w:p>
        </w:tc>
        <w:tc>
          <w:tcPr>
            <w:tcW w:w="1120" w:type="dxa"/>
            <w:vAlign w:val="center"/>
          </w:tcPr>
          <w:p>
            <w:pPr>
              <w:jc w:val="center"/>
              <w:rPr>
                <w:color w:val="auto"/>
                <w:szCs w:val="21"/>
              </w:rPr>
            </w:pPr>
            <w:r>
              <w:rPr>
                <w:rFonts w:hint="eastAsia"/>
                <w:color w:val="auto"/>
                <w:szCs w:val="21"/>
              </w:rPr>
              <w:t>/</w:t>
            </w:r>
          </w:p>
        </w:tc>
        <w:tc>
          <w:tcPr>
            <w:tcW w:w="1630" w:type="dxa"/>
            <w:vAlign w:val="center"/>
          </w:tcPr>
          <w:p>
            <w:pPr>
              <w:jc w:val="center"/>
              <w:rPr>
                <w:color w:val="auto"/>
                <w:szCs w:val="21"/>
              </w:rPr>
            </w:pPr>
            <w:r>
              <w:rPr>
                <w:rFonts w:hint="eastAsia"/>
                <w:color w:val="auto"/>
                <w:szCs w:val="21"/>
              </w:rPr>
              <w:t>/</w:t>
            </w:r>
          </w:p>
        </w:tc>
        <w:tc>
          <w:tcPr>
            <w:tcW w:w="1783" w:type="dxa"/>
            <w:vAlign w:val="center"/>
          </w:tcPr>
          <w:p>
            <w:pPr>
              <w:jc w:val="center"/>
              <w:rPr>
                <w:color w:val="auto"/>
                <w:szCs w:val="21"/>
              </w:rPr>
            </w:pPr>
            <w:r>
              <w:rPr>
                <w:rFonts w:hint="eastAsia"/>
                <w:color w:val="auto"/>
                <w:szCs w:val="21"/>
              </w:rPr>
              <w:t>60.94t/a</w:t>
            </w:r>
          </w:p>
        </w:tc>
        <w:tc>
          <w:tcPr>
            <w:tcW w:w="1717" w:type="dxa"/>
            <w:vAlign w:val="center"/>
          </w:tcPr>
          <w:p>
            <w:pPr>
              <w:jc w:val="center"/>
              <w:rPr>
                <w:color w:val="auto"/>
                <w:szCs w:val="21"/>
              </w:rPr>
            </w:pPr>
            <w:r>
              <w:rPr>
                <w:rFonts w:hint="eastAsia"/>
                <w:color w:val="auto"/>
                <w:szCs w:val="21"/>
              </w:rPr>
              <w:t>/</w:t>
            </w:r>
          </w:p>
        </w:tc>
        <w:tc>
          <w:tcPr>
            <w:tcW w:w="1600" w:type="dxa"/>
            <w:vAlign w:val="center"/>
          </w:tcPr>
          <w:p>
            <w:pPr>
              <w:jc w:val="center"/>
              <w:rPr>
                <w:color w:val="auto"/>
                <w:szCs w:val="21"/>
              </w:rPr>
            </w:pPr>
            <w:r>
              <w:rPr>
                <w:rFonts w:hint="eastAsia"/>
                <w:color w:val="auto"/>
                <w:szCs w:val="21"/>
              </w:rPr>
              <w:t>60.94t/a</w:t>
            </w:r>
          </w:p>
        </w:tc>
        <w:tc>
          <w:tcPr>
            <w:tcW w:w="1417" w:type="dxa"/>
            <w:vAlign w:val="center"/>
          </w:tcPr>
          <w:p>
            <w:pPr>
              <w:jc w:val="center"/>
              <w:rPr>
                <w:color w:val="auto"/>
                <w:szCs w:val="21"/>
              </w:rPr>
            </w:pPr>
            <w:r>
              <w:rPr>
                <w:rFonts w:hint="eastAsia"/>
                <w:color w:val="auto"/>
                <w:szCs w:val="21"/>
              </w:rPr>
              <w:t>+60.94t/a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4" w:type="dxa"/>
            <w:vMerge w:val="continue"/>
            <w:vAlign w:val="center"/>
          </w:tcPr>
          <w:p>
            <w:pPr>
              <w:jc w:val="center"/>
              <w:rPr>
                <w:color w:val="auto"/>
                <w:szCs w:val="21"/>
              </w:rPr>
            </w:pPr>
          </w:p>
        </w:tc>
        <w:tc>
          <w:tcPr>
            <w:tcW w:w="2120" w:type="dxa"/>
            <w:vAlign w:val="center"/>
          </w:tcPr>
          <w:p>
            <w:pPr>
              <w:jc w:val="center"/>
              <w:rPr>
                <w:color w:val="auto"/>
                <w:kern w:val="0"/>
                <w:szCs w:val="21"/>
              </w:rPr>
            </w:pPr>
            <w:r>
              <w:rPr>
                <w:rFonts w:hint="eastAsia"/>
                <w:color w:val="auto"/>
                <w:kern w:val="0"/>
                <w:szCs w:val="21"/>
              </w:rPr>
              <w:t>废滤网</w:t>
            </w:r>
          </w:p>
        </w:tc>
        <w:tc>
          <w:tcPr>
            <w:tcW w:w="1517" w:type="dxa"/>
            <w:vAlign w:val="center"/>
          </w:tcPr>
          <w:p>
            <w:pPr>
              <w:jc w:val="center"/>
              <w:rPr>
                <w:color w:val="auto"/>
                <w:szCs w:val="21"/>
              </w:rPr>
            </w:pPr>
            <w:r>
              <w:rPr>
                <w:rFonts w:hint="eastAsia"/>
                <w:color w:val="auto"/>
                <w:szCs w:val="21"/>
              </w:rPr>
              <w:t>/</w:t>
            </w:r>
          </w:p>
        </w:tc>
        <w:tc>
          <w:tcPr>
            <w:tcW w:w="1120" w:type="dxa"/>
            <w:vAlign w:val="center"/>
          </w:tcPr>
          <w:p>
            <w:pPr>
              <w:jc w:val="center"/>
              <w:rPr>
                <w:color w:val="auto"/>
                <w:szCs w:val="21"/>
              </w:rPr>
            </w:pPr>
            <w:r>
              <w:rPr>
                <w:rFonts w:hint="eastAsia"/>
                <w:color w:val="auto"/>
                <w:szCs w:val="21"/>
              </w:rPr>
              <w:t>/</w:t>
            </w:r>
          </w:p>
        </w:tc>
        <w:tc>
          <w:tcPr>
            <w:tcW w:w="1630" w:type="dxa"/>
            <w:vAlign w:val="center"/>
          </w:tcPr>
          <w:p>
            <w:pPr>
              <w:jc w:val="center"/>
              <w:rPr>
                <w:color w:val="auto"/>
                <w:szCs w:val="21"/>
              </w:rPr>
            </w:pPr>
            <w:r>
              <w:rPr>
                <w:rFonts w:hint="eastAsia"/>
                <w:color w:val="auto"/>
                <w:szCs w:val="21"/>
              </w:rPr>
              <w:t>/</w:t>
            </w:r>
          </w:p>
        </w:tc>
        <w:tc>
          <w:tcPr>
            <w:tcW w:w="1783" w:type="dxa"/>
            <w:vAlign w:val="center"/>
          </w:tcPr>
          <w:p>
            <w:pPr>
              <w:jc w:val="center"/>
              <w:rPr>
                <w:color w:val="auto"/>
                <w:szCs w:val="21"/>
              </w:rPr>
            </w:pPr>
            <w:r>
              <w:rPr>
                <w:rFonts w:hint="eastAsia"/>
                <w:color w:val="auto"/>
                <w:szCs w:val="21"/>
              </w:rPr>
              <w:t>1.17t/a</w:t>
            </w:r>
          </w:p>
        </w:tc>
        <w:tc>
          <w:tcPr>
            <w:tcW w:w="1717" w:type="dxa"/>
            <w:vAlign w:val="center"/>
          </w:tcPr>
          <w:p>
            <w:pPr>
              <w:jc w:val="center"/>
              <w:rPr>
                <w:color w:val="auto"/>
                <w:szCs w:val="21"/>
              </w:rPr>
            </w:pPr>
            <w:r>
              <w:rPr>
                <w:rFonts w:hint="eastAsia"/>
                <w:color w:val="auto"/>
                <w:szCs w:val="21"/>
              </w:rPr>
              <w:t>/</w:t>
            </w:r>
          </w:p>
        </w:tc>
        <w:tc>
          <w:tcPr>
            <w:tcW w:w="1600" w:type="dxa"/>
            <w:vAlign w:val="center"/>
          </w:tcPr>
          <w:p>
            <w:pPr>
              <w:jc w:val="center"/>
              <w:rPr>
                <w:color w:val="auto"/>
                <w:szCs w:val="21"/>
              </w:rPr>
            </w:pPr>
            <w:r>
              <w:rPr>
                <w:rFonts w:hint="eastAsia"/>
                <w:color w:val="auto"/>
                <w:szCs w:val="21"/>
              </w:rPr>
              <w:t>1.17t/a</w:t>
            </w:r>
          </w:p>
        </w:tc>
        <w:tc>
          <w:tcPr>
            <w:tcW w:w="1417" w:type="dxa"/>
            <w:vAlign w:val="center"/>
          </w:tcPr>
          <w:p>
            <w:pPr>
              <w:jc w:val="center"/>
              <w:rPr>
                <w:color w:val="auto"/>
                <w:szCs w:val="21"/>
              </w:rPr>
            </w:pPr>
            <w:r>
              <w:rPr>
                <w:rFonts w:hint="eastAsia"/>
                <w:color w:val="auto"/>
                <w:szCs w:val="21"/>
              </w:rPr>
              <w:t>+1.17t/a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4" w:type="dxa"/>
            <w:vMerge w:val="continue"/>
            <w:vAlign w:val="center"/>
          </w:tcPr>
          <w:p>
            <w:pPr>
              <w:jc w:val="center"/>
              <w:rPr>
                <w:color w:val="auto"/>
                <w:szCs w:val="21"/>
              </w:rPr>
            </w:pPr>
          </w:p>
        </w:tc>
        <w:tc>
          <w:tcPr>
            <w:tcW w:w="2120" w:type="dxa"/>
            <w:vAlign w:val="center"/>
          </w:tcPr>
          <w:p>
            <w:pPr>
              <w:jc w:val="center"/>
              <w:rPr>
                <w:color w:val="auto"/>
                <w:kern w:val="0"/>
                <w:szCs w:val="21"/>
              </w:rPr>
            </w:pPr>
            <w:r>
              <w:rPr>
                <w:rFonts w:hint="eastAsia"/>
                <w:color w:val="auto"/>
                <w:kern w:val="0"/>
                <w:szCs w:val="21"/>
                <w:lang w:val="en-US" w:eastAsia="zh-CN"/>
              </w:rPr>
              <w:t>生产废水处理设施</w:t>
            </w:r>
            <w:r>
              <w:rPr>
                <w:rFonts w:hint="eastAsia"/>
                <w:color w:val="auto"/>
                <w:kern w:val="0"/>
                <w:szCs w:val="21"/>
              </w:rPr>
              <w:t>污泥</w:t>
            </w:r>
          </w:p>
        </w:tc>
        <w:tc>
          <w:tcPr>
            <w:tcW w:w="1517" w:type="dxa"/>
            <w:vAlign w:val="center"/>
          </w:tcPr>
          <w:p>
            <w:pPr>
              <w:jc w:val="center"/>
              <w:rPr>
                <w:color w:val="auto"/>
                <w:szCs w:val="21"/>
              </w:rPr>
            </w:pPr>
            <w:r>
              <w:rPr>
                <w:rFonts w:hint="eastAsia"/>
                <w:color w:val="auto"/>
                <w:szCs w:val="21"/>
              </w:rPr>
              <w:t>/</w:t>
            </w:r>
          </w:p>
        </w:tc>
        <w:tc>
          <w:tcPr>
            <w:tcW w:w="1120" w:type="dxa"/>
            <w:vAlign w:val="center"/>
          </w:tcPr>
          <w:p>
            <w:pPr>
              <w:jc w:val="center"/>
              <w:rPr>
                <w:color w:val="auto"/>
                <w:szCs w:val="21"/>
              </w:rPr>
            </w:pPr>
            <w:r>
              <w:rPr>
                <w:rFonts w:hint="eastAsia"/>
                <w:color w:val="auto"/>
                <w:szCs w:val="21"/>
              </w:rPr>
              <w:t>/</w:t>
            </w:r>
          </w:p>
        </w:tc>
        <w:tc>
          <w:tcPr>
            <w:tcW w:w="1630" w:type="dxa"/>
            <w:vAlign w:val="center"/>
          </w:tcPr>
          <w:p>
            <w:pPr>
              <w:jc w:val="center"/>
              <w:rPr>
                <w:color w:val="auto"/>
                <w:szCs w:val="21"/>
              </w:rPr>
            </w:pPr>
            <w:r>
              <w:rPr>
                <w:rFonts w:hint="eastAsia"/>
                <w:color w:val="auto"/>
                <w:szCs w:val="21"/>
              </w:rPr>
              <w:t>/</w:t>
            </w:r>
          </w:p>
        </w:tc>
        <w:tc>
          <w:tcPr>
            <w:tcW w:w="1783" w:type="dxa"/>
            <w:vAlign w:val="center"/>
          </w:tcPr>
          <w:p>
            <w:pPr>
              <w:jc w:val="center"/>
              <w:rPr>
                <w:color w:val="auto"/>
                <w:szCs w:val="21"/>
              </w:rPr>
            </w:pPr>
            <w:r>
              <w:rPr>
                <w:rFonts w:hint="eastAsia"/>
                <w:color w:val="auto"/>
                <w:szCs w:val="21"/>
              </w:rPr>
              <w:t>8.3t/a</w:t>
            </w:r>
          </w:p>
        </w:tc>
        <w:tc>
          <w:tcPr>
            <w:tcW w:w="1717" w:type="dxa"/>
            <w:vAlign w:val="center"/>
          </w:tcPr>
          <w:p>
            <w:pPr>
              <w:jc w:val="center"/>
              <w:rPr>
                <w:color w:val="auto"/>
                <w:szCs w:val="21"/>
              </w:rPr>
            </w:pPr>
            <w:r>
              <w:rPr>
                <w:rFonts w:hint="eastAsia"/>
                <w:color w:val="auto"/>
                <w:szCs w:val="21"/>
              </w:rPr>
              <w:t>/</w:t>
            </w:r>
          </w:p>
        </w:tc>
        <w:tc>
          <w:tcPr>
            <w:tcW w:w="1600" w:type="dxa"/>
            <w:vAlign w:val="center"/>
          </w:tcPr>
          <w:p>
            <w:pPr>
              <w:jc w:val="center"/>
              <w:rPr>
                <w:color w:val="auto"/>
                <w:szCs w:val="21"/>
              </w:rPr>
            </w:pPr>
            <w:r>
              <w:rPr>
                <w:rFonts w:hint="eastAsia"/>
                <w:color w:val="auto"/>
                <w:szCs w:val="21"/>
              </w:rPr>
              <w:t>8.3t/a</w:t>
            </w:r>
          </w:p>
        </w:tc>
        <w:tc>
          <w:tcPr>
            <w:tcW w:w="1417" w:type="dxa"/>
            <w:vAlign w:val="center"/>
          </w:tcPr>
          <w:p>
            <w:pPr>
              <w:jc w:val="center"/>
              <w:rPr>
                <w:color w:val="auto"/>
                <w:szCs w:val="21"/>
              </w:rPr>
            </w:pPr>
            <w:r>
              <w:rPr>
                <w:rFonts w:hint="eastAsia"/>
                <w:color w:val="auto"/>
                <w:szCs w:val="21"/>
              </w:rPr>
              <w:t>+8.3t/a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4" w:type="dxa"/>
            <w:vMerge w:val="continue"/>
            <w:vAlign w:val="center"/>
          </w:tcPr>
          <w:p>
            <w:pPr>
              <w:jc w:val="center"/>
              <w:rPr>
                <w:color w:val="auto"/>
                <w:szCs w:val="21"/>
              </w:rPr>
            </w:pPr>
          </w:p>
        </w:tc>
        <w:tc>
          <w:tcPr>
            <w:tcW w:w="2120" w:type="dxa"/>
            <w:vAlign w:val="center"/>
          </w:tcPr>
          <w:p>
            <w:pPr>
              <w:jc w:val="center"/>
              <w:rPr>
                <w:color w:val="auto"/>
                <w:szCs w:val="21"/>
              </w:rPr>
            </w:pPr>
            <w:r>
              <w:rPr>
                <w:rFonts w:hint="eastAsia"/>
                <w:color w:val="auto"/>
                <w:szCs w:val="21"/>
              </w:rPr>
              <w:t>生活垃圾</w:t>
            </w:r>
          </w:p>
        </w:tc>
        <w:tc>
          <w:tcPr>
            <w:tcW w:w="1517" w:type="dxa"/>
            <w:vAlign w:val="center"/>
          </w:tcPr>
          <w:p>
            <w:pPr>
              <w:jc w:val="center"/>
              <w:rPr>
                <w:color w:val="auto"/>
                <w:szCs w:val="21"/>
              </w:rPr>
            </w:pPr>
            <w:r>
              <w:rPr>
                <w:rFonts w:hint="eastAsia"/>
                <w:color w:val="auto"/>
                <w:szCs w:val="21"/>
              </w:rPr>
              <w:t>/</w:t>
            </w:r>
          </w:p>
        </w:tc>
        <w:tc>
          <w:tcPr>
            <w:tcW w:w="1120" w:type="dxa"/>
            <w:vAlign w:val="center"/>
          </w:tcPr>
          <w:p>
            <w:pPr>
              <w:jc w:val="center"/>
              <w:rPr>
                <w:color w:val="auto"/>
                <w:szCs w:val="21"/>
              </w:rPr>
            </w:pPr>
            <w:r>
              <w:rPr>
                <w:rFonts w:hint="eastAsia"/>
                <w:color w:val="auto"/>
                <w:szCs w:val="21"/>
              </w:rPr>
              <w:t>/</w:t>
            </w:r>
          </w:p>
        </w:tc>
        <w:tc>
          <w:tcPr>
            <w:tcW w:w="1630" w:type="dxa"/>
            <w:vAlign w:val="center"/>
          </w:tcPr>
          <w:p>
            <w:pPr>
              <w:jc w:val="center"/>
              <w:rPr>
                <w:color w:val="auto"/>
                <w:szCs w:val="21"/>
              </w:rPr>
            </w:pPr>
            <w:r>
              <w:rPr>
                <w:rFonts w:hint="eastAsia"/>
                <w:color w:val="auto"/>
                <w:szCs w:val="21"/>
              </w:rPr>
              <w:t>/</w:t>
            </w:r>
          </w:p>
        </w:tc>
        <w:tc>
          <w:tcPr>
            <w:tcW w:w="1783" w:type="dxa"/>
            <w:vAlign w:val="center"/>
          </w:tcPr>
          <w:p>
            <w:pPr>
              <w:jc w:val="center"/>
              <w:rPr>
                <w:color w:val="auto"/>
                <w:szCs w:val="21"/>
              </w:rPr>
            </w:pPr>
            <w:r>
              <w:rPr>
                <w:rFonts w:hint="eastAsia"/>
                <w:color w:val="auto"/>
                <w:szCs w:val="21"/>
              </w:rPr>
              <w:t>1.5t/a</w:t>
            </w:r>
          </w:p>
        </w:tc>
        <w:tc>
          <w:tcPr>
            <w:tcW w:w="1717" w:type="dxa"/>
            <w:vAlign w:val="center"/>
          </w:tcPr>
          <w:p>
            <w:pPr>
              <w:jc w:val="center"/>
              <w:rPr>
                <w:color w:val="auto"/>
                <w:szCs w:val="21"/>
              </w:rPr>
            </w:pPr>
            <w:r>
              <w:rPr>
                <w:rFonts w:hint="eastAsia"/>
                <w:color w:val="auto"/>
                <w:szCs w:val="21"/>
              </w:rPr>
              <w:t>/</w:t>
            </w:r>
          </w:p>
        </w:tc>
        <w:tc>
          <w:tcPr>
            <w:tcW w:w="1600" w:type="dxa"/>
            <w:vAlign w:val="center"/>
          </w:tcPr>
          <w:p>
            <w:pPr>
              <w:jc w:val="center"/>
              <w:rPr>
                <w:color w:val="auto"/>
                <w:szCs w:val="21"/>
              </w:rPr>
            </w:pPr>
            <w:r>
              <w:rPr>
                <w:rFonts w:hint="eastAsia"/>
                <w:color w:val="auto"/>
                <w:szCs w:val="21"/>
              </w:rPr>
              <w:t>1.5t/a</w:t>
            </w:r>
          </w:p>
        </w:tc>
        <w:tc>
          <w:tcPr>
            <w:tcW w:w="1417" w:type="dxa"/>
            <w:vAlign w:val="center"/>
          </w:tcPr>
          <w:p>
            <w:pPr>
              <w:jc w:val="center"/>
              <w:rPr>
                <w:color w:val="auto"/>
                <w:szCs w:val="21"/>
              </w:rPr>
            </w:pPr>
            <w:r>
              <w:rPr>
                <w:rFonts w:hint="eastAsia"/>
                <w:color w:val="auto"/>
                <w:szCs w:val="21"/>
              </w:rPr>
              <w:t>+1.5t/a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4" w:type="dxa"/>
            <w:vMerge w:val="continue"/>
            <w:vAlign w:val="center"/>
          </w:tcPr>
          <w:p>
            <w:pPr>
              <w:jc w:val="center"/>
              <w:rPr>
                <w:color w:val="auto"/>
                <w:szCs w:val="21"/>
              </w:rPr>
            </w:pPr>
          </w:p>
        </w:tc>
        <w:tc>
          <w:tcPr>
            <w:tcW w:w="2120" w:type="dxa"/>
            <w:vAlign w:val="center"/>
          </w:tcPr>
          <w:p>
            <w:pPr>
              <w:jc w:val="center"/>
              <w:rPr>
                <w:color w:val="auto"/>
                <w:szCs w:val="21"/>
              </w:rPr>
            </w:pPr>
            <w:r>
              <w:rPr>
                <w:rFonts w:hint="eastAsia"/>
                <w:color w:val="auto"/>
                <w:szCs w:val="21"/>
              </w:rPr>
              <w:t>依托的餐厨垃圾、隔油池油污、污泥</w:t>
            </w:r>
          </w:p>
        </w:tc>
        <w:tc>
          <w:tcPr>
            <w:tcW w:w="1517" w:type="dxa"/>
            <w:vAlign w:val="center"/>
          </w:tcPr>
          <w:p>
            <w:pPr>
              <w:jc w:val="center"/>
              <w:rPr>
                <w:color w:val="auto"/>
                <w:szCs w:val="21"/>
              </w:rPr>
            </w:pPr>
            <w:r>
              <w:rPr>
                <w:rFonts w:hint="eastAsia"/>
                <w:b/>
                <w:bCs/>
                <w:snapToGrid w:val="0"/>
                <w:color w:val="auto"/>
                <w:kern w:val="21"/>
                <w:szCs w:val="21"/>
              </w:rPr>
              <w:t>/</w:t>
            </w:r>
          </w:p>
        </w:tc>
        <w:tc>
          <w:tcPr>
            <w:tcW w:w="1120" w:type="dxa"/>
            <w:vAlign w:val="center"/>
          </w:tcPr>
          <w:p>
            <w:pPr>
              <w:jc w:val="center"/>
              <w:rPr>
                <w:color w:val="auto"/>
                <w:szCs w:val="21"/>
              </w:rPr>
            </w:pPr>
            <w:r>
              <w:rPr>
                <w:rFonts w:hint="eastAsia"/>
                <w:b/>
                <w:bCs/>
                <w:snapToGrid w:val="0"/>
                <w:color w:val="auto"/>
                <w:kern w:val="21"/>
                <w:szCs w:val="21"/>
              </w:rPr>
              <w:t>/</w:t>
            </w:r>
          </w:p>
        </w:tc>
        <w:tc>
          <w:tcPr>
            <w:tcW w:w="1630" w:type="dxa"/>
            <w:vAlign w:val="center"/>
          </w:tcPr>
          <w:p>
            <w:pPr>
              <w:jc w:val="center"/>
              <w:rPr>
                <w:color w:val="auto"/>
                <w:szCs w:val="21"/>
              </w:rPr>
            </w:pPr>
            <w:r>
              <w:rPr>
                <w:rFonts w:hint="eastAsia"/>
                <w:b/>
                <w:bCs/>
                <w:snapToGrid w:val="0"/>
                <w:color w:val="auto"/>
                <w:kern w:val="21"/>
                <w:szCs w:val="21"/>
              </w:rPr>
              <w:t>/</w:t>
            </w:r>
          </w:p>
        </w:tc>
        <w:tc>
          <w:tcPr>
            <w:tcW w:w="1783" w:type="dxa"/>
            <w:vAlign w:val="center"/>
          </w:tcPr>
          <w:p>
            <w:pPr>
              <w:jc w:val="center"/>
              <w:rPr>
                <w:color w:val="auto"/>
                <w:szCs w:val="21"/>
              </w:rPr>
            </w:pPr>
            <w:r>
              <w:rPr>
                <w:rFonts w:hint="eastAsia"/>
                <w:color w:val="auto"/>
                <w:szCs w:val="21"/>
              </w:rPr>
              <w:t>少量</w:t>
            </w:r>
          </w:p>
        </w:tc>
        <w:tc>
          <w:tcPr>
            <w:tcW w:w="1717" w:type="dxa"/>
            <w:vAlign w:val="center"/>
          </w:tcPr>
          <w:p>
            <w:pPr>
              <w:jc w:val="center"/>
              <w:rPr>
                <w:color w:val="auto"/>
                <w:szCs w:val="21"/>
              </w:rPr>
            </w:pPr>
            <w:r>
              <w:rPr>
                <w:rFonts w:hint="eastAsia"/>
                <w:b/>
                <w:bCs/>
                <w:snapToGrid w:val="0"/>
                <w:color w:val="auto"/>
                <w:kern w:val="21"/>
                <w:szCs w:val="21"/>
              </w:rPr>
              <w:t>/</w:t>
            </w:r>
          </w:p>
        </w:tc>
        <w:tc>
          <w:tcPr>
            <w:tcW w:w="1600" w:type="dxa"/>
            <w:vAlign w:val="center"/>
          </w:tcPr>
          <w:p>
            <w:pPr>
              <w:jc w:val="center"/>
              <w:rPr>
                <w:color w:val="auto"/>
                <w:szCs w:val="21"/>
              </w:rPr>
            </w:pPr>
            <w:r>
              <w:rPr>
                <w:rFonts w:hint="eastAsia"/>
                <w:color w:val="auto"/>
                <w:szCs w:val="21"/>
              </w:rPr>
              <w:t>少量</w:t>
            </w:r>
          </w:p>
        </w:tc>
        <w:tc>
          <w:tcPr>
            <w:tcW w:w="1417" w:type="dxa"/>
            <w:vAlign w:val="center"/>
          </w:tcPr>
          <w:p>
            <w:pPr>
              <w:jc w:val="center"/>
              <w:rPr>
                <w:color w:val="auto"/>
                <w:szCs w:val="21"/>
              </w:rPr>
            </w:pPr>
            <w:r>
              <w:rPr>
                <w:rFonts w:hint="eastAsia"/>
                <w:color w:val="auto"/>
                <w:szCs w:val="21"/>
              </w:rPr>
              <w:t>少量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4" w:type="dxa"/>
            <w:vMerge w:val="restart"/>
            <w:vAlign w:val="center"/>
          </w:tcPr>
          <w:p>
            <w:pPr>
              <w:jc w:val="center"/>
              <w:rPr>
                <w:color w:val="auto"/>
                <w:szCs w:val="21"/>
              </w:rPr>
            </w:pPr>
            <w:r>
              <w:rPr>
                <w:color w:val="auto"/>
                <w:szCs w:val="21"/>
              </w:rPr>
              <w:t>危险废物</w:t>
            </w:r>
          </w:p>
        </w:tc>
        <w:tc>
          <w:tcPr>
            <w:tcW w:w="2120" w:type="dxa"/>
            <w:vAlign w:val="center"/>
          </w:tcPr>
          <w:p>
            <w:pPr>
              <w:jc w:val="center"/>
              <w:rPr>
                <w:color w:val="auto"/>
                <w:szCs w:val="21"/>
              </w:rPr>
            </w:pPr>
            <w:r>
              <w:rPr>
                <w:rFonts w:hint="eastAsia"/>
                <w:color w:val="auto"/>
                <w:szCs w:val="21"/>
              </w:rPr>
              <w:t>废活性炭</w:t>
            </w:r>
          </w:p>
        </w:tc>
        <w:tc>
          <w:tcPr>
            <w:tcW w:w="1517" w:type="dxa"/>
            <w:vAlign w:val="center"/>
          </w:tcPr>
          <w:p>
            <w:pPr>
              <w:jc w:val="center"/>
              <w:rPr>
                <w:color w:val="auto"/>
                <w:szCs w:val="21"/>
              </w:rPr>
            </w:pPr>
            <w:r>
              <w:rPr>
                <w:rFonts w:hint="eastAsia"/>
                <w:color w:val="auto"/>
                <w:szCs w:val="21"/>
              </w:rPr>
              <w:t>/</w:t>
            </w:r>
          </w:p>
        </w:tc>
        <w:tc>
          <w:tcPr>
            <w:tcW w:w="1120" w:type="dxa"/>
            <w:vAlign w:val="center"/>
          </w:tcPr>
          <w:p>
            <w:pPr>
              <w:jc w:val="center"/>
              <w:rPr>
                <w:color w:val="auto"/>
                <w:szCs w:val="21"/>
              </w:rPr>
            </w:pPr>
            <w:r>
              <w:rPr>
                <w:rFonts w:hint="eastAsia"/>
                <w:color w:val="auto"/>
                <w:szCs w:val="21"/>
              </w:rPr>
              <w:t>/</w:t>
            </w:r>
          </w:p>
        </w:tc>
        <w:tc>
          <w:tcPr>
            <w:tcW w:w="1630" w:type="dxa"/>
            <w:vAlign w:val="center"/>
          </w:tcPr>
          <w:p>
            <w:pPr>
              <w:jc w:val="center"/>
              <w:rPr>
                <w:color w:val="auto"/>
                <w:szCs w:val="21"/>
              </w:rPr>
            </w:pPr>
            <w:r>
              <w:rPr>
                <w:rFonts w:hint="eastAsia"/>
                <w:color w:val="auto"/>
                <w:szCs w:val="21"/>
              </w:rPr>
              <w:t>/</w:t>
            </w:r>
          </w:p>
        </w:tc>
        <w:tc>
          <w:tcPr>
            <w:tcW w:w="1783" w:type="dxa"/>
            <w:vAlign w:val="center"/>
          </w:tcPr>
          <w:p>
            <w:pPr>
              <w:jc w:val="center"/>
              <w:rPr>
                <w:color w:val="auto"/>
                <w:szCs w:val="21"/>
              </w:rPr>
            </w:pPr>
            <w:r>
              <w:rPr>
                <w:rFonts w:hint="eastAsia"/>
                <w:color w:val="auto"/>
                <w:szCs w:val="21"/>
              </w:rPr>
              <w:t>4.4784t/a</w:t>
            </w:r>
          </w:p>
        </w:tc>
        <w:tc>
          <w:tcPr>
            <w:tcW w:w="1717" w:type="dxa"/>
            <w:vAlign w:val="center"/>
          </w:tcPr>
          <w:p>
            <w:pPr>
              <w:jc w:val="center"/>
              <w:rPr>
                <w:color w:val="auto"/>
                <w:szCs w:val="21"/>
              </w:rPr>
            </w:pPr>
            <w:r>
              <w:rPr>
                <w:rFonts w:hint="eastAsia"/>
                <w:color w:val="auto"/>
                <w:szCs w:val="21"/>
              </w:rPr>
              <w:t>/</w:t>
            </w:r>
          </w:p>
        </w:tc>
        <w:tc>
          <w:tcPr>
            <w:tcW w:w="1600" w:type="dxa"/>
            <w:vAlign w:val="center"/>
          </w:tcPr>
          <w:p>
            <w:pPr>
              <w:jc w:val="center"/>
              <w:rPr>
                <w:color w:val="auto"/>
                <w:szCs w:val="21"/>
              </w:rPr>
            </w:pPr>
            <w:r>
              <w:rPr>
                <w:rFonts w:hint="eastAsia"/>
                <w:color w:val="auto"/>
                <w:szCs w:val="21"/>
              </w:rPr>
              <w:t>4.4784t/a</w:t>
            </w:r>
          </w:p>
        </w:tc>
        <w:tc>
          <w:tcPr>
            <w:tcW w:w="1417" w:type="dxa"/>
            <w:vAlign w:val="center"/>
          </w:tcPr>
          <w:p>
            <w:pPr>
              <w:jc w:val="center"/>
              <w:rPr>
                <w:color w:val="auto"/>
                <w:szCs w:val="21"/>
              </w:rPr>
            </w:pPr>
            <w:r>
              <w:rPr>
                <w:rFonts w:hint="eastAsia"/>
                <w:color w:val="auto"/>
                <w:szCs w:val="21"/>
              </w:rPr>
              <w:t>+4.4784t/a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4" w:type="dxa"/>
            <w:vMerge w:val="continue"/>
            <w:vAlign w:val="center"/>
          </w:tcPr>
          <w:p>
            <w:pPr>
              <w:jc w:val="center"/>
              <w:rPr>
                <w:color w:val="auto"/>
                <w:szCs w:val="21"/>
              </w:rPr>
            </w:pPr>
          </w:p>
        </w:tc>
        <w:tc>
          <w:tcPr>
            <w:tcW w:w="2120" w:type="dxa"/>
            <w:vAlign w:val="center"/>
          </w:tcPr>
          <w:p>
            <w:pPr>
              <w:jc w:val="center"/>
              <w:rPr>
                <w:color w:val="auto"/>
                <w:szCs w:val="21"/>
              </w:rPr>
            </w:pPr>
            <w:r>
              <w:rPr>
                <w:rFonts w:hint="eastAsia"/>
                <w:color w:val="auto"/>
                <w:szCs w:val="21"/>
              </w:rPr>
              <w:t>废机油</w:t>
            </w:r>
          </w:p>
        </w:tc>
        <w:tc>
          <w:tcPr>
            <w:tcW w:w="1517" w:type="dxa"/>
            <w:vAlign w:val="center"/>
          </w:tcPr>
          <w:p>
            <w:pPr>
              <w:jc w:val="center"/>
              <w:rPr>
                <w:color w:val="auto"/>
                <w:szCs w:val="21"/>
              </w:rPr>
            </w:pPr>
            <w:r>
              <w:rPr>
                <w:rFonts w:hint="eastAsia"/>
                <w:color w:val="auto"/>
                <w:szCs w:val="21"/>
              </w:rPr>
              <w:t>/</w:t>
            </w:r>
          </w:p>
        </w:tc>
        <w:tc>
          <w:tcPr>
            <w:tcW w:w="1120" w:type="dxa"/>
            <w:vAlign w:val="center"/>
          </w:tcPr>
          <w:p>
            <w:pPr>
              <w:jc w:val="center"/>
              <w:rPr>
                <w:color w:val="auto"/>
                <w:szCs w:val="21"/>
              </w:rPr>
            </w:pPr>
            <w:r>
              <w:rPr>
                <w:rFonts w:hint="eastAsia"/>
                <w:color w:val="auto"/>
                <w:szCs w:val="21"/>
              </w:rPr>
              <w:t>/</w:t>
            </w:r>
          </w:p>
        </w:tc>
        <w:tc>
          <w:tcPr>
            <w:tcW w:w="1630" w:type="dxa"/>
            <w:vAlign w:val="center"/>
          </w:tcPr>
          <w:p>
            <w:pPr>
              <w:jc w:val="center"/>
              <w:rPr>
                <w:color w:val="auto"/>
                <w:szCs w:val="21"/>
              </w:rPr>
            </w:pPr>
            <w:r>
              <w:rPr>
                <w:rFonts w:hint="eastAsia"/>
                <w:color w:val="auto"/>
                <w:szCs w:val="21"/>
              </w:rPr>
              <w:t>/</w:t>
            </w:r>
          </w:p>
        </w:tc>
        <w:tc>
          <w:tcPr>
            <w:tcW w:w="1783" w:type="dxa"/>
            <w:vAlign w:val="center"/>
          </w:tcPr>
          <w:p>
            <w:pPr>
              <w:jc w:val="center"/>
              <w:rPr>
                <w:color w:val="auto"/>
                <w:szCs w:val="21"/>
              </w:rPr>
            </w:pPr>
            <w:r>
              <w:rPr>
                <w:rFonts w:hint="eastAsia"/>
                <w:color w:val="auto"/>
                <w:szCs w:val="21"/>
              </w:rPr>
              <w:t>0.2t/a</w:t>
            </w:r>
          </w:p>
        </w:tc>
        <w:tc>
          <w:tcPr>
            <w:tcW w:w="1717" w:type="dxa"/>
            <w:vAlign w:val="center"/>
          </w:tcPr>
          <w:p>
            <w:pPr>
              <w:jc w:val="center"/>
              <w:rPr>
                <w:color w:val="auto"/>
                <w:szCs w:val="21"/>
              </w:rPr>
            </w:pPr>
            <w:r>
              <w:rPr>
                <w:rFonts w:hint="eastAsia"/>
                <w:color w:val="auto"/>
                <w:szCs w:val="21"/>
              </w:rPr>
              <w:t>/</w:t>
            </w:r>
          </w:p>
        </w:tc>
        <w:tc>
          <w:tcPr>
            <w:tcW w:w="1600" w:type="dxa"/>
            <w:vAlign w:val="center"/>
          </w:tcPr>
          <w:p>
            <w:pPr>
              <w:jc w:val="center"/>
              <w:rPr>
                <w:color w:val="auto"/>
                <w:szCs w:val="21"/>
              </w:rPr>
            </w:pPr>
            <w:r>
              <w:rPr>
                <w:rFonts w:hint="eastAsia"/>
                <w:color w:val="auto"/>
                <w:szCs w:val="21"/>
              </w:rPr>
              <w:t>0.2t/a</w:t>
            </w:r>
          </w:p>
        </w:tc>
        <w:tc>
          <w:tcPr>
            <w:tcW w:w="1417" w:type="dxa"/>
            <w:vAlign w:val="center"/>
          </w:tcPr>
          <w:p>
            <w:pPr>
              <w:jc w:val="center"/>
              <w:rPr>
                <w:color w:val="auto"/>
                <w:szCs w:val="21"/>
              </w:rPr>
            </w:pPr>
            <w:r>
              <w:rPr>
                <w:rFonts w:hint="eastAsia"/>
                <w:color w:val="auto"/>
                <w:szCs w:val="21"/>
              </w:rPr>
              <w:t>+0.2t/a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4" w:type="dxa"/>
            <w:vMerge w:val="continue"/>
            <w:vAlign w:val="center"/>
          </w:tcPr>
          <w:p>
            <w:pPr>
              <w:jc w:val="center"/>
              <w:rPr>
                <w:color w:val="auto"/>
                <w:szCs w:val="21"/>
              </w:rPr>
            </w:pPr>
          </w:p>
        </w:tc>
        <w:tc>
          <w:tcPr>
            <w:tcW w:w="2120" w:type="dxa"/>
            <w:vAlign w:val="center"/>
          </w:tcPr>
          <w:p>
            <w:pPr>
              <w:jc w:val="center"/>
              <w:rPr>
                <w:color w:val="auto"/>
                <w:szCs w:val="21"/>
              </w:rPr>
            </w:pPr>
            <w:r>
              <w:rPr>
                <w:rFonts w:hint="eastAsia"/>
                <w:color w:val="auto"/>
                <w:szCs w:val="21"/>
              </w:rPr>
              <w:t>废光氧管</w:t>
            </w:r>
          </w:p>
        </w:tc>
        <w:tc>
          <w:tcPr>
            <w:tcW w:w="1517" w:type="dxa"/>
            <w:vAlign w:val="center"/>
          </w:tcPr>
          <w:p>
            <w:pPr>
              <w:jc w:val="center"/>
              <w:rPr>
                <w:color w:val="auto"/>
                <w:szCs w:val="21"/>
              </w:rPr>
            </w:pPr>
            <w:r>
              <w:rPr>
                <w:rFonts w:hint="eastAsia"/>
                <w:color w:val="auto"/>
                <w:szCs w:val="21"/>
              </w:rPr>
              <w:t>/</w:t>
            </w:r>
          </w:p>
        </w:tc>
        <w:tc>
          <w:tcPr>
            <w:tcW w:w="1120" w:type="dxa"/>
            <w:vAlign w:val="center"/>
          </w:tcPr>
          <w:p>
            <w:pPr>
              <w:jc w:val="center"/>
              <w:rPr>
                <w:color w:val="auto"/>
                <w:szCs w:val="21"/>
              </w:rPr>
            </w:pPr>
            <w:r>
              <w:rPr>
                <w:rFonts w:hint="eastAsia"/>
                <w:color w:val="auto"/>
                <w:szCs w:val="21"/>
              </w:rPr>
              <w:t>/</w:t>
            </w:r>
          </w:p>
        </w:tc>
        <w:tc>
          <w:tcPr>
            <w:tcW w:w="1630" w:type="dxa"/>
            <w:vAlign w:val="center"/>
          </w:tcPr>
          <w:p>
            <w:pPr>
              <w:jc w:val="center"/>
              <w:rPr>
                <w:color w:val="auto"/>
                <w:szCs w:val="21"/>
              </w:rPr>
            </w:pPr>
            <w:r>
              <w:rPr>
                <w:rFonts w:hint="eastAsia"/>
                <w:color w:val="auto"/>
                <w:szCs w:val="21"/>
              </w:rPr>
              <w:t>/</w:t>
            </w:r>
          </w:p>
        </w:tc>
        <w:tc>
          <w:tcPr>
            <w:tcW w:w="1783" w:type="dxa"/>
            <w:vAlign w:val="center"/>
          </w:tcPr>
          <w:p>
            <w:pPr>
              <w:jc w:val="center"/>
              <w:rPr>
                <w:color w:val="auto"/>
                <w:szCs w:val="21"/>
              </w:rPr>
            </w:pPr>
            <w:r>
              <w:rPr>
                <w:rFonts w:hint="eastAsia"/>
                <w:color w:val="auto"/>
                <w:szCs w:val="21"/>
              </w:rPr>
              <w:t>0.04t/a</w:t>
            </w:r>
          </w:p>
        </w:tc>
        <w:tc>
          <w:tcPr>
            <w:tcW w:w="1717" w:type="dxa"/>
            <w:vAlign w:val="center"/>
          </w:tcPr>
          <w:p>
            <w:pPr>
              <w:jc w:val="center"/>
              <w:rPr>
                <w:color w:val="auto"/>
                <w:szCs w:val="21"/>
              </w:rPr>
            </w:pPr>
            <w:r>
              <w:rPr>
                <w:rFonts w:hint="eastAsia"/>
                <w:color w:val="auto"/>
                <w:szCs w:val="21"/>
              </w:rPr>
              <w:t>/</w:t>
            </w:r>
          </w:p>
        </w:tc>
        <w:tc>
          <w:tcPr>
            <w:tcW w:w="1600" w:type="dxa"/>
            <w:vAlign w:val="center"/>
          </w:tcPr>
          <w:p>
            <w:pPr>
              <w:jc w:val="center"/>
              <w:rPr>
                <w:color w:val="auto"/>
                <w:szCs w:val="21"/>
              </w:rPr>
            </w:pPr>
            <w:r>
              <w:rPr>
                <w:rFonts w:hint="eastAsia"/>
                <w:color w:val="auto"/>
                <w:szCs w:val="21"/>
              </w:rPr>
              <w:t>0.04t/a</w:t>
            </w:r>
          </w:p>
        </w:tc>
        <w:tc>
          <w:tcPr>
            <w:tcW w:w="1417" w:type="dxa"/>
            <w:vAlign w:val="center"/>
          </w:tcPr>
          <w:p>
            <w:pPr>
              <w:jc w:val="center"/>
              <w:rPr>
                <w:color w:val="auto"/>
                <w:szCs w:val="21"/>
              </w:rPr>
            </w:pPr>
            <w:r>
              <w:rPr>
                <w:rFonts w:hint="eastAsia"/>
                <w:color w:val="auto"/>
                <w:szCs w:val="21"/>
              </w:rPr>
              <w:t>+0.04t/a</w:t>
            </w:r>
          </w:p>
        </w:tc>
      </w:tr>
    </w:tbl>
    <w:p>
      <w:pPr>
        <w:rPr>
          <w:rFonts w:asciiTheme="minorEastAsia" w:hAnsiTheme="minorEastAsia" w:eastAsiaTheme="minorEastAsia"/>
          <w:color w:val="auto"/>
          <w:szCs w:val="21"/>
        </w:rPr>
      </w:pPr>
      <w:r>
        <w:rPr>
          <w:rFonts w:asciiTheme="minorEastAsia" w:hAnsiTheme="minorEastAsia" w:eastAsiaTheme="minorEastAsia"/>
          <w:color w:val="auto"/>
          <w:szCs w:val="21"/>
        </w:rPr>
        <w:t>注：</w:t>
      </w: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 6 \* GB3 \* MERGEFORMAT </w:instrText>
      </w:r>
      <w:r>
        <w:rPr>
          <w:rFonts w:asciiTheme="minorEastAsia" w:hAnsiTheme="minorEastAsia" w:eastAsiaTheme="minorEastAsia"/>
          <w:color w:val="auto"/>
          <w:szCs w:val="21"/>
        </w:rPr>
        <w:fldChar w:fldCharType="separate"/>
      </w:r>
      <w:r>
        <w:rPr>
          <w:rFonts w:asciiTheme="minorEastAsia" w:hAnsiTheme="minorEastAsia" w:eastAsiaTheme="minorEastAsia"/>
          <w:color w:val="auto"/>
          <w:szCs w:val="21"/>
        </w:rPr>
        <w:t>⑥</w:t>
      </w:r>
      <w:r>
        <w:rPr>
          <w:rFonts w:asciiTheme="minorEastAsia" w:hAnsiTheme="minorEastAsia" w:eastAsiaTheme="minorEastAsia"/>
          <w:color w:val="auto"/>
          <w:szCs w:val="21"/>
        </w:rPr>
        <w:fldChar w:fldCharType="end"/>
      </w:r>
      <w:r>
        <w:rPr>
          <w:rFonts w:asciiTheme="minorEastAsia" w:hAnsiTheme="minorEastAsia" w:eastAsiaTheme="minorEastAsia"/>
          <w:color w:val="auto"/>
          <w:szCs w:val="21"/>
        </w:rPr>
        <w:t>=</w:t>
      </w: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 1 \* GB3 \* MERGEFORMAT </w:instrText>
      </w:r>
      <w:r>
        <w:rPr>
          <w:rFonts w:asciiTheme="minorEastAsia" w:hAnsiTheme="minorEastAsia" w:eastAsiaTheme="minorEastAsia"/>
          <w:color w:val="auto"/>
          <w:szCs w:val="21"/>
        </w:rPr>
        <w:fldChar w:fldCharType="separate"/>
      </w:r>
      <w:r>
        <w:rPr>
          <w:rFonts w:asciiTheme="minorEastAsia" w:hAnsiTheme="minorEastAsia" w:eastAsiaTheme="minorEastAsia"/>
          <w:color w:val="auto"/>
          <w:szCs w:val="21"/>
        </w:rPr>
        <w:t>①</w:t>
      </w:r>
      <w:r>
        <w:rPr>
          <w:rFonts w:asciiTheme="minorEastAsia" w:hAnsiTheme="minorEastAsia" w:eastAsiaTheme="minorEastAsia"/>
          <w:color w:val="auto"/>
          <w:szCs w:val="21"/>
        </w:rPr>
        <w:fldChar w:fldCharType="end"/>
      </w:r>
      <w:r>
        <w:rPr>
          <w:rFonts w:asciiTheme="minorEastAsia" w:hAnsiTheme="minorEastAsia" w:eastAsiaTheme="minorEastAsia"/>
          <w:color w:val="auto"/>
          <w:szCs w:val="21"/>
        </w:rPr>
        <w:t>+</w:t>
      </w: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 3 \* GB3 \* MERGEFORMAT </w:instrText>
      </w:r>
      <w:r>
        <w:rPr>
          <w:rFonts w:asciiTheme="minorEastAsia" w:hAnsiTheme="minorEastAsia" w:eastAsiaTheme="minorEastAsia"/>
          <w:color w:val="auto"/>
          <w:szCs w:val="21"/>
        </w:rPr>
        <w:fldChar w:fldCharType="separate"/>
      </w:r>
      <w:r>
        <w:rPr>
          <w:rFonts w:asciiTheme="minorEastAsia" w:hAnsiTheme="minorEastAsia" w:eastAsiaTheme="minorEastAsia"/>
          <w:color w:val="auto"/>
          <w:szCs w:val="21"/>
        </w:rPr>
        <w:t>③</w:t>
      </w:r>
      <w:r>
        <w:rPr>
          <w:rFonts w:asciiTheme="minorEastAsia" w:hAnsiTheme="minorEastAsia" w:eastAsiaTheme="minorEastAsia"/>
          <w:color w:val="auto"/>
          <w:szCs w:val="21"/>
        </w:rPr>
        <w:fldChar w:fldCharType="end"/>
      </w:r>
      <w:r>
        <w:rPr>
          <w:rFonts w:asciiTheme="minorEastAsia" w:hAnsiTheme="minorEastAsia" w:eastAsiaTheme="minorEastAsia"/>
          <w:color w:val="auto"/>
          <w:szCs w:val="21"/>
        </w:rPr>
        <w:t>+</w:t>
      </w: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 4 \* GB3 \* MERGEFORMAT </w:instrText>
      </w:r>
      <w:r>
        <w:rPr>
          <w:rFonts w:asciiTheme="minorEastAsia" w:hAnsiTheme="minorEastAsia" w:eastAsiaTheme="minorEastAsia"/>
          <w:color w:val="auto"/>
          <w:szCs w:val="21"/>
        </w:rPr>
        <w:fldChar w:fldCharType="separate"/>
      </w:r>
      <w:r>
        <w:rPr>
          <w:rFonts w:asciiTheme="minorEastAsia" w:hAnsiTheme="minorEastAsia" w:eastAsiaTheme="minorEastAsia"/>
          <w:color w:val="auto"/>
          <w:szCs w:val="21"/>
        </w:rPr>
        <w:t>④</w:t>
      </w:r>
      <w:r>
        <w:rPr>
          <w:rFonts w:asciiTheme="minorEastAsia" w:hAnsiTheme="minorEastAsia" w:eastAsiaTheme="minorEastAsia"/>
          <w:color w:val="auto"/>
          <w:szCs w:val="21"/>
        </w:rPr>
        <w:fldChar w:fldCharType="end"/>
      </w:r>
      <w:r>
        <w:rPr>
          <w:rFonts w:asciiTheme="minorEastAsia" w:hAnsiTheme="minorEastAsia" w:eastAsiaTheme="minorEastAsia"/>
          <w:color w:val="auto"/>
          <w:szCs w:val="21"/>
        </w:rPr>
        <w:t>-</w:t>
      </w: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 5 \* GB3 \* MERGEFORMAT </w:instrText>
      </w:r>
      <w:r>
        <w:rPr>
          <w:rFonts w:asciiTheme="minorEastAsia" w:hAnsiTheme="minorEastAsia" w:eastAsiaTheme="minorEastAsia"/>
          <w:color w:val="auto"/>
          <w:szCs w:val="21"/>
        </w:rPr>
        <w:fldChar w:fldCharType="separate"/>
      </w:r>
      <w:r>
        <w:rPr>
          <w:rFonts w:asciiTheme="minorEastAsia" w:hAnsiTheme="minorEastAsia" w:eastAsiaTheme="minorEastAsia"/>
          <w:color w:val="auto"/>
          <w:szCs w:val="21"/>
        </w:rPr>
        <w:t>⑤</w:t>
      </w:r>
      <w:r>
        <w:rPr>
          <w:rFonts w:asciiTheme="minorEastAsia" w:hAnsiTheme="minorEastAsia" w:eastAsiaTheme="minorEastAsia"/>
          <w:color w:val="auto"/>
          <w:szCs w:val="21"/>
        </w:rPr>
        <w:fldChar w:fldCharType="end"/>
      </w:r>
      <w:r>
        <w:rPr>
          <w:rFonts w:asciiTheme="minorEastAsia" w:hAnsiTheme="minorEastAsia" w:eastAsiaTheme="minorEastAsia"/>
          <w:color w:val="auto"/>
          <w:szCs w:val="21"/>
        </w:rPr>
        <w:t>；</w:t>
      </w: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 7 \* GB3 \* MERGEFORMAT </w:instrText>
      </w:r>
      <w:r>
        <w:rPr>
          <w:rFonts w:asciiTheme="minorEastAsia" w:hAnsiTheme="minorEastAsia" w:eastAsiaTheme="minorEastAsia"/>
          <w:color w:val="auto"/>
          <w:szCs w:val="21"/>
        </w:rPr>
        <w:fldChar w:fldCharType="separate"/>
      </w:r>
      <w:r>
        <w:rPr>
          <w:rFonts w:asciiTheme="minorEastAsia" w:hAnsiTheme="minorEastAsia" w:eastAsiaTheme="minorEastAsia"/>
          <w:color w:val="auto"/>
          <w:szCs w:val="21"/>
        </w:rPr>
        <w:t>⑦</w:t>
      </w:r>
      <w:r>
        <w:rPr>
          <w:rFonts w:asciiTheme="minorEastAsia" w:hAnsiTheme="minorEastAsia" w:eastAsiaTheme="minorEastAsia"/>
          <w:color w:val="auto"/>
          <w:szCs w:val="21"/>
        </w:rPr>
        <w:fldChar w:fldCharType="end"/>
      </w:r>
      <w:r>
        <w:rPr>
          <w:rFonts w:asciiTheme="minorEastAsia" w:hAnsiTheme="minorEastAsia" w:eastAsiaTheme="minorEastAsia"/>
          <w:color w:val="auto"/>
          <w:szCs w:val="21"/>
        </w:rPr>
        <w:t>=</w:t>
      </w: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 6 \* GB3 \* MERGEFORMAT </w:instrText>
      </w:r>
      <w:r>
        <w:rPr>
          <w:rFonts w:asciiTheme="minorEastAsia" w:hAnsiTheme="minorEastAsia" w:eastAsiaTheme="minorEastAsia"/>
          <w:color w:val="auto"/>
          <w:szCs w:val="21"/>
        </w:rPr>
        <w:fldChar w:fldCharType="separate"/>
      </w:r>
      <w:r>
        <w:rPr>
          <w:rFonts w:asciiTheme="minorEastAsia" w:hAnsiTheme="minorEastAsia" w:eastAsiaTheme="minorEastAsia"/>
          <w:color w:val="auto"/>
          <w:szCs w:val="21"/>
        </w:rPr>
        <w:t>⑥</w:t>
      </w:r>
      <w:r>
        <w:rPr>
          <w:rFonts w:asciiTheme="minorEastAsia" w:hAnsiTheme="minorEastAsia" w:eastAsiaTheme="minorEastAsia"/>
          <w:color w:val="auto"/>
          <w:szCs w:val="21"/>
        </w:rPr>
        <w:fldChar w:fldCharType="end"/>
      </w:r>
      <w:r>
        <w:rPr>
          <w:rFonts w:asciiTheme="minorEastAsia" w:hAnsiTheme="minorEastAsia" w:eastAsiaTheme="minorEastAsia"/>
          <w:color w:val="auto"/>
          <w:szCs w:val="21"/>
        </w:rPr>
        <w:t>-</w:t>
      </w:r>
      <w:r>
        <w:rPr>
          <w:rFonts w:asciiTheme="minorEastAsia" w:hAnsiTheme="minorEastAsia" w:eastAsiaTheme="minorEastAsia"/>
          <w:color w:val="auto"/>
          <w:szCs w:val="21"/>
        </w:rPr>
        <w:fldChar w:fldCharType="begin"/>
      </w:r>
      <w:r>
        <w:rPr>
          <w:rFonts w:asciiTheme="minorEastAsia" w:hAnsiTheme="minorEastAsia" w:eastAsiaTheme="minorEastAsia"/>
          <w:color w:val="auto"/>
          <w:szCs w:val="21"/>
        </w:rPr>
        <w:instrText xml:space="preserve"> = 1 \* GB3 \* MERGEFORMAT </w:instrText>
      </w:r>
      <w:r>
        <w:rPr>
          <w:rFonts w:asciiTheme="minorEastAsia" w:hAnsiTheme="minorEastAsia" w:eastAsiaTheme="minorEastAsia"/>
          <w:color w:val="auto"/>
          <w:szCs w:val="21"/>
        </w:rPr>
        <w:fldChar w:fldCharType="separate"/>
      </w:r>
      <w:r>
        <w:rPr>
          <w:rFonts w:asciiTheme="minorEastAsia" w:hAnsiTheme="minorEastAsia" w:eastAsiaTheme="minorEastAsia"/>
          <w:color w:val="auto"/>
          <w:szCs w:val="21"/>
        </w:rPr>
        <w:t>①</w:t>
      </w:r>
      <w:r>
        <w:rPr>
          <w:rFonts w:asciiTheme="minorEastAsia" w:hAnsiTheme="minorEastAsia" w:eastAsiaTheme="minorEastAsia"/>
          <w:color w:val="auto"/>
          <w:szCs w:val="21"/>
        </w:rPr>
        <w:fldChar w:fldCharType="end"/>
      </w:r>
      <w:bookmarkEnd w:id="33"/>
      <w:bookmarkEnd w:id="34"/>
      <w:bookmarkEnd w:id="35"/>
    </w:p>
    <w:p>
      <w:pPr>
        <w:rPr>
          <w:color w:val="auto"/>
        </w:rPr>
        <w:sectPr>
          <w:footerReference r:id="rId6" w:type="default"/>
          <w:pgSz w:w="16838" w:h="11906" w:orient="landscape"/>
          <w:pgMar w:top="1531" w:right="1701" w:bottom="1531" w:left="1701" w:header="851" w:footer="851" w:gutter="0"/>
          <w:cols w:space="720" w:num="1"/>
          <w:docGrid w:linePitch="312" w:charSpace="0"/>
        </w:sectPr>
      </w:pPr>
    </w:p>
    <w:p>
      <w:pPr>
        <w:rPr>
          <w:color w:val="auto"/>
        </w:rPr>
      </w:pPr>
    </w:p>
    <w:sectPr>
      <w:footerReference r:id="rId7" w:type="default"/>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華康中楷體">
    <w:altName w:val="Microsoft JhengHei"/>
    <w:panose1 w:val="00000000000000000000"/>
    <w:charset w:val="88"/>
    <w:family w:val="roman"/>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Geneva">
    <w:altName w:val="Arial"/>
    <w:panose1 w:val="00000000000000000000"/>
    <w:charset w:val="00"/>
    <w:family w:val="swiss"/>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422"/>
        <w:tab w:val="clear" w:pos="4153"/>
      </w:tabs>
      <w:ind w:right="360"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9"/>
                          </w:pPr>
                          <w:r>
                            <w:fldChar w:fldCharType="begin"/>
                          </w:r>
                          <w:r>
                            <w:instrText xml:space="preserve"> PAGE  \* MERGEFORMAT </w:instrText>
                          </w:r>
                          <w:r>
                            <w:fldChar w:fldCharType="separate"/>
                          </w:r>
                          <w:r>
                            <w:t>72</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CuV6LTAQAAp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EGJZQYHfvrx/fTz9+nX&#10;N1ImeToPFWbde8yL/XvX49JMfkBnYt3LYNIX+RCMo7jHs7iij4SnR+Xy+vKKEo6h8rJcLq8SSvH0&#10;2AeId8IZkoyaBpxdlpQdPkIcUqeUVMu6W6V1np+2fzkQc/CIvADj68Rj6DdZsd/2I7mta47IrcMl&#10;qKnFnadEf7CocdqXyQiTsZ2MvQ9q12KjZe4S/Lt9xJZyp6nCAIsM0wWnl7mOm5bW4897znr6u9a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HCuV6LTAQAApQMAAA4AAAAAAAAAAQAgAAAAHwEA&#10;AGRycy9lMm9Eb2MueG1sUEsFBgAAAAAGAAYAWQEAAGQ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9"/>
                          </w:pPr>
                          <w:r>
                            <w:fldChar w:fldCharType="begin"/>
                          </w:r>
                          <w:r>
                            <w:instrText xml:space="preserve"> PAGE  \* MERGEFORMAT </w:instrText>
                          </w:r>
                          <w:r>
                            <w:fldChar w:fldCharType="separate"/>
                          </w:r>
                          <w:r>
                            <w:t>104</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v4/ovUAQAAp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EmJZQYHfvrx/fTz9+nX&#10;N7JI8nQeKsy695gX+/eux6WZ/IDOxLqXwaQv8iEYR3GPZ3FFHwlPj8rl9eUVJRxD5WW5XF4llOLp&#10;sQ8Q74QzJBk1DTi7LCk7fIQ4pE4pqZZ1t0rrPD9t/3Ig5uAReQHG14nH0G+yYr/tR3Jb1xyRW4dL&#10;UFOLO0+J/mBR47QvkxEmYzsZex/UrsVGy9wl+Hf7iC3lTlOFARYZpgtOL3MdNy2tx5/3nPX0d60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D7+P6L1AEAAKUDAAAOAAAAAAAAAAEAIAAAAB8B&#10;AABkcnMvZTJvRG9jLnhtbFBLBQYAAAAABgAGAFkBAABl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t xml:space="preserve">— </w:t>
                          </w:r>
                          <w:r>
                            <w:fldChar w:fldCharType="begin"/>
                          </w:r>
                          <w:r>
                            <w:instrText xml:space="preserve"> PAGE  \* MERGEFORMAT </w:instrText>
                          </w:r>
                          <w:r>
                            <w:fldChar w:fldCharType="separate"/>
                          </w:r>
                          <w:r>
                            <w:t>105</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pPr>
                      <w:pStyle w:val="19"/>
                    </w:pPr>
                    <w:r>
                      <w:t xml:space="preserve">— </w:t>
                    </w:r>
                    <w:r>
                      <w:fldChar w:fldCharType="begin"/>
                    </w:r>
                    <w:r>
                      <w:instrText xml:space="preserve"> PAGE  \* MERGEFORMAT </w:instrText>
                    </w:r>
                    <w:r>
                      <w:fldChar w:fldCharType="separate"/>
                    </w:r>
                    <w:r>
                      <w:t>105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92A9A"/>
    <w:multiLevelType w:val="singleLevel"/>
    <w:tmpl w:val="A7492A9A"/>
    <w:lvl w:ilvl="0" w:tentative="0">
      <w:start w:val="2"/>
      <w:numFmt w:val="decimal"/>
      <w:suff w:val="nothing"/>
      <w:lvlText w:val="%1、"/>
      <w:lvlJc w:val="left"/>
      <w:pPr>
        <w:ind w:left="86"/>
      </w:pPr>
    </w:lvl>
  </w:abstractNum>
  <w:abstractNum w:abstractNumId="1">
    <w:nsid w:val="07B4DE27"/>
    <w:multiLevelType w:val="singleLevel"/>
    <w:tmpl w:val="07B4DE27"/>
    <w:lvl w:ilvl="0" w:tentative="0">
      <w:start w:val="4"/>
      <w:numFmt w:val="chineseCounting"/>
      <w:suff w:val="nothing"/>
      <w:lvlText w:val="%1、"/>
      <w:lvlJc w:val="left"/>
      <w:rPr>
        <w:rFonts w:hint="eastAsia"/>
      </w:rPr>
    </w:lvl>
  </w:abstractNum>
  <w:abstractNum w:abstractNumId="2">
    <w:nsid w:val="16253587"/>
    <w:multiLevelType w:val="multilevel"/>
    <w:tmpl w:val="1625358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7"/>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45DB135F"/>
    <w:multiLevelType w:val="singleLevel"/>
    <w:tmpl w:val="45DB135F"/>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hideSpellingErrors/>
  <w:documentProtection w:edit="trackedChanges" w:enforcement="0"/>
  <w:defaultTabStop w:val="421"/>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WI5MTUzMWI3YWI3NzBiZTMyYzQ0M2MxYzYyMjMifQ=="/>
  </w:docVars>
  <w:rsids>
    <w:rsidRoot w:val="00172A27"/>
    <w:rsid w:val="000060B3"/>
    <w:rsid w:val="00007833"/>
    <w:rsid w:val="00014409"/>
    <w:rsid w:val="00015A28"/>
    <w:rsid w:val="00017B2B"/>
    <w:rsid w:val="0002201D"/>
    <w:rsid w:val="00025F3C"/>
    <w:rsid w:val="00026D90"/>
    <w:rsid w:val="00030EE1"/>
    <w:rsid w:val="00036F33"/>
    <w:rsid w:val="000373DB"/>
    <w:rsid w:val="00041D56"/>
    <w:rsid w:val="00042992"/>
    <w:rsid w:val="0004364B"/>
    <w:rsid w:val="00043D46"/>
    <w:rsid w:val="000474EB"/>
    <w:rsid w:val="00050B11"/>
    <w:rsid w:val="00051D6E"/>
    <w:rsid w:val="00052B14"/>
    <w:rsid w:val="00053DF2"/>
    <w:rsid w:val="00054CFE"/>
    <w:rsid w:val="00055D46"/>
    <w:rsid w:val="00060326"/>
    <w:rsid w:val="00061A58"/>
    <w:rsid w:val="00061B1F"/>
    <w:rsid w:val="00072333"/>
    <w:rsid w:val="00072FE2"/>
    <w:rsid w:val="000733C4"/>
    <w:rsid w:val="000735B4"/>
    <w:rsid w:val="00074783"/>
    <w:rsid w:val="00075315"/>
    <w:rsid w:val="00080347"/>
    <w:rsid w:val="0008070B"/>
    <w:rsid w:val="000810AC"/>
    <w:rsid w:val="00081A02"/>
    <w:rsid w:val="00082231"/>
    <w:rsid w:val="000841B2"/>
    <w:rsid w:val="00090DB3"/>
    <w:rsid w:val="00092D38"/>
    <w:rsid w:val="0009377B"/>
    <w:rsid w:val="00094A7E"/>
    <w:rsid w:val="00096026"/>
    <w:rsid w:val="000A0568"/>
    <w:rsid w:val="000A20C9"/>
    <w:rsid w:val="000A25EE"/>
    <w:rsid w:val="000B058F"/>
    <w:rsid w:val="000B1E8C"/>
    <w:rsid w:val="000B4467"/>
    <w:rsid w:val="000B4DB9"/>
    <w:rsid w:val="000B772D"/>
    <w:rsid w:val="000B79DB"/>
    <w:rsid w:val="000C02A5"/>
    <w:rsid w:val="000C0569"/>
    <w:rsid w:val="000C09AC"/>
    <w:rsid w:val="000C5D8F"/>
    <w:rsid w:val="000C767F"/>
    <w:rsid w:val="000D10CA"/>
    <w:rsid w:val="000D3127"/>
    <w:rsid w:val="000D4345"/>
    <w:rsid w:val="000D5A44"/>
    <w:rsid w:val="000E3404"/>
    <w:rsid w:val="000E3ED2"/>
    <w:rsid w:val="000E584E"/>
    <w:rsid w:val="000F799E"/>
    <w:rsid w:val="00102A25"/>
    <w:rsid w:val="001040BF"/>
    <w:rsid w:val="001066BB"/>
    <w:rsid w:val="0011681C"/>
    <w:rsid w:val="00116BE9"/>
    <w:rsid w:val="00120178"/>
    <w:rsid w:val="00122B2D"/>
    <w:rsid w:val="00123547"/>
    <w:rsid w:val="00126914"/>
    <w:rsid w:val="00127B96"/>
    <w:rsid w:val="001302C1"/>
    <w:rsid w:val="00131F42"/>
    <w:rsid w:val="001332F3"/>
    <w:rsid w:val="0013477C"/>
    <w:rsid w:val="0013510E"/>
    <w:rsid w:val="001357F1"/>
    <w:rsid w:val="00140FA8"/>
    <w:rsid w:val="00142FEB"/>
    <w:rsid w:val="00143A2D"/>
    <w:rsid w:val="00145A41"/>
    <w:rsid w:val="00151675"/>
    <w:rsid w:val="001546BA"/>
    <w:rsid w:val="00154A91"/>
    <w:rsid w:val="00154F78"/>
    <w:rsid w:val="00155A99"/>
    <w:rsid w:val="00157435"/>
    <w:rsid w:val="00160A47"/>
    <w:rsid w:val="00160DB3"/>
    <w:rsid w:val="00162DC2"/>
    <w:rsid w:val="00164B56"/>
    <w:rsid w:val="00171A2D"/>
    <w:rsid w:val="0017293B"/>
    <w:rsid w:val="00172A27"/>
    <w:rsid w:val="00173F72"/>
    <w:rsid w:val="0017504D"/>
    <w:rsid w:val="0017671A"/>
    <w:rsid w:val="00176EC0"/>
    <w:rsid w:val="00177422"/>
    <w:rsid w:val="00180131"/>
    <w:rsid w:val="0018252D"/>
    <w:rsid w:val="00184590"/>
    <w:rsid w:val="001870D1"/>
    <w:rsid w:val="0018728B"/>
    <w:rsid w:val="0018781E"/>
    <w:rsid w:val="001901CD"/>
    <w:rsid w:val="00191C0D"/>
    <w:rsid w:val="0019262D"/>
    <w:rsid w:val="001951B1"/>
    <w:rsid w:val="001963E6"/>
    <w:rsid w:val="001A1628"/>
    <w:rsid w:val="001A1B35"/>
    <w:rsid w:val="001A48A2"/>
    <w:rsid w:val="001A582D"/>
    <w:rsid w:val="001A62C0"/>
    <w:rsid w:val="001A6F61"/>
    <w:rsid w:val="001B1EFB"/>
    <w:rsid w:val="001B3E3D"/>
    <w:rsid w:val="001B5484"/>
    <w:rsid w:val="001B72B8"/>
    <w:rsid w:val="001C69B3"/>
    <w:rsid w:val="001C72AF"/>
    <w:rsid w:val="001C7EF0"/>
    <w:rsid w:val="001D0D97"/>
    <w:rsid w:val="001D50E5"/>
    <w:rsid w:val="001D5595"/>
    <w:rsid w:val="001D7874"/>
    <w:rsid w:val="001D7F22"/>
    <w:rsid w:val="001E2E10"/>
    <w:rsid w:val="001E4568"/>
    <w:rsid w:val="001E525A"/>
    <w:rsid w:val="001F0F17"/>
    <w:rsid w:val="001F27CB"/>
    <w:rsid w:val="001F3347"/>
    <w:rsid w:val="001F67C3"/>
    <w:rsid w:val="001F69E4"/>
    <w:rsid w:val="002007CE"/>
    <w:rsid w:val="002019D1"/>
    <w:rsid w:val="0020701C"/>
    <w:rsid w:val="002102DF"/>
    <w:rsid w:val="00210B46"/>
    <w:rsid w:val="002125B4"/>
    <w:rsid w:val="002138F2"/>
    <w:rsid w:val="00213AC0"/>
    <w:rsid w:val="002140C5"/>
    <w:rsid w:val="002145D9"/>
    <w:rsid w:val="002155B8"/>
    <w:rsid w:val="00216B24"/>
    <w:rsid w:val="00216E9D"/>
    <w:rsid w:val="00221379"/>
    <w:rsid w:val="00222C60"/>
    <w:rsid w:val="002231CD"/>
    <w:rsid w:val="00224839"/>
    <w:rsid w:val="002249B2"/>
    <w:rsid w:val="0022521E"/>
    <w:rsid w:val="00225347"/>
    <w:rsid w:val="00226574"/>
    <w:rsid w:val="00226B1D"/>
    <w:rsid w:val="002278EC"/>
    <w:rsid w:val="0023280E"/>
    <w:rsid w:val="002349C2"/>
    <w:rsid w:val="0023543B"/>
    <w:rsid w:val="00237750"/>
    <w:rsid w:val="002377D1"/>
    <w:rsid w:val="002414E1"/>
    <w:rsid w:val="00244531"/>
    <w:rsid w:val="002466DB"/>
    <w:rsid w:val="00246E3C"/>
    <w:rsid w:val="002506BC"/>
    <w:rsid w:val="00251089"/>
    <w:rsid w:val="00251E89"/>
    <w:rsid w:val="00251FEA"/>
    <w:rsid w:val="00253D77"/>
    <w:rsid w:val="00254345"/>
    <w:rsid w:val="00254D83"/>
    <w:rsid w:val="00256DBC"/>
    <w:rsid w:val="002570CF"/>
    <w:rsid w:val="002600A8"/>
    <w:rsid w:val="00264557"/>
    <w:rsid w:val="002646F0"/>
    <w:rsid w:val="002678FA"/>
    <w:rsid w:val="002711C8"/>
    <w:rsid w:val="00273546"/>
    <w:rsid w:val="002765F6"/>
    <w:rsid w:val="0027675F"/>
    <w:rsid w:val="002805AB"/>
    <w:rsid w:val="002811F9"/>
    <w:rsid w:val="00281EB7"/>
    <w:rsid w:val="00284204"/>
    <w:rsid w:val="0028639E"/>
    <w:rsid w:val="002877FC"/>
    <w:rsid w:val="00291690"/>
    <w:rsid w:val="00291773"/>
    <w:rsid w:val="002917A8"/>
    <w:rsid w:val="00296CDE"/>
    <w:rsid w:val="002A0094"/>
    <w:rsid w:val="002A168C"/>
    <w:rsid w:val="002A2723"/>
    <w:rsid w:val="002A3628"/>
    <w:rsid w:val="002A3DC7"/>
    <w:rsid w:val="002A5F05"/>
    <w:rsid w:val="002B127A"/>
    <w:rsid w:val="002B3E2C"/>
    <w:rsid w:val="002B49E2"/>
    <w:rsid w:val="002B7B00"/>
    <w:rsid w:val="002B7C44"/>
    <w:rsid w:val="002C13B2"/>
    <w:rsid w:val="002C1D63"/>
    <w:rsid w:val="002C263A"/>
    <w:rsid w:val="002C2B17"/>
    <w:rsid w:val="002D12D4"/>
    <w:rsid w:val="002D1C60"/>
    <w:rsid w:val="002D3DD0"/>
    <w:rsid w:val="002D3E9D"/>
    <w:rsid w:val="002D4E29"/>
    <w:rsid w:val="002D5440"/>
    <w:rsid w:val="002D780C"/>
    <w:rsid w:val="002D7E08"/>
    <w:rsid w:val="002E0E2D"/>
    <w:rsid w:val="002E184D"/>
    <w:rsid w:val="002E1F3A"/>
    <w:rsid w:val="002E20CC"/>
    <w:rsid w:val="002E298A"/>
    <w:rsid w:val="002E597B"/>
    <w:rsid w:val="002F6CB9"/>
    <w:rsid w:val="00301978"/>
    <w:rsid w:val="00302C95"/>
    <w:rsid w:val="0030332C"/>
    <w:rsid w:val="003051C2"/>
    <w:rsid w:val="003059C5"/>
    <w:rsid w:val="00311A62"/>
    <w:rsid w:val="00312296"/>
    <w:rsid w:val="00314F0E"/>
    <w:rsid w:val="00321D8E"/>
    <w:rsid w:val="00325351"/>
    <w:rsid w:val="0032568A"/>
    <w:rsid w:val="00325928"/>
    <w:rsid w:val="00331688"/>
    <w:rsid w:val="00332863"/>
    <w:rsid w:val="00333E5B"/>
    <w:rsid w:val="0033684D"/>
    <w:rsid w:val="00337904"/>
    <w:rsid w:val="00337B42"/>
    <w:rsid w:val="00341B42"/>
    <w:rsid w:val="00342E6E"/>
    <w:rsid w:val="00343095"/>
    <w:rsid w:val="0034348F"/>
    <w:rsid w:val="00345F81"/>
    <w:rsid w:val="003500D5"/>
    <w:rsid w:val="00350B03"/>
    <w:rsid w:val="00351BB4"/>
    <w:rsid w:val="003529A7"/>
    <w:rsid w:val="00352BD9"/>
    <w:rsid w:val="00356653"/>
    <w:rsid w:val="0035743F"/>
    <w:rsid w:val="00357899"/>
    <w:rsid w:val="00357BE2"/>
    <w:rsid w:val="0036170C"/>
    <w:rsid w:val="00362AF4"/>
    <w:rsid w:val="00363FC5"/>
    <w:rsid w:val="00365928"/>
    <w:rsid w:val="00366952"/>
    <w:rsid w:val="00366E0F"/>
    <w:rsid w:val="00366E1E"/>
    <w:rsid w:val="00367C60"/>
    <w:rsid w:val="00372348"/>
    <w:rsid w:val="00372B61"/>
    <w:rsid w:val="00372D0A"/>
    <w:rsid w:val="00372FC6"/>
    <w:rsid w:val="00375247"/>
    <w:rsid w:val="003819FA"/>
    <w:rsid w:val="00381A72"/>
    <w:rsid w:val="003839DB"/>
    <w:rsid w:val="00384676"/>
    <w:rsid w:val="0038572E"/>
    <w:rsid w:val="00387230"/>
    <w:rsid w:val="00390857"/>
    <w:rsid w:val="00392B32"/>
    <w:rsid w:val="00395D2D"/>
    <w:rsid w:val="003974E9"/>
    <w:rsid w:val="00397665"/>
    <w:rsid w:val="003A22DF"/>
    <w:rsid w:val="003A4BF3"/>
    <w:rsid w:val="003B420D"/>
    <w:rsid w:val="003C4D98"/>
    <w:rsid w:val="003C6C16"/>
    <w:rsid w:val="003D0AFB"/>
    <w:rsid w:val="003D4057"/>
    <w:rsid w:val="003D5DC5"/>
    <w:rsid w:val="003D794D"/>
    <w:rsid w:val="003E1A81"/>
    <w:rsid w:val="003E3058"/>
    <w:rsid w:val="003E76A9"/>
    <w:rsid w:val="003F05A2"/>
    <w:rsid w:val="003F0809"/>
    <w:rsid w:val="003F0AE3"/>
    <w:rsid w:val="003F0BA7"/>
    <w:rsid w:val="003F1541"/>
    <w:rsid w:val="003F2187"/>
    <w:rsid w:val="003F3D18"/>
    <w:rsid w:val="003F4317"/>
    <w:rsid w:val="003F472D"/>
    <w:rsid w:val="003F52F8"/>
    <w:rsid w:val="003F6A8C"/>
    <w:rsid w:val="003F755C"/>
    <w:rsid w:val="00400144"/>
    <w:rsid w:val="004030F3"/>
    <w:rsid w:val="00403807"/>
    <w:rsid w:val="00406F01"/>
    <w:rsid w:val="00413C6A"/>
    <w:rsid w:val="00414D02"/>
    <w:rsid w:val="00416794"/>
    <w:rsid w:val="00416D50"/>
    <w:rsid w:val="00416FD5"/>
    <w:rsid w:val="00417772"/>
    <w:rsid w:val="0042009F"/>
    <w:rsid w:val="0042093D"/>
    <w:rsid w:val="00420E6A"/>
    <w:rsid w:val="00421DB2"/>
    <w:rsid w:val="00422B64"/>
    <w:rsid w:val="00425A9E"/>
    <w:rsid w:val="00426D6B"/>
    <w:rsid w:val="004302D4"/>
    <w:rsid w:val="00431E6C"/>
    <w:rsid w:val="00433CE7"/>
    <w:rsid w:val="004351A6"/>
    <w:rsid w:val="00435322"/>
    <w:rsid w:val="00436165"/>
    <w:rsid w:val="0043732A"/>
    <w:rsid w:val="00437CA8"/>
    <w:rsid w:val="0044701D"/>
    <w:rsid w:val="00452738"/>
    <w:rsid w:val="00453B65"/>
    <w:rsid w:val="00456091"/>
    <w:rsid w:val="00462CBC"/>
    <w:rsid w:val="00466321"/>
    <w:rsid w:val="0047277E"/>
    <w:rsid w:val="00472EA0"/>
    <w:rsid w:val="004747B7"/>
    <w:rsid w:val="00477204"/>
    <w:rsid w:val="0048113B"/>
    <w:rsid w:val="004830DC"/>
    <w:rsid w:val="00484293"/>
    <w:rsid w:val="00484B9B"/>
    <w:rsid w:val="004855F6"/>
    <w:rsid w:val="0048661E"/>
    <w:rsid w:val="00486E7A"/>
    <w:rsid w:val="00490497"/>
    <w:rsid w:val="004910A9"/>
    <w:rsid w:val="0049351E"/>
    <w:rsid w:val="00494468"/>
    <w:rsid w:val="00494670"/>
    <w:rsid w:val="004A22DB"/>
    <w:rsid w:val="004A3823"/>
    <w:rsid w:val="004A434D"/>
    <w:rsid w:val="004B2A97"/>
    <w:rsid w:val="004B50C6"/>
    <w:rsid w:val="004B7A8C"/>
    <w:rsid w:val="004C15EC"/>
    <w:rsid w:val="004C2093"/>
    <w:rsid w:val="004C7CCA"/>
    <w:rsid w:val="004D5A22"/>
    <w:rsid w:val="004D60AF"/>
    <w:rsid w:val="004D6132"/>
    <w:rsid w:val="004E4D16"/>
    <w:rsid w:val="004E6303"/>
    <w:rsid w:val="004E6946"/>
    <w:rsid w:val="004F1AD8"/>
    <w:rsid w:val="004F633B"/>
    <w:rsid w:val="00501529"/>
    <w:rsid w:val="00501B03"/>
    <w:rsid w:val="00501BD6"/>
    <w:rsid w:val="005039CB"/>
    <w:rsid w:val="0050558F"/>
    <w:rsid w:val="0050561A"/>
    <w:rsid w:val="00506286"/>
    <w:rsid w:val="00507A2E"/>
    <w:rsid w:val="0051010C"/>
    <w:rsid w:val="00510813"/>
    <w:rsid w:val="00511990"/>
    <w:rsid w:val="00511DE0"/>
    <w:rsid w:val="00512B1D"/>
    <w:rsid w:val="00514870"/>
    <w:rsid w:val="00514B9B"/>
    <w:rsid w:val="00516289"/>
    <w:rsid w:val="00517D5F"/>
    <w:rsid w:val="00517F02"/>
    <w:rsid w:val="0052085A"/>
    <w:rsid w:val="005220E6"/>
    <w:rsid w:val="005239AF"/>
    <w:rsid w:val="00523D73"/>
    <w:rsid w:val="00524303"/>
    <w:rsid w:val="005258A2"/>
    <w:rsid w:val="00526ADB"/>
    <w:rsid w:val="00530A5D"/>
    <w:rsid w:val="00530C8C"/>
    <w:rsid w:val="00531B18"/>
    <w:rsid w:val="00532FC9"/>
    <w:rsid w:val="00534EC0"/>
    <w:rsid w:val="0053799D"/>
    <w:rsid w:val="00540092"/>
    <w:rsid w:val="005401AE"/>
    <w:rsid w:val="00542E07"/>
    <w:rsid w:val="00543AC7"/>
    <w:rsid w:val="00545424"/>
    <w:rsid w:val="00552877"/>
    <w:rsid w:val="00554A7B"/>
    <w:rsid w:val="0055572C"/>
    <w:rsid w:val="0056106A"/>
    <w:rsid w:val="0056159C"/>
    <w:rsid w:val="00561FBA"/>
    <w:rsid w:val="00564416"/>
    <w:rsid w:val="00564A18"/>
    <w:rsid w:val="005720AE"/>
    <w:rsid w:val="005727B4"/>
    <w:rsid w:val="00572A7E"/>
    <w:rsid w:val="005741B8"/>
    <w:rsid w:val="005771A9"/>
    <w:rsid w:val="0058295B"/>
    <w:rsid w:val="00582D8B"/>
    <w:rsid w:val="00583FCB"/>
    <w:rsid w:val="005908FE"/>
    <w:rsid w:val="005929CA"/>
    <w:rsid w:val="005947BC"/>
    <w:rsid w:val="00594D77"/>
    <w:rsid w:val="00596805"/>
    <w:rsid w:val="005969E4"/>
    <w:rsid w:val="005A06B7"/>
    <w:rsid w:val="005A1759"/>
    <w:rsid w:val="005A28F5"/>
    <w:rsid w:val="005A3786"/>
    <w:rsid w:val="005A5757"/>
    <w:rsid w:val="005A68A7"/>
    <w:rsid w:val="005B1ACB"/>
    <w:rsid w:val="005B44A8"/>
    <w:rsid w:val="005C0511"/>
    <w:rsid w:val="005C17C2"/>
    <w:rsid w:val="005C1E28"/>
    <w:rsid w:val="005C5B78"/>
    <w:rsid w:val="005D31D0"/>
    <w:rsid w:val="005D36AB"/>
    <w:rsid w:val="005D4411"/>
    <w:rsid w:val="005D7C89"/>
    <w:rsid w:val="005D7E33"/>
    <w:rsid w:val="005E1143"/>
    <w:rsid w:val="005E1C07"/>
    <w:rsid w:val="005E25A9"/>
    <w:rsid w:val="005E2CDB"/>
    <w:rsid w:val="005E4DA6"/>
    <w:rsid w:val="005E520B"/>
    <w:rsid w:val="005E5413"/>
    <w:rsid w:val="005E558E"/>
    <w:rsid w:val="005F08DE"/>
    <w:rsid w:val="00600A5C"/>
    <w:rsid w:val="00600C6D"/>
    <w:rsid w:val="00601EB6"/>
    <w:rsid w:val="00602AA7"/>
    <w:rsid w:val="00605AAF"/>
    <w:rsid w:val="00616F52"/>
    <w:rsid w:val="00617CC3"/>
    <w:rsid w:val="00617EEB"/>
    <w:rsid w:val="00620004"/>
    <w:rsid w:val="006230C0"/>
    <w:rsid w:val="00624280"/>
    <w:rsid w:val="00624A92"/>
    <w:rsid w:val="006325D8"/>
    <w:rsid w:val="006377A6"/>
    <w:rsid w:val="00637A3D"/>
    <w:rsid w:val="006411EF"/>
    <w:rsid w:val="0064392C"/>
    <w:rsid w:val="00643B51"/>
    <w:rsid w:val="00644935"/>
    <w:rsid w:val="00645740"/>
    <w:rsid w:val="0064614B"/>
    <w:rsid w:val="0065051E"/>
    <w:rsid w:val="006518CB"/>
    <w:rsid w:val="00657516"/>
    <w:rsid w:val="006604FB"/>
    <w:rsid w:val="00660A19"/>
    <w:rsid w:val="006702DF"/>
    <w:rsid w:val="0067271D"/>
    <w:rsid w:val="00673986"/>
    <w:rsid w:val="006748B8"/>
    <w:rsid w:val="006758FD"/>
    <w:rsid w:val="006775C3"/>
    <w:rsid w:val="00685588"/>
    <w:rsid w:val="00690BA2"/>
    <w:rsid w:val="00691F71"/>
    <w:rsid w:val="006924AC"/>
    <w:rsid w:val="00692757"/>
    <w:rsid w:val="0069290A"/>
    <w:rsid w:val="0069775A"/>
    <w:rsid w:val="00697813"/>
    <w:rsid w:val="0069792B"/>
    <w:rsid w:val="006A3EE8"/>
    <w:rsid w:val="006A58D5"/>
    <w:rsid w:val="006A72BF"/>
    <w:rsid w:val="006A7DAA"/>
    <w:rsid w:val="006B03F2"/>
    <w:rsid w:val="006B1E07"/>
    <w:rsid w:val="006B20CD"/>
    <w:rsid w:val="006B2D0E"/>
    <w:rsid w:val="006B37DC"/>
    <w:rsid w:val="006B4F68"/>
    <w:rsid w:val="006B6A68"/>
    <w:rsid w:val="006C0592"/>
    <w:rsid w:val="006C1189"/>
    <w:rsid w:val="006C126C"/>
    <w:rsid w:val="006C272E"/>
    <w:rsid w:val="006C43A8"/>
    <w:rsid w:val="006C5479"/>
    <w:rsid w:val="006C56C7"/>
    <w:rsid w:val="006D13B5"/>
    <w:rsid w:val="006D223F"/>
    <w:rsid w:val="006D5594"/>
    <w:rsid w:val="006E12FF"/>
    <w:rsid w:val="006E2099"/>
    <w:rsid w:val="006E304E"/>
    <w:rsid w:val="006E607E"/>
    <w:rsid w:val="006F3B40"/>
    <w:rsid w:val="006F4EE3"/>
    <w:rsid w:val="007033D6"/>
    <w:rsid w:val="00706C5D"/>
    <w:rsid w:val="00707C1A"/>
    <w:rsid w:val="00710F57"/>
    <w:rsid w:val="00712CCF"/>
    <w:rsid w:val="007175FE"/>
    <w:rsid w:val="00721581"/>
    <w:rsid w:val="00721F42"/>
    <w:rsid w:val="00723146"/>
    <w:rsid w:val="007269BA"/>
    <w:rsid w:val="007272BF"/>
    <w:rsid w:val="00731581"/>
    <w:rsid w:val="00732922"/>
    <w:rsid w:val="00732F1A"/>
    <w:rsid w:val="00734491"/>
    <w:rsid w:val="007407EE"/>
    <w:rsid w:val="007429FB"/>
    <w:rsid w:val="00744CC0"/>
    <w:rsid w:val="00746724"/>
    <w:rsid w:val="007512F8"/>
    <w:rsid w:val="0075162E"/>
    <w:rsid w:val="00754034"/>
    <w:rsid w:val="00756556"/>
    <w:rsid w:val="007569B9"/>
    <w:rsid w:val="007618C4"/>
    <w:rsid w:val="00763CF5"/>
    <w:rsid w:val="007645A6"/>
    <w:rsid w:val="00767980"/>
    <w:rsid w:val="00770B19"/>
    <w:rsid w:val="00771A2B"/>
    <w:rsid w:val="00771F7B"/>
    <w:rsid w:val="0077463F"/>
    <w:rsid w:val="007748F4"/>
    <w:rsid w:val="007761C8"/>
    <w:rsid w:val="007803F4"/>
    <w:rsid w:val="007816ED"/>
    <w:rsid w:val="007836EA"/>
    <w:rsid w:val="00784CDA"/>
    <w:rsid w:val="00787AE4"/>
    <w:rsid w:val="007906C4"/>
    <w:rsid w:val="0079380C"/>
    <w:rsid w:val="007940EA"/>
    <w:rsid w:val="0079420D"/>
    <w:rsid w:val="00794417"/>
    <w:rsid w:val="007967E8"/>
    <w:rsid w:val="007A2170"/>
    <w:rsid w:val="007A22BF"/>
    <w:rsid w:val="007A2728"/>
    <w:rsid w:val="007A3323"/>
    <w:rsid w:val="007A4033"/>
    <w:rsid w:val="007A67AA"/>
    <w:rsid w:val="007B2379"/>
    <w:rsid w:val="007B3FB4"/>
    <w:rsid w:val="007B72B8"/>
    <w:rsid w:val="007B740E"/>
    <w:rsid w:val="007B7A58"/>
    <w:rsid w:val="007C091A"/>
    <w:rsid w:val="007C0BF3"/>
    <w:rsid w:val="007C21B5"/>
    <w:rsid w:val="007C5921"/>
    <w:rsid w:val="007D09CA"/>
    <w:rsid w:val="007D1B79"/>
    <w:rsid w:val="007D29CD"/>
    <w:rsid w:val="007D7A76"/>
    <w:rsid w:val="007E1450"/>
    <w:rsid w:val="007E4BD2"/>
    <w:rsid w:val="007E63EB"/>
    <w:rsid w:val="007E65E4"/>
    <w:rsid w:val="007E6F08"/>
    <w:rsid w:val="007F2E53"/>
    <w:rsid w:val="007F3501"/>
    <w:rsid w:val="007F4DA7"/>
    <w:rsid w:val="007F5EF9"/>
    <w:rsid w:val="007F7FE0"/>
    <w:rsid w:val="008006D3"/>
    <w:rsid w:val="00801393"/>
    <w:rsid w:val="00801BD9"/>
    <w:rsid w:val="00802F88"/>
    <w:rsid w:val="0080348D"/>
    <w:rsid w:val="00806188"/>
    <w:rsid w:val="00806D49"/>
    <w:rsid w:val="00807AA0"/>
    <w:rsid w:val="0081293E"/>
    <w:rsid w:val="00815465"/>
    <w:rsid w:val="00815980"/>
    <w:rsid w:val="00817E9A"/>
    <w:rsid w:val="00817F93"/>
    <w:rsid w:val="00821C0A"/>
    <w:rsid w:val="00822A2F"/>
    <w:rsid w:val="00827D11"/>
    <w:rsid w:val="008306BD"/>
    <w:rsid w:val="00831A80"/>
    <w:rsid w:val="00833743"/>
    <w:rsid w:val="008340A4"/>
    <w:rsid w:val="00843685"/>
    <w:rsid w:val="00846138"/>
    <w:rsid w:val="00850227"/>
    <w:rsid w:val="008516FE"/>
    <w:rsid w:val="00852999"/>
    <w:rsid w:val="00860EA8"/>
    <w:rsid w:val="0086106E"/>
    <w:rsid w:val="00865C7F"/>
    <w:rsid w:val="00867F3A"/>
    <w:rsid w:val="00870547"/>
    <w:rsid w:val="0087135F"/>
    <w:rsid w:val="00872D94"/>
    <w:rsid w:val="008742EA"/>
    <w:rsid w:val="00875A79"/>
    <w:rsid w:val="00880364"/>
    <w:rsid w:val="0088146D"/>
    <w:rsid w:val="00881606"/>
    <w:rsid w:val="00885A27"/>
    <w:rsid w:val="00885B4D"/>
    <w:rsid w:val="008868F9"/>
    <w:rsid w:val="00891592"/>
    <w:rsid w:val="00891E9E"/>
    <w:rsid w:val="00894793"/>
    <w:rsid w:val="008978B5"/>
    <w:rsid w:val="008A2F68"/>
    <w:rsid w:val="008B06B4"/>
    <w:rsid w:val="008B4FA6"/>
    <w:rsid w:val="008B5282"/>
    <w:rsid w:val="008B5C73"/>
    <w:rsid w:val="008B6DC7"/>
    <w:rsid w:val="008B6E15"/>
    <w:rsid w:val="008B700D"/>
    <w:rsid w:val="008B79C7"/>
    <w:rsid w:val="008B7C17"/>
    <w:rsid w:val="008C2D01"/>
    <w:rsid w:val="008C2EB5"/>
    <w:rsid w:val="008C40E6"/>
    <w:rsid w:val="008C7770"/>
    <w:rsid w:val="008D0F7A"/>
    <w:rsid w:val="008D28ED"/>
    <w:rsid w:val="008D3A54"/>
    <w:rsid w:val="008D68E4"/>
    <w:rsid w:val="008E0506"/>
    <w:rsid w:val="008E0CFF"/>
    <w:rsid w:val="008E39A3"/>
    <w:rsid w:val="008E5D6B"/>
    <w:rsid w:val="008E76F0"/>
    <w:rsid w:val="008F15FE"/>
    <w:rsid w:val="008F2D29"/>
    <w:rsid w:val="008F43E3"/>
    <w:rsid w:val="008F5187"/>
    <w:rsid w:val="008F60D8"/>
    <w:rsid w:val="00902727"/>
    <w:rsid w:val="0090312B"/>
    <w:rsid w:val="0090385F"/>
    <w:rsid w:val="00904D8E"/>
    <w:rsid w:val="00906D65"/>
    <w:rsid w:val="0091088A"/>
    <w:rsid w:val="00914757"/>
    <w:rsid w:val="0091736D"/>
    <w:rsid w:val="0092326D"/>
    <w:rsid w:val="00923467"/>
    <w:rsid w:val="00924639"/>
    <w:rsid w:val="00924E59"/>
    <w:rsid w:val="009255B5"/>
    <w:rsid w:val="0093007E"/>
    <w:rsid w:val="0093037A"/>
    <w:rsid w:val="00931884"/>
    <w:rsid w:val="00935D8E"/>
    <w:rsid w:val="0094154D"/>
    <w:rsid w:val="009417AF"/>
    <w:rsid w:val="0094469C"/>
    <w:rsid w:val="00945A36"/>
    <w:rsid w:val="00947BA9"/>
    <w:rsid w:val="009501F3"/>
    <w:rsid w:val="0095155F"/>
    <w:rsid w:val="00952D42"/>
    <w:rsid w:val="00953D28"/>
    <w:rsid w:val="00954429"/>
    <w:rsid w:val="00954C06"/>
    <w:rsid w:val="0095560A"/>
    <w:rsid w:val="009563CE"/>
    <w:rsid w:val="00957712"/>
    <w:rsid w:val="009623E8"/>
    <w:rsid w:val="009657EF"/>
    <w:rsid w:val="00965B37"/>
    <w:rsid w:val="00966468"/>
    <w:rsid w:val="0096697E"/>
    <w:rsid w:val="009672C3"/>
    <w:rsid w:val="00972693"/>
    <w:rsid w:val="00976328"/>
    <w:rsid w:val="0097680D"/>
    <w:rsid w:val="00980A80"/>
    <w:rsid w:val="00982438"/>
    <w:rsid w:val="00983E83"/>
    <w:rsid w:val="0098404C"/>
    <w:rsid w:val="00985283"/>
    <w:rsid w:val="009868C1"/>
    <w:rsid w:val="0099042D"/>
    <w:rsid w:val="0099055F"/>
    <w:rsid w:val="009919F6"/>
    <w:rsid w:val="00993F0C"/>
    <w:rsid w:val="009947C6"/>
    <w:rsid w:val="00995992"/>
    <w:rsid w:val="009964D5"/>
    <w:rsid w:val="009A03E5"/>
    <w:rsid w:val="009A073D"/>
    <w:rsid w:val="009A0CE6"/>
    <w:rsid w:val="009A0F3B"/>
    <w:rsid w:val="009A1BB4"/>
    <w:rsid w:val="009A2628"/>
    <w:rsid w:val="009A3200"/>
    <w:rsid w:val="009A613D"/>
    <w:rsid w:val="009A784F"/>
    <w:rsid w:val="009A7BFA"/>
    <w:rsid w:val="009B0897"/>
    <w:rsid w:val="009B5127"/>
    <w:rsid w:val="009B5C1D"/>
    <w:rsid w:val="009B6D85"/>
    <w:rsid w:val="009B7468"/>
    <w:rsid w:val="009B7BD9"/>
    <w:rsid w:val="009C0F8E"/>
    <w:rsid w:val="009C1BB2"/>
    <w:rsid w:val="009C2DDC"/>
    <w:rsid w:val="009C3DD8"/>
    <w:rsid w:val="009C4CE5"/>
    <w:rsid w:val="009C7DD5"/>
    <w:rsid w:val="009D5E0A"/>
    <w:rsid w:val="009D6E18"/>
    <w:rsid w:val="009E0540"/>
    <w:rsid w:val="009E227D"/>
    <w:rsid w:val="009E2EB5"/>
    <w:rsid w:val="009E5019"/>
    <w:rsid w:val="009F0A8E"/>
    <w:rsid w:val="009F1D9E"/>
    <w:rsid w:val="00A03943"/>
    <w:rsid w:val="00A0407F"/>
    <w:rsid w:val="00A04235"/>
    <w:rsid w:val="00A04F1B"/>
    <w:rsid w:val="00A0501B"/>
    <w:rsid w:val="00A142A2"/>
    <w:rsid w:val="00A14947"/>
    <w:rsid w:val="00A151E0"/>
    <w:rsid w:val="00A155A2"/>
    <w:rsid w:val="00A16EA4"/>
    <w:rsid w:val="00A171DE"/>
    <w:rsid w:val="00A3212F"/>
    <w:rsid w:val="00A32A83"/>
    <w:rsid w:val="00A33DB7"/>
    <w:rsid w:val="00A368DB"/>
    <w:rsid w:val="00A423AA"/>
    <w:rsid w:val="00A44158"/>
    <w:rsid w:val="00A45BB2"/>
    <w:rsid w:val="00A47980"/>
    <w:rsid w:val="00A517E5"/>
    <w:rsid w:val="00A53EC6"/>
    <w:rsid w:val="00A545FC"/>
    <w:rsid w:val="00A54C05"/>
    <w:rsid w:val="00A55C0F"/>
    <w:rsid w:val="00A578AE"/>
    <w:rsid w:val="00A6311C"/>
    <w:rsid w:val="00A66124"/>
    <w:rsid w:val="00A66CD7"/>
    <w:rsid w:val="00A71FAD"/>
    <w:rsid w:val="00A72DDF"/>
    <w:rsid w:val="00A801C8"/>
    <w:rsid w:val="00A80368"/>
    <w:rsid w:val="00A80F85"/>
    <w:rsid w:val="00A81C41"/>
    <w:rsid w:val="00A858F5"/>
    <w:rsid w:val="00A8713F"/>
    <w:rsid w:val="00A90BA1"/>
    <w:rsid w:val="00A9522E"/>
    <w:rsid w:val="00A9584D"/>
    <w:rsid w:val="00A97A9A"/>
    <w:rsid w:val="00AA0671"/>
    <w:rsid w:val="00AA2531"/>
    <w:rsid w:val="00AA5C36"/>
    <w:rsid w:val="00AA61FD"/>
    <w:rsid w:val="00AA67DA"/>
    <w:rsid w:val="00AB1934"/>
    <w:rsid w:val="00AB1E09"/>
    <w:rsid w:val="00AB2261"/>
    <w:rsid w:val="00AB3969"/>
    <w:rsid w:val="00AB5330"/>
    <w:rsid w:val="00AB6FC1"/>
    <w:rsid w:val="00AB7747"/>
    <w:rsid w:val="00AB7759"/>
    <w:rsid w:val="00AC14CE"/>
    <w:rsid w:val="00AC2A56"/>
    <w:rsid w:val="00AC2F6E"/>
    <w:rsid w:val="00AC5B08"/>
    <w:rsid w:val="00AD055E"/>
    <w:rsid w:val="00AD47A7"/>
    <w:rsid w:val="00AD4999"/>
    <w:rsid w:val="00AD55B9"/>
    <w:rsid w:val="00AD5A2D"/>
    <w:rsid w:val="00AD60A7"/>
    <w:rsid w:val="00AE0180"/>
    <w:rsid w:val="00AE0E95"/>
    <w:rsid w:val="00AE0F27"/>
    <w:rsid w:val="00AE19C8"/>
    <w:rsid w:val="00AE55F4"/>
    <w:rsid w:val="00AE7163"/>
    <w:rsid w:val="00AF0CBF"/>
    <w:rsid w:val="00AF257F"/>
    <w:rsid w:val="00AF33CF"/>
    <w:rsid w:val="00AF4D50"/>
    <w:rsid w:val="00AF5C43"/>
    <w:rsid w:val="00AF6179"/>
    <w:rsid w:val="00B0357B"/>
    <w:rsid w:val="00B03C94"/>
    <w:rsid w:val="00B07EB3"/>
    <w:rsid w:val="00B10114"/>
    <w:rsid w:val="00B123CA"/>
    <w:rsid w:val="00B1295A"/>
    <w:rsid w:val="00B13E4F"/>
    <w:rsid w:val="00B208AD"/>
    <w:rsid w:val="00B20A45"/>
    <w:rsid w:val="00B221A2"/>
    <w:rsid w:val="00B22C5C"/>
    <w:rsid w:val="00B23C07"/>
    <w:rsid w:val="00B24F30"/>
    <w:rsid w:val="00B2738D"/>
    <w:rsid w:val="00B31ABF"/>
    <w:rsid w:val="00B33BE3"/>
    <w:rsid w:val="00B342FC"/>
    <w:rsid w:val="00B3627D"/>
    <w:rsid w:val="00B3666A"/>
    <w:rsid w:val="00B36A28"/>
    <w:rsid w:val="00B37389"/>
    <w:rsid w:val="00B47603"/>
    <w:rsid w:val="00B523C6"/>
    <w:rsid w:val="00B53B5D"/>
    <w:rsid w:val="00B55992"/>
    <w:rsid w:val="00B5608E"/>
    <w:rsid w:val="00B6055E"/>
    <w:rsid w:val="00B611A6"/>
    <w:rsid w:val="00B615EF"/>
    <w:rsid w:val="00B6317D"/>
    <w:rsid w:val="00B66166"/>
    <w:rsid w:val="00B66E1A"/>
    <w:rsid w:val="00B67EB5"/>
    <w:rsid w:val="00B7532D"/>
    <w:rsid w:val="00B75C21"/>
    <w:rsid w:val="00B7723F"/>
    <w:rsid w:val="00B7748C"/>
    <w:rsid w:val="00B80534"/>
    <w:rsid w:val="00B80B85"/>
    <w:rsid w:val="00B8433C"/>
    <w:rsid w:val="00B87491"/>
    <w:rsid w:val="00B93B8E"/>
    <w:rsid w:val="00B93F4E"/>
    <w:rsid w:val="00BA0B2E"/>
    <w:rsid w:val="00BA29E9"/>
    <w:rsid w:val="00BA3644"/>
    <w:rsid w:val="00BA48A6"/>
    <w:rsid w:val="00BA616D"/>
    <w:rsid w:val="00BA7142"/>
    <w:rsid w:val="00BB18E1"/>
    <w:rsid w:val="00BB237C"/>
    <w:rsid w:val="00BB41A3"/>
    <w:rsid w:val="00BB6AC3"/>
    <w:rsid w:val="00BB6F33"/>
    <w:rsid w:val="00BC004F"/>
    <w:rsid w:val="00BC2EAE"/>
    <w:rsid w:val="00BC32DC"/>
    <w:rsid w:val="00BC35B6"/>
    <w:rsid w:val="00BC3628"/>
    <w:rsid w:val="00BC3EAE"/>
    <w:rsid w:val="00BC4F38"/>
    <w:rsid w:val="00BC5C6E"/>
    <w:rsid w:val="00BD15BE"/>
    <w:rsid w:val="00BD1B51"/>
    <w:rsid w:val="00BD2BB4"/>
    <w:rsid w:val="00BD4596"/>
    <w:rsid w:val="00BD7038"/>
    <w:rsid w:val="00BE021A"/>
    <w:rsid w:val="00BE06AB"/>
    <w:rsid w:val="00BE1405"/>
    <w:rsid w:val="00BE1FDB"/>
    <w:rsid w:val="00BE277A"/>
    <w:rsid w:val="00BE312D"/>
    <w:rsid w:val="00BE3991"/>
    <w:rsid w:val="00BE3C06"/>
    <w:rsid w:val="00BF18ED"/>
    <w:rsid w:val="00BF1C20"/>
    <w:rsid w:val="00C0279D"/>
    <w:rsid w:val="00C10578"/>
    <w:rsid w:val="00C135BC"/>
    <w:rsid w:val="00C154AF"/>
    <w:rsid w:val="00C15C95"/>
    <w:rsid w:val="00C17BB0"/>
    <w:rsid w:val="00C20629"/>
    <w:rsid w:val="00C226CE"/>
    <w:rsid w:val="00C23B4A"/>
    <w:rsid w:val="00C2596A"/>
    <w:rsid w:val="00C27537"/>
    <w:rsid w:val="00C30B84"/>
    <w:rsid w:val="00C32082"/>
    <w:rsid w:val="00C328FE"/>
    <w:rsid w:val="00C33507"/>
    <w:rsid w:val="00C33554"/>
    <w:rsid w:val="00C4409D"/>
    <w:rsid w:val="00C44E72"/>
    <w:rsid w:val="00C450D2"/>
    <w:rsid w:val="00C45A06"/>
    <w:rsid w:val="00C47E5B"/>
    <w:rsid w:val="00C516B2"/>
    <w:rsid w:val="00C53E5B"/>
    <w:rsid w:val="00C61E4B"/>
    <w:rsid w:val="00C61F24"/>
    <w:rsid w:val="00C632AA"/>
    <w:rsid w:val="00C64A0F"/>
    <w:rsid w:val="00C64BFF"/>
    <w:rsid w:val="00C704E9"/>
    <w:rsid w:val="00C75FC3"/>
    <w:rsid w:val="00C763C9"/>
    <w:rsid w:val="00C80057"/>
    <w:rsid w:val="00C805CE"/>
    <w:rsid w:val="00C82232"/>
    <w:rsid w:val="00C82913"/>
    <w:rsid w:val="00C87D04"/>
    <w:rsid w:val="00C9229B"/>
    <w:rsid w:val="00C948C9"/>
    <w:rsid w:val="00C94D9E"/>
    <w:rsid w:val="00C972B1"/>
    <w:rsid w:val="00C9770F"/>
    <w:rsid w:val="00CA0D5F"/>
    <w:rsid w:val="00CA2CCE"/>
    <w:rsid w:val="00CA43F5"/>
    <w:rsid w:val="00CA43FD"/>
    <w:rsid w:val="00CA4DF7"/>
    <w:rsid w:val="00CA7EF8"/>
    <w:rsid w:val="00CB4732"/>
    <w:rsid w:val="00CC489B"/>
    <w:rsid w:val="00CD18CE"/>
    <w:rsid w:val="00CD1BA4"/>
    <w:rsid w:val="00CD2932"/>
    <w:rsid w:val="00CD2BCD"/>
    <w:rsid w:val="00CD32FF"/>
    <w:rsid w:val="00CD3A4C"/>
    <w:rsid w:val="00CD5DEA"/>
    <w:rsid w:val="00CD684F"/>
    <w:rsid w:val="00CE10E9"/>
    <w:rsid w:val="00CE2910"/>
    <w:rsid w:val="00CE3A28"/>
    <w:rsid w:val="00CE49B0"/>
    <w:rsid w:val="00CE5393"/>
    <w:rsid w:val="00CF36BE"/>
    <w:rsid w:val="00CF43D1"/>
    <w:rsid w:val="00CF6000"/>
    <w:rsid w:val="00CF76AD"/>
    <w:rsid w:val="00CF78ED"/>
    <w:rsid w:val="00D00252"/>
    <w:rsid w:val="00D003F3"/>
    <w:rsid w:val="00D0364F"/>
    <w:rsid w:val="00D036EC"/>
    <w:rsid w:val="00D0663E"/>
    <w:rsid w:val="00D06834"/>
    <w:rsid w:val="00D10E65"/>
    <w:rsid w:val="00D13F85"/>
    <w:rsid w:val="00D22918"/>
    <w:rsid w:val="00D22F06"/>
    <w:rsid w:val="00D308ED"/>
    <w:rsid w:val="00D30ACD"/>
    <w:rsid w:val="00D30C02"/>
    <w:rsid w:val="00D31332"/>
    <w:rsid w:val="00D36D86"/>
    <w:rsid w:val="00D428AA"/>
    <w:rsid w:val="00D4598C"/>
    <w:rsid w:val="00D476B1"/>
    <w:rsid w:val="00D50A34"/>
    <w:rsid w:val="00D50AA1"/>
    <w:rsid w:val="00D52CBD"/>
    <w:rsid w:val="00D53EFA"/>
    <w:rsid w:val="00D56521"/>
    <w:rsid w:val="00D60A32"/>
    <w:rsid w:val="00D848B6"/>
    <w:rsid w:val="00D935AE"/>
    <w:rsid w:val="00D93896"/>
    <w:rsid w:val="00D94A7C"/>
    <w:rsid w:val="00D95896"/>
    <w:rsid w:val="00D96F30"/>
    <w:rsid w:val="00DA55AA"/>
    <w:rsid w:val="00DA5737"/>
    <w:rsid w:val="00DA59AB"/>
    <w:rsid w:val="00DA61E3"/>
    <w:rsid w:val="00DA63C7"/>
    <w:rsid w:val="00DA66FC"/>
    <w:rsid w:val="00DB2983"/>
    <w:rsid w:val="00DB7B92"/>
    <w:rsid w:val="00DC1257"/>
    <w:rsid w:val="00DC3DC0"/>
    <w:rsid w:val="00DC5B2B"/>
    <w:rsid w:val="00DD05DF"/>
    <w:rsid w:val="00DD318D"/>
    <w:rsid w:val="00DD3BE0"/>
    <w:rsid w:val="00DE136F"/>
    <w:rsid w:val="00DE5119"/>
    <w:rsid w:val="00DE5EE8"/>
    <w:rsid w:val="00DE6588"/>
    <w:rsid w:val="00DE7AFE"/>
    <w:rsid w:val="00DF0387"/>
    <w:rsid w:val="00DF1551"/>
    <w:rsid w:val="00DF2E12"/>
    <w:rsid w:val="00DF35B1"/>
    <w:rsid w:val="00DF514A"/>
    <w:rsid w:val="00DF5402"/>
    <w:rsid w:val="00DF5ACF"/>
    <w:rsid w:val="00DF6690"/>
    <w:rsid w:val="00DF66DF"/>
    <w:rsid w:val="00DF6804"/>
    <w:rsid w:val="00DF7E45"/>
    <w:rsid w:val="00E02093"/>
    <w:rsid w:val="00E0358D"/>
    <w:rsid w:val="00E0423B"/>
    <w:rsid w:val="00E04323"/>
    <w:rsid w:val="00E05D04"/>
    <w:rsid w:val="00E070A2"/>
    <w:rsid w:val="00E1208D"/>
    <w:rsid w:val="00E153E5"/>
    <w:rsid w:val="00E2194F"/>
    <w:rsid w:val="00E236BA"/>
    <w:rsid w:val="00E23B18"/>
    <w:rsid w:val="00E2575E"/>
    <w:rsid w:val="00E2656A"/>
    <w:rsid w:val="00E273DD"/>
    <w:rsid w:val="00E335EB"/>
    <w:rsid w:val="00E412D0"/>
    <w:rsid w:val="00E417DE"/>
    <w:rsid w:val="00E420F8"/>
    <w:rsid w:val="00E469D7"/>
    <w:rsid w:val="00E46DEF"/>
    <w:rsid w:val="00E5120C"/>
    <w:rsid w:val="00E52DA0"/>
    <w:rsid w:val="00E541D2"/>
    <w:rsid w:val="00E54A67"/>
    <w:rsid w:val="00E554FE"/>
    <w:rsid w:val="00E55D06"/>
    <w:rsid w:val="00E56322"/>
    <w:rsid w:val="00E56417"/>
    <w:rsid w:val="00E574F5"/>
    <w:rsid w:val="00E60982"/>
    <w:rsid w:val="00E60A14"/>
    <w:rsid w:val="00E62C62"/>
    <w:rsid w:val="00E62ECD"/>
    <w:rsid w:val="00E6492A"/>
    <w:rsid w:val="00E654C1"/>
    <w:rsid w:val="00E65D97"/>
    <w:rsid w:val="00E66084"/>
    <w:rsid w:val="00E71044"/>
    <w:rsid w:val="00E72A5A"/>
    <w:rsid w:val="00E73354"/>
    <w:rsid w:val="00E74A23"/>
    <w:rsid w:val="00E81281"/>
    <w:rsid w:val="00E9242D"/>
    <w:rsid w:val="00E9303C"/>
    <w:rsid w:val="00E93F1B"/>
    <w:rsid w:val="00E94B44"/>
    <w:rsid w:val="00E96A63"/>
    <w:rsid w:val="00EA4217"/>
    <w:rsid w:val="00EB5255"/>
    <w:rsid w:val="00EB5C47"/>
    <w:rsid w:val="00EB669B"/>
    <w:rsid w:val="00EB6B54"/>
    <w:rsid w:val="00EC017D"/>
    <w:rsid w:val="00EC0965"/>
    <w:rsid w:val="00ED0639"/>
    <w:rsid w:val="00ED2743"/>
    <w:rsid w:val="00ED2CEE"/>
    <w:rsid w:val="00ED7DD8"/>
    <w:rsid w:val="00EE154D"/>
    <w:rsid w:val="00EE27E4"/>
    <w:rsid w:val="00EE4274"/>
    <w:rsid w:val="00EE4AAC"/>
    <w:rsid w:val="00EF4755"/>
    <w:rsid w:val="00EF7135"/>
    <w:rsid w:val="00F012C9"/>
    <w:rsid w:val="00F013AB"/>
    <w:rsid w:val="00F01691"/>
    <w:rsid w:val="00F027DB"/>
    <w:rsid w:val="00F04528"/>
    <w:rsid w:val="00F059FB"/>
    <w:rsid w:val="00F05AE8"/>
    <w:rsid w:val="00F115B6"/>
    <w:rsid w:val="00F14A7A"/>
    <w:rsid w:val="00F22985"/>
    <w:rsid w:val="00F22F9F"/>
    <w:rsid w:val="00F2375C"/>
    <w:rsid w:val="00F26ADA"/>
    <w:rsid w:val="00F302A1"/>
    <w:rsid w:val="00F31FD9"/>
    <w:rsid w:val="00F3383E"/>
    <w:rsid w:val="00F416FE"/>
    <w:rsid w:val="00F42916"/>
    <w:rsid w:val="00F42AAD"/>
    <w:rsid w:val="00F465A7"/>
    <w:rsid w:val="00F50B7C"/>
    <w:rsid w:val="00F50D42"/>
    <w:rsid w:val="00F522E7"/>
    <w:rsid w:val="00F550E6"/>
    <w:rsid w:val="00F60882"/>
    <w:rsid w:val="00F67A79"/>
    <w:rsid w:val="00F73A3D"/>
    <w:rsid w:val="00F74345"/>
    <w:rsid w:val="00F746CD"/>
    <w:rsid w:val="00F7487D"/>
    <w:rsid w:val="00F80A0A"/>
    <w:rsid w:val="00F82B19"/>
    <w:rsid w:val="00F85BFD"/>
    <w:rsid w:val="00F9212D"/>
    <w:rsid w:val="00F965DA"/>
    <w:rsid w:val="00F9759D"/>
    <w:rsid w:val="00FA0957"/>
    <w:rsid w:val="00FA252C"/>
    <w:rsid w:val="00FA2B31"/>
    <w:rsid w:val="00FA303A"/>
    <w:rsid w:val="00FA406A"/>
    <w:rsid w:val="00FB092B"/>
    <w:rsid w:val="00FB3F7B"/>
    <w:rsid w:val="00FB41FF"/>
    <w:rsid w:val="00FB503A"/>
    <w:rsid w:val="00FB516C"/>
    <w:rsid w:val="00FB71DB"/>
    <w:rsid w:val="00FB75DA"/>
    <w:rsid w:val="00FB7FB6"/>
    <w:rsid w:val="00FC10D4"/>
    <w:rsid w:val="00FC56D0"/>
    <w:rsid w:val="00FD0236"/>
    <w:rsid w:val="00FD18F4"/>
    <w:rsid w:val="00FD37AC"/>
    <w:rsid w:val="00FD54DB"/>
    <w:rsid w:val="00FD619F"/>
    <w:rsid w:val="00FD7597"/>
    <w:rsid w:val="00FD7992"/>
    <w:rsid w:val="00FE019E"/>
    <w:rsid w:val="00FE291C"/>
    <w:rsid w:val="00FF2DCD"/>
    <w:rsid w:val="00FF376F"/>
    <w:rsid w:val="00FF4818"/>
    <w:rsid w:val="00FF69BF"/>
    <w:rsid w:val="010461CC"/>
    <w:rsid w:val="010E37C0"/>
    <w:rsid w:val="01175C01"/>
    <w:rsid w:val="0126750B"/>
    <w:rsid w:val="01286746"/>
    <w:rsid w:val="01290F7E"/>
    <w:rsid w:val="012E63F5"/>
    <w:rsid w:val="01386247"/>
    <w:rsid w:val="013F1BC6"/>
    <w:rsid w:val="0142260B"/>
    <w:rsid w:val="015D1E09"/>
    <w:rsid w:val="016C0721"/>
    <w:rsid w:val="019D4DF2"/>
    <w:rsid w:val="01B17500"/>
    <w:rsid w:val="01C93730"/>
    <w:rsid w:val="01D8749C"/>
    <w:rsid w:val="0217611A"/>
    <w:rsid w:val="022219B4"/>
    <w:rsid w:val="023B7FFA"/>
    <w:rsid w:val="024B602E"/>
    <w:rsid w:val="02697903"/>
    <w:rsid w:val="027C0E60"/>
    <w:rsid w:val="029B6855"/>
    <w:rsid w:val="02A50D38"/>
    <w:rsid w:val="02CA4838"/>
    <w:rsid w:val="02D24B6E"/>
    <w:rsid w:val="02D81328"/>
    <w:rsid w:val="02F96569"/>
    <w:rsid w:val="030228ED"/>
    <w:rsid w:val="03186F70"/>
    <w:rsid w:val="032025C1"/>
    <w:rsid w:val="039D057A"/>
    <w:rsid w:val="039D1E5C"/>
    <w:rsid w:val="03AB4ED1"/>
    <w:rsid w:val="03C13EFC"/>
    <w:rsid w:val="03C465BD"/>
    <w:rsid w:val="03C53A43"/>
    <w:rsid w:val="03D516D3"/>
    <w:rsid w:val="03E52A94"/>
    <w:rsid w:val="03EA7B21"/>
    <w:rsid w:val="04516BCF"/>
    <w:rsid w:val="0465736A"/>
    <w:rsid w:val="04CC7569"/>
    <w:rsid w:val="04D63E97"/>
    <w:rsid w:val="04DF36B7"/>
    <w:rsid w:val="04E03F8B"/>
    <w:rsid w:val="05046EDC"/>
    <w:rsid w:val="052D245D"/>
    <w:rsid w:val="053073F4"/>
    <w:rsid w:val="05512C54"/>
    <w:rsid w:val="05B17144"/>
    <w:rsid w:val="05B85ABB"/>
    <w:rsid w:val="05F83EAE"/>
    <w:rsid w:val="05FC3179"/>
    <w:rsid w:val="06242E2C"/>
    <w:rsid w:val="06276041"/>
    <w:rsid w:val="063E7D85"/>
    <w:rsid w:val="064E7276"/>
    <w:rsid w:val="065917E1"/>
    <w:rsid w:val="065C7D63"/>
    <w:rsid w:val="06610C3D"/>
    <w:rsid w:val="0661618F"/>
    <w:rsid w:val="067D1146"/>
    <w:rsid w:val="06914196"/>
    <w:rsid w:val="069935D7"/>
    <w:rsid w:val="06995849"/>
    <w:rsid w:val="069A71F2"/>
    <w:rsid w:val="06B15B9E"/>
    <w:rsid w:val="06B64EA5"/>
    <w:rsid w:val="06E72FAE"/>
    <w:rsid w:val="06EC1D78"/>
    <w:rsid w:val="070635C6"/>
    <w:rsid w:val="07111339"/>
    <w:rsid w:val="071A2239"/>
    <w:rsid w:val="07284833"/>
    <w:rsid w:val="07293586"/>
    <w:rsid w:val="07295285"/>
    <w:rsid w:val="072A2F74"/>
    <w:rsid w:val="07316B3F"/>
    <w:rsid w:val="07350292"/>
    <w:rsid w:val="073603A5"/>
    <w:rsid w:val="07384FBD"/>
    <w:rsid w:val="074377C1"/>
    <w:rsid w:val="07582940"/>
    <w:rsid w:val="07636392"/>
    <w:rsid w:val="07770C56"/>
    <w:rsid w:val="077F14C3"/>
    <w:rsid w:val="079E5B11"/>
    <w:rsid w:val="07B12CF4"/>
    <w:rsid w:val="07CC7519"/>
    <w:rsid w:val="07D5298B"/>
    <w:rsid w:val="081E7B1F"/>
    <w:rsid w:val="0828774B"/>
    <w:rsid w:val="084E05D5"/>
    <w:rsid w:val="085A7AAB"/>
    <w:rsid w:val="087D5ACC"/>
    <w:rsid w:val="089C23DF"/>
    <w:rsid w:val="08EC29E0"/>
    <w:rsid w:val="09127173"/>
    <w:rsid w:val="092217DD"/>
    <w:rsid w:val="093930E9"/>
    <w:rsid w:val="093A7294"/>
    <w:rsid w:val="09625D93"/>
    <w:rsid w:val="09626B2D"/>
    <w:rsid w:val="09670360"/>
    <w:rsid w:val="09B838DC"/>
    <w:rsid w:val="09DD7881"/>
    <w:rsid w:val="09E61D67"/>
    <w:rsid w:val="09E67587"/>
    <w:rsid w:val="09EC5ECA"/>
    <w:rsid w:val="09EC69D2"/>
    <w:rsid w:val="0A263993"/>
    <w:rsid w:val="0A2D3AC2"/>
    <w:rsid w:val="0A386CC6"/>
    <w:rsid w:val="0A615CF2"/>
    <w:rsid w:val="0AA755DF"/>
    <w:rsid w:val="0AA83BFC"/>
    <w:rsid w:val="0AB701CB"/>
    <w:rsid w:val="0AD432FF"/>
    <w:rsid w:val="0AD876A7"/>
    <w:rsid w:val="0AEC47A4"/>
    <w:rsid w:val="0AEF4767"/>
    <w:rsid w:val="0AF302AB"/>
    <w:rsid w:val="0B0B182B"/>
    <w:rsid w:val="0B0D266A"/>
    <w:rsid w:val="0B120D44"/>
    <w:rsid w:val="0B1F4809"/>
    <w:rsid w:val="0B221306"/>
    <w:rsid w:val="0B246627"/>
    <w:rsid w:val="0B2A1EAF"/>
    <w:rsid w:val="0B465B9F"/>
    <w:rsid w:val="0B473E42"/>
    <w:rsid w:val="0B6A0884"/>
    <w:rsid w:val="0BBB0522"/>
    <w:rsid w:val="0BC11C62"/>
    <w:rsid w:val="0BC94090"/>
    <w:rsid w:val="0BD2367E"/>
    <w:rsid w:val="0BD27BF6"/>
    <w:rsid w:val="0BD46469"/>
    <w:rsid w:val="0BF3503F"/>
    <w:rsid w:val="0C0B5817"/>
    <w:rsid w:val="0C114E3E"/>
    <w:rsid w:val="0C3B3C7D"/>
    <w:rsid w:val="0C4E3288"/>
    <w:rsid w:val="0C5410C7"/>
    <w:rsid w:val="0C64797D"/>
    <w:rsid w:val="0C7228B9"/>
    <w:rsid w:val="0C796E96"/>
    <w:rsid w:val="0C836595"/>
    <w:rsid w:val="0C9B04A5"/>
    <w:rsid w:val="0CA30F4A"/>
    <w:rsid w:val="0CAB2EAE"/>
    <w:rsid w:val="0CB7441B"/>
    <w:rsid w:val="0CE1686F"/>
    <w:rsid w:val="0CEA7371"/>
    <w:rsid w:val="0D174FF1"/>
    <w:rsid w:val="0D320F30"/>
    <w:rsid w:val="0D32656D"/>
    <w:rsid w:val="0D621C7D"/>
    <w:rsid w:val="0D7A1F31"/>
    <w:rsid w:val="0D8A6736"/>
    <w:rsid w:val="0DC85D8C"/>
    <w:rsid w:val="0E043417"/>
    <w:rsid w:val="0E0B2C18"/>
    <w:rsid w:val="0E1118A1"/>
    <w:rsid w:val="0E2D3AEC"/>
    <w:rsid w:val="0E4D088B"/>
    <w:rsid w:val="0E73034D"/>
    <w:rsid w:val="0E805032"/>
    <w:rsid w:val="0ED16A78"/>
    <w:rsid w:val="0EE440EE"/>
    <w:rsid w:val="0F0A38B0"/>
    <w:rsid w:val="0F13775A"/>
    <w:rsid w:val="0F3A0223"/>
    <w:rsid w:val="0F5D5FD5"/>
    <w:rsid w:val="0F5F45FE"/>
    <w:rsid w:val="0F9A112B"/>
    <w:rsid w:val="0FD319B0"/>
    <w:rsid w:val="0FE6489F"/>
    <w:rsid w:val="106D2F64"/>
    <w:rsid w:val="10817408"/>
    <w:rsid w:val="109006A5"/>
    <w:rsid w:val="10B63710"/>
    <w:rsid w:val="10B6448C"/>
    <w:rsid w:val="10C835DA"/>
    <w:rsid w:val="10D01968"/>
    <w:rsid w:val="10E97796"/>
    <w:rsid w:val="10F10820"/>
    <w:rsid w:val="11112F2D"/>
    <w:rsid w:val="111C2F7A"/>
    <w:rsid w:val="111E26C0"/>
    <w:rsid w:val="113105FD"/>
    <w:rsid w:val="11665CA1"/>
    <w:rsid w:val="11775910"/>
    <w:rsid w:val="11A238E8"/>
    <w:rsid w:val="11B520DE"/>
    <w:rsid w:val="11C12502"/>
    <w:rsid w:val="11E01CD0"/>
    <w:rsid w:val="11FE3064"/>
    <w:rsid w:val="121F4793"/>
    <w:rsid w:val="122D2087"/>
    <w:rsid w:val="12415994"/>
    <w:rsid w:val="124862B4"/>
    <w:rsid w:val="124B16ED"/>
    <w:rsid w:val="126B7EF4"/>
    <w:rsid w:val="12873B29"/>
    <w:rsid w:val="129B0579"/>
    <w:rsid w:val="12C363DB"/>
    <w:rsid w:val="12D6499E"/>
    <w:rsid w:val="12F71392"/>
    <w:rsid w:val="12FE0E40"/>
    <w:rsid w:val="1303230C"/>
    <w:rsid w:val="1329345E"/>
    <w:rsid w:val="133026F7"/>
    <w:rsid w:val="1336141F"/>
    <w:rsid w:val="135F50A7"/>
    <w:rsid w:val="13642D20"/>
    <w:rsid w:val="136D5E19"/>
    <w:rsid w:val="13925426"/>
    <w:rsid w:val="13951726"/>
    <w:rsid w:val="13A02620"/>
    <w:rsid w:val="13A77073"/>
    <w:rsid w:val="13D453CE"/>
    <w:rsid w:val="13DD188A"/>
    <w:rsid w:val="13E04BB7"/>
    <w:rsid w:val="13E9304B"/>
    <w:rsid w:val="13EF767A"/>
    <w:rsid w:val="13F35BD2"/>
    <w:rsid w:val="14147BE6"/>
    <w:rsid w:val="142438BA"/>
    <w:rsid w:val="14396509"/>
    <w:rsid w:val="145A0AEA"/>
    <w:rsid w:val="14662F5F"/>
    <w:rsid w:val="14AA7D5D"/>
    <w:rsid w:val="14AD582E"/>
    <w:rsid w:val="14DD2C3C"/>
    <w:rsid w:val="14F96B98"/>
    <w:rsid w:val="1537607E"/>
    <w:rsid w:val="1542664D"/>
    <w:rsid w:val="155F3DDF"/>
    <w:rsid w:val="15614BB5"/>
    <w:rsid w:val="15657721"/>
    <w:rsid w:val="156B0F89"/>
    <w:rsid w:val="156E0A7F"/>
    <w:rsid w:val="15800D67"/>
    <w:rsid w:val="15802560"/>
    <w:rsid w:val="1587135C"/>
    <w:rsid w:val="158F2592"/>
    <w:rsid w:val="159D4C3B"/>
    <w:rsid w:val="15A56496"/>
    <w:rsid w:val="15A96484"/>
    <w:rsid w:val="15AE6EF2"/>
    <w:rsid w:val="15C1359B"/>
    <w:rsid w:val="15D05A12"/>
    <w:rsid w:val="15E801C8"/>
    <w:rsid w:val="16087E1D"/>
    <w:rsid w:val="161D1505"/>
    <w:rsid w:val="16300C06"/>
    <w:rsid w:val="16455853"/>
    <w:rsid w:val="164A5F46"/>
    <w:rsid w:val="16777B16"/>
    <w:rsid w:val="16897F0F"/>
    <w:rsid w:val="168B247C"/>
    <w:rsid w:val="16B00EF5"/>
    <w:rsid w:val="16C805D0"/>
    <w:rsid w:val="16DF7D5D"/>
    <w:rsid w:val="16F06915"/>
    <w:rsid w:val="16F36813"/>
    <w:rsid w:val="16F9215A"/>
    <w:rsid w:val="17075057"/>
    <w:rsid w:val="170969D9"/>
    <w:rsid w:val="17472E6B"/>
    <w:rsid w:val="17701D14"/>
    <w:rsid w:val="17735226"/>
    <w:rsid w:val="17B95473"/>
    <w:rsid w:val="17BC5404"/>
    <w:rsid w:val="17D60381"/>
    <w:rsid w:val="17FC3827"/>
    <w:rsid w:val="18034D3B"/>
    <w:rsid w:val="189F624C"/>
    <w:rsid w:val="18B606CD"/>
    <w:rsid w:val="18E11CDA"/>
    <w:rsid w:val="18F80092"/>
    <w:rsid w:val="1908181B"/>
    <w:rsid w:val="1912599A"/>
    <w:rsid w:val="191C198E"/>
    <w:rsid w:val="1926213E"/>
    <w:rsid w:val="19362985"/>
    <w:rsid w:val="198718CB"/>
    <w:rsid w:val="19AB4B47"/>
    <w:rsid w:val="19DC06F8"/>
    <w:rsid w:val="19E163F4"/>
    <w:rsid w:val="19F328CD"/>
    <w:rsid w:val="1A1C66C0"/>
    <w:rsid w:val="1A42393B"/>
    <w:rsid w:val="1A534C36"/>
    <w:rsid w:val="1A6206AC"/>
    <w:rsid w:val="1A6E148E"/>
    <w:rsid w:val="1A911B37"/>
    <w:rsid w:val="1AA147BF"/>
    <w:rsid w:val="1AAD45DE"/>
    <w:rsid w:val="1AC06E48"/>
    <w:rsid w:val="1AC46DEB"/>
    <w:rsid w:val="1AE8309E"/>
    <w:rsid w:val="1AEE1659"/>
    <w:rsid w:val="1AF9075D"/>
    <w:rsid w:val="1B010674"/>
    <w:rsid w:val="1B046F80"/>
    <w:rsid w:val="1B3267B5"/>
    <w:rsid w:val="1B40161D"/>
    <w:rsid w:val="1B441859"/>
    <w:rsid w:val="1B540B7F"/>
    <w:rsid w:val="1B6606B1"/>
    <w:rsid w:val="1B7B7450"/>
    <w:rsid w:val="1BB26AF1"/>
    <w:rsid w:val="1C3109C5"/>
    <w:rsid w:val="1C3D16C2"/>
    <w:rsid w:val="1C444C69"/>
    <w:rsid w:val="1C475BB2"/>
    <w:rsid w:val="1C5E7925"/>
    <w:rsid w:val="1C6E194B"/>
    <w:rsid w:val="1CBC17A7"/>
    <w:rsid w:val="1CBE111D"/>
    <w:rsid w:val="1CBF6512"/>
    <w:rsid w:val="1CD6686C"/>
    <w:rsid w:val="1CFD070F"/>
    <w:rsid w:val="1D165AE5"/>
    <w:rsid w:val="1D4F2021"/>
    <w:rsid w:val="1D5B0379"/>
    <w:rsid w:val="1D5E1838"/>
    <w:rsid w:val="1D5F6196"/>
    <w:rsid w:val="1D6132A5"/>
    <w:rsid w:val="1D6D0123"/>
    <w:rsid w:val="1D885539"/>
    <w:rsid w:val="1D8C147C"/>
    <w:rsid w:val="1D8E01F6"/>
    <w:rsid w:val="1D8E56D5"/>
    <w:rsid w:val="1DD83E18"/>
    <w:rsid w:val="1DFE02DC"/>
    <w:rsid w:val="1E0C12ED"/>
    <w:rsid w:val="1E0D2074"/>
    <w:rsid w:val="1E1A4DCE"/>
    <w:rsid w:val="1E5F0890"/>
    <w:rsid w:val="1E7A43DA"/>
    <w:rsid w:val="1EA615E2"/>
    <w:rsid w:val="1EC80224"/>
    <w:rsid w:val="1ECD02AC"/>
    <w:rsid w:val="1EEA397C"/>
    <w:rsid w:val="1F14569C"/>
    <w:rsid w:val="1F424975"/>
    <w:rsid w:val="1F4D2791"/>
    <w:rsid w:val="1F746719"/>
    <w:rsid w:val="1F83084D"/>
    <w:rsid w:val="1F8602C7"/>
    <w:rsid w:val="1F866A1D"/>
    <w:rsid w:val="1FB275CE"/>
    <w:rsid w:val="1FC33ED6"/>
    <w:rsid w:val="1FE7539E"/>
    <w:rsid w:val="20103D26"/>
    <w:rsid w:val="20204063"/>
    <w:rsid w:val="2034621A"/>
    <w:rsid w:val="2046535B"/>
    <w:rsid w:val="20671BE0"/>
    <w:rsid w:val="20822973"/>
    <w:rsid w:val="20834FCE"/>
    <w:rsid w:val="208C0120"/>
    <w:rsid w:val="20963CB8"/>
    <w:rsid w:val="20983414"/>
    <w:rsid w:val="20A81A1B"/>
    <w:rsid w:val="20B07FB6"/>
    <w:rsid w:val="20B646FB"/>
    <w:rsid w:val="20FF3A1E"/>
    <w:rsid w:val="210A7A37"/>
    <w:rsid w:val="213B74B1"/>
    <w:rsid w:val="214479B4"/>
    <w:rsid w:val="21454E22"/>
    <w:rsid w:val="21477578"/>
    <w:rsid w:val="21580AD3"/>
    <w:rsid w:val="215A2310"/>
    <w:rsid w:val="217F347B"/>
    <w:rsid w:val="219937BD"/>
    <w:rsid w:val="21B81BD5"/>
    <w:rsid w:val="21DE318A"/>
    <w:rsid w:val="21EF5B80"/>
    <w:rsid w:val="221C6CA0"/>
    <w:rsid w:val="222D3662"/>
    <w:rsid w:val="2235716F"/>
    <w:rsid w:val="223F34EA"/>
    <w:rsid w:val="22431ECC"/>
    <w:rsid w:val="224F3C21"/>
    <w:rsid w:val="22576990"/>
    <w:rsid w:val="225F22D7"/>
    <w:rsid w:val="22615CB9"/>
    <w:rsid w:val="226A56DE"/>
    <w:rsid w:val="22724B95"/>
    <w:rsid w:val="228501EE"/>
    <w:rsid w:val="22A81B30"/>
    <w:rsid w:val="22CA329C"/>
    <w:rsid w:val="22CB3526"/>
    <w:rsid w:val="22CD6A7D"/>
    <w:rsid w:val="22F47480"/>
    <w:rsid w:val="23005B89"/>
    <w:rsid w:val="231E5163"/>
    <w:rsid w:val="2321568D"/>
    <w:rsid w:val="236F2169"/>
    <w:rsid w:val="23A62B65"/>
    <w:rsid w:val="23C72A7E"/>
    <w:rsid w:val="23DE1C48"/>
    <w:rsid w:val="23EB2553"/>
    <w:rsid w:val="240210CD"/>
    <w:rsid w:val="241822B3"/>
    <w:rsid w:val="243203E8"/>
    <w:rsid w:val="24397269"/>
    <w:rsid w:val="246B3685"/>
    <w:rsid w:val="247C23C9"/>
    <w:rsid w:val="24800D02"/>
    <w:rsid w:val="24BF09F7"/>
    <w:rsid w:val="24CA5C26"/>
    <w:rsid w:val="24F4660E"/>
    <w:rsid w:val="24FA337E"/>
    <w:rsid w:val="250863D8"/>
    <w:rsid w:val="250A4EC3"/>
    <w:rsid w:val="25122636"/>
    <w:rsid w:val="25231D65"/>
    <w:rsid w:val="25232BB9"/>
    <w:rsid w:val="252D53FE"/>
    <w:rsid w:val="25340B15"/>
    <w:rsid w:val="255E4C91"/>
    <w:rsid w:val="258E66E8"/>
    <w:rsid w:val="25BC1FA0"/>
    <w:rsid w:val="25C72C2B"/>
    <w:rsid w:val="25CF00F3"/>
    <w:rsid w:val="25D37410"/>
    <w:rsid w:val="25EC2D81"/>
    <w:rsid w:val="25FA3E36"/>
    <w:rsid w:val="25FB660E"/>
    <w:rsid w:val="262B1569"/>
    <w:rsid w:val="26953BDC"/>
    <w:rsid w:val="26E40DC9"/>
    <w:rsid w:val="27260AF5"/>
    <w:rsid w:val="274F0CBF"/>
    <w:rsid w:val="275D014E"/>
    <w:rsid w:val="277057A2"/>
    <w:rsid w:val="2797447D"/>
    <w:rsid w:val="27A147AF"/>
    <w:rsid w:val="27BF78FB"/>
    <w:rsid w:val="27C563F5"/>
    <w:rsid w:val="27C878D5"/>
    <w:rsid w:val="27F83A5F"/>
    <w:rsid w:val="28261C38"/>
    <w:rsid w:val="284765F1"/>
    <w:rsid w:val="28511D8E"/>
    <w:rsid w:val="285D6412"/>
    <w:rsid w:val="28643D7B"/>
    <w:rsid w:val="28664F74"/>
    <w:rsid w:val="288337F7"/>
    <w:rsid w:val="28C71CF1"/>
    <w:rsid w:val="28FC1B01"/>
    <w:rsid w:val="29206EB8"/>
    <w:rsid w:val="293A38D4"/>
    <w:rsid w:val="294F2CE5"/>
    <w:rsid w:val="29595666"/>
    <w:rsid w:val="29874881"/>
    <w:rsid w:val="299535A5"/>
    <w:rsid w:val="29AB118F"/>
    <w:rsid w:val="29C8373C"/>
    <w:rsid w:val="29E325E0"/>
    <w:rsid w:val="29F508AD"/>
    <w:rsid w:val="2A3E3F04"/>
    <w:rsid w:val="2A452503"/>
    <w:rsid w:val="2A765302"/>
    <w:rsid w:val="2A77613D"/>
    <w:rsid w:val="2AD2388A"/>
    <w:rsid w:val="2AD47F32"/>
    <w:rsid w:val="2ADA3B3E"/>
    <w:rsid w:val="2ADC466D"/>
    <w:rsid w:val="2AED3F19"/>
    <w:rsid w:val="2AF6164F"/>
    <w:rsid w:val="2AFA037A"/>
    <w:rsid w:val="2B0A6335"/>
    <w:rsid w:val="2B1074B9"/>
    <w:rsid w:val="2B1C49C1"/>
    <w:rsid w:val="2B2B3E13"/>
    <w:rsid w:val="2B3A6011"/>
    <w:rsid w:val="2BA45CAE"/>
    <w:rsid w:val="2BA936A8"/>
    <w:rsid w:val="2C0C34E6"/>
    <w:rsid w:val="2C315A5A"/>
    <w:rsid w:val="2C48343A"/>
    <w:rsid w:val="2C4B1C25"/>
    <w:rsid w:val="2C5411BC"/>
    <w:rsid w:val="2C6C7029"/>
    <w:rsid w:val="2C9F38C0"/>
    <w:rsid w:val="2CB45FA8"/>
    <w:rsid w:val="2CD0658E"/>
    <w:rsid w:val="2CD42487"/>
    <w:rsid w:val="2CDC0395"/>
    <w:rsid w:val="2CFA1140"/>
    <w:rsid w:val="2D0C5D7C"/>
    <w:rsid w:val="2D1F3228"/>
    <w:rsid w:val="2D387F28"/>
    <w:rsid w:val="2D3A74CE"/>
    <w:rsid w:val="2D626245"/>
    <w:rsid w:val="2D740362"/>
    <w:rsid w:val="2D9E56F5"/>
    <w:rsid w:val="2DC921C9"/>
    <w:rsid w:val="2DD57BBD"/>
    <w:rsid w:val="2E3B514C"/>
    <w:rsid w:val="2E5B5962"/>
    <w:rsid w:val="2E600D5D"/>
    <w:rsid w:val="2E637CFF"/>
    <w:rsid w:val="2E6511C5"/>
    <w:rsid w:val="2E667F96"/>
    <w:rsid w:val="2E8226AB"/>
    <w:rsid w:val="2E8F2EF9"/>
    <w:rsid w:val="2EAB5E89"/>
    <w:rsid w:val="2EDD6FE7"/>
    <w:rsid w:val="2EDE6B47"/>
    <w:rsid w:val="2EFE67A3"/>
    <w:rsid w:val="2F391C13"/>
    <w:rsid w:val="2F4E7BE6"/>
    <w:rsid w:val="2F697271"/>
    <w:rsid w:val="2F6A4E8D"/>
    <w:rsid w:val="2FA51DC0"/>
    <w:rsid w:val="2FD065E6"/>
    <w:rsid w:val="2FD609B9"/>
    <w:rsid w:val="2FD96870"/>
    <w:rsid w:val="2FE75BBF"/>
    <w:rsid w:val="302A0F0E"/>
    <w:rsid w:val="302E56A5"/>
    <w:rsid w:val="3030517E"/>
    <w:rsid w:val="30580BC9"/>
    <w:rsid w:val="308030EF"/>
    <w:rsid w:val="30B73321"/>
    <w:rsid w:val="30BF46BC"/>
    <w:rsid w:val="310055AF"/>
    <w:rsid w:val="31034372"/>
    <w:rsid w:val="310D1869"/>
    <w:rsid w:val="311E2ED7"/>
    <w:rsid w:val="313B4D1A"/>
    <w:rsid w:val="315555EB"/>
    <w:rsid w:val="315619EE"/>
    <w:rsid w:val="315C449C"/>
    <w:rsid w:val="31B82709"/>
    <w:rsid w:val="31D04385"/>
    <w:rsid w:val="31D05482"/>
    <w:rsid w:val="32012958"/>
    <w:rsid w:val="320353CC"/>
    <w:rsid w:val="322F1F41"/>
    <w:rsid w:val="323F779F"/>
    <w:rsid w:val="32400B34"/>
    <w:rsid w:val="32415E0C"/>
    <w:rsid w:val="324C238C"/>
    <w:rsid w:val="327311F6"/>
    <w:rsid w:val="32800084"/>
    <w:rsid w:val="32843B59"/>
    <w:rsid w:val="329B5F37"/>
    <w:rsid w:val="329E6876"/>
    <w:rsid w:val="32D64EE4"/>
    <w:rsid w:val="3301150A"/>
    <w:rsid w:val="330544D8"/>
    <w:rsid w:val="331B0050"/>
    <w:rsid w:val="332D0712"/>
    <w:rsid w:val="333015F2"/>
    <w:rsid w:val="334754C0"/>
    <w:rsid w:val="334B6320"/>
    <w:rsid w:val="336D7C97"/>
    <w:rsid w:val="338051DC"/>
    <w:rsid w:val="33D479DF"/>
    <w:rsid w:val="33D934D4"/>
    <w:rsid w:val="33F05850"/>
    <w:rsid w:val="33FE2F6A"/>
    <w:rsid w:val="340065E3"/>
    <w:rsid w:val="340E07E5"/>
    <w:rsid w:val="34104E7D"/>
    <w:rsid w:val="34227252"/>
    <w:rsid w:val="34235BF7"/>
    <w:rsid w:val="342518C9"/>
    <w:rsid w:val="3440531F"/>
    <w:rsid w:val="3478546D"/>
    <w:rsid w:val="34890EAB"/>
    <w:rsid w:val="34F376BD"/>
    <w:rsid w:val="35013DA1"/>
    <w:rsid w:val="35101C35"/>
    <w:rsid w:val="35221833"/>
    <w:rsid w:val="35240E69"/>
    <w:rsid w:val="353E39B8"/>
    <w:rsid w:val="354B44C7"/>
    <w:rsid w:val="35677F91"/>
    <w:rsid w:val="35715018"/>
    <w:rsid w:val="358C5FA8"/>
    <w:rsid w:val="35957D9B"/>
    <w:rsid w:val="35A1261F"/>
    <w:rsid w:val="35B422BF"/>
    <w:rsid w:val="35C15DF1"/>
    <w:rsid w:val="35F45137"/>
    <w:rsid w:val="36074A7F"/>
    <w:rsid w:val="362B7CFE"/>
    <w:rsid w:val="36453B33"/>
    <w:rsid w:val="36923549"/>
    <w:rsid w:val="36AE404E"/>
    <w:rsid w:val="36B75FBF"/>
    <w:rsid w:val="36BD0C45"/>
    <w:rsid w:val="36D22799"/>
    <w:rsid w:val="36E26987"/>
    <w:rsid w:val="370F0D74"/>
    <w:rsid w:val="37286A8B"/>
    <w:rsid w:val="373027E8"/>
    <w:rsid w:val="37444FE3"/>
    <w:rsid w:val="37474BF1"/>
    <w:rsid w:val="374A7D9F"/>
    <w:rsid w:val="3779143F"/>
    <w:rsid w:val="37942C57"/>
    <w:rsid w:val="37A74BA8"/>
    <w:rsid w:val="37A8744D"/>
    <w:rsid w:val="37B83C64"/>
    <w:rsid w:val="37C031B9"/>
    <w:rsid w:val="37DB2616"/>
    <w:rsid w:val="37E00298"/>
    <w:rsid w:val="37EB10DB"/>
    <w:rsid w:val="37FE2BE7"/>
    <w:rsid w:val="386C5522"/>
    <w:rsid w:val="3883103D"/>
    <w:rsid w:val="38B302F9"/>
    <w:rsid w:val="38B61DED"/>
    <w:rsid w:val="38CF6578"/>
    <w:rsid w:val="38EE77E3"/>
    <w:rsid w:val="38F12CD3"/>
    <w:rsid w:val="38F94775"/>
    <w:rsid w:val="392971ED"/>
    <w:rsid w:val="39325651"/>
    <w:rsid w:val="39685B46"/>
    <w:rsid w:val="398823A4"/>
    <w:rsid w:val="398C3E12"/>
    <w:rsid w:val="398C79AA"/>
    <w:rsid w:val="399F2CB6"/>
    <w:rsid w:val="39B2666A"/>
    <w:rsid w:val="39C41CFD"/>
    <w:rsid w:val="39C87C2A"/>
    <w:rsid w:val="3A2257E8"/>
    <w:rsid w:val="3A2E1B98"/>
    <w:rsid w:val="3A872856"/>
    <w:rsid w:val="3A99571E"/>
    <w:rsid w:val="3ACB3554"/>
    <w:rsid w:val="3AE57050"/>
    <w:rsid w:val="3AE72615"/>
    <w:rsid w:val="3B141CE9"/>
    <w:rsid w:val="3B145244"/>
    <w:rsid w:val="3B3763D1"/>
    <w:rsid w:val="3B644290"/>
    <w:rsid w:val="3B847A0A"/>
    <w:rsid w:val="3B8C0BCE"/>
    <w:rsid w:val="3BC31F4F"/>
    <w:rsid w:val="3BE42EA3"/>
    <w:rsid w:val="3BF124AF"/>
    <w:rsid w:val="3BF1401A"/>
    <w:rsid w:val="3BFB148E"/>
    <w:rsid w:val="3C022228"/>
    <w:rsid w:val="3C243221"/>
    <w:rsid w:val="3C2F6E1E"/>
    <w:rsid w:val="3C391C00"/>
    <w:rsid w:val="3C4F64BA"/>
    <w:rsid w:val="3C5D7769"/>
    <w:rsid w:val="3C8C7F1E"/>
    <w:rsid w:val="3C941C0F"/>
    <w:rsid w:val="3CB95595"/>
    <w:rsid w:val="3CD13124"/>
    <w:rsid w:val="3CDA245A"/>
    <w:rsid w:val="3CE31BBE"/>
    <w:rsid w:val="3CF07A4A"/>
    <w:rsid w:val="3CF54468"/>
    <w:rsid w:val="3D1E06B7"/>
    <w:rsid w:val="3D223B47"/>
    <w:rsid w:val="3D2D136F"/>
    <w:rsid w:val="3D2E20F7"/>
    <w:rsid w:val="3D3E1CAE"/>
    <w:rsid w:val="3D577142"/>
    <w:rsid w:val="3D777C5C"/>
    <w:rsid w:val="3D8F21F7"/>
    <w:rsid w:val="3DB84D79"/>
    <w:rsid w:val="3DE2060A"/>
    <w:rsid w:val="3DE338DD"/>
    <w:rsid w:val="3E0C65BB"/>
    <w:rsid w:val="3E2A5394"/>
    <w:rsid w:val="3E3C6AFA"/>
    <w:rsid w:val="3E41292E"/>
    <w:rsid w:val="3E477E9A"/>
    <w:rsid w:val="3E7C4ADC"/>
    <w:rsid w:val="3E9474B3"/>
    <w:rsid w:val="3E9D3625"/>
    <w:rsid w:val="3EA71D1C"/>
    <w:rsid w:val="3EBD4C6C"/>
    <w:rsid w:val="3EDA0523"/>
    <w:rsid w:val="3EE46FAC"/>
    <w:rsid w:val="3EE74EF9"/>
    <w:rsid w:val="3EFC1D73"/>
    <w:rsid w:val="3EFF25B1"/>
    <w:rsid w:val="3F5B0753"/>
    <w:rsid w:val="3F830565"/>
    <w:rsid w:val="3F953F97"/>
    <w:rsid w:val="3F9672AA"/>
    <w:rsid w:val="3FB5178A"/>
    <w:rsid w:val="3FC8475B"/>
    <w:rsid w:val="3FC95973"/>
    <w:rsid w:val="40020EE3"/>
    <w:rsid w:val="401547DC"/>
    <w:rsid w:val="402261BF"/>
    <w:rsid w:val="40506588"/>
    <w:rsid w:val="406A67DE"/>
    <w:rsid w:val="407A6407"/>
    <w:rsid w:val="407C702F"/>
    <w:rsid w:val="40A623EE"/>
    <w:rsid w:val="40B454D3"/>
    <w:rsid w:val="40F23DD0"/>
    <w:rsid w:val="413612B7"/>
    <w:rsid w:val="41363A72"/>
    <w:rsid w:val="41577BD8"/>
    <w:rsid w:val="416460A6"/>
    <w:rsid w:val="416B7EFF"/>
    <w:rsid w:val="419B5C79"/>
    <w:rsid w:val="41A51D66"/>
    <w:rsid w:val="41AF3F12"/>
    <w:rsid w:val="41B2095F"/>
    <w:rsid w:val="41E57239"/>
    <w:rsid w:val="4200449D"/>
    <w:rsid w:val="423A3BCC"/>
    <w:rsid w:val="424E57D2"/>
    <w:rsid w:val="42760384"/>
    <w:rsid w:val="427E54BB"/>
    <w:rsid w:val="42836B99"/>
    <w:rsid w:val="42851B4D"/>
    <w:rsid w:val="42B26C49"/>
    <w:rsid w:val="433A6FE6"/>
    <w:rsid w:val="43480868"/>
    <w:rsid w:val="4350713C"/>
    <w:rsid w:val="436169B8"/>
    <w:rsid w:val="436653E0"/>
    <w:rsid w:val="43800A31"/>
    <w:rsid w:val="438851A5"/>
    <w:rsid w:val="43C4431A"/>
    <w:rsid w:val="43FB2A0C"/>
    <w:rsid w:val="44024B29"/>
    <w:rsid w:val="44025D26"/>
    <w:rsid w:val="440460FF"/>
    <w:rsid w:val="44433D2F"/>
    <w:rsid w:val="44466634"/>
    <w:rsid w:val="44520C1B"/>
    <w:rsid w:val="44812952"/>
    <w:rsid w:val="4493629B"/>
    <w:rsid w:val="449C0D6F"/>
    <w:rsid w:val="44B951CC"/>
    <w:rsid w:val="44CD14E0"/>
    <w:rsid w:val="44DD3B79"/>
    <w:rsid w:val="44F20B0B"/>
    <w:rsid w:val="45140254"/>
    <w:rsid w:val="45180FE9"/>
    <w:rsid w:val="452C7FCE"/>
    <w:rsid w:val="452E5F4C"/>
    <w:rsid w:val="45440D15"/>
    <w:rsid w:val="454958FB"/>
    <w:rsid w:val="45612018"/>
    <w:rsid w:val="45684EC0"/>
    <w:rsid w:val="457D118B"/>
    <w:rsid w:val="45826571"/>
    <w:rsid w:val="458946E9"/>
    <w:rsid w:val="45910975"/>
    <w:rsid w:val="45A47C0E"/>
    <w:rsid w:val="45BF69C3"/>
    <w:rsid w:val="45C06082"/>
    <w:rsid w:val="45E65B98"/>
    <w:rsid w:val="45EA1080"/>
    <w:rsid w:val="45FA5566"/>
    <w:rsid w:val="46013DC3"/>
    <w:rsid w:val="46087279"/>
    <w:rsid w:val="461B0C26"/>
    <w:rsid w:val="46577FD6"/>
    <w:rsid w:val="46970431"/>
    <w:rsid w:val="469C3B23"/>
    <w:rsid w:val="46B96645"/>
    <w:rsid w:val="46CF2466"/>
    <w:rsid w:val="46D955A7"/>
    <w:rsid w:val="46E7573C"/>
    <w:rsid w:val="46F22126"/>
    <w:rsid w:val="47012C9D"/>
    <w:rsid w:val="47061428"/>
    <w:rsid w:val="47133957"/>
    <w:rsid w:val="47171FDF"/>
    <w:rsid w:val="47454A1F"/>
    <w:rsid w:val="476F0470"/>
    <w:rsid w:val="47802A7D"/>
    <w:rsid w:val="47906FAA"/>
    <w:rsid w:val="47A07E0C"/>
    <w:rsid w:val="47BE78C5"/>
    <w:rsid w:val="47C335F6"/>
    <w:rsid w:val="47D318CD"/>
    <w:rsid w:val="47F200C5"/>
    <w:rsid w:val="47FB0A6E"/>
    <w:rsid w:val="480744CE"/>
    <w:rsid w:val="486A15A9"/>
    <w:rsid w:val="4870272E"/>
    <w:rsid w:val="489B360A"/>
    <w:rsid w:val="48A86D3E"/>
    <w:rsid w:val="48BA567C"/>
    <w:rsid w:val="48C04345"/>
    <w:rsid w:val="48D530C9"/>
    <w:rsid w:val="48D7258D"/>
    <w:rsid w:val="490931B6"/>
    <w:rsid w:val="491821A2"/>
    <w:rsid w:val="4930030F"/>
    <w:rsid w:val="494446CF"/>
    <w:rsid w:val="49646445"/>
    <w:rsid w:val="496D6D64"/>
    <w:rsid w:val="498D0AFD"/>
    <w:rsid w:val="49D15412"/>
    <w:rsid w:val="49DC7715"/>
    <w:rsid w:val="49F4782C"/>
    <w:rsid w:val="4A023139"/>
    <w:rsid w:val="4A3E3EDF"/>
    <w:rsid w:val="4A7B576F"/>
    <w:rsid w:val="4A836C59"/>
    <w:rsid w:val="4ABD7A80"/>
    <w:rsid w:val="4AC2698A"/>
    <w:rsid w:val="4AD95E53"/>
    <w:rsid w:val="4AF561A9"/>
    <w:rsid w:val="4AF763FA"/>
    <w:rsid w:val="4B062901"/>
    <w:rsid w:val="4B134CA7"/>
    <w:rsid w:val="4B153D12"/>
    <w:rsid w:val="4B2E5CF0"/>
    <w:rsid w:val="4B631BBC"/>
    <w:rsid w:val="4B706803"/>
    <w:rsid w:val="4B7B5AA0"/>
    <w:rsid w:val="4B911186"/>
    <w:rsid w:val="4BB40117"/>
    <w:rsid w:val="4BBD3AA5"/>
    <w:rsid w:val="4BCB35C4"/>
    <w:rsid w:val="4BE8179A"/>
    <w:rsid w:val="4BEA64F0"/>
    <w:rsid w:val="4BF21856"/>
    <w:rsid w:val="4BFA0054"/>
    <w:rsid w:val="4BFE0B90"/>
    <w:rsid w:val="4C103C34"/>
    <w:rsid w:val="4C17113A"/>
    <w:rsid w:val="4C4A0649"/>
    <w:rsid w:val="4C61353D"/>
    <w:rsid w:val="4C7E5ECA"/>
    <w:rsid w:val="4C876AA5"/>
    <w:rsid w:val="4C9742CD"/>
    <w:rsid w:val="4CA315ED"/>
    <w:rsid w:val="4CC77BA6"/>
    <w:rsid w:val="4CF06CE3"/>
    <w:rsid w:val="4CF73B5D"/>
    <w:rsid w:val="4CF85FDF"/>
    <w:rsid w:val="4CFD1913"/>
    <w:rsid w:val="4D0D23DB"/>
    <w:rsid w:val="4D0E00FB"/>
    <w:rsid w:val="4D176606"/>
    <w:rsid w:val="4D544BC9"/>
    <w:rsid w:val="4D775C55"/>
    <w:rsid w:val="4D972AC3"/>
    <w:rsid w:val="4D9C5F85"/>
    <w:rsid w:val="4DA478C6"/>
    <w:rsid w:val="4DA738BD"/>
    <w:rsid w:val="4DE01EE2"/>
    <w:rsid w:val="4DEC4FB0"/>
    <w:rsid w:val="4E0657C5"/>
    <w:rsid w:val="4E075D8A"/>
    <w:rsid w:val="4E45017D"/>
    <w:rsid w:val="4E4B340B"/>
    <w:rsid w:val="4E7F3454"/>
    <w:rsid w:val="4E8443BD"/>
    <w:rsid w:val="4E86609F"/>
    <w:rsid w:val="4E9A2F01"/>
    <w:rsid w:val="4EC00FAD"/>
    <w:rsid w:val="4EF12AE7"/>
    <w:rsid w:val="4EFA74D9"/>
    <w:rsid w:val="4F0B3174"/>
    <w:rsid w:val="4F174D40"/>
    <w:rsid w:val="4F232643"/>
    <w:rsid w:val="4F275A41"/>
    <w:rsid w:val="4F2C5B6D"/>
    <w:rsid w:val="4F3423BF"/>
    <w:rsid w:val="4F82762E"/>
    <w:rsid w:val="4F9843DC"/>
    <w:rsid w:val="4FB751AA"/>
    <w:rsid w:val="4FC62A8C"/>
    <w:rsid w:val="4FD76AB3"/>
    <w:rsid w:val="4FE15C85"/>
    <w:rsid w:val="4FE20F0D"/>
    <w:rsid w:val="4FE51552"/>
    <w:rsid w:val="50065AC0"/>
    <w:rsid w:val="50194285"/>
    <w:rsid w:val="504917CB"/>
    <w:rsid w:val="504D43E4"/>
    <w:rsid w:val="50504C4B"/>
    <w:rsid w:val="50726AE6"/>
    <w:rsid w:val="50733A62"/>
    <w:rsid w:val="50795E9D"/>
    <w:rsid w:val="50896261"/>
    <w:rsid w:val="508C7743"/>
    <w:rsid w:val="509C6E7C"/>
    <w:rsid w:val="50A54978"/>
    <w:rsid w:val="50AD009D"/>
    <w:rsid w:val="50E56531"/>
    <w:rsid w:val="50F26161"/>
    <w:rsid w:val="50FD47CD"/>
    <w:rsid w:val="50FE0572"/>
    <w:rsid w:val="510724B6"/>
    <w:rsid w:val="51084706"/>
    <w:rsid w:val="511105D1"/>
    <w:rsid w:val="51357238"/>
    <w:rsid w:val="516025A9"/>
    <w:rsid w:val="5162104E"/>
    <w:rsid w:val="51626316"/>
    <w:rsid w:val="516F041E"/>
    <w:rsid w:val="5174109B"/>
    <w:rsid w:val="517A3E08"/>
    <w:rsid w:val="518343E6"/>
    <w:rsid w:val="518A7661"/>
    <w:rsid w:val="51960851"/>
    <w:rsid w:val="51A61C2D"/>
    <w:rsid w:val="51CF52F3"/>
    <w:rsid w:val="51E0632D"/>
    <w:rsid w:val="51EE1396"/>
    <w:rsid w:val="51F1650F"/>
    <w:rsid w:val="52352798"/>
    <w:rsid w:val="52427C38"/>
    <w:rsid w:val="52451D5B"/>
    <w:rsid w:val="52825A30"/>
    <w:rsid w:val="52943662"/>
    <w:rsid w:val="52954F00"/>
    <w:rsid w:val="52A40934"/>
    <w:rsid w:val="52D868E5"/>
    <w:rsid w:val="530C129C"/>
    <w:rsid w:val="53261383"/>
    <w:rsid w:val="538E0B45"/>
    <w:rsid w:val="53A039CC"/>
    <w:rsid w:val="53A1505A"/>
    <w:rsid w:val="54063E08"/>
    <w:rsid w:val="540835FD"/>
    <w:rsid w:val="541533F2"/>
    <w:rsid w:val="542A4554"/>
    <w:rsid w:val="543437E8"/>
    <w:rsid w:val="54596070"/>
    <w:rsid w:val="5460413A"/>
    <w:rsid w:val="548825A7"/>
    <w:rsid w:val="54BD159C"/>
    <w:rsid w:val="54CC4AB5"/>
    <w:rsid w:val="54D6016D"/>
    <w:rsid w:val="54E20D8E"/>
    <w:rsid w:val="54F73313"/>
    <w:rsid w:val="54F80955"/>
    <w:rsid w:val="54FA4369"/>
    <w:rsid w:val="551724A2"/>
    <w:rsid w:val="5541677B"/>
    <w:rsid w:val="554351CF"/>
    <w:rsid w:val="554B5E12"/>
    <w:rsid w:val="555170A7"/>
    <w:rsid w:val="558265F6"/>
    <w:rsid w:val="5587536D"/>
    <w:rsid w:val="559B174B"/>
    <w:rsid w:val="55B74615"/>
    <w:rsid w:val="55CE0CF4"/>
    <w:rsid w:val="55EF757B"/>
    <w:rsid w:val="55F079A9"/>
    <w:rsid w:val="55FF2442"/>
    <w:rsid w:val="561873AF"/>
    <w:rsid w:val="561A2517"/>
    <w:rsid w:val="562E5D55"/>
    <w:rsid w:val="563F0DB4"/>
    <w:rsid w:val="56505911"/>
    <w:rsid w:val="56801E2D"/>
    <w:rsid w:val="56AC781B"/>
    <w:rsid w:val="56B22A9C"/>
    <w:rsid w:val="56C51366"/>
    <w:rsid w:val="56D20E1E"/>
    <w:rsid w:val="5718346A"/>
    <w:rsid w:val="57342D6F"/>
    <w:rsid w:val="5737532A"/>
    <w:rsid w:val="575B631B"/>
    <w:rsid w:val="576844AB"/>
    <w:rsid w:val="578008A0"/>
    <w:rsid w:val="579D202F"/>
    <w:rsid w:val="57A447E1"/>
    <w:rsid w:val="57B50623"/>
    <w:rsid w:val="57B72646"/>
    <w:rsid w:val="57B72A76"/>
    <w:rsid w:val="57C3426C"/>
    <w:rsid w:val="57CE1F93"/>
    <w:rsid w:val="57D16E60"/>
    <w:rsid w:val="57E73F1A"/>
    <w:rsid w:val="58116187"/>
    <w:rsid w:val="581A3082"/>
    <w:rsid w:val="58275D0F"/>
    <w:rsid w:val="58497672"/>
    <w:rsid w:val="585332A8"/>
    <w:rsid w:val="58772978"/>
    <w:rsid w:val="588743D1"/>
    <w:rsid w:val="5887701A"/>
    <w:rsid w:val="588A20A2"/>
    <w:rsid w:val="590D7AFF"/>
    <w:rsid w:val="59273E83"/>
    <w:rsid w:val="592B4413"/>
    <w:rsid w:val="59422ECB"/>
    <w:rsid w:val="598B0F21"/>
    <w:rsid w:val="59904C45"/>
    <w:rsid w:val="59C0439F"/>
    <w:rsid w:val="59EA6528"/>
    <w:rsid w:val="59F926A6"/>
    <w:rsid w:val="5A6237D2"/>
    <w:rsid w:val="5A794702"/>
    <w:rsid w:val="5A7B4135"/>
    <w:rsid w:val="5A7D37AD"/>
    <w:rsid w:val="5A84003A"/>
    <w:rsid w:val="5A8B5EB9"/>
    <w:rsid w:val="5AA215A1"/>
    <w:rsid w:val="5AAF470A"/>
    <w:rsid w:val="5AB16C1F"/>
    <w:rsid w:val="5ABE2233"/>
    <w:rsid w:val="5ACE72A7"/>
    <w:rsid w:val="5AD01551"/>
    <w:rsid w:val="5B113E40"/>
    <w:rsid w:val="5B3C467D"/>
    <w:rsid w:val="5B4C1003"/>
    <w:rsid w:val="5B5024C8"/>
    <w:rsid w:val="5B6767BE"/>
    <w:rsid w:val="5B7A6CCF"/>
    <w:rsid w:val="5BD709D1"/>
    <w:rsid w:val="5BDF5D95"/>
    <w:rsid w:val="5BFE7528"/>
    <w:rsid w:val="5C05671D"/>
    <w:rsid w:val="5C0E4BA9"/>
    <w:rsid w:val="5C582748"/>
    <w:rsid w:val="5C7E75C5"/>
    <w:rsid w:val="5C8775EE"/>
    <w:rsid w:val="5C8E739B"/>
    <w:rsid w:val="5C9F1046"/>
    <w:rsid w:val="5CD07268"/>
    <w:rsid w:val="5CDB37B4"/>
    <w:rsid w:val="5CF84AEC"/>
    <w:rsid w:val="5D00166F"/>
    <w:rsid w:val="5D031B0D"/>
    <w:rsid w:val="5D264D68"/>
    <w:rsid w:val="5D4E6550"/>
    <w:rsid w:val="5D5E0E32"/>
    <w:rsid w:val="5D631661"/>
    <w:rsid w:val="5D6F20DF"/>
    <w:rsid w:val="5D7060BA"/>
    <w:rsid w:val="5D813889"/>
    <w:rsid w:val="5D833AC2"/>
    <w:rsid w:val="5D9A0ECF"/>
    <w:rsid w:val="5E0253D7"/>
    <w:rsid w:val="5E185F2D"/>
    <w:rsid w:val="5E1D0AF3"/>
    <w:rsid w:val="5E2467F1"/>
    <w:rsid w:val="5E26133C"/>
    <w:rsid w:val="5E27500E"/>
    <w:rsid w:val="5E5A3702"/>
    <w:rsid w:val="5E6D137F"/>
    <w:rsid w:val="5E6F0325"/>
    <w:rsid w:val="5E8827F2"/>
    <w:rsid w:val="5E946C7E"/>
    <w:rsid w:val="5E9B25F0"/>
    <w:rsid w:val="5EE3004F"/>
    <w:rsid w:val="5F0F18ED"/>
    <w:rsid w:val="5F1A2B43"/>
    <w:rsid w:val="5F264CAF"/>
    <w:rsid w:val="5F55026B"/>
    <w:rsid w:val="5F5850AD"/>
    <w:rsid w:val="5F5D0816"/>
    <w:rsid w:val="5F955D64"/>
    <w:rsid w:val="5F965617"/>
    <w:rsid w:val="5F9A265C"/>
    <w:rsid w:val="5FA96B9E"/>
    <w:rsid w:val="5FB3561C"/>
    <w:rsid w:val="5FB837BB"/>
    <w:rsid w:val="5FBA262C"/>
    <w:rsid w:val="5FDB046D"/>
    <w:rsid w:val="6004014B"/>
    <w:rsid w:val="600847F8"/>
    <w:rsid w:val="6017108B"/>
    <w:rsid w:val="604131B6"/>
    <w:rsid w:val="604B4B9A"/>
    <w:rsid w:val="606659FE"/>
    <w:rsid w:val="60973C42"/>
    <w:rsid w:val="609A4F3F"/>
    <w:rsid w:val="60B65812"/>
    <w:rsid w:val="60C53503"/>
    <w:rsid w:val="60CC405A"/>
    <w:rsid w:val="60EE0456"/>
    <w:rsid w:val="60EF00A4"/>
    <w:rsid w:val="61005ED3"/>
    <w:rsid w:val="61206942"/>
    <w:rsid w:val="612F3554"/>
    <w:rsid w:val="61302010"/>
    <w:rsid w:val="6136242B"/>
    <w:rsid w:val="61407D01"/>
    <w:rsid w:val="615D2386"/>
    <w:rsid w:val="618372FC"/>
    <w:rsid w:val="618E791B"/>
    <w:rsid w:val="61BD24AA"/>
    <w:rsid w:val="61C01F9F"/>
    <w:rsid w:val="61D40F93"/>
    <w:rsid w:val="61E215D8"/>
    <w:rsid w:val="61F9582E"/>
    <w:rsid w:val="620013C4"/>
    <w:rsid w:val="62144C0E"/>
    <w:rsid w:val="621926F5"/>
    <w:rsid w:val="621B3775"/>
    <w:rsid w:val="62327D88"/>
    <w:rsid w:val="62364782"/>
    <w:rsid w:val="623D132F"/>
    <w:rsid w:val="6254398E"/>
    <w:rsid w:val="62572040"/>
    <w:rsid w:val="625F76BC"/>
    <w:rsid w:val="6265192E"/>
    <w:rsid w:val="627338D5"/>
    <w:rsid w:val="627451D2"/>
    <w:rsid w:val="628E6E8D"/>
    <w:rsid w:val="629619DA"/>
    <w:rsid w:val="62DA5624"/>
    <w:rsid w:val="62F51D1A"/>
    <w:rsid w:val="630F3D90"/>
    <w:rsid w:val="636026A2"/>
    <w:rsid w:val="638432A0"/>
    <w:rsid w:val="6394356A"/>
    <w:rsid w:val="63AD5F6D"/>
    <w:rsid w:val="63B83CE7"/>
    <w:rsid w:val="63C41D4F"/>
    <w:rsid w:val="63C61B2C"/>
    <w:rsid w:val="63C74E80"/>
    <w:rsid w:val="63D40BE9"/>
    <w:rsid w:val="63E16015"/>
    <w:rsid w:val="64102431"/>
    <w:rsid w:val="644B4B53"/>
    <w:rsid w:val="647E3101"/>
    <w:rsid w:val="64A175BE"/>
    <w:rsid w:val="64A36253"/>
    <w:rsid w:val="64A5243A"/>
    <w:rsid w:val="64BE05AA"/>
    <w:rsid w:val="64DE1973"/>
    <w:rsid w:val="64E36C31"/>
    <w:rsid w:val="64E83A91"/>
    <w:rsid w:val="64F13BD2"/>
    <w:rsid w:val="64F531DE"/>
    <w:rsid w:val="650435C0"/>
    <w:rsid w:val="65064FC2"/>
    <w:rsid w:val="65106599"/>
    <w:rsid w:val="65231B32"/>
    <w:rsid w:val="652F13DB"/>
    <w:rsid w:val="65303A38"/>
    <w:rsid w:val="653423A0"/>
    <w:rsid w:val="65373578"/>
    <w:rsid w:val="65590BA1"/>
    <w:rsid w:val="65673BF0"/>
    <w:rsid w:val="657977A6"/>
    <w:rsid w:val="65842FBE"/>
    <w:rsid w:val="658950C5"/>
    <w:rsid w:val="65C44AB1"/>
    <w:rsid w:val="65E3736C"/>
    <w:rsid w:val="65EA3228"/>
    <w:rsid w:val="65F36DB7"/>
    <w:rsid w:val="66200E0F"/>
    <w:rsid w:val="66216982"/>
    <w:rsid w:val="662652B6"/>
    <w:rsid w:val="66316396"/>
    <w:rsid w:val="663C113E"/>
    <w:rsid w:val="665824A4"/>
    <w:rsid w:val="665A25B3"/>
    <w:rsid w:val="667A1FDF"/>
    <w:rsid w:val="66997FE3"/>
    <w:rsid w:val="66B34B54"/>
    <w:rsid w:val="66BD4730"/>
    <w:rsid w:val="66BD6692"/>
    <w:rsid w:val="66C74894"/>
    <w:rsid w:val="66C83B7A"/>
    <w:rsid w:val="66CB6949"/>
    <w:rsid w:val="66EC3B66"/>
    <w:rsid w:val="671F124A"/>
    <w:rsid w:val="671F5088"/>
    <w:rsid w:val="67620705"/>
    <w:rsid w:val="67633500"/>
    <w:rsid w:val="677A33C6"/>
    <w:rsid w:val="67B27241"/>
    <w:rsid w:val="67CE2216"/>
    <w:rsid w:val="681F6961"/>
    <w:rsid w:val="682117C8"/>
    <w:rsid w:val="682670D5"/>
    <w:rsid w:val="684A4E31"/>
    <w:rsid w:val="68610A2F"/>
    <w:rsid w:val="68805514"/>
    <w:rsid w:val="68812BD5"/>
    <w:rsid w:val="68A03C12"/>
    <w:rsid w:val="68C57801"/>
    <w:rsid w:val="68DD0E36"/>
    <w:rsid w:val="68DD2D55"/>
    <w:rsid w:val="69074A07"/>
    <w:rsid w:val="690F2D7E"/>
    <w:rsid w:val="6916437F"/>
    <w:rsid w:val="692A577B"/>
    <w:rsid w:val="69316E2F"/>
    <w:rsid w:val="693C14ED"/>
    <w:rsid w:val="694E2071"/>
    <w:rsid w:val="69610110"/>
    <w:rsid w:val="69766163"/>
    <w:rsid w:val="69777CB9"/>
    <w:rsid w:val="697A3B33"/>
    <w:rsid w:val="697F1317"/>
    <w:rsid w:val="69886D18"/>
    <w:rsid w:val="69894F6A"/>
    <w:rsid w:val="69A90E55"/>
    <w:rsid w:val="69B25660"/>
    <w:rsid w:val="69D44760"/>
    <w:rsid w:val="69E81FEB"/>
    <w:rsid w:val="69F92903"/>
    <w:rsid w:val="69FB5980"/>
    <w:rsid w:val="6A046AB5"/>
    <w:rsid w:val="6A06733F"/>
    <w:rsid w:val="6A114F5F"/>
    <w:rsid w:val="6A520EC7"/>
    <w:rsid w:val="6A5227D1"/>
    <w:rsid w:val="6A7050E7"/>
    <w:rsid w:val="6A762451"/>
    <w:rsid w:val="6A8A201E"/>
    <w:rsid w:val="6AAB727C"/>
    <w:rsid w:val="6AAF023E"/>
    <w:rsid w:val="6ABE358C"/>
    <w:rsid w:val="6AE6584D"/>
    <w:rsid w:val="6AEB3E0A"/>
    <w:rsid w:val="6AEC5C58"/>
    <w:rsid w:val="6AF87E20"/>
    <w:rsid w:val="6B297E45"/>
    <w:rsid w:val="6B322639"/>
    <w:rsid w:val="6B42798F"/>
    <w:rsid w:val="6B530FAD"/>
    <w:rsid w:val="6B7543AE"/>
    <w:rsid w:val="6B804DEC"/>
    <w:rsid w:val="6BCC297A"/>
    <w:rsid w:val="6C1534B4"/>
    <w:rsid w:val="6C1611DD"/>
    <w:rsid w:val="6C3769C7"/>
    <w:rsid w:val="6C3C69D0"/>
    <w:rsid w:val="6C636C38"/>
    <w:rsid w:val="6C7B6935"/>
    <w:rsid w:val="6C7D7940"/>
    <w:rsid w:val="6C865FBC"/>
    <w:rsid w:val="6C907D20"/>
    <w:rsid w:val="6CB0679F"/>
    <w:rsid w:val="6CCD60A8"/>
    <w:rsid w:val="6CE3278C"/>
    <w:rsid w:val="6CF13AE1"/>
    <w:rsid w:val="6D1E00BF"/>
    <w:rsid w:val="6D1E6853"/>
    <w:rsid w:val="6D376D78"/>
    <w:rsid w:val="6D41599F"/>
    <w:rsid w:val="6D4D0722"/>
    <w:rsid w:val="6D6C11B0"/>
    <w:rsid w:val="6D716596"/>
    <w:rsid w:val="6D7B62AE"/>
    <w:rsid w:val="6DB34098"/>
    <w:rsid w:val="6DB545B6"/>
    <w:rsid w:val="6DCC6BBD"/>
    <w:rsid w:val="6DE02FB4"/>
    <w:rsid w:val="6DEA3671"/>
    <w:rsid w:val="6DEA63CE"/>
    <w:rsid w:val="6E146BC2"/>
    <w:rsid w:val="6E320A15"/>
    <w:rsid w:val="6E375F3A"/>
    <w:rsid w:val="6E4C33E4"/>
    <w:rsid w:val="6E514CED"/>
    <w:rsid w:val="6E8F607F"/>
    <w:rsid w:val="6EAF282F"/>
    <w:rsid w:val="6EB563D5"/>
    <w:rsid w:val="6EBB6505"/>
    <w:rsid w:val="6ED62F61"/>
    <w:rsid w:val="6ED92677"/>
    <w:rsid w:val="6ED94B2F"/>
    <w:rsid w:val="6F052679"/>
    <w:rsid w:val="6F225983"/>
    <w:rsid w:val="6F3E44C9"/>
    <w:rsid w:val="6F544689"/>
    <w:rsid w:val="6F7D6ABF"/>
    <w:rsid w:val="6F8819A5"/>
    <w:rsid w:val="6F9D62EB"/>
    <w:rsid w:val="6FA91A01"/>
    <w:rsid w:val="6FE90AFA"/>
    <w:rsid w:val="6FFC5590"/>
    <w:rsid w:val="7003077D"/>
    <w:rsid w:val="70171ABD"/>
    <w:rsid w:val="705B1D55"/>
    <w:rsid w:val="70607818"/>
    <w:rsid w:val="706D1DD0"/>
    <w:rsid w:val="706E0F3A"/>
    <w:rsid w:val="706F3634"/>
    <w:rsid w:val="706F4AEE"/>
    <w:rsid w:val="70856B87"/>
    <w:rsid w:val="70954C59"/>
    <w:rsid w:val="709C29AF"/>
    <w:rsid w:val="70AA29FF"/>
    <w:rsid w:val="70BA28AF"/>
    <w:rsid w:val="70CD6084"/>
    <w:rsid w:val="70D03051"/>
    <w:rsid w:val="70D527EE"/>
    <w:rsid w:val="70F71124"/>
    <w:rsid w:val="70FD3FB9"/>
    <w:rsid w:val="71160C64"/>
    <w:rsid w:val="7118292A"/>
    <w:rsid w:val="71431B3A"/>
    <w:rsid w:val="715343E1"/>
    <w:rsid w:val="715A3A7B"/>
    <w:rsid w:val="715B5300"/>
    <w:rsid w:val="71680919"/>
    <w:rsid w:val="718051E0"/>
    <w:rsid w:val="71CC2DFF"/>
    <w:rsid w:val="71D27F8A"/>
    <w:rsid w:val="71E77639"/>
    <w:rsid w:val="71E9085D"/>
    <w:rsid w:val="71F9033C"/>
    <w:rsid w:val="71FE6B62"/>
    <w:rsid w:val="7247767A"/>
    <w:rsid w:val="72553024"/>
    <w:rsid w:val="725F12F5"/>
    <w:rsid w:val="726D39C2"/>
    <w:rsid w:val="726E45DE"/>
    <w:rsid w:val="729439D9"/>
    <w:rsid w:val="729669F1"/>
    <w:rsid w:val="72C007F0"/>
    <w:rsid w:val="72D034DB"/>
    <w:rsid w:val="72D315A4"/>
    <w:rsid w:val="72D37CA8"/>
    <w:rsid w:val="72E31C10"/>
    <w:rsid w:val="72E67063"/>
    <w:rsid w:val="730B69E1"/>
    <w:rsid w:val="73122968"/>
    <w:rsid w:val="73147133"/>
    <w:rsid w:val="73152EDC"/>
    <w:rsid w:val="731F5D5E"/>
    <w:rsid w:val="73227957"/>
    <w:rsid w:val="732A4021"/>
    <w:rsid w:val="733E0AA8"/>
    <w:rsid w:val="7379691D"/>
    <w:rsid w:val="737C4D4E"/>
    <w:rsid w:val="737D57C4"/>
    <w:rsid w:val="738D0E2D"/>
    <w:rsid w:val="739D1EC2"/>
    <w:rsid w:val="73B956A1"/>
    <w:rsid w:val="73C51AD5"/>
    <w:rsid w:val="73E11802"/>
    <w:rsid w:val="73E864C6"/>
    <w:rsid w:val="73FD6422"/>
    <w:rsid w:val="740B0B73"/>
    <w:rsid w:val="741E793C"/>
    <w:rsid w:val="74363979"/>
    <w:rsid w:val="745E3944"/>
    <w:rsid w:val="74684011"/>
    <w:rsid w:val="747043AB"/>
    <w:rsid w:val="747223A8"/>
    <w:rsid w:val="74924E71"/>
    <w:rsid w:val="74A45FE7"/>
    <w:rsid w:val="74C5034B"/>
    <w:rsid w:val="74D367DE"/>
    <w:rsid w:val="74E82755"/>
    <w:rsid w:val="75007CF9"/>
    <w:rsid w:val="753A3498"/>
    <w:rsid w:val="754C736E"/>
    <w:rsid w:val="7550348E"/>
    <w:rsid w:val="756A78BF"/>
    <w:rsid w:val="757676AC"/>
    <w:rsid w:val="75BF6B3A"/>
    <w:rsid w:val="75C14183"/>
    <w:rsid w:val="75D1113A"/>
    <w:rsid w:val="75F53919"/>
    <w:rsid w:val="75FE646D"/>
    <w:rsid w:val="75FF3D0C"/>
    <w:rsid w:val="7635099D"/>
    <w:rsid w:val="76411F1C"/>
    <w:rsid w:val="765C5EDA"/>
    <w:rsid w:val="765E7D15"/>
    <w:rsid w:val="76651A8B"/>
    <w:rsid w:val="76716586"/>
    <w:rsid w:val="767F16EB"/>
    <w:rsid w:val="76983A8F"/>
    <w:rsid w:val="76C40360"/>
    <w:rsid w:val="76D938EC"/>
    <w:rsid w:val="771458A0"/>
    <w:rsid w:val="77337DD4"/>
    <w:rsid w:val="77367BAF"/>
    <w:rsid w:val="77377CBF"/>
    <w:rsid w:val="773F0AF2"/>
    <w:rsid w:val="77625C80"/>
    <w:rsid w:val="77762421"/>
    <w:rsid w:val="77B56B1F"/>
    <w:rsid w:val="780F09F4"/>
    <w:rsid w:val="78116DB8"/>
    <w:rsid w:val="782621C6"/>
    <w:rsid w:val="783F26A7"/>
    <w:rsid w:val="78495AF1"/>
    <w:rsid w:val="78564DB2"/>
    <w:rsid w:val="786D5C4D"/>
    <w:rsid w:val="78795928"/>
    <w:rsid w:val="78970048"/>
    <w:rsid w:val="7897354C"/>
    <w:rsid w:val="78A90480"/>
    <w:rsid w:val="78AD0AE1"/>
    <w:rsid w:val="78C1476A"/>
    <w:rsid w:val="78CD5C6E"/>
    <w:rsid w:val="78F01185"/>
    <w:rsid w:val="794013BD"/>
    <w:rsid w:val="79437089"/>
    <w:rsid w:val="79A25441"/>
    <w:rsid w:val="79B16506"/>
    <w:rsid w:val="79CB775B"/>
    <w:rsid w:val="7A0941C6"/>
    <w:rsid w:val="7A364017"/>
    <w:rsid w:val="7A3720C4"/>
    <w:rsid w:val="7A6B4E0A"/>
    <w:rsid w:val="7A725395"/>
    <w:rsid w:val="7A8265E1"/>
    <w:rsid w:val="7A9A3631"/>
    <w:rsid w:val="7AA44C64"/>
    <w:rsid w:val="7ABF5BA2"/>
    <w:rsid w:val="7AC53B53"/>
    <w:rsid w:val="7ADA163E"/>
    <w:rsid w:val="7B235E55"/>
    <w:rsid w:val="7B686D42"/>
    <w:rsid w:val="7B841746"/>
    <w:rsid w:val="7BA56A7F"/>
    <w:rsid w:val="7BC67F0A"/>
    <w:rsid w:val="7C1F0B3D"/>
    <w:rsid w:val="7C676720"/>
    <w:rsid w:val="7C6C5AC7"/>
    <w:rsid w:val="7C711761"/>
    <w:rsid w:val="7C9A3FD4"/>
    <w:rsid w:val="7CA51C63"/>
    <w:rsid w:val="7CA76757"/>
    <w:rsid w:val="7CB32D22"/>
    <w:rsid w:val="7CBB5B9A"/>
    <w:rsid w:val="7CC6544B"/>
    <w:rsid w:val="7CD80C99"/>
    <w:rsid w:val="7CE92443"/>
    <w:rsid w:val="7CFF1948"/>
    <w:rsid w:val="7D0239FF"/>
    <w:rsid w:val="7D0B7D71"/>
    <w:rsid w:val="7D122256"/>
    <w:rsid w:val="7D1B0BAE"/>
    <w:rsid w:val="7D3B3F53"/>
    <w:rsid w:val="7D3C1FD8"/>
    <w:rsid w:val="7D3D1459"/>
    <w:rsid w:val="7D3F3AAE"/>
    <w:rsid w:val="7D5E40CD"/>
    <w:rsid w:val="7D602610"/>
    <w:rsid w:val="7DCD56F2"/>
    <w:rsid w:val="7DD00C0C"/>
    <w:rsid w:val="7DE33B5A"/>
    <w:rsid w:val="7DE4324D"/>
    <w:rsid w:val="7DEF0CF1"/>
    <w:rsid w:val="7DF15B48"/>
    <w:rsid w:val="7E062607"/>
    <w:rsid w:val="7E53716F"/>
    <w:rsid w:val="7E683AD1"/>
    <w:rsid w:val="7E692604"/>
    <w:rsid w:val="7E8A061B"/>
    <w:rsid w:val="7ED92BD5"/>
    <w:rsid w:val="7F001CE7"/>
    <w:rsid w:val="7F11692B"/>
    <w:rsid w:val="7F184F6D"/>
    <w:rsid w:val="7F1A302B"/>
    <w:rsid w:val="7F2E2697"/>
    <w:rsid w:val="7F5779BC"/>
    <w:rsid w:val="7F5A36ED"/>
    <w:rsid w:val="7F691B72"/>
    <w:rsid w:val="7F6B1677"/>
    <w:rsid w:val="7F8F0E21"/>
    <w:rsid w:val="7FB7437C"/>
    <w:rsid w:val="7FB81888"/>
    <w:rsid w:val="7FCC22EE"/>
    <w:rsid w:val="7FDD188D"/>
    <w:rsid w:val="7FE47E50"/>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 w:semiHidden="0" w:name="heading 2" w:locked="1"/>
    <w:lsdException w:qFormat="1" w:unhideWhenUsed="0" w:uiPriority="1"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4"/>
    <w:next w:val="1"/>
    <w:link w:val="85"/>
    <w:qFormat/>
    <w:locked/>
    <w:uiPriority w:val="9"/>
    <w:pPr>
      <w:keepLines/>
      <w:spacing w:before="260" w:after="260" w:line="416" w:lineRule="auto"/>
      <w:outlineLvl w:val="1"/>
    </w:pPr>
    <w:rPr>
      <w:rFonts w:ascii="Cambria" w:hAnsi="Cambria"/>
      <w:kern w:val="0"/>
      <w:sz w:val="32"/>
      <w:szCs w:val="32"/>
    </w:rPr>
  </w:style>
  <w:style w:type="paragraph" w:styleId="6">
    <w:name w:val="heading 3"/>
    <w:basedOn w:val="1"/>
    <w:next w:val="1"/>
    <w:qFormat/>
    <w:locked/>
    <w:uiPriority w:val="1"/>
    <w:pPr>
      <w:ind w:left="240"/>
      <w:outlineLvl w:val="2"/>
    </w:pPr>
    <w:rPr>
      <w:rFonts w:ascii="宋体" w:hAnsi="宋体"/>
      <w:b/>
      <w:bCs/>
      <w:sz w:val="24"/>
    </w:rPr>
  </w:style>
  <w:style w:type="paragraph" w:styleId="7">
    <w:name w:val="heading 4"/>
    <w:basedOn w:val="1"/>
    <w:next w:val="1"/>
    <w:qFormat/>
    <w:locked/>
    <w:uiPriority w:val="0"/>
    <w:pPr>
      <w:keepNext/>
      <w:keepLines/>
      <w:numPr>
        <w:ilvl w:val="3"/>
        <w:numId w:val="1"/>
      </w:numPr>
      <w:spacing w:before="280" w:after="290" w:line="376" w:lineRule="auto"/>
      <w:outlineLvl w:val="3"/>
    </w:pPr>
    <w:rPr>
      <w:rFonts w:ascii="Arial" w:hAnsi="Arial" w:eastAsia="黑体"/>
      <w:b/>
      <w:kern w:val="0"/>
      <w:sz w:val="28"/>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qFormat/>
    <w:uiPriority w:val="0"/>
    <w:pPr>
      <w:widowControl/>
      <w:snapToGrid w:val="0"/>
      <w:spacing w:before="60" w:after="160" w:line="259" w:lineRule="auto"/>
      <w:ind w:right="113"/>
    </w:pPr>
    <w:rPr>
      <w:kern w:val="0"/>
      <w:sz w:val="18"/>
      <w:szCs w:val="20"/>
    </w:rPr>
  </w:style>
  <w:style w:type="paragraph" w:customStyle="1" w:styleId="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8">
    <w:name w:val="Normal Indent"/>
    <w:basedOn w:val="1"/>
    <w:next w:val="7"/>
    <w:qFormat/>
    <w:locked/>
    <w:uiPriority w:val="0"/>
    <w:pPr>
      <w:ind w:firstLine="420" w:firstLineChars="200"/>
    </w:pPr>
    <w:rPr>
      <w:kern w:val="0"/>
      <w:sz w:val="20"/>
    </w:rPr>
  </w:style>
  <w:style w:type="paragraph" w:styleId="9">
    <w:name w:val="caption"/>
    <w:basedOn w:val="1"/>
    <w:next w:val="1"/>
    <w:qFormat/>
    <w:locked/>
    <w:uiPriority w:val="0"/>
    <w:pPr>
      <w:spacing w:line="500" w:lineRule="exact"/>
      <w:ind w:firstLine="200"/>
      <w:jc w:val="center"/>
    </w:pPr>
    <w:rPr>
      <w:rFonts w:ascii="宋体" w:hAnsi="宋体" w:cs="Arial"/>
      <w:b/>
      <w:bCs/>
      <w:sz w:val="24"/>
    </w:rPr>
  </w:style>
  <w:style w:type="paragraph" w:styleId="10">
    <w:name w:val="Document Map"/>
    <w:basedOn w:val="1"/>
    <w:link w:val="63"/>
    <w:qFormat/>
    <w:locked/>
    <w:uiPriority w:val="0"/>
    <w:rPr>
      <w:rFonts w:ascii="宋体"/>
      <w:sz w:val="18"/>
      <w:szCs w:val="18"/>
    </w:rPr>
  </w:style>
  <w:style w:type="paragraph" w:styleId="11">
    <w:name w:val="annotation text"/>
    <w:basedOn w:val="12"/>
    <w:link w:val="40"/>
    <w:qFormat/>
    <w:uiPriority w:val="99"/>
    <w:rPr>
      <w:kern w:val="0"/>
      <w:sz w:val="24"/>
      <w:szCs w:val="20"/>
    </w:rPr>
  </w:style>
  <w:style w:type="paragraph" w:customStyle="1" w:styleId="12">
    <w:name w:val="文本正文"/>
    <w:basedOn w:val="1"/>
    <w:qFormat/>
    <w:uiPriority w:val="0"/>
    <w:pPr>
      <w:snapToGrid w:val="0"/>
      <w:spacing w:line="360" w:lineRule="auto"/>
      <w:ind w:firstLine="510"/>
      <w:jc w:val="left"/>
    </w:pPr>
    <w:rPr>
      <w:spacing w:val="4"/>
      <w:kern w:val="24"/>
      <w:lang w:val="zh-CN"/>
    </w:rPr>
  </w:style>
  <w:style w:type="paragraph" w:styleId="13">
    <w:name w:val="Body Text Indent"/>
    <w:basedOn w:val="1"/>
    <w:next w:val="14"/>
    <w:link w:val="42"/>
    <w:qFormat/>
    <w:uiPriority w:val="0"/>
    <w:pPr>
      <w:spacing w:after="120"/>
      <w:ind w:left="420" w:leftChars="200"/>
    </w:pPr>
    <w:rPr>
      <w:kern w:val="0"/>
      <w:sz w:val="24"/>
      <w:szCs w:val="20"/>
    </w:rPr>
  </w:style>
  <w:style w:type="paragraph" w:styleId="14">
    <w:name w:val="header"/>
    <w:basedOn w:val="1"/>
    <w:next w:val="9"/>
    <w:link w:val="46"/>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Block Text"/>
    <w:basedOn w:val="1"/>
    <w:qFormat/>
    <w:locked/>
    <w:uiPriority w:val="0"/>
    <w:pPr>
      <w:adjustRightInd w:val="0"/>
      <w:spacing w:before="120" w:line="440" w:lineRule="exact"/>
      <w:ind w:left="284" w:right="284" w:firstLine="567"/>
      <w:textAlignment w:val="baseline"/>
    </w:pPr>
    <w:rPr>
      <w:rFonts w:ascii="楷体_GB2312" w:eastAsia="楷体_GB2312"/>
      <w:spacing w:val="-2"/>
      <w:kern w:val="0"/>
      <w:sz w:val="28"/>
      <w:szCs w:val="20"/>
    </w:rPr>
  </w:style>
  <w:style w:type="paragraph" w:styleId="16">
    <w:name w:val="Plain Text"/>
    <w:basedOn w:val="1"/>
    <w:qFormat/>
    <w:locked/>
    <w:uiPriority w:val="0"/>
    <w:pPr>
      <w:spacing w:line="520" w:lineRule="exact"/>
    </w:pPr>
    <w:rPr>
      <w:rFonts w:hAnsi="Courier New"/>
      <w:szCs w:val="20"/>
      <w:lang w:val="zh-CN"/>
    </w:rPr>
  </w:style>
  <w:style w:type="paragraph" w:styleId="17">
    <w:name w:val="Date"/>
    <w:basedOn w:val="1"/>
    <w:next w:val="1"/>
    <w:link w:val="43"/>
    <w:qFormat/>
    <w:uiPriority w:val="0"/>
    <w:pPr>
      <w:ind w:left="100" w:leftChars="2500"/>
    </w:pPr>
    <w:rPr>
      <w:kern w:val="0"/>
      <w:sz w:val="24"/>
      <w:szCs w:val="20"/>
    </w:rPr>
  </w:style>
  <w:style w:type="paragraph" w:styleId="18">
    <w:name w:val="Balloon Text"/>
    <w:basedOn w:val="1"/>
    <w:link w:val="44"/>
    <w:semiHidden/>
    <w:qFormat/>
    <w:uiPriority w:val="0"/>
    <w:rPr>
      <w:kern w:val="0"/>
      <w:sz w:val="18"/>
      <w:szCs w:val="20"/>
    </w:rPr>
  </w:style>
  <w:style w:type="paragraph" w:styleId="19">
    <w:name w:val="footer"/>
    <w:basedOn w:val="1"/>
    <w:link w:val="45"/>
    <w:qFormat/>
    <w:uiPriority w:val="99"/>
    <w:pPr>
      <w:tabs>
        <w:tab w:val="center" w:pos="4153"/>
        <w:tab w:val="right" w:pos="8306"/>
      </w:tabs>
      <w:snapToGrid w:val="0"/>
      <w:jc w:val="left"/>
    </w:pPr>
    <w:rPr>
      <w:kern w:val="0"/>
      <w:sz w:val="18"/>
      <w:szCs w:val="20"/>
    </w:rPr>
  </w:style>
  <w:style w:type="paragraph" w:styleId="20">
    <w:name w:val="toc 1"/>
    <w:basedOn w:val="1"/>
    <w:next w:val="1"/>
    <w:qFormat/>
    <w:locked/>
    <w:uiPriority w:val="0"/>
  </w:style>
  <w:style w:type="paragraph" w:styleId="21">
    <w:name w:val="index heading"/>
    <w:basedOn w:val="1"/>
    <w:next w:val="22"/>
    <w:qFormat/>
    <w:locked/>
    <w:uiPriority w:val="0"/>
    <w:rPr>
      <w:rFonts w:ascii="Arial" w:hAnsi="Arial"/>
      <w:b/>
    </w:rPr>
  </w:style>
  <w:style w:type="paragraph" w:styleId="22">
    <w:name w:val="index 1"/>
    <w:basedOn w:val="1"/>
    <w:next w:val="1"/>
    <w:semiHidden/>
    <w:qFormat/>
    <w:locked/>
    <w:uiPriority w:val="0"/>
    <w:pPr>
      <w:adjustRightInd w:val="0"/>
      <w:snapToGrid w:val="0"/>
      <w:ind w:firstLine="823" w:firstLineChars="358"/>
      <w:jc w:val="left"/>
    </w:pPr>
    <w:rPr>
      <w:rFonts w:ascii="宋体" w:hAnsi="宋体"/>
      <w:spacing w:val="10"/>
    </w:rPr>
  </w:style>
  <w:style w:type="paragraph" w:styleId="23">
    <w:name w:val="table of figures"/>
    <w:basedOn w:val="1"/>
    <w:next w:val="1"/>
    <w:qFormat/>
    <w:locked/>
    <w:uiPriority w:val="0"/>
    <w:pPr>
      <w:ind w:left="200" w:leftChars="200" w:hanging="200" w:hangingChars="200"/>
    </w:pPr>
    <w:rPr>
      <w:rFonts w:ascii="宋体"/>
      <w:kern w:val="0"/>
      <w:sz w:val="24"/>
      <w:szCs w:val="20"/>
    </w:rPr>
  </w:style>
  <w:style w:type="paragraph" w:styleId="24">
    <w:name w:val="toc 2"/>
    <w:basedOn w:val="1"/>
    <w:next w:val="1"/>
    <w:qFormat/>
    <w:locked/>
    <w:uiPriority w:val="39"/>
    <w:pPr>
      <w:ind w:right="-107" w:rightChars="-51"/>
      <w:jc w:val="center"/>
    </w:pPr>
    <w:rPr>
      <w:color w:val="000000"/>
    </w:rPr>
  </w:style>
  <w:style w:type="paragraph" w:styleId="25">
    <w:name w:val="Normal (Web)"/>
    <w:basedOn w:val="1"/>
    <w:link w:val="47"/>
    <w:qFormat/>
    <w:uiPriority w:val="0"/>
    <w:pPr>
      <w:widowControl/>
      <w:spacing w:before="100" w:beforeAutospacing="1" w:after="100" w:afterAutospacing="1"/>
      <w:jc w:val="left"/>
    </w:pPr>
    <w:rPr>
      <w:rFonts w:ascii="宋体" w:hAnsi="宋体"/>
      <w:kern w:val="0"/>
      <w:sz w:val="24"/>
      <w:szCs w:val="20"/>
    </w:rPr>
  </w:style>
  <w:style w:type="paragraph" w:styleId="26">
    <w:name w:val="Title"/>
    <w:basedOn w:val="1"/>
    <w:next w:val="1"/>
    <w:link w:val="65"/>
    <w:qFormat/>
    <w:locked/>
    <w:uiPriority w:val="0"/>
    <w:pPr>
      <w:spacing w:before="240" w:after="60"/>
      <w:jc w:val="center"/>
      <w:outlineLvl w:val="0"/>
    </w:pPr>
    <w:rPr>
      <w:rFonts w:asciiTheme="majorHAnsi" w:hAnsiTheme="majorHAnsi" w:cstheme="majorBidi"/>
      <w:b/>
      <w:bCs/>
      <w:sz w:val="32"/>
      <w:szCs w:val="32"/>
    </w:rPr>
  </w:style>
  <w:style w:type="paragraph" w:styleId="27">
    <w:name w:val="annotation subject"/>
    <w:basedOn w:val="11"/>
    <w:next w:val="11"/>
    <w:link w:val="48"/>
    <w:semiHidden/>
    <w:qFormat/>
    <w:uiPriority w:val="0"/>
    <w:rPr>
      <w:b/>
    </w:rPr>
  </w:style>
  <w:style w:type="paragraph" w:styleId="28">
    <w:name w:val="Body Text First Indent"/>
    <w:basedOn w:val="2"/>
    <w:next w:val="1"/>
    <w:qFormat/>
    <w:locked/>
    <w:uiPriority w:val="0"/>
    <w:pPr>
      <w:ind w:firstLine="420" w:firstLineChars="100"/>
    </w:pPr>
  </w:style>
  <w:style w:type="paragraph" w:styleId="29">
    <w:name w:val="Body Text First Indent 2"/>
    <w:basedOn w:val="13"/>
    <w:next w:val="28"/>
    <w:qFormat/>
    <w:locked/>
    <w:uiPriority w:val="0"/>
    <w:pPr>
      <w:ind w:firstLine="420" w:firstLineChars="200"/>
    </w:p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locked/>
    <w:uiPriority w:val="0"/>
    <w:rPr>
      <w:b/>
    </w:rPr>
  </w:style>
  <w:style w:type="character" w:styleId="34">
    <w:name w:val="page number"/>
    <w:qFormat/>
    <w:locked/>
    <w:uiPriority w:val="0"/>
  </w:style>
  <w:style w:type="character" w:styleId="35">
    <w:name w:val="Emphasis"/>
    <w:basedOn w:val="32"/>
    <w:qFormat/>
    <w:locked/>
    <w:uiPriority w:val="0"/>
    <w:rPr>
      <w:i/>
      <w:iCs/>
    </w:rPr>
  </w:style>
  <w:style w:type="character" w:styleId="36">
    <w:name w:val="Hyperlink"/>
    <w:basedOn w:val="32"/>
    <w:qFormat/>
    <w:locked/>
    <w:uiPriority w:val="99"/>
    <w:rPr>
      <w:color w:val="0000FF"/>
      <w:u w:val="single"/>
    </w:rPr>
  </w:style>
  <w:style w:type="character" w:styleId="37">
    <w:name w:val="annotation reference"/>
    <w:semiHidden/>
    <w:qFormat/>
    <w:uiPriority w:val="0"/>
    <w:rPr>
      <w:sz w:val="21"/>
    </w:rPr>
  </w:style>
  <w:style w:type="paragraph" w:customStyle="1" w:styleId="38">
    <w:name w:val="样式 标题 1 + 四号 段前: 0 磅 段后: 0 磅 行距: 1.5 倍行距"/>
    <w:basedOn w:val="39"/>
    <w:next w:val="12"/>
    <w:qFormat/>
    <w:uiPriority w:val="0"/>
    <w:pPr>
      <w:jc w:val="center"/>
    </w:pPr>
  </w:style>
  <w:style w:type="paragraph" w:customStyle="1" w:styleId="39">
    <w:name w:val="1正文"/>
    <w:qFormat/>
    <w:uiPriority w:val="0"/>
    <w:pPr>
      <w:snapToGrid w:val="0"/>
      <w:spacing w:line="360" w:lineRule="auto"/>
      <w:ind w:firstLine="200" w:firstLineChars="200"/>
      <w:jc w:val="both"/>
    </w:pPr>
    <w:rPr>
      <w:rFonts w:ascii="Tms Rmn" w:hAnsi="Tms Rmn" w:eastAsia="華康中楷體" w:cs="??"/>
      <w:kern w:val="2"/>
      <w:sz w:val="24"/>
      <w:szCs w:val="24"/>
      <w:lang w:val="en-US" w:eastAsia="zh-CN" w:bidi="ar-SA"/>
    </w:rPr>
  </w:style>
  <w:style w:type="character" w:customStyle="1" w:styleId="40">
    <w:name w:val="批注文字 Char"/>
    <w:link w:val="11"/>
    <w:qFormat/>
    <w:locked/>
    <w:uiPriority w:val="0"/>
    <w:rPr>
      <w:rFonts w:ascii="Times New Roman" w:hAnsi="Times New Roman" w:eastAsia="宋体"/>
      <w:sz w:val="24"/>
    </w:rPr>
  </w:style>
  <w:style w:type="character" w:customStyle="1" w:styleId="41">
    <w:name w:val="正文文本 Char"/>
    <w:link w:val="2"/>
    <w:qFormat/>
    <w:locked/>
    <w:uiPriority w:val="0"/>
    <w:rPr>
      <w:sz w:val="18"/>
    </w:rPr>
  </w:style>
  <w:style w:type="character" w:customStyle="1" w:styleId="42">
    <w:name w:val="正文文本缩进 Char"/>
    <w:link w:val="13"/>
    <w:semiHidden/>
    <w:qFormat/>
    <w:locked/>
    <w:uiPriority w:val="0"/>
    <w:rPr>
      <w:rFonts w:ascii="Times New Roman" w:hAnsi="Times New Roman" w:eastAsia="宋体"/>
      <w:sz w:val="24"/>
    </w:rPr>
  </w:style>
  <w:style w:type="character" w:customStyle="1" w:styleId="43">
    <w:name w:val="日期 Char"/>
    <w:link w:val="17"/>
    <w:qFormat/>
    <w:locked/>
    <w:uiPriority w:val="0"/>
    <w:rPr>
      <w:rFonts w:ascii="Times New Roman" w:hAnsi="Times New Roman" w:eastAsia="宋体"/>
      <w:sz w:val="24"/>
    </w:rPr>
  </w:style>
  <w:style w:type="character" w:customStyle="1" w:styleId="44">
    <w:name w:val="批注框文本 Char"/>
    <w:link w:val="18"/>
    <w:semiHidden/>
    <w:qFormat/>
    <w:locked/>
    <w:uiPriority w:val="0"/>
    <w:rPr>
      <w:rFonts w:ascii="Times New Roman" w:hAnsi="Times New Roman" w:eastAsia="宋体"/>
      <w:sz w:val="18"/>
    </w:rPr>
  </w:style>
  <w:style w:type="character" w:customStyle="1" w:styleId="45">
    <w:name w:val="页脚 Char"/>
    <w:link w:val="19"/>
    <w:qFormat/>
    <w:locked/>
    <w:uiPriority w:val="99"/>
    <w:rPr>
      <w:sz w:val="18"/>
    </w:rPr>
  </w:style>
  <w:style w:type="character" w:customStyle="1" w:styleId="46">
    <w:name w:val="页眉 Char"/>
    <w:link w:val="14"/>
    <w:qFormat/>
    <w:locked/>
    <w:uiPriority w:val="0"/>
    <w:rPr>
      <w:sz w:val="18"/>
    </w:rPr>
  </w:style>
  <w:style w:type="character" w:customStyle="1" w:styleId="47">
    <w:name w:val="普通(网站) Char"/>
    <w:link w:val="25"/>
    <w:qFormat/>
    <w:locked/>
    <w:uiPriority w:val="0"/>
    <w:rPr>
      <w:rFonts w:ascii="宋体" w:hAnsi="宋体" w:eastAsia="宋体"/>
      <w:sz w:val="24"/>
    </w:rPr>
  </w:style>
  <w:style w:type="character" w:customStyle="1" w:styleId="48">
    <w:name w:val="批注主题 Char"/>
    <w:link w:val="27"/>
    <w:semiHidden/>
    <w:qFormat/>
    <w:locked/>
    <w:uiPriority w:val="0"/>
    <w:rPr>
      <w:rFonts w:ascii="Times New Roman" w:hAnsi="Times New Roman" w:eastAsia="宋体"/>
      <w:b/>
      <w:kern w:val="2"/>
      <w:sz w:val="24"/>
    </w:rPr>
  </w:style>
  <w:style w:type="character" w:customStyle="1" w:styleId="49">
    <w:name w:val="正文文本 字符1"/>
    <w:semiHidden/>
    <w:qFormat/>
    <w:uiPriority w:val="0"/>
    <w:rPr>
      <w:rFonts w:ascii="Times New Roman" w:hAnsi="Times New Roman" w:eastAsia="宋体"/>
      <w:sz w:val="24"/>
    </w:rPr>
  </w:style>
  <w:style w:type="character" w:customStyle="1" w:styleId="50">
    <w:name w:val="表格 Char"/>
    <w:link w:val="51"/>
    <w:qFormat/>
    <w:locked/>
    <w:uiPriority w:val="0"/>
    <w:rPr>
      <w:rFonts w:ascii="宋体"/>
      <w:sz w:val="21"/>
    </w:rPr>
  </w:style>
  <w:style w:type="paragraph" w:customStyle="1" w:styleId="51">
    <w:name w:val="表格"/>
    <w:basedOn w:val="52"/>
    <w:next w:val="1"/>
    <w:link w:val="50"/>
    <w:qFormat/>
    <w:uiPriority w:val="0"/>
    <w:pPr>
      <w:spacing w:beforeLines="10" w:afterLines="10" w:line="259" w:lineRule="auto"/>
    </w:pPr>
    <w:rPr>
      <w:rFonts w:ascii="宋体"/>
      <w:kern w:val="0"/>
      <w:szCs w:val="20"/>
    </w:rPr>
  </w:style>
  <w:style w:type="paragraph" w:customStyle="1" w:styleId="52">
    <w:name w:val="表头"/>
    <w:basedOn w:val="1"/>
    <w:qFormat/>
    <w:uiPriority w:val="0"/>
    <w:pPr>
      <w:adjustRightInd w:val="0"/>
      <w:snapToGrid w:val="0"/>
      <w:jc w:val="center"/>
    </w:pPr>
    <w:rPr>
      <w:b/>
    </w:rPr>
  </w:style>
  <w:style w:type="character" w:customStyle="1" w:styleId="53">
    <w:name w:val="页脚 字符"/>
    <w:qFormat/>
    <w:uiPriority w:val="99"/>
  </w:style>
  <w:style w:type="character" w:customStyle="1" w:styleId="54">
    <w:name w:val="日期 字符"/>
    <w:semiHidden/>
    <w:qFormat/>
    <w:uiPriority w:val="0"/>
    <w:rPr>
      <w:rFonts w:ascii="Times New Roman" w:hAnsi="Times New Roman" w:eastAsia="宋体"/>
      <w:sz w:val="24"/>
    </w:rPr>
  </w:style>
  <w:style w:type="character" w:customStyle="1" w:styleId="55">
    <w:name w:val="批注文字 字符1"/>
    <w:semiHidden/>
    <w:qFormat/>
    <w:uiPriority w:val="0"/>
    <w:rPr>
      <w:rFonts w:ascii="Times New Roman" w:hAnsi="Times New Roman" w:eastAsia="宋体"/>
      <w:sz w:val="24"/>
    </w:rPr>
  </w:style>
  <w:style w:type="paragraph" w:customStyle="1" w:styleId="5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表格文字1"/>
    <w:basedOn w:val="59"/>
    <w:qFormat/>
    <w:uiPriority w:val="0"/>
    <w:pPr>
      <w:adjustRightInd w:val="0"/>
      <w:snapToGrid w:val="0"/>
      <w:ind w:firstLine="422"/>
    </w:pPr>
    <w:rPr>
      <w:rFonts w:ascii="宋体" w:hAnsi="宋体"/>
    </w:rPr>
  </w:style>
  <w:style w:type="paragraph" w:customStyle="1" w:styleId="59">
    <w:name w:val="表格中文字"/>
    <w:basedOn w:val="1"/>
    <w:qFormat/>
    <w:uiPriority w:val="0"/>
    <w:rPr>
      <w:szCs w:val="52"/>
    </w:rPr>
  </w:style>
  <w:style w:type="character" w:customStyle="1" w:styleId="60">
    <w:name w:val="font01"/>
    <w:qFormat/>
    <w:uiPriority w:val="0"/>
    <w:rPr>
      <w:rFonts w:hint="default" w:ascii="Times New Roman" w:hAnsi="Times New Roman" w:cs="Times New Roman"/>
      <w:color w:val="000000"/>
      <w:sz w:val="21"/>
      <w:szCs w:val="21"/>
      <w:u w:val="none"/>
      <w:vertAlign w:val="superscript"/>
    </w:rPr>
  </w:style>
  <w:style w:type="paragraph" w:customStyle="1" w:styleId="61">
    <w:name w:val="样式5"/>
    <w:basedOn w:val="1"/>
    <w:qFormat/>
    <w:uiPriority w:val="0"/>
    <w:pPr>
      <w:snapToGrid w:val="0"/>
      <w:spacing w:line="360" w:lineRule="auto"/>
      <w:ind w:firstLine="510"/>
    </w:pPr>
    <w:rPr>
      <w:sz w:val="24"/>
    </w:rPr>
  </w:style>
  <w:style w:type="paragraph" w:customStyle="1" w:styleId="62">
    <w:name w:val="Default"/>
    <w:unhideWhenUsed/>
    <w:qFormat/>
    <w:uiPriority w:val="99"/>
    <w:pPr>
      <w:widowControl w:val="0"/>
      <w:autoSpaceDE w:val="0"/>
      <w:autoSpaceDN w:val="0"/>
      <w:adjustRightInd w:val="0"/>
    </w:pPr>
    <w:rPr>
      <w:rFonts w:ascii="黑体" w:hAnsi="黑体" w:eastAsia="黑体" w:cs="Times New Roman"/>
      <w:color w:val="000000"/>
      <w:sz w:val="24"/>
      <w:szCs w:val="24"/>
      <w:lang w:val="en-US" w:eastAsia="zh-CN" w:bidi="ar-SA"/>
    </w:rPr>
  </w:style>
  <w:style w:type="character" w:customStyle="1" w:styleId="63">
    <w:name w:val="文档结构图 Char"/>
    <w:basedOn w:val="32"/>
    <w:link w:val="10"/>
    <w:qFormat/>
    <w:uiPriority w:val="0"/>
    <w:rPr>
      <w:rFonts w:ascii="宋体"/>
      <w:kern w:val="2"/>
      <w:sz w:val="18"/>
      <w:szCs w:val="18"/>
    </w:rPr>
  </w:style>
  <w:style w:type="paragraph" w:customStyle="1" w:styleId="64">
    <w:name w:val="表内容"/>
    <w:basedOn w:val="1"/>
    <w:qFormat/>
    <w:uiPriority w:val="0"/>
    <w:pPr>
      <w:jc w:val="center"/>
    </w:pPr>
    <w:rPr>
      <w:rFonts w:eastAsia="仿宋"/>
    </w:rPr>
  </w:style>
  <w:style w:type="character" w:customStyle="1" w:styleId="65">
    <w:name w:val="标题 Char"/>
    <w:basedOn w:val="32"/>
    <w:link w:val="26"/>
    <w:qFormat/>
    <w:uiPriority w:val="0"/>
    <w:rPr>
      <w:rFonts w:asciiTheme="majorHAnsi" w:hAnsiTheme="majorHAnsi" w:cstheme="majorBidi"/>
      <w:b/>
      <w:bCs/>
      <w:kern w:val="2"/>
      <w:sz w:val="32"/>
      <w:szCs w:val="32"/>
    </w:rPr>
  </w:style>
  <w:style w:type="paragraph" w:customStyle="1" w:styleId="66">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67">
    <w:name w:val="Char Char Char Char"/>
    <w:basedOn w:val="1"/>
    <w:qFormat/>
    <w:uiPriority w:val="0"/>
    <w:pPr>
      <w:snapToGrid w:val="0"/>
      <w:spacing w:line="360" w:lineRule="auto"/>
      <w:ind w:firstLine="200" w:firstLineChars="200"/>
    </w:pPr>
    <w:rPr>
      <w:szCs w:val="20"/>
    </w:rPr>
  </w:style>
  <w:style w:type="paragraph" w:customStyle="1" w:styleId="68">
    <w:name w:val="_Style 30"/>
    <w:basedOn w:val="1"/>
    <w:qFormat/>
    <w:uiPriority w:val="0"/>
    <w:pPr>
      <w:spacing w:line="360" w:lineRule="auto"/>
      <w:ind w:firstLine="880" w:firstLineChars="200"/>
    </w:pPr>
    <w:rPr>
      <w:sz w:val="24"/>
      <w:szCs w:val="21"/>
    </w:rPr>
  </w:style>
  <w:style w:type="paragraph" w:customStyle="1" w:styleId="69">
    <w:name w:val="报告书表格"/>
    <w:basedOn w:val="1"/>
    <w:qFormat/>
    <w:uiPriority w:val="0"/>
    <w:pPr>
      <w:adjustRightInd w:val="0"/>
      <w:spacing w:before="60" w:after="60" w:line="240" w:lineRule="atLeast"/>
      <w:jc w:val="center"/>
      <w:textAlignment w:val="baseline"/>
    </w:pPr>
    <w:rPr>
      <w:kern w:val="0"/>
      <w:szCs w:val="20"/>
    </w:rPr>
  </w:style>
  <w:style w:type="paragraph" w:customStyle="1" w:styleId="70">
    <w:name w:val="文章"/>
    <w:basedOn w:val="1"/>
    <w:qFormat/>
    <w:uiPriority w:val="0"/>
    <w:pPr>
      <w:spacing w:line="360" w:lineRule="auto"/>
      <w:ind w:firstLine="200" w:firstLineChars="200"/>
    </w:pPr>
    <w:rPr>
      <w:rFonts w:cs="宋体"/>
      <w:bCs/>
      <w:color w:val="000000"/>
      <w:sz w:val="24"/>
    </w:rPr>
  </w:style>
  <w:style w:type="paragraph" w:customStyle="1" w:styleId="71">
    <w:name w:val="p0"/>
    <w:qFormat/>
    <w:uiPriority w:val="0"/>
    <w:rPr>
      <w:rFonts w:ascii="Times New Roman" w:hAnsi="Times New Roman" w:eastAsia="宋体" w:cs="Times New Roman"/>
      <w:szCs w:val="21"/>
      <w:lang w:val="en-US" w:eastAsia="zh-CN" w:bidi="ar-SA"/>
    </w:rPr>
  </w:style>
  <w:style w:type="paragraph" w:customStyle="1" w:styleId="72">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73">
    <w:name w:val="方案正文"/>
    <w:basedOn w:val="1"/>
    <w:qFormat/>
    <w:uiPriority w:val="0"/>
    <w:pPr>
      <w:topLinePunct/>
      <w:spacing w:line="360" w:lineRule="auto"/>
      <w:ind w:firstLine="200" w:firstLineChars="200"/>
    </w:pPr>
    <w:rPr>
      <w:sz w:val="24"/>
      <w:szCs w:val="22"/>
    </w:rPr>
  </w:style>
  <w:style w:type="character" w:customStyle="1" w:styleId="74">
    <w:name w:val="dz1"/>
    <w:basedOn w:val="32"/>
    <w:qFormat/>
    <w:uiPriority w:val="0"/>
    <w:rPr>
      <w:rFonts w:hint="default" w:ascii="Geneva" w:hAnsi="Geneva"/>
      <w:sz w:val="20"/>
      <w:szCs w:val="20"/>
    </w:rPr>
  </w:style>
  <w:style w:type="character" w:customStyle="1" w:styleId="75">
    <w:name w:val="fs"/>
    <w:basedOn w:val="32"/>
    <w:qFormat/>
    <w:uiPriority w:val="0"/>
  </w:style>
  <w:style w:type="paragraph" w:customStyle="1" w:styleId="76">
    <w:name w:val="正文2"/>
    <w:basedOn w:val="1"/>
    <w:qFormat/>
    <w:uiPriority w:val="0"/>
    <w:pPr>
      <w:adjustRightInd w:val="0"/>
      <w:snapToGrid w:val="0"/>
      <w:spacing w:line="440" w:lineRule="atLeast"/>
      <w:ind w:firstLine="567"/>
    </w:pPr>
    <w:rPr>
      <w:sz w:val="24"/>
      <w:szCs w:val="20"/>
    </w:rPr>
  </w:style>
  <w:style w:type="paragraph" w:customStyle="1" w:styleId="77">
    <w:name w:val="5 Char"/>
    <w:basedOn w:val="1"/>
    <w:qFormat/>
    <w:uiPriority w:val="0"/>
    <w:rPr>
      <w:sz w:val="24"/>
    </w:rPr>
  </w:style>
  <w:style w:type="paragraph" w:customStyle="1" w:styleId="78">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实施方案正文"/>
    <w:basedOn w:val="1"/>
    <w:qFormat/>
    <w:uiPriority w:val="0"/>
    <w:pPr>
      <w:ind w:firstLine="566" w:firstLineChars="202"/>
    </w:pPr>
    <w:rPr>
      <w:rFonts w:ascii="等线" w:hAnsi="等线" w:eastAsia="等线"/>
      <w:szCs w:val="28"/>
    </w:rPr>
  </w:style>
  <w:style w:type="paragraph" w:customStyle="1" w:styleId="80">
    <w:name w:val="一级标题"/>
    <w:basedOn w:val="1"/>
    <w:qFormat/>
    <w:uiPriority w:val="0"/>
    <w:rPr>
      <w:b/>
    </w:rPr>
  </w:style>
  <w:style w:type="character" w:customStyle="1" w:styleId="81">
    <w:name w:val="NormalCharacter"/>
    <w:qFormat/>
    <w:uiPriority w:val="0"/>
  </w:style>
  <w:style w:type="paragraph" w:customStyle="1" w:styleId="82">
    <w:name w:val="南华小标题"/>
    <w:basedOn w:val="1"/>
    <w:qFormat/>
    <w:uiPriority w:val="0"/>
    <w:pPr>
      <w:spacing w:line="360" w:lineRule="auto"/>
      <w:ind w:firstLine="200" w:firstLineChars="200"/>
      <w:jc w:val="left"/>
    </w:pPr>
    <w:rPr>
      <w:rFonts w:ascii="宋体" w:hAnsi="宋体"/>
      <w:b/>
      <w:sz w:val="24"/>
      <w:szCs w:val="20"/>
    </w:rPr>
  </w:style>
  <w:style w:type="character" w:customStyle="1" w:styleId="83">
    <w:name w:val="批注文字 字符"/>
    <w:qFormat/>
    <w:uiPriority w:val="99"/>
    <w:rPr>
      <w:kern w:val="2"/>
      <w:sz w:val="21"/>
      <w:szCs w:val="24"/>
    </w:rPr>
  </w:style>
  <w:style w:type="character" w:customStyle="1" w:styleId="84">
    <w:name w:val="正文1 Char Char"/>
    <w:qFormat/>
    <w:uiPriority w:val="0"/>
    <w:rPr>
      <w:rFonts w:ascii="Arial" w:hAnsi="Arial" w:eastAsia="仿宋_GB2312"/>
      <w:sz w:val="28"/>
      <w:szCs w:val="24"/>
    </w:rPr>
  </w:style>
  <w:style w:type="character" w:customStyle="1" w:styleId="85">
    <w:name w:val="标题 2 Char"/>
    <w:link w:val="5"/>
    <w:qFormat/>
    <w:uiPriority w:val="0"/>
    <w:rPr>
      <w:rFonts w:ascii="Cambria" w:hAnsi="Cambria"/>
      <w:b/>
      <w:bCs/>
      <w:kern w:val="0"/>
      <w:sz w:val="32"/>
      <w:szCs w:val="32"/>
    </w:rPr>
  </w:style>
  <w:style w:type="paragraph" w:styleId="86">
    <w:name w:val="List Paragraph"/>
    <w:basedOn w:val="1"/>
    <w:unhideWhenUsed/>
    <w:qFormat/>
    <w:uiPriority w:val="99"/>
    <w:pPr>
      <w:ind w:firstLine="420" w:firstLineChars="200"/>
    </w:pPr>
  </w:style>
  <w:style w:type="paragraph" w:customStyle="1" w:styleId="87">
    <w:name w:val="Table Paragraph"/>
    <w:basedOn w:val="1"/>
    <w:qFormat/>
    <w:uiPriority w:val="1"/>
    <w:pPr>
      <w:jc w:val="left"/>
    </w:pPr>
    <w:rPr>
      <w:kern w:val="0"/>
      <w:sz w:val="22"/>
      <w:szCs w:val="21"/>
      <w:lang w:eastAsia="en-US"/>
    </w:rPr>
  </w:style>
  <w:style w:type="paragraph" w:customStyle="1" w:styleId="88">
    <w:name w:val="_Style 5"/>
    <w:basedOn w:val="1"/>
    <w:qFormat/>
    <w:uiPriority w:val="0"/>
    <w:pPr>
      <w:spacing w:line="360" w:lineRule="auto"/>
      <w:ind w:firstLine="420" w:firstLineChars="200"/>
    </w:pPr>
    <w:rPr>
      <w:rFonts w:ascii="Calibri" w:hAnsi="Calibri"/>
      <w:kern w:val="0"/>
      <w:sz w:val="24"/>
      <w:szCs w:val="20"/>
    </w:rPr>
  </w:style>
  <w:style w:type="paragraph" w:customStyle="1" w:styleId="89">
    <w:name w:val="表头标题"/>
    <w:basedOn w:val="90"/>
    <w:next w:val="1"/>
    <w:qFormat/>
    <w:uiPriority w:val="0"/>
    <w:pPr>
      <w:widowControl/>
      <w:spacing w:line="360" w:lineRule="auto"/>
      <w:jc w:val="center"/>
      <w:textAlignment w:val="auto"/>
    </w:pPr>
    <w:rPr>
      <w:rFonts w:ascii="Times New Roman"/>
      <w:b/>
      <w:color w:val="FF00FF"/>
    </w:rPr>
  </w:style>
  <w:style w:type="paragraph" w:customStyle="1" w:styleId="90">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91">
    <w:name w:val="表格文字"/>
    <w:qFormat/>
    <w:uiPriority w:val="0"/>
    <w:pPr>
      <w:snapToGrid w:val="0"/>
    </w:pPr>
    <w:rPr>
      <w:rFonts w:ascii="宋体" w:hAnsi="宋体" w:eastAsia="宋体" w:cs="Times New Roman"/>
      <w:sz w:val="21"/>
      <w:lang w:val="en-US" w:eastAsia="zh-CN" w:bidi="ar-SA"/>
    </w:rPr>
  </w:style>
  <w:style w:type="character" w:customStyle="1" w:styleId="92">
    <w:name w:val="font71"/>
    <w:basedOn w:val="32"/>
    <w:qFormat/>
    <w:uiPriority w:val="0"/>
    <w:rPr>
      <w:rFonts w:hint="default" w:ascii="Times New Roman" w:hAnsi="Times New Roman" w:cs="Times New Roman"/>
      <w:color w:val="000000"/>
      <w:sz w:val="21"/>
      <w:szCs w:val="21"/>
      <w:u w:val="none"/>
      <w:vertAlign w:val="superscript"/>
    </w:rPr>
  </w:style>
  <w:style w:type="paragraph" w:customStyle="1" w:styleId="93">
    <w:name w:val="0正文"/>
    <w:basedOn w:val="1"/>
    <w:qFormat/>
    <w:uiPriority w:val="0"/>
    <w:pPr>
      <w:spacing w:line="360" w:lineRule="auto"/>
      <w:ind w:firstLine="200" w:firstLineChars="200"/>
    </w:pPr>
    <w:rPr>
      <w:rFonts w:ascii="Calibri" w:hAnsi="Calibri"/>
      <w:sz w:val="24"/>
      <w:szCs w:val="22"/>
    </w:rPr>
  </w:style>
  <w:style w:type="character" w:customStyle="1" w:styleId="94">
    <w:name w:val="正文文本 Char1"/>
    <w:qFormat/>
    <w:uiPriority w:val="0"/>
    <w:rPr>
      <w:rFonts w:eastAsia="宋体"/>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9.wmf"/><Relationship Id="rId24" Type="http://schemas.openxmlformats.org/officeDocument/2006/relationships/oleObject" Target="embeddings/oleObject8.bin"/><Relationship Id="rId23" Type="http://schemas.openxmlformats.org/officeDocument/2006/relationships/image" Target="media/image8.wmf"/><Relationship Id="rId22" Type="http://schemas.openxmlformats.org/officeDocument/2006/relationships/oleObject" Target="embeddings/oleObject7.bin"/><Relationship Id="rId21" Type="http://schemas.openxmlformats.org/officeDocument/2006/relationships/image" Target="media/image7.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F1360-A8AD-4C37-A861-3389ECB34F7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106</Pages>
  <Words>70438</Words>
  <Characters>78672</Characters>
  <Lines>601</Lines>
  <Paragraphs>169</Paragraphs>
  <TotalTime>11</TotalTime>
  <ScaleCrop>false</ScaleCrop>
  <LinksUpToDate>false</LinksUpToDate>
  <CharactersWithSpaces>78898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2022-02-22T14:44:00Z</dcterms:created>
  <dc:creator>lhj</dc:creator>
  <cp:lastModifiedBy>hc`心忆</cp:lastModifiedBy>
  <cp:lastPrinted>2022-03-17T04:07:00Z</cp:lastPrinted>
  <dcterms:modified xsi:type="dcterms:W3CDTF">2023-07-03T02:00:43Z</dcterms:modified>
  <dc:title>附件2</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9289AACEB044414EB3F94C1EDC221F59_13</vt:lpwstr>
  </property>
</Properties>
</file>