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44"/>
          <w:szCs w:val="44"/>
        </w:rPr>
      </w:pPr>
    </w:p>
    <w:p>
      <w:pPr>
        <w:spacing w:line="360" w:lineRule="auto"/>
        <w:jc w:val="center"/>
        <w:rPr>
          <w:rFonts w:ascii="方正小标宋简体" w:eastAsia="方正小标宋简体"/>
          <w:sz w:val="44"/>
          <w:szCs w:val="44"/>
        </w:rPr>
      </w:pPr>
    </w:p>
    <w:p>
      <w:pPr>
        <w:spacing w:line="360" w:lineRule="auto"/>
        <w:jc w:val="center"/>
        <w:rPr>
          <w:rFonts w:ascii="方正小标宋简体" w:eastAsia="方正小标宋简体"/>
          <w:sz w:val="44"/>
          <w:szCs w:val="44"/>
        </w:rPr>
      </w:pPr>
    </w:p>
    <w:p>
      <w:pPr>
        <w:spacing w:line="360" w:lineRule="auto"/>
        <w:jc w:val="center"/>
        <w:rPr>
          <w:rFonts w:ascii="方正小标宋简体" w:eastAsia="方正小标宋简体"/>
          <w:sz w:val="44"/>
          <w:szCs w:val="44"/>
        </w:rPr>
      </w:pPr>
    </w:p>
    <w:p>
      <w:pPr>
        <w:spacing w:line="360" w:lineRule="auto"/>
        <w:rPr>
          <w:rFonts w:ascii="方正小标宋简体" w:eastAsia="方正小标宋简体"/>
          <w:sz w:val="44"/>
          <w:szCs w:val="44"/>
        </w:rPr>
      </w:pPr>
    </w:p>
    <w:p>
      <w:pPr>
        <w:jc w:val="center"/>
        <w:rPr>
          <w:rFonts w:ascii="黑体" w:hAnsi="黑体" w:eastAsia="黑体" w:cs="黑体"/>
          <w:b/>
          <w:bCs/>
        </w:rPr>
      </w:pPr>
      <w:r>
        <w:rPr>
          <w:rFonts w:hint="eastAsia" w:ascii="黑体" w:hAnsi="黑体" w:eastAsia="黑体" w:cs="黑体"/>
          <w:b/>
          <w:bCs/>
          <w:sz w:val="44"/>
          <w:szCs w:val="44"/>
        </w:rPr>
        <w:t>寻甸县“十四五”城市管理规划</w:t>
      </w: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right"/>
        <w:rPr>
          <w:rFonts w:ascii="黑体" w:hAnsi="黑体" w:eastAsia="黑体" w:cs="黑体"/>
          <w:b/>
          <w:bCs/>
        </w:rPr>
      </w:pPr>
    </w:p>
    <w:p>
      <w:pPr>
        <w:jc w:val="center"/>
        <w:outlineLvl w:val="0"/>
        <w:rPr>
          <w:rFonts w:hint="eastAsia" w:ascii="仿宋" w:hAnsi="仿宋" w:eastAsia="仿宋" w:cs="仿宋"/>
          <w:b/>
          <w:bCs/>
          <w:sz w:val="28"/>
          <w:szCs w:val="36"/>
          <w:lang w:val="en-US" w:eastAsia="zh-CN"/>
        </w:rPr>
      </w:pPr>
      <w:bookmarkStart w:id="0" w:name="_Toc24995"/>
      <w:r>
        <w:rPr>
          <w:rFonts w:hint="eastAsia" w:ascii="仿宋" w:hAnsi="仿宋" w:eastAsia="仿宋" w:cs="仿宋"/>
          <w:b/>
          <w:bCs/>
          <w:sz w:val="28"/>
          <w:szCs w:val="36"/>
        </w:rPr>
        <w:t>寻甸县城市管理局</w:t>
      </w:r>
      <w:r>
        <w:rPr>
          <w:rFonts w:hint="eastAsia" w:ascii="仿宋" w:hAnsi="仿宋" w:eastAsia="仿宋" w:cs="仿宋"/>
          <w:b/>
          <w:bCs/>
          <w:sz w:val="28"/>
          <w:szCs w:val="36"/>
          <w:lang w:val="en-US" w:eastAsia="zh-CN"/>
        </w:rPr>
        <w:t xml:space="preserve"> 编制</w:t>
      </w:r>
      <w:bookmarkEnd w:id="0"/>
    </w:p>
    <w:p>
      <w:pPr>
        <w:jc w:val="center"/>
        <w:outlineLvl w:val="0"/>
        <w:rPr>
          <w:rFonts w:hint="default" w:ascii="仿宋" w:hAnsi="仿宋" w:eastAsia="仿宋" w:cs="仿宋"/>
          <w:b/>
          <w:bCs/>
          <w:sz w:val="28"/>
          <w:szCs w:val="36"/>
          <w:lang w:val="en-US" w:eastAsia="zh-CN"/>
        </w:rPr>
        <w:sectPr>
          <w:pgSz w:w="11850" w:h="16783"/>
          <w:pgMar w:top="1440" w:right="1080" w:bottom="1440" w:left="1080" w:header="851" w:footer="992" w:gutter="0"/>
          <w:cols w:space="425" w:num="1"/>
          <w:docGrid w:type="lines" w:linePitch="312" w:charSpace="0"/>
        </w:sectPr>
      </w:pPr>
      <w:bookmarkStart w:id="1" w:name="_Toc21679"/>
      <w:r>
        <w:rPr>
          <w:rFonts w:hint="eastAsia" w:ascii="仿宋" w:hAnsi="仿宋" w:eastAsia="仿宋" w:cs="仿宋"/>
          <w:b/>
          <w:bCs/>
          <w:sz w:val="28"/>
          <w:szCs w:val="36"/>
        </w:rPr>
        <w:t>202</w:t>
      </w:r>
      <w:r>
        <w:rPr>
          <w:rFonts w:hint="eastAsia" w:ascii="仿宋" w:hAnsi="仿宋" w:eastAsia="仿宋" w:cs="仿宋"/>
          <w:b/>
          <w:bCs/>
          <w:sz w:val="28"/>
          <w:szCs w:val="36"/>
          <w:lang w:val="en-US" w:eastAsia="zh-CN"/>
        </w:rPr>
        <w:t>1</w:t>
      </w:r>
      <w:r>
        <w:rPr>
          <w:rFonts w:hint="eastAsia" w:ascii="仿宋" w:hAnsi="仿宋" w:eastAsia="仿宋" w:cs="仿宋"/>
          <w:b/>
          <w:bCs/>
          <w:sz w:val="28"/>
          <w:szCs w:val="36"/>
        </w:rPr>
        <w:t>.</w:t>
      </w:r>
      <w:r>
        <w:rPr>
          <w:rFonts w:hint="eastAsia" w:ascii="仿宋" w:hAnsi="仿宋" w:eastAsia="仿宋" w:cs="仿宋"/>
          <w:b/>
          <w:bCs/>
          <w:sz w:val="28"/>
          <w:szCs w:val="36"/>
          <w:lang w:val="en-US" w:eastAsia="zh-CN"/>
        </w:rPr>
        <w:t>05</w:t>
      </w:r>
      <w:bookmarkEnd w:id="1"/>
    </w:p>
    <w:sdt>
      <w:sdtPr>
        <w:rPr>
          <w:rFonts w:ascii="宋体" w:hAnsi="宋体" w:eastAsia="宋体" w:cs="Times New Roman"/>
          <w:kern w:val="2"/>
          <w:sz w:val="21"/>
          <w:szCs w:val="24"/>
          <w:lang w:val="en-US" w:eastAsia="zh-CN" w:bidi="ar-SA"/>
        </w:rPr>
        <w:id w:val="147462804"/>
        <w15:color w:val="DBDBDB"/>
        <w:docPartObj>
          <w:docPartGallery w:val="Table of Contents"/>
          <w:docPartUnique/>
        </w:docPartObj>
      </w:sdtPr>
      <w:sdtEndPr>
        <w:rPr>
          <w:rFonts w:ascii="仿宋" w:hAnsi="仿宋" w:eastAsia="仿宋" w:cs="仿宋"/>
          <w:b/>
          <w:bCs/>
          <w:kern w:val="2"/>
          <w:sz w:val="21"/>
          <w:szCs w:val="36"/>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0"/>
            <w:tabs>
              <w:tab w:val="right" w:leader="dot" w:pos="8306"/>
            </w:tabs>
          </w:pPr>
          <w:r>
            <w:rPr>
              <w:rFonts w:ascii="仿宋" w:hAnsi="仿宋" w:eastAsia="仿宋" w:cs="仿宋"/>
              <w:b/>
              <w:bCs/>
              <w:sz w:val="28"/>
              <w:szCs w:val="36"/>
            </w:rPr>
            <w:fldChar w:fldCharType="begin"/>
          </w:r>
          <w:r>
            <w:rPr>
              <w:rFonts w:ascii="仿宋" w:hAnsi="仿宋" w:eastAsia="仿宋" w:cs="仿宋"/>
              <w:b/>
              <w:bCs/>
              <w:sz w:val="28"/>
              <w:szCs w:val="36"/>
            </w:rPr>
            <w:instrText xml:space="preserve">TOC \o "1-2" \h \u </w:instrText>
          </w:r>
          <w:r>
            <w:rPr>
              <w:rFonts w:ascii="仿宋" w:hAnsi="仿宋" w:eastAsia="仿宋" w:cs="仿宋"/>
              <w:b/>
              <w:bCs/>
              <w:sz w:val="28"/>
              <w:szCs w:val="36"/>
            </w:rPr>
            <w:fldChar w:fldCharType="separate"/>
          </w:r>
          <w:r>
            <w:rPr>
              <w:rFonts w:ascii="仿宋" w:hAnsi="仿宋" w:eastAsia="仿宋" w:cs="仿宋"/>
              <w:bCs/>
              <w:szCs w:val="36"/>
            </w:rPr>
            <w:fldChar w:fldCharType="begin"/>
          </w:r>
          <w:r>
            <w:rPr>
              <w:rFonts w:ascii="仿宋" w:hAnsi="仿宋" w:eastAsia="仿宋" w:cs="仿宋"/>
              <w:bCs/>
              <w:szCs w:val="36"/>
            </w:rPr>
            <w:instrText xml:space="preserve"> HYPERLINK \l _Toc24995 </w:instrText>
          </w:r>
          <w:r>
            <w:rPr>
              <w:rFonts w:ascii="仿宋" w:hAnsi="仿宋" w:eastAsia="仿宋" w:cs="仿宋"/>
              <w:bCs/>
              <w:szCs w:val="36"/>
            </w:rPr>
            <w:fldChar w:fldCharType="separate"/>
          </w:r>
          <w:r>
            <w:rPr>
              <w:rFonts w:hint="eastAsia" w:ascii="仿宋" w:hAnsi="仿宋" w:eastAsia="仿宋" w:cs="仿宋"/>
              <w:bCs/>
              <w:szCs w:val="36"/>
            </w:rPr>
            <w:t>寻甸县城市管理局</w:t>
          </w:r>
          <w:r>
            <w:rPr>
              <w:rFonts w:hint="eastAsia" w:ascii="仿宋" w:hAnsi="仿宋" w:eastAsia="仿宋" w:cs="仿宋"/>
              <w:bCs/>
              <w:szCs w:val="36"/>
              <w:lang w:val="en-US" w:eastAsia="zh-CN"/>
            </w:rPr>
            <w:t xml:space="preserve"> 编制</w:t>
          </w:r>
          <w:r>
            <w:tab/>
          </w:r>
          <w:r>
            <w:fldChar w:fldCharType="begin"/>
          </w:r>
          <w:r>
            <w:instrText xml:space="preserve"> PAGEREF _Toc24995 </w:instrText>
          </w:r>
          <w:r>
            <w:fldChar w:fldCharType="separate"/>
          </w:r>
          <w:r>
            <w:t>1</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_Toc21679 </w:instrText>
          </w:r>
          <w:r>
            <w:rPr>
              <w:rFonts w:ascii="仿宋" w:hAnsi="仿宋" w:eastAsia="仿宋" w:cs="仿宋"/>
              <w:bCs/>
              <w:szCs w:val="36"/>
            </w:rPr>
            <w:fldChar w:fldCharType="separate"/>
          </w:r>
          <w:r>
            <w:rPr>
              <w:rFonts w:hint="eastAsia" w:ascii="仿宋" w:hAnsi="仿宋" w:eastAsia="仿宋" w:cs="仿宋"/>
              <w:bCs/>
              <w:szCs w:val="36"/>
            </w:rPr>
            <w:t>202</w:t>
          </w:r>
          <w:r>
            <w:rPr>
              <w:rFonts w:hint="eastAsia" w:ascii="仿宋" w:hAnsi="仿宋" w:eastAsia="仿宋" w:cs="仿宋"/>
              <w:bCs/>
              <w:szCs w:val="36"/>
              <w:lang w:val="en-US" w:eastAsia="zh-CN"/>
            </w:rPr>
            <w:t>1</w:t>
          </w:r>
          <w:r>
            <w:rPr>
              <w:rFonts w:hint="eastAsia" w:ascii="仿宋" w:hAnsi="仿宋" w:eastAsia="仿宋" w:cs="仿宋"/>
              <w:bCs/>
              <w:szCs w:val="36"/>
            </w:rPr>
            <w:t>.</w:t>
          </w:r>
          <w:r>
            <w:rPr>
              <w:rFonts w:hint="eastAsia" w:ascii="仿宋" w:hAnsi="仿宋" w:eastAsia="仿宋" w:cs="仿宋"/>
              <w:bCs/>
              <w:szCs w:val="36"/>
              <w:lang w:val="en-US" w:eastAsia="zh-CN"/>
            </w:rPr>
            <w:t>05</w:t>
          </w:r>
          <w:r>
            <w:tab/>
          </w:r>
          <w:r>
            <w:fldChar w:fldCharType="begin"/>
          </w:r>
          <w:r>
            <w:instrText xml:space="preserve"> PAGEREF _Toc21679 </w:instrText>
          </w:r>
          <w:r>
            <w:fldChar w:fldCharType="separate"/>
          </w:r>
          <w:r>
            <w:t>1</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_Toc18436 </w:instrText>
          </w:r>
          <w:r>
            <w:rPr>
              <w:rFonts w:ascii="仿宋" w:hAnsi="仿宋" w:eastAsia="仿宋" w:cs="仿宋"/>
              <w:bCs/>
              <w:szCs w:val="36"/>
            </w:rPr>
            <w:fldChar w:fldCharType="separate"/>
          </w:r>
          <w:r>
            <w:rPr>
              <w:rFonts w:hint="eastAsia"/>
              <w:bCs/>
            </w:rPr>
            <w:t>前 言</w:t>
          </w:r>
          <w:r>
            <w:tab/>
          </w:r>
          <w:r>
            <w:fldChar w:fldCharType="begin"/>
          </w:r>
          <w:r>
            <w:instrText xml:space="preserve"> PAGEREF _Toc18436 </w:instrText>
          </w:r>
          <w:r>
            <w:fldChar w:fldCharType="separate"/>
          </w:r>
          <w:r>
            <w:t>1</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_Toc25480 </w:instrText>
          </w:r>
          <w:r>
            <w:rPr>
              <w:rFonts w:ascii="仿宋" w:hAnsi="仿宋" w:eastAsia="仿宋" w:cs="仿宋"/>
              <w:bCs/>
              <w:szCs w:val="36"/>
            </w:rPr>
            <w:fldChar w:fldCharType="separate"/>
          </w:r>
          <w:r>
            <w:rPr>
              <w:rFonts w:hint="eastAsia"/>
              <w:bCs/>
            </w:rPr>
            <w:t>第一章 规划基础及发展环境</w:t>
          </w:r>
          <w:r>
            <w:tab/>
          </w:r>
          <w:r>
            <w:fldChar w:fldCharType="begin"/>
          </w:r>
          <w:r>
            <w:instrText xml:space="preserve"> PAGEREF _Toc25480 </w:instrText>
          </w:r>
          <w:r>
            <w:fldChar w:fldCharType="separate"/>
          </w:r>
          <w:r>
            <w:t>2</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_Toc24484 </w:instrText>
          </w:r>
          <w:r>
            <w:rPr>
              <w:rFonts w:ascii="仿宋" w:hAnsi="仿宋" w:eastAsia="仿宋" w:cs="仿宋"/>
              <w:bCs/>
              <w:szCs w:val="36"/>
            </w:rPr>
            <w:fldChar w:fldCharType="separate"/>
          </w:r>
          <w:r>
            <w:rPr>
              <w:rFonts w:hint="eastAsia"/>
            </w:rPr>
            <w:t>第一节 “十三五”完成情况</w:t>
          </w:r>
          <w:r>
            <w:tab/>
          </w:r>
          <w:r>
            <w:fldChar w:fldCharType="begin"/>
          </w:r>
          <w:r>
            <w:instrText xml:space="preserve"> PAGEREF _Toc24484 </w:instrText>
          </w:r>
          <w:r>
            <w:fldChar w:fldCharType="separate"/>
          </w:r>
          <w:r>
            <w:t>2</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_Toc12738 </w:instrText>
          </w:r>
          <w:r>
            <w:rPr>
              <w:rFonts w:ascii="仿宋" w:hAnsi="仿宋" w:eastAsia="仿宋" w:cs="仿宋"/>
              <w:bCs/>
              <w:szCs w:val="36"/>
            </w:rPr>
            <w:fldChar w:fldCharType="separate"/>
          </w:r>
          <w:r>
            <w:rPr>
              <w:rFonts w:hint="eastAsia"/>
              <w:bCs/>
            </w:rPr>
            <w:t>——综合整治成效显著</w:t>
          </w:r>
          <w:r>
            <w:tab/>
          </w:r>
          <w:r>
            <w:fldChar w:fldCharType="begin"/>
          </w:r>
          <w:r>
            <w:instrText xml:space="preserve"> PAGEREF _Toc12738 </w:instrText>
          </w:r>
          <w:r>
            <w:fldChar w:fldCharType="separate"/>
          </w:r>
          <w:r>
            <w:t>2</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_Toc4290 </w:instrText>
          </w:r>
          <w:r>
            <w:rPr>
              <w:rFonts w:ascii="仿宋" w:hAnsi="仿宋" w:eastAsia="仿宋" w:cs="仿宋"/>
              <w:bCs/>
              <w:szCs w:val="36"/>
            </w:rPr>
            <w:fldChar w:fldCharType="separate"/>
          </w:r>
          <w:r>
            <w:rPr>
              <w:rFonts w:hint="eastAsia"/>
              <w:bCs/>
            </w:rPr>
            <w:t>——违法违规建筑整治</w:t>
          </w:r>
          <w:r>
            <w:tab/>
          </w:r>
          <w:r>
            <w:fldChar w:fldCharType="begin"/>
          </w:r>
          <w:r>
            <w:instrText xml:space="preserve"> PAGEREF _Toc4290 </w:instrText>
          </w:r>
          <w:r>
            <w:fldChar w:fldCharType="separate"/>
          </w:r>
          <w:r>
            <w:t>3</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_Toc14760 </w:instrText>
          </w:r>
          <w:r>
            <w:rPr>
              <w:rFonts w:ascii="仿宋" w:hAnsi="仿宋" w:eastAsia="仿宋" w:cs="仿宋"/>
              <w:bCs/>
              <w:szCs w:val="36"/>
            </w:rPr>
            <w:fldChar w:fldCharType="separate"/>
          </w:r>
          <w:r>
            <w:rPr>
              <w:rFonts w:hint="eastAsia"/>
              <w:bCs/>
            </w:rPr>
            <w:t>——环卫保洁提质增效</w:t>
          </w:r>
          <w:r>
            <w:tab/>
          </w:r>
          <w:r>
            <w:fldChar w:fldCharType="begin"/>
          </w:r>
          <w:r>
            <w:instrText xml:space="preserve"> PAGEREF _Toc14760 </w:instrText>
          </w:r>
          <w:r>
            <w:fldChar w:fldCharType="separate"/>
          </w:r>
          <w:r>
            <w:t>4</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_Toc23412 </w:instrText>
          </w:r>
          <w:r>
            <w:rPr>
              <w:rFonts w:ascii="仿宋" w:hAnsi="仿宋" w:eastAsia="仿宋" w:cs="仿宋"/>
              <w:bCs/>
              <w:szCs w:val="36"/>
            </w:rPr>
            <w:fldChar w:fldCharType="separate"/>
          </w:r>
          <w:r>
            <w:rPr>
              <w:rFonts w:hint="eastAsia"/>
              <w:bCs/>
            </w:rPr>
            <w:t>——垃圾分类逐步推进</w:t>
          </w:r>
          <w:r>
            <w:tab/>
          </w:r>
          <w:r>
            <w:fldChar w:fldCharType="begin"/>
          </w:r>
          <w:r>
            <w:instrText xml:space="preserve"> PAGEREF _Toc23412 </w:instrText>
          </w:r>
          <w:r>
            <w:fldChar w:fldCharType="separate"/>
          </w:r>
          <w:r>
            <w:t>4</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_Toc5638 </w:instrText>
          </w:r>
          <w:r>
            <w:rPr>
              <w:rFonts w:ascii="仿宋" w:hAnsi="仿宋" w:eastAsia="仿宋" w:cs="仿宋"/>
              <w:bCs/>
              <w:szCs w:val="36"/>
            </w:rPr>
            <w:fldChar w:fldCharType="separate"/>
          </w:r>
          <w:r>
            <w:rPr>
              <w:rFonts w:hint="eastAsia" w:eastAsia="仿宋"/>
              <w:bCs/>
            </w:rPr>
            <w:t>——非正规垃圾堆放点整治</w:t>
          </w:r>
          <w:r>
            <w:tab/>
          </w:r>
          <w:r>
            <w:fldChar w:fldCharType="begin"/>
          </w:r>
          <w:r>
            <w:instrText xml:space="preserve"> PAGEREF _Toc5638 </w:instrText>
          </w:r>
          <w:r>
            <w:fldChar w:fldCharType="separate"/>
          </w:r>
          <w:r>
            <w:t>5</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_Toc26146 </w:instrText>
          </w:r>
          <w:r>
            <w:rPr>
              <w:rFonts w:ascii="仿宋" w:hAnsi="仿宋" w:eastAsia="仿宋" w:cs="仿宋"/>
              <w:bCs/>
              <w:szCs w:val="36"/>
            </w:rPr>
            <w:fldChar w:fldCharType="separate"/>
          </w:r>
          <w:r>
            <w:rPr>
              <w:rFonts w:hint="eastAsia"/>
              <w:bCs/>
            </w:rPr>
            <w:t>——市政设施管护效果显著</w:t>
          </w:r>
          <w:r>
            <w:tab/>
          </w:r>
          <w:r>
            <w:fldChar w:fldCharType="begin"/>
          </w:r>
          <w:r>
            <w:instrText xml:space="preserve"> PAGEREF _Toc26146 </w:instrText>
          </w:r>
          <w:r>
            <w:fldChar w:fldCharType="separate"/>
          </w:r>
          <w:r>
            <w:t>5</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_Toc5956 </w:instrText>
          </w:r>
          <w:r>
            <w:rPr>
              <w:rFonts w:ascii="仿宋" w:hAnsi="仿宋" w:eastAsia="仿宋" w:cs="仿宋"/>
              <w:bCs/>
              <w:szCs w:val="36"/>
            </w:rPr>
            <w:fldChar w:fldCharType="separate"/>
          </w:r>
          <w:r>
            <w:rPr>
              <w:rFonts w:hint="eastAsia"/>
              <w:bCs/>
            </w:rPr>
            <w:t>——市容市貌品质提升</w:t>
          </w:r>
          <w:r>
            <w:tab/>
          </w:r>
          <w:r>
            <w:fldChar w:fldCharType="begin"/>
          </w:r>
          <w:r>
            <w:instrText xml:space="preserve"> PAGEREF _Toc5956 </w:instrText>
          </w:r>
          <w:r>
            <w:fldChar w:fldCharType="separate"/>
          </w:r>
          <w:r>
            <w:t>6</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_Toc31918 </w:instrText>
          </w:r>
          <w:r>
            <w:rPr>
              <w:rFonts w:ascii="仿宋" w:hAnsi="仿宋" w:eastAsia="仿宋" w:cs="仿宋"/>
              <w:bCs/>
              <w:szCs w:val="36"/>
            </w:rPr>
            <w:fldChar w:fldCharType="separate"/>
          </w:r>
          <w:r>
            <w:rPr>
              <w:rFonts w:hint="eastAsia" w:eastAsia="仿宋"/>
              <w:bCs/>
              <w:kern w:val="2"/>
            </w:rPr>
            <w:t>——“厕所革命”工作开展顺利</w:t>
          </w:r>
          <w:r>
            <w:tab/>
          </w:r>
          <w:r>
            <w:fldChar w:fldCharType="begin"/>
          </w:r>
          <w:r>
            <w:instrText xml:space="preserve"> PAGEREF _Toc31918 </w:instrText>
          </w:r>
          <w:r>
            <w:fldChar w:fldCharType="separate"/>
          </w:r>
          <w:r>
            <w:t>7</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_Toc2674 </w:instrText>
          </w:r>
          <w:r>
            <w:rPr>
              <w:rFonts w:ascii="仿宋" w:hAnsi="仿宋" w:eastAsia="仿宋" w:cs="仿宋"/>
              <w:bCs/>
              <w:szCs w:val="36"/>
            </w:rPr>
            <w:fldChar w:fldCharType="separate"/>
          </w:r>
          <w:r>
            <w:rPr>
              <w:rFonts w:hint="eastAsia"/>
              <w:bCs/>
            </w:rPr>
            <w:t>——环境卫生质量有效提高</w:t>
          </w:r>
          <w:r>
            <w:tab/>
          </w:r>
          <w:r>
            <w:fldChar w:fldCharType="begin"/>
          </w:r>
          <w:r>
            <w:instrText xml:space="preserve"> PAGEREF _Toc2674 </w:instrText>
          </w:r>
          <w:r>
            <w:fldChar w:fldCharType="separate"/>
          </w:r>
          <w:r>
            <w:t>7</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_Toc28111 </w:instrText>
          </w:r>
          <w:r>
            <w:rPr>
              <w:rFonts w:ascii="仿宋" w:hAnsi="仿宋" w:eastAsia="仿宋" w:cs="仿宋"/>
              <w:bCs/>
              <w:szCs w:val="36"/>
            </w:rPr>
            <w:fldChar w:fldCharType="separate"/>
          </w:r>
          <w:r>
            <w:rPr>
              <w:rFonts w:hint="eastAsia"/>
              <w:bCs/>
            </w:rPr>
            <w:t>——园林绿化景观提升</w:t>
          </w:r>
          <w:r>
            <w:tab/>
          </w:r>
          <w:r>
            <w:fldChar w:fldCharType="begin"/>
          </w:r>
          <w:r>
            <w:instrText xml:space="preserve"> PAGEREF _Toc28111 </w:instrText>
          </w:r>
          <w:r>
            <w:fldChar w:fldCharType="separate"/>
          </w:r>
          <w:r>
            <w:t>7</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_Toc2473 </w:instrText>
          </w:r>
          <w:r>
            <w:rPr>
              <w:rFonts w:ascii="仿宋" w:hAnsi="仿宋" w:eastAsia="仿宋" w:cs="仿宋"/>
              <w:bCs/>
              <w:szCs w:val="36"/>
            </w:rPr>
            <w:fldChar w:fldCharType="separate"/>
          </w:r>
          <w:r>
            <w:rPr>
              <w:bCs/>
            </w:rPr>
            <w:t>——</w:t>
          </w:r>
          <w:r>
            <w:rPr>
              <w:rFonts w:hint="eastAsia"/>
              <w:bCs/>
            </w:rPr>
            <w:t>不断加强干部职工培训</w:t>
          </w:r>
          <w:r>
            <w:tab/>
          </w:r>
          <w:r>
            <w:fldChar w:fldCharType="begin"/>
          </w:r>
          <w:r>
            <w:instrText xml:space="preserve"> PAGEREF _Toc2473 </w:instrText>
          </w:r>
          <w:r>
            <w:fldChar w:fldCharType="separate"/>
          </w:r>
          <w:r>
            <w:t>8</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_Toc24697 </w:instrText>
          </w:r>
          <w:r>
            <w:rPr>
              <w:rFonts w:ascii="仿宋" w:hAnsi="仿宋" w:eastAsia="仿宋" w:cs="仿宋"/>
              <w:bCs/>
              <w:szCs w:val="36"/>
            </w:rPr>
            <w:fldChar w:fldCharType="separate"/>
          </w:r>
          <w:r>
            <w:rPr>
              <w:rFonts w:hint="eastAsia"/>
              <w:bCs/>
            </w:rPr>
            <w:t>——不断加强内部纪律管理</w:t>
          </w:r>
          <w:r>
            <w:tab/>
          </w:r>
          <w:r>
            <w:fldChar w:fldCharType="begin"/>
          </w:r>
          <w:r>
            <w:instrText xml:space="preserve"> PAGEREF _Toc24697 </w:instrText>
          </w:r>
          <w:r>
            <w:fldChar w:fldCharType="separate"/>
          </w:r>
          <w:r>
            <w:t>9</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_Toc10340 </w:instrText>
          </w:r>
          <w:r>
            <w:rPr>
              <w:rFonts w:ascii="仿宋" w:hAnsi="仿宋" w:eastAsia="仿宋" w:cs="仿宋"/>
              <w:bCs/>
              <w:szCs w:val="36"/>
            </w:rPr>
            <w:fldChar w:fldCharType="separate"/>
          </w:r>
          <w:r>
            <w:rPr>
              <w:rFonts w:hint="eastAsia"/>
              <w:bCs/>
            </w:rPr>
            <w:t>——加强执法队伍建设管理</w:t>
          </w:r>
          <w:r>
            <w:tab/>
          </w:r>
          <w:r>
            <w:fldChar w:fldCharType="begin"/>
          </w:r>
          <w:r>
            <w:instrText xml:space="preserve"> PAGEREF _Toc10340 </w:instrText>
          </w:r>
          <w:r>
            <w:fldChar w:fldCharType="separate"/>
          </w:r>
          <w:r>
            <w:t>9</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_Toc18751 </w:instrText>
          </w:r>
          <w:r>
            <w:rPr>
              <w:rFonts w:ascii="仿宋" w:hAnsi="仿宋" w:eastAsia="仿宋" w:cs="仿宋"/>
              <w:bCs/>
              <w:szCs w:val="36"/>
            </w:rPr>
            <w:fldChar w:fldCharType="separate"/>
          </w:r>
          <w:r>
            <w:rPr>
              <w:rFonts w:hint="eastAsia"/>
            </w:rPr>
            <w:t>第二节 “十三五”存在的问题</w:t>
          </w:r>
          <w:r>
            <w:tab/>
          </w:r>
          <w:r>
            <w:fldChar w:fldCharType="begin"/>
          </w:r>
          <w:r>
            <w:instrText xml:space="preserve"> PAGEREF _Toc18751 </w:instrText>
          </w:r>
          <w:r>
            <w:fldChar w:fldCharType="separate"/>
          </w:r>
          <w:r>
            <w:t>10</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_Toc9158 </w:instrText>
          </w:r>
          <w:r>
            <w:rPr>
              <w:rFonts w:ascii="仿宋" w:hAnsi="仿宋" w:eastAsia="仿宋" w:cs="仿宋"/>
              <w:bCs/>
              <w:szCs w:val="36"/>
            </w:rPr>
            <w:fldChar w:fldCharType="separate"/>
          </w:r>
          <w:r>
            <w:rPr>
              <w:rFonts w:hint="eastAsia"/>
            </w:rPr>
            <w:t>第三节 “十四五”存在的机遇与挑战</w:t>
          </w:r>
          <w:r>
            <w:tab/>
          </w:r>
          <w:r>
            <w:fldChar w:fldCharType="begin"/>
          </w:r>
          <w:r>
            <w:instrText xml:space="preserve"> PAGEREF _Toc9158 </w:instrText>
          </w:r>
          <w:r>
            <w:fldChar w:fldCharType="separate"/>
          </w:r>
          <w:r>
            <w:t>12</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_Toc10263 </w:instrText>
          </w:r>
          <w:r>
            <w:rPr>
              <w:rFonts w:ascii="仿宋" w:hAnsi="仿宋" w:eastAsia="仿宋" w:cs="仿宋"/>
              <w:bCs/>
              <w:szCs w:val="36"/>
            </w:rPr>
            <w:fldChar w:fldCharType="separate"/>
          </w:r>
          <w:r>
            <w:rPr>
              <w:rFonts w:hint="eastAsia"/>
              <w:bCs/>
            </w:rPr>
            <w:t xml:space="preserve">第二章 </w:t>
          </w:r>
          <w:r>
            <w:rPr>
              <w:rFonts w:hint="eastAsia"/>
            </w:rPr>
            <w:t>规划思路与目标</w:t>
          </w:r>
          <w:r>
            <w:tab/>
          </w:r>
          <w:r>
            <w:fldChar w:fldCharType="begin"/>
          </w:r>
          <w:r>
            <w:instrText xml:space="preserve"> PAGEREF _Toc10263 </w:instrText>
          </w:r>
          <w:r>
            <w:fldChar w:fldCharType="separate"/>
          </w:r>
          <w:r>
            <w:t>13</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_Toc15845 </w:instrText>
          </w:r>
          <w:r>
            <w:rPr>
              <w:rFonts w:ascii="仿宋" w:hAnsi="仿宋" w:eastAsia="仿宋" w:cs="仿宋"/>
              <w:bCs/>
              <w:szCs w:val="36"/>
            </w:rPr>
            <w:fldChar w:fldCharType="separate"/>
          </w:r>
          <w:r>
            <w:rPr>
              <w:rFonts w:hint="eastAsia"/>
            </w:rPr>
            <w:t>第一节 指导思想</w:t>
          </w:r>
          <w:r>
            <w:tab/>
          </w:r>
          <w:r>
            <w:fldChar w:fldCharType="begin"/>
          </w:r>
          <w:r>
            <w:instrText xml:space="preserve"> PAGEREF _Toc15845 </w:instrText>
          </w:r>
          <w:r>
            <w:fldChar w:fldCharType="separate"/>
          </w:r>
          <w:r>
            <w:t>13</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_Toc14566 </w:instrText>
          </w:r>
          <w:r>
            <w:rPr>
              <w:rFonts w:ascii="仿宋" w:hAnsi="仿宋" w:eastAsia="仿宋" w:cs="仿宋"/>
              <w:bCs/>
              <w:szCs w:val="36"/>
            </w:rPr>
            <w:fldChar w:fldCharType="separate"/>
          </w:r>
          <w:r>
            <w:rPr>
              <w:rFonts w:hint="eastAsia"/>
            </w:rPr>
            <w:t>第二节 遵循原则</w:t>
          </w:r>
          <w:r>
            <w:tab/>
          </w:r>
          <w:r>
            <w:fldChar w:fldCharType="begin"/>
          </w:r>
          <w:r>
            <w:instrText xml:space="preserve"> PAGEREF _Toc14566 </w:instrText>
          </w:r>
          <w:r>
            <w:fldChar w:fldCharType="separate"/>
          </w:r>
          <w:r>
            <w:t>13</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_Toc25745 </w:instrText>
          </w:r>
          <w:r>
            <w:rPr>
              <w:rFonts w:ascii="仿宋" w:hAnsi="仿宋" w:eastAsia="仿宋" w:cs="仿宋"/>
              <w:bCs/>
              <w:szCs w:val="36"/>
            </w:rPr>
            <w:fldChar w:fldCharType="separate"/>
          </w:r>
          <w:r>
            <w:rPr>
              <w:rFonts w:hint="eastAsia"/>
            </w:rPr>
            <w:t>第三节 规划目标</w:t>
          </w:r>
          <w:r>
            <w:tab/>
          </w:r>
          <w:r>
            <w:fldChar w:fldCharType="begin"/>
          </w:r>
          <w:r>
            <w:instrText xml:space="preserve"> PAGEREF _Toc25745 </w:instrText>
          </w:r>
          <w:r>
            <w:fldChar w:fldCharType="separate"/>
          </w:r>
          <w:r>
            <w:t>15</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_Toc21947 </w:instrText>
          </w:r>
          <w:r>
            <w:rPr>
              <w:rFonts w:ascii="仿宋" w:hAnsi="仿宋" w:eastAsia="仿宋" w:cs="仿宋"/>
              <w:bCs/>
              <w:szCs w:val="36"/>
            </w:rPr>
            <w:fldChar w:fldCharType="separate"/>
          </w:r>
          <w:r>
            <w:rPr>
              <w:rFonts w:hint="eastAsia"/>
              <w:bCs/>
            </w:rPr>
            <w:t>第三章 “十四五”主要任务</w:t>
          </w:r>
          <w:r>
            <w:rPr>
              <w:rFonts w:hint="eastAsia"/>
              <w:bCs/>
              <w:lang w:val="en-US" w:eastAsia="zh-CN"/>
            </w:rPr>
            <w:t>及远景规划</w:t>
          </w:r>
          <w:r>
            <w:tab/>
          </w:r>
          <w:r>
            <w:fldChar w:fldCharType="begin"/>
          </w:r>
          <w:r>
            <w:instrText xml:space="preserve"> PAGEREF _Toc21947 </w:instrText>
          </w:r>
          <w:r>
            <w:fldChar w:fldCharType="separate"/>
          </w:r>
          <w:r>
            <w:t>19</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_Toc1839 </w:instrText>
          </w:r>
          <w:r>
            <w:rPr>
              <w:rFonts w:ascii="仿宋" w:hAnsi="仿宋" w:eastAsia="仿宋" w:cs="仿宋"/>
              <w:bCs/>
              <w:szCs w:val="36"/>
            </w:rPr>
            <w:fldChar w:fldCharType="separate"/>
          </w:r>
          <w:r>
            <w:rPr>
              <w:rFonts w:hint="eastAsia"/>
            </w:rPr>
            <w:t>第一节 深化体制改革</w:t>
          </w:r>
          <w:r>
            <w:tab/>
          </w:r>
          <w:r>
            <w:fldChar w:fldCharType="begin"/>
          </w:r>
          <w:r>
            <w:instrText xml:space="preserve"> PAGEREF _Toc1839 </w:instrText>
          </w:r>
          <w:r>
            <w:fldChar w:fldCharType="separate"/>
          </w:r>
          <w:r>
            <w:t>19</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_Toc32682 </w:instrText>
          </w:r>
          <w:r>
            <w:rPr>
              <w:rFonts w:ascii="仿宋" w:hAnsi="仿宋" w:eastAsia="仿宋" w:cs="仿宋"/>
              <w:bCs/>
              <w:szCs w:val="36"/>
            </w:rPr>
            <w:fldChar w:fldCharType="separate"/>
          </w:r>
          <w:r>
            <w:rPr>
              <w:rFonts w:hint="eastAsia"/>
            </w:rPr>
            <w:t>第二节 依法执行及完善标准体系</w:t>
          </w:r>
          <w:r>
            <w:tab/>
          </w:r>
          <w:r>
            <w:fldChar w:fldCharType="begin"/>
          </w:r>
          <w:r>
            <w:instrText xml:space="preserve"> PAGEREF _Toc32682 </w:instrText>
          </w:r>
          <w:r>
            <w:fldChar w:fldCharType="separate"/>
          </w:r>
          <w:r>
            <w:t>21</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_Toc23718 </w:instrText>
          </w:r>
          <w:r>
            <w:rPr>
              <w:rFonts w:ascii="仿宋" w:hAnsi="仿宋" w:eastAsia="仿宋" w:cs="仿宋"/>
              <w:bCs/>
              <w:szCs w:val="36"/>
            </w:rPr>
            <w:fldChar w:fldCharType="separate"/>
          </w:r>
          <w:r>
            <w:rPr>
              <w:rFonts w:hint="eastAsia"/>
            </w:rPr>
            <w:t>第三节 改善城乡容貌</w:t>
          </w:r>
          <w:r>
            <w:tab/>
          </w:r>
          <w:r>
            <w:fldChar w:fldCharType="begin"/>
          </w:r>
          <w:r>
            <w:instrText xml:space="preserve"> PAGEREF _Toc23718 </w:instrText>
          </w:r>
          <w:r>
            <w:fldChar w:fldCharType="separate"/>
          </w:r>
          <w:r>
            <w:t>22</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_Toc27547 </w:instrText>
          </w:r>
          <w:r>
            <w:rPr>
              <w:rFonts w:ascii="仿宋" w:hAnsi="仿宋" w:eastAsia="仿宋" w:cs="仿宋"/>
              <w:bCs/>
              <w:szCs w:val="36"/>
            </w:rPr>
            <w:fldChar w:fldCharType="separate"/>
          </w:r>
          <w:r>
            <w:rPr>
              <w:rFonts w:hint="eastAsia"/>
            </w:rPr>
            <w:t>第四节 加强环卫基础设施建设与管理</w:t>
          </w:r>
          <w:r>
            <w:tab/>
          </w:r>
          <w:r>
            <w:fldChar w:fldCharType="begin"/>
          </w:r>
          <w:r>
            <w:instrText xml:space="preserve"> PAGEREF _Toc27547 </w:instrText>
          </w:r>
          <w:r>
            <w:fldChar w:fldCharType="separate"/>
          </w:r>
          <w:r>
            <w:t>25</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_Toc8557 </w:instrText>
          </w:r>
          <w:r>
            <w:rPr>
              <w:rFonts w:ascii="仿宋" w:hAnsi="仿宋" w:eastAsia="仿宋" w:cs="仿宋"/>
              <w:bCs/>
              <w:szCs w:val="36"/>
            </w:rPr>
            <w:fldChar w:fldCharType="separate"/>
          </w:r>
          <w:r>
            <w:rPr>
              <w:rFonts w:hint="eastAsia"/>
            </w:rPr>
            <w:t>第五节 完善市政基础设施</w:t>
          </w:r>
          <w:r>
            <w:tab/>
          </w:r>
          <w:r>
            <w:fldChar w:fldCharType="begin"/>
          </w:r>
          <w:r>
            <w:instrText xml:space="preserve"> PAGEREF _Toc8557 </w:instrText>
          </w:r>
          <w:r>
            <w:fldChar w:fldCharType="separate"/>
          </w:r>
          <w:r>
            <w:t>27</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_Toc6806 </w:instrText>
          </w:r>
          <w:r>
            <w:rPr>
              <w:rFonts w:ascii="仿宋" w:hAnsi="仿宋" w:eastAsia="仿宋" w:cs="仿宋"/>
              <w:bCs/>
              <w:szCs w:val="36"/>
            </w:rPr>
            <w:fldChar w:fldCharType="separate"/>
          </w:r>
          <w:r>
            <w:rPr>
              <w:rFonts w:hint="eastAsia"/>
            </w:rPr>
            <w:t>第六节 提高综合执法水平</w:t>
          </w:r>
          <w:r>
            <w:tab/>
          </w:r>
          <w:r>
            <w:fldChar w:fldCharType="begin"/>
          </w:r>
          <w:r>
            <w:instrText xml:space="preserve"> PAGEREF _Toc6806 </w:instrText>
          </w:r>
          <w:r>
            <w:fldChar w:fldCharType="separate"/>
          </w:r>
          <w:r>
            <w:t>29</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_Toc22321 </w:instrText>
          </w:r>
          <w:r>
            <w:rPr>
              <w:rFonts w:ascii="仿宋" w:hAnsi="仿宋" w:eastAsia="仿宋" w:cs="仿宋"/>
              <w:bCs/>
              <w:szCs w:val="36"/>
            </w:rPr>
            <w:fldChar w:fldCharType="separate"/>
          </w:r>
          <w:r>
            <w:rPr>
              <w:rFonts w:hint="eastAsia"/>
            </w:rPr>
            <w:t>第七节 推进信息化建设</w:t>
          </w:r>
          <w:r>
            <w:tab/>
          </w:r>
          <w:r>
            <w:fldChar w:fldCharType="begin"/>
          </w:r>
          <w:r>
            <w:instrText xml:space="preserve"> PAGEREF _Toc22321 </w:instrText>
          </w:r>
          <w:r>
            <w:fldChar w:fldCharType="separate"/>
          </w:r>
          <w:r>
            <w:t>30</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_Toc327 </w:instrText>
          </w:r>
          <w:r>
            <w:rPr>
              <w:rFonts w:ascii="仿宋" w:hAnsi="仿宋" w:eastAsia="仿宋" w:cs="仿宋"/>
              <w:bCs/>
              <w:szCs w:val="36"/>
            </w:rPr>
            <w:fldChar w:fldCharType="separate"/>
          </w:r>
          <w:r>
            <w:rPr>
              <w:rFonts w:hint="eastAsia"/>
            </w:rPr>
            <w:t xml:space="preserve">第八节 </w:t>
          </w:r>
          <w:r>
            <w:rPr>
              <w:rFonts w:hint="eastAsia"/>
              <w:lang w:val="zh-CN"/>
            </w:rPr>
            <w:t>将节能环保理</w:t>
          </w:r>
          <w:r>
            <w:rPr>
              <w:rFonts w:hint="eastAsia"/>
            </w:rPr>
            <w:t xml:space="preserve"> 推进节能环保</w:t>
          </w:r>
          <w:r>
            <w:tab/>
          </w:r>
          <w:r>
            <w:fldChar w:fldCharType="begin"/>
          </w:r>
          <w:r>
            <w:instrText xml:space="preserve"> PAGEREF _Toc327 </w:instrText>
          </w:r>
          <w:r>
            <w:fldChar w:fldCharType="separate"/>
          </w:r>
          <w:r>
            <w:t>31</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_Toc6849 </w:instrText>
          </w:r>
          <w:r>
            <w:rPr>
              <w:rFonts w:ascii="仿宋" w:hAnsi="仿宋" w:eastAsia="仿宋" w:cs="仿宋"/>
              <w:bCs/>
              <w:szCs w:val="36"/>
            </w:rPr>
            <w:fldChar w:fldCharType="separate"/>
          </w:r>
          <w:r>
            <w:rPr>
              <w:rFonts w:hint="eastAsia" w:ascii="宋体" w:hAnsi="宋体" w:eastAsia="宋体" w:cs="宋体"/>
              <w:kern w:val="2"/>
              <w:szCs w:val="24"/>
              <w:lang w:val="en-US" w:eastAsia="zh-CN" w:bidi="ar-SA"/>
            </w:rPr>
            <w:t>第九节 2035远景规划</w:t>
          </w:r>
          <w:r>
            <w:tab/>
          </w:r>
          <w:r>
            <w:fldChar w:fldCharType="begin"/>
          </w:r>
          <w:r>
            <w:instrText xml:space="preserve"> PAGEREF _Toc6849 </w:instrText>
          </w:r>
          <w:r>
            <w:fldChar w:fldCharType="separate"/>
          </w:r>
          <w:r>
            <w:t>34</w:t>
          </w:r>
          <w:r>
            <w:fldChar w:fldCharType="end"/>
          </w:r>
          <w:r>
            <w:rPr>
              <w:rFonts w:ascii="仿宋" w:hAnsi="仿宋" w:eastAsia="仿宋" w:cs="仿宋"/>
              <w:bCs/>
              <w:szCs w:val="36"/>
            </w:rPr>
            <w:fldChar w:fldCharType="end"/>
          </w:r>
        </w:p>
        <w:p>
          <w:pPr>
            <w:pStyle w:val="10"/>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_Toc8402 </w:instrText>
          </w:r>
          <w:r>
            <w:rPr>
              <w:rFonts w:ascii="仿宋" w:hAnsi="仿宋" w:eastAsia="仿宋" w:cs="仿宋"/>
              <w:bCs/>
              <w:szCs w:val="36"/>
            </w:rPr>
            <w:fldChar w:fldCharType="separate"/>
          </w:r>
          <w:r>
            <w:rPr>
              <w:rFonts w:hint="eastAsia"/>
              <w:bCs/>
            </w:rPr>
            <w:t>第四章 保障措施</w:t>
          </w:r>
          <w:r>
            <w:tab/>
          </w:r>
          <w:r>
            <w:fldChar w:fldCharType="begin"/>
          </w:r>
          <w:r>
            <w:instrText xml:space="preserve"> PAGEREF _Toc8402 </w:instrText>
          </w:r>
          <w:r>
            <w:fldChar w:fldCharType="separate"/>
          </w:r>
          <w:r>
            <w:t>38</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_Toc2575 </w:instrText>
          </w:r>
          <w:r>
            <w:rPr>
              <w:rFonts w:ascii="仿宋" w:hAnsi="仿宋" w:eastAsia="仿宋" w:cs="仿宋"/>
              <w:bCs/>
              <w:szCs w:val="36"/>
            </w:rPr>
            <w:fldChar w:fldCharType="separate"/>
          </w:r>
          <w:r>
            <w:rPr>
              <w:rFonts w:hint="eastAsia"/>
              <w:lang w:val="en-US" w:eastAsia="zh-CN"/>
            </w:rPr>
            <w:t>第一节 党建引领</w:t>
          </w:r>
          <w:r>
            <w:tab/>
          </w:r>
          <w:r>
            <w:fldChar w:fldCharType="begin"/>
          </w:r>
          <w:r>
            <w:instrText xml:space="preserve"> PAGEREF _Toc2575 </w:instrText>
          </w:r>
          <w:r>
            <w:fldChar w:fldCharType="separate"/>
          </w:r>
          <w:r>
            <w:t>38</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_Toc17209 </w:instrText>
          </w:r>
          <w:r>
            <w:rPr>
              <w:rFonts w:ascii="仿宋" w:hAnsi="仿宋" w:eastAsia="仿宋" w:cs="仿宋"/>
              <w:bCs/>
              <w:szCs w:val="36"/>
            </w:rPr>
            <w:fldChar w:fldCharType="separate"/>
          </w:r>
          <w:r>
            <w:rPr>
              <w:rFonts w:hint="eastAsia"/>
              <w:lang w:val="zh-CN"/>
            </w:rPr>
            <w:t>第二节 组织保障</w:t>
          </w:r>
          <w:r>
            <w:tab/>
          </w:r>
          <w:r>
            <w:fldChar w:fldCharType="begin"/>
          </w:r>
          <w:r>
            <w:instrText xml:space="preserve"> PAGEREF _Toc17209 </w:instrText>
          </w:r>
          <w:r>
            <w:fldChar w:fldCharType="separate"/>
          </w:r>
          <w:r>
            <w:t>38</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_Toc17291 </w:instrText>
          </w:r>
          <w:r>
            <w:rPr>
              <w:rFonts w:ascii="仿宋" w:hAnsi="仿宋" w:eastAsia="仿宋" w:cs="仿宋"/>
              <w:bCs/>
              <w:szCs w:val="36"/>
            </w:rPr>
            <w:fldChar w:fldCharType="separate"/>
          </w:r>
          <w:r>
            <w:rPr>
              <w:rFonts w:hint="eastAsia"/>
              <w:lang w:val="zh-CN"/>
            </w:rPr>
            <w:t>第三节 经费保障</w:t>
          </w:r>
          <w:r>
            <w:tab/>
          </w:r>
          <w:r>
            <w:fldChar w:fldCharType="begin"/>
          </w:r>
          <w:r>
            <w:instrText xml:space="preserve"> PAGEREF _Toc17291 </w:instrText>
          </w:r>
          <w:r>
            <w:fldChar w:fldCharType="separate"/>
          </w:r>
          <w:r>
            <w:t>39</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_Toc24531 </w:instrText>
          </w:r>
          <w:r>
            <w:rPr>
              <w:rFonts w:ascii="仿宋" w:hAnsi="仿宋" w:eastAsia="仿宋" w:cs="仿宋"/>
              <w:bCs/>
              <w:szCs w:val="36"/>
            </w:rPr>
            <w:fldChar w:fldCharType="separate"/>
          </w:r>
          <w:r>
            <w:rPr>
              <w:rFonts w:hint="eastAsia"/>
              <w:lang w:val="zh-CN"/>
            </w:rPr>
            <w:t>第四节 政策保障</w:t>
          </w:r>
          <w:r>
            <w:tab/>
          </w:r>
          <w:r>
            <w:fldChar w:fldCharType="begin"/>
          </w:r>
          <w:r>
            <w:instrText xml:space="preserve"> PAGEREF _Toc24531 </w:instrText>
          </w:r>
          <w:r>
            <w:fldChar w:fldCharType="separate"/>
          </w:r>
          <w:r>
            <w:t>39</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_Toc4400 </w:instrText>
          </w:r>
          <w:r>
            <w:rPr>
              <w:rFonts w:ascii="仿宋" w:hAnsi="仿宋" w:eastAsia="仿宋" w:cs="仿宋"/>
              <w:bCs/>
              <w:szCs w:val="36"/>
            </w:rPr>
            <w:fldChar w:fldCharType="separate"/>
          </w:r>
          <w:r>
            <w:rPr>
              <w:rFonts w:hint="eastAsia"/>
              <w:lang w:val="zh-CN"/>
            </w:rPr>
            <w:t>第五节 人才保障</w:t>
          </w:r>
          <w:r>
            <w:tab/>
          </w:r>
          <w:r>
            <w:fldChar w:fldCharType="begin"/>
          </w:r>
          <w:r>
            <w:instrText xml:space="preserve"> PAGEREF _Toc4400 </w:instrText>
          </w:r>
          <w:r>
            <w:fldChar w:fldCharType="separate"/>
          </w:r>
          <w:r>
            <w:t>40</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_Toc4269 </w:instrText>
          </w:r>
          <w:r>
            <w:rPr>
              <w:rFonts w:ascii="仿宋" w:hAnsi="仿宋" w:eastAsia="仿宋" w:cs="仿宋"/>
              <w:bCs/>
              <w:szCs w:val="36"/>
            </w:rPr>
            <w:fldChar w:fldCharType="separate"/>
          </w:r>
          <w:r>
            <w:rPr>
              <w:rFonts w:hint="eastAsia"/>
              <w:lang w:val="zh-CN"/>
            </w:rPr>
            <w:t>第六节 科技保障</w:t>
          </w:r>
          <w:r>
            <w:tab/>
          </w:r>
          <w:r>
            <w:fldChar w:fldCharType="begin"/>
          </w:r>
          <w:r>
            <w:instrText xml:space="preserve"> PAGEREF _Toc4269 </w:instrText>
          </w:r>
          <w:r>
            <w:fldChar w:fldCharType="separate"/>
          </w:r>
          <w:r>
            <w:t>40</w:t>
          </w:r>
          <w:r>
            <w:fldChar w:fldCharType="end"/>
          </w:r>
          <w:r>
            <w:rPr>
              <w:rFonts w:ascii="仿宋" w:hAnsi="仿宋" w:eastAsia="仿宋" w:cs="仿宋"/>
              <w:bCs/>
              <w:szCs w:val="36"/>
            </w:rPr>
            <w:fldChar w:fldCharType="end"/>
          </w:r>
        </w:p>
        <w:p>
          <w:pPr>
            <w:pStyle w:val="12"/>
            <w:tabs>
              <w:tab w:val="right" w:leader="dot" w:pos="8306"/>
            </w:tabs>
          </w:pPr>
          <w:r>
            <w:rPr>
              <w:rFonts w:ascii="仿宋" w:hAnsi="仿宋" w:eastAsia="仿宋" w:cs="仿宋"/>
              <w:bCs/>
              <w:szCs w:val="36"/>
            </w:rPr>
            <w:fldChar w:fldCharType="begin"/>
          </w:r>
          <w:r>
            <w:rPr>
              <w:rFonts w:ascii="仿宋" w:hAnsi="仿宋" w:eastAsia="仿宋" w:cs="仿宋"/>
              <w:bCs/>
              <w:szCs w:val="36"/>
            </w:rPr>
            <w:instrText xml:space="preserve"> HYPERLINK \l _Toc9449 </w:instrText>
          </w:r>
          <w:r>
            <w:rPr>
              <w:rFonts w:ascii="仿宋" w:hAnsi="仿宋" w:eastAsia="仿宋" w:cs="仿宋"/>
              <w:bCs/>
              <w:szCs w:val="36"/>
            </w:rPr>
            <w:fldChar w:fldCharType="separate"/>
          </w:r>
          <w:r>
            <w:rPr>
              <w:rFonts w:hint="eastAsia"/>
              <w:lang w:val="zh-CN"/>
            </w:rPr>
            <w:t>第七节 宣传保障</w:t>
          </w:r>
          <w:r>
            <w:tab/>
          </w:r>
          <w:r>
            <w:fldChar w:fldCharType="begin"/>
          </w:r>
          <w:r>
            <w:instrText xml:space="preserve"> PAGEREF _Toc9449 </w:instrText>
          </w:r>
          <w:r>
            <w:fldChar w:fldCharType="separate"/>
          </w:r>
          <w:r>
            <w:t>41</w:t>
          </w:r>
          <w:r>
            <w:fldChar w:fldCharType="end"/>
          </w:r>
          <w:r>
            <w:rPr>
              <w:rFonts w:ascii="仿宋" w:hAnsi="仿宋" w:eastAsia="仿宋" w:cs="仿宋"/>
              <w:bCs/>
              <w:szCs w:val="36"/>
            </w:rPr>
            <w:fldChar w:fldCharType="end"/>
          </w:r>
        </w:p>
        <w:p>
          <w:pPr>
            <w:jc w:val="right"/>
            <w:rPr>
              <w:rFonts w:ascii="仿宋" w:hAnsi="仿宋" w:eastAsia="仿宋" w:cs="仿宋"/>
              <w:b/>
              <w:bCs/>
              <w:sz w:val="28"/>
              <w:szCs w:val="36"/>
            </w:rPr>
            <w:sectPr>
              <w:pgSz w:w="11906" w:h="16838"/>
              <w:pgMar w:top="1440" w:right="1800" w:bottom="1440" w:left="1800" w:header="851" w:footer="992" w:gutter="0"/>
              <w:cols w:space="425" w:num="1"/>
              <w:docGrid w:type="lines" w:linePitch="312" w:charSpace="0"/>
            </w:sectPr>
          </w:pPr>
          <w:r>
            <w:rPr>
              <w:rFonts w:ascii="仿宋" w:hAnsi="仿宋" w:eastAsia="仿宋" w:cs="仿宋"/>
              <w:bCs/>
              <w:szCs w:val="36"/>
            </w:rPr>
            <w:fldChar w:fldCharType="end"/>
          </w:r>
        </w:p>
      </w:sdtContent>
    </w:sdt>
    <w:p>
      <w:pPr>
        <w:pStyle w:val="20"/>
        <w:ind w:firstLine="562"/>
        <w:jc w:val="center"/>
        <w:outlineLvl w:val="1"/>
        <w:rPr>
          <w:b/>
          <w:bCs/>
        </w:rPr>
      </w:pPr>
      <w:bookmarkStart w:id="2" w:name="_Toc18436"/>
      <w:r>
        <w:rPr>
          <w:rFonts w:hint="eastAsia"/>
          <w:b/>
          <w:bCs/>
        </w:rPr>
        <w:t>前 言</w:t>
      </w:r>
      <w:bookmarkEnd w:id="2"/>
    </w:p>
    <w:p>
      <w:pPr>
        <w:pStyle w:val="20"/>
        <w:ind w:firstLine="560"/>
        <w:rPr>
          <w:rFonts w:ascii="仿宋" w:hAnsi="仿宋" w:cs="仿宋"/>
          <w:szCs w:val="28"/>
        </w:rPr>
      </w:pPr>
      <w:r>
        <w:rPr>
          <w:rFonts w:hint="eastAsia" w:ascii="仿宋" w:hAnsi="仿宋" w:cs="仿宋"/>
          <w:szCs w:val="28"/>
        </w:rPr>
        <w:t>十四五”时期是我国由全面建设小康社会向基本实现社会主义现代化迈进的关键时期，是“两个一百年”奋斗目标的历史交汇期，也是寻甸县建设“美丽县城”、打造四区一城的重要机遇期，对城市管理工作提出了更新、更高的要求。为更好发挥发展规划的战略导向作用，明确“十四五”期间寻甸县城市管理工作的主要任务，由我局组织编制《寻甸县“十四五”城市管理规划》。</w:t>
      </w:r>
    </w:p>
    <w:p>
      <w:pPr>
        <w:pStyle w:val="20"/>
        <w:keepNext w:val="0"/>
        <w:keepLines w:val="0"/>
        <w:pageBreakBefore w:val="0"/>
        <w:widowControl w:val="0"/>
        <w:kinsoku/>
        <w:wordWrap/>
        <w:overflowPunct/>
        <w:topLinePunct w:val="0"/>
        <w:autoSpaceDE/>
        <w:autoSpaceDN/>
        <w:bidi w:val="0"/>
        <w:adjustRightInd/>
        <w:snapToGrid/>
        <w:ind w:firstLine="560"/>
        <w:textAlignment w:val="auto"/>
        <w:rPr>
          <w:rFonts w:ascii="仿宋" w:hAnsi="仿宋" w:cs="仿宋"/>
          <w:szCs w:val="28"/>
        </w:rPr>
      </w:pPr>
      <w:r>
        <w:rPr>
          <w:rFonts w:hint="eastAsia" w:ascii="仿宋" w:hAnsi="仿宋" w:cs="仿宋"/>
          <w:szCs w:val="28"/>
        </w:rPr>
        <w:t xml:space="preserve">本规划阐明了寻甸县城市管理工作的方向和目标，明确城市管理工作重点，勾画未来五年寻甸县城市管理的发展蓝图，作为指导全县城市管理工作的行动纲领和城市管理局各部门履行职责的重要依据。规划范围为：县城规划区已建成区域，规划年限为2021-2025年。 </w:t>
      </w:r>
    </w:p>
    <w:p>
      <w:pPr>
        <w:pStyle w:val="20"/>
        <w:ind w:firstLine="560"/>
        <w:sectPr>
          <w:footerReference r:id="rId3" w:type="default"/>
          <w:pgSz w:w="11906" w:h="16838"/>
          <w:pgMar w:top="1440" w:right="1800" w:bottom="1440" w:left="1800" w:header="851" w:footer="992" w:gutter="0"/>
          <w:pgNumType w:start="1"/>
          <w:cols w:space="425" w:num="1"/>
          <w:docGrid w:type="lines" w:linePitch="312" w:charSpace="0"/>
        </w:sectPr>
      </w:pPr>
    </w:p>
    <w:p>
      <w:pPr>
        <w:pStyle w:val="2"/>
        <w:numPr>
          <w:ilvl w:val="0"/>
          <w:numId w:val="1"/>
        </w:numPr>
        <w:jc w:val="center"/>
        <w:rPr>
          <w:bCs/>
        </w:rPr>
      </w:pPr>
      <w:bookmarkStart w:id="3" w:name="_Toc25480"/>
      <w:r>
        <w:rPr>
          <w:rFonts w:hint="eastAsia"/>
          <w:bCs/>
        </w:rPr>
        <w:t>规划基础及发展环境</w:t>
      </w:r>
      <w:bookmarkEnd w:id="3"/>
    </w:p>
    <w:p>
      <w:pPr>
        <w:pStyle w:val="3"/>
        <w:numPr>
          <w:ilvl w:val="0"/>
          <w:numId w:val="2"/>
        </w:numPr>
        <w:spacing w:line="360" w:lineRule="auto"/>
        <w:jc w:val="left"/>
      </w:pPr>
      <w:bookmarkStart w:id="4" w:name="_Toc24484"/>
      <w:r>
        <w:rPr>
          <w:rFonts w:hint="eastAsia"/>
        </w:rPr>
        <w:t>“十三五”完成情况</w:t>
      </w:r>
      <w:bookmarkEnd w:id="4"/>
    </w:p>
    <w:p>
      <w:pPr>
        <w:pStyle w:val="20"/>
        <w:ind w:firstLine="560"/>
        <w:rPr>
          <w:rFonts w:hint="eastAsia"/>
        </w:rPr>
      </w:pPr>
      <w:r>
        <w:rPr>
          <w:rFonts w:hint="eastAsia"/>
        </w:rPr>
        <w:t>“十三五”时期是寻甸城市管理工作转型发展的五年，五年来，寻甸县城市管理部门坚持以科学发展观、十八大精神、习近平新时代中国特色社会主义思想为统领，以群众满意为根本，以促进经济社会可持续发展为目标，以全面改善人居环境为重点，逐步理顺城市管理体制，不断提升城市管理工作效能，“条块结合，以块为主，综合执法，全面覆盖”管理模式进一步完善，精确、敏捷、高效、全方位覆盖、全时段监控、无缝隙管理新格局初步形成，管理水平大幅提高，市容环境明显改善，城市品位不断提升，获得“国家卫生县城”、“省级园林县城”等荣誉称号。为更好地做好城市服务管理工作，寻甸县城市管理局自2019年3月20日挂牌成立，翻开寻甸县城市管理的新篇章。</w:t>
      </w:r>
    </w:p>
    <w:p>
      <w:pPr>
        <w:pStyle w:val="21"/>
        <w:numPr>
          <w:ilvl w:val="0"/>
          <w:numId w:val="3"/>
        </w:numPr>
        <w:ind w:firstLine="0"/>
      </w:pPr>
      <w:r>
        <w:rPr>
          <w:rFonts w:hint="eastAsia"/>
        </w:rPr>
        <w:t>城乡容貌焕然一新，环境更加整洁有序。</w:t>
      </w:r>
    </w:p>
    <w:p>
      <w:pPr>
        <w:pStyle w:val="20"/>
        <w:ind w:firstLine="562"/>
        <w:outlineLvl w:val="0"/>
        <w:rPr>
          <w:b/>
          <w:bCs/>
        </w:rPr>
      </w:pPr>
      <w:bookmarkStart w:id="5" w:name="_Toc12738"/>
      <w:r>
        <w:rPr>
          <w:rFonts w:hint="eastAsia"/>
          <w:b/>
          <w:bCs/>
        </w:rPr>
        <w:t>——综合整治成效显著</w:t>
      </w:r>
      <w:bookmarkEnd w:id="5"/>
    </w:p>
    <w:p>
      <w:pPr>
        <w:pStyle w:val="20"/>
        <w:ind w:firstLine="560"/>
      </w:pPr>
      <w:r>
        <w:rPr>
          <w:rFonts w:hint="eastAsia"/>
        </w:rPr>
        <w:t>围绕省级园林县城、国家级卫生县城创建，多次对严重影响市容环境的农贸市场、学校、医院门口、客运站占道经营情况进行集中整治，对违规设置户外广告、店招店牌、乱堆乱放等影响市容市貌的行为进行治理，加强机动车、非机动车停放管理；对旭东路占道摆放货车现象进行了彻底清理；规范了城乡公交车停放点，协同公安交警部门开展乱停乱放整治行动，通过发布通告、张贴温馨提示等方式加大宣传力度，对乱停乱放实行处罚、暂扣等强制措施进行管理；规范县城星期天赶街秩序，龙泉路以西老城区占道赶街行为得到杜绝；规范夜间烧烤市场，规范引导翠苑路、屏江南路露天烧烤摊集中到龙苑农贸市场，市容环境明显改观；强化建筑渣土扬尘治理。深入开展县城区内建筑工地扬尘污染集中排查，严查严查严惩渣土运输车辆未办审批备案手续、覆盖密闭不严、沿途撒漏污染路面等违法违规行为</w:t>
      </w:r>
      <w:r>
        <w:rPr>
          <w:rFonts w:hint="eastAsia" w:hAnsi="宋体" w:cs="宋体"/>
          <w:szCs w:val="28"/>
        </w:rPr>
        <w:t>，</w:t>
      </w:r>
      <w:r>
        <w:rPr>
          <w:rFonts w:hint="eastAsia"/>
        </w:rPr>
        <w:t>清运乱倒建筑垃圾，在闲置空地增设隔离栏、围墙等设施阻止倾倒建筑垃圾，有效提升了扬尘污染管控水平，保障了国家卫生县城省级技术评估工作。目前正在开展规范渣土运输公司的组建工作，进一步规范建筑渣土处置程序，健全渣土审批流程。</w:t>
      </w:r>
    </w:p>
    <w:p>
      <w:pPr>
        <w:pStyle w:val="20"/>
        <w:ind w:firstLine="562"/>
        <w:outlineLvl w:val="0"/>
        <w:rPr>
          <w:b/>
          <w:bCs/>
        </w:rPr>
      </w:pPr>
      <w:bookmarkStart w:id="6" w:name="_Toc4290"/>
      <w:r>
        <w:rPr>
          <w:rFonts w:hint="eastAsia"/>
          <w:b/>
          <w:bCs/>
        </w:rPr>
        <w:t>——违法违规建筑整治</w:t>
      </w:r>
      <w:bookmarkEnd w:id="6"/>
    </w:p>
    <w:p>
      <w:pPr>
        <w:pStyle w:val="20"/>
        <w:ind w:firstLine="560"/>
      </w:pPr>
      <w:r>
        <w:rPr>
          <w:rFonts w:hint="eastAsia"/>
        </w:rPr>
        <w:t>城市管理局严格履行县人民政府违法建设整治工作指挥部办公室职能职责，按照“全面部署、齐抓共管、属地管理、分级负责、标本兼治、依法查处、区别对待、分类处理”的工作思路，建立长效管理机制，全面杜绝增量、化解存量，有序推进全县违法建设的整治工作。一是做好全县违法建设情况的统计汇总、指导协调、检查督促、考核验收等工作。二是通过召开全县工作安排会并签订《寻甸县城乡违法违规建筑治理工作军令状》、督查培训会及实地督察等方式，明确责任、倒排时限，督促各乡镇（街道）按时限要求完成全县违法建设存量统计，采用2008年卫星遥感图与2017年卫星遥感图比对，形成寻甸县违法违规建筑存量台账，统计疑似违法建筑21695宗、479.58万平方米，计划利用五年的时间分梯次、分区域、分类别逐步对核实后的违法违规建筑进行治理拆除。2019寻甸县完成2016宗，107.03万平方米违法违规建筑，2020年已完成169宗，3.03万平方米治理任务。同时落实违法建设整治工作目标和内容，从源头上遏制违法建设行为的发生，促进寻甸经济持续、快速、协调发展和社会全面进步。</w:t>
      </w:r>
    </w:p>
    <w:p>
      <w:pPr>
        <w:pStyle w:val="20"/>
        <w:ind w:firstLine="562"/>
        <w:outlineLvl w:val="0"/>
        <w:rPr>
          <w:b/>
          <w:bCs/>
        </w:rPr>
      </w:pPr>
      <w:bookmarkStart w:id="7" w:name="_Toc14760"/>
      <w:r>
        <w:rPr>
          <w:rFonts w:hint="eastAsia"/>
          <w:b/>
          <w:bCs/>
        </w:rPr>
        <w:t>——环卫保洁提质增效</w:t>
      </w:r>
      <w:bookmarkEnd w:id="7"/>
    </w:p>
    <w:p>
      <w:pPr>
        <w:pStyle w:val="20"/>
        <w:ind w:firstLine="560"/>
      </w:pPr>
      <w:r>
        <w:rPr>
          <w:rFonts w:hint="eastAsia"/>
        </w:rPr>
        <w:t>严格监督考核，敦促县城环卫承包企业按照作业标准和规范做好清扫保洁和垃圾收集工作，同时不断健全垃圾中转和卫生填埋处置设施，新建改建县城生活垃圾填埋场渗沥液处置工程，完善运行管理，环卫工作有效提升，生活垃圾无害化处理率达到100%。完善环卫基础设施建设，对县城周边9个建筑垃圾堆放点进行了治理，</w:t>
      </w:r>
      <w:r>
        <w:rPr>
          <w:rFonts w:hint="eastAsia" w:hAnsi="宋体" w:cs="宋体"/>
          <w:szCs w:val="28"/>
        </w:rPr>
        <w:t>修复30余处垃圾箱门、补充安装垃圾箱内胆40余个，修复破损垃圾箱广告位20余处，</w:t>
      </w:r>
      <w:r>
        <w:rPr>
          <w:rFonts w:hint="eastAsia"/>
        </w:rPr>
        <w:t>新购置新能源垃圾车、吸粪车、路面清洗车，增加移动垃圾箱。按标准对县城免费公厕进行了提升改造，明显改善了县城卫生条件。</w:t>
      </w:r>
    </w:p>
    <w:p>
      <w:pPr>
        <w:pStyle w:val="20"/>
        <w:ind w:firstLine="562"/>
        <w:outlineLvl w:val="0"/>
        <w:rPr>
          <w:b/>
          <w:bCs/>
        </w:rPr>
      </w:pPr>
      <w:bookmarkStart w:id="8" w:name="_Toc23412"/>
      <w:r>
        <w:rPr>
          <w:rFonts w:hint="eastAsia"/>
          <w:b/>
          <w:bCs/>
        </w:rPr>
        <w:t>——垃圾分类逐步推进</w:t>
      </w:r>
      <w:bookmarkEnd w:id="8"/>
    </w:p>
    <w:p>
      <w:pPr>
        <w:pStyle w:val="20"/>
        <w:ind w:firstLine="560"/>
      </w:pPr>
      <w:r>
        <w:rPr>
          <w:rFonts w:hint="eastAsia"/>
        </w:rPr>
        <w:t>拟定出台了《寻甸县2019年城乡生活垃圾分类工作实施方案》，发放《生活垃圾分类指导手册》，在每个小区单元楼口粘贴垃圾分类《温馨提示卡》确保生活垃圾分类工作家喻户晓。对从事环卫、物业管理、家政等人员开展垃圾分类知识宣传和培训。以单位、学校、居民小区为主，完善垃圾分类相关标识、标志，配备标识清晰的分类收集容器。2019年已购买16座垃圾分类亭，270只四色垃圾分类桶，分别安装在县委大院、政府大院、民族广场、河滨公园及各社区人群密集区，现已投入使用。2020年安放垃圾分类投放容器，覆盖率已达90%以上，收集率达75%以上，积极主动开展垃圾分类处置工作。</w:t>
      </w:r>
    </w:p>
    <w:p>
      <w:pPr>
        <w:widowControl/>
        <w:spacing w:line="560" w:lineRule="exact"/>
        <w:ind w:firstLine="562" w:firstLineChars="200"/>
        <w:jc w:val="left"/>
        <w:outlineLvl w:val="0"/>
        <w:rPr>
          <w:rFonts w:eastAsia="仿宋"/>
          <w:b/>
          <w:bCs/>
          <w:sz w:val="28"/>
        </w:rPr>
      </w:pPr>
      <w:bookmarkStart w:id="9" w:name="_Toc5638"/>
      <w:r>
        <w:rPr>
          <w:rFonts w:hint="eastAsia" w:eastAsia="仿宋"/>
          <w:b/>
          <w:bCs/>
          <w:sz w:val="28"/>
        </w:rPr>
        <w:t>——非正规垃圾堆放点整治</w:t>
      </w:r>
      <w:bookmarkEnd w:id="9"/>
    </w:p>
    <w:p>
      <w:pPr>
        <w:pStyle w:val="20"/>
        <w:ind w:firstLine="560"/>
      </w:pPr>
      <w:r>
        <w:rPr>
          <w:rFonts w:hint="eastAsia"/>
        </w:rPr>
        <w:t>住建部、省住建厅挂牌督办我县2019年12月底前完成12个点、2020年6月底前完成4个共16个非正规垃圾堆放点整治并达标销号。整治销号后各乡镇（街道）生活垃圾进行规范处置，金所街道垃圾转运至县城垃圾填埋场进行处置；七星镇、河口镇使用已建成低温分解生态处理设备进行垃圾处置，超出处置能力之外垃圾转运至县城垃圾填埋场进行处置。其余乡镇因为生活垃圾量大，距离县城垃圾填埋场距离较远，综合地理、经费等因素考虑，决定塘子街道、羊街镇、先锋镇、柯渡镇、六哨乡、鸡街镇、倘甸镇（没有销号任务）、功山镇、金源乡、甸沙乡建设10座自燃式生活垃圾热解净化处理站；凤合镇和联合乡共建1座自燃式生活垃圾热解净化处理站，日均处理规模为10吨，解决各乡镇（街道）生活垃圾处置问题。自燃式生活垃圾热解净化处理站已于2019年底全部建成。</w:t>
      </w:r>
    </w:p>
    <w:p>
      <w:pPr>
        <w:pStyle w:val="21"/>
        <w:numPr>
          <w:ilvl w:val="0"/>
          <w:numId w:val="3"/>
        </w:numPr>
        <w:ind w:firstLine="0"/>
        <w:outlineLvl w:val="2"/>
      </w:pPr>
      <w:bookmarkStart w:id="10" w:name="_Toc22199"/>
      <w:r>
        <w:rPr>
          <w:rFonts w:hint="eastAsia"/>
        </w:rPr>
        <w:t>市政设施不断完善，城市品质全面提升</w:t>
      </w:r>
      <w:bookmarkEnd w:id="10"/>
      <w:r>
        <w:rPr>
          <w:rFonts w:hint="eastAsia"/>
        </w:rPr>
        <w:t xml:space="preserve">。 </w:t>
      </w:r>
    </w:p>
    <w:p>
      <w:pPr>
        <w:pStyle w:val="20"/>
        <w:ind w:firstLine="560"/>
      </w:pPr>
      <w:r>
        <w:rPr>
          <w:rFonts w:hint="eastAsia"/>
        </w:rPr>
        <w:t>围绕县委、县政府 “四区一城”建设目标，以“省级园林县城”创建、巩固“国家级卫生县城”、“美丽县城”建设为契机，结合自身工作实际，探索推进城市精细化管理，县城市容环境秩序得到明显改善。</w:t>
      </w:r>
    </w:p>
    <w:p>
      <w:pPr>
        <w:pStyle w:val="20"/>
        <w:ind w:firstLine="562"/>
        <w:outlineLvl w:val="0"/>
        <w:rPr>
          <w:b/>
          <w:bCs/>
        </w:rPr>
      </w:pPr>
      <w:bookmarkStart w:id="11" w:name="_Toc26146"/>
      <w:r>
        <w:rPr>
          <w:rFonts w:hint="eastAsia"/>
          <w:b/>
          <w:bCs/>
        </w:rPr>
        <w:t>——市政设施管护效果显著</w:t>
      </w:r>
      <w:bookmarkEnd w:id="11"/>
    </w:p>
    <w:p>
      <w:pPr>
        <w:pStyle w:val="20"/>
        <w:ind w:firstLine="560"/>
      </w:pPr>
      <w:r>
        <w:rPr>
          <w:rFonts w:hint="eastAsia"/>
        </w:rPr>
        <w:t>不断强化建筑工地文明施工管理、城市道路占用挖掘和渣土运输审批管理，有效控制了擅自损坏和泼洒、扬尘污染城市道路的行为。对凤梧路、龙泉路、旭东路、文苑路等道路市政设施进行修复，确保了城市道路平整通畅。三是做好市政照明设施维护管理，抢修照明电缆、更换灯罩，并随季节及时调整亮灯时间，确保亮灯率达标，目前</w:t>
      </w:r>
      <w:r>
        <w:rPr>
          <w:rFonts w:hint="eastAsia" w:ascii="仿宋" w:hAnsi="仿宋"/>
        </w:rPr>
        <w:t>城市道路装灯率达到</w:t>
      </w:r>
      <w:r>
        <w:rPr>
          <w:rFonts w:hint="eastAsia"/>
        </w:rPr>
        <w:t>100%</w:t>
      </w:r>
      <w:r>
        <w:rPr>
          <w:rFonts w:hint="eastAsia" w:ascii="仿宋" w:hAnsi="仿宋"/>
        </w:rPr>
        <w:t>；道路照明设施完好率达到</w:t>
      </w:r>
      <w:r>
        <w:rPr>
          <w:rFonts w:hint="eastAsia"/>
        </w:rPr>
        <w:t>95%</w:t>
      </w:r>
      <w:r>
        <w:rPr>
          <w:rFonts w:hint="eastAsia" w:ascii="仿宋" w:hAnsi="仿宋"/>
        </w:rPr>
        <w:t>以上；道路照明主干道亮灯率达到</w:t>
      </w:r>
      <w:r>
        <w:rPr>
          <w:rFonts w:hint="eastAsia"/>
        </w:rPr>
        <w:t>98%</w:t>
      </w:r>
      <w:r>
        <w:rPr>
          <w:rFonts w:hint="eastAsia" w:ascii="仿宋" w:hAnsi="仿宋"/>
        </w:rPr>
        <w:t>以上，次干道、支路的亮灯率达到</w:t>
      </w:r>
      <w:r>
        <w:rPr>
          <w:rFonts w:hint="eastAsia"/>
        </w:rPr>
        <w:t>96%</w:t>
      </w:r>
      <w:r>
        <w:rPr>
          <w:rFonts w:hint="eastAsia" w:ascii="仿宋" w:hAnsi="仿宋"/>
        </w:rPr>
        <w:t>，随着</w:t>
      </w:r>
      <w:r>
        <w:rPr>
          <w:rFonts w:hint="eastAsia"/>
        </w:rPr>
        <w:t>LED</w:t>
      </w:r>
      <w:r>
        <w:rPr>
          <w:rFonts w:hint="eastAsia" w:ascii="仿宋" w:hAnsi="仿宋"/>
        </w:rPr>
        <w:t>路灯的使用，路灯故障率降低到</w:t>
      </w:r>
      <w:r>
        <w:rPr>
          <w:rFonts w:hint="eastAsia"/>
        </w:rPr>
        <w:t>10%</w:t>
      </w:r>
      <w:r>
        <w:rPr>
          <w:rFonts w:hint="eastAsia" w:ascii="仿宋" w:hAnsi="仿宋"/>
        </w:rPr>
        <w:t>以内。</w:t>
      </w:r>
      <w:r>
        <w:rPr>
          <w:rFonts w:hint="eastAsia"/>
        </w:rPr>
        <w:t>尽力解决市政停车设施不足停车难的问题，设置非机动车集中停放点，新增道路临时停车泊位，并协同交警等部门强化顺向停车和规范收费监督管理，在便民利民的同时促使县城静态交通秩序大为改观。</w:t>
      </w:r>
    </w:p>
    <w:p>
      <w:pPr>
        <w:pStyle w:val="20"/>
        <w:ind w:firstLine="562"/>
        <w:outlineLvl w:val="0"/>
        <w:rPr>
          <w:b/>
          <w:bCs/>
        </w:rPr>
      </w:pPr>
      <w:bookmarkStart w:id="12" w:name="_Toc5956"/>
      <w:r>
        <w:rPr>
          <w:rFonts w:hint="eastAsia"/>
          <w:b/>
          <w:bCs/>
        </w:rPr>
        <w:t>——市容市貌品质提升</w:t>
      </w:r>
      <w:bookmarkEnd w:id="12"/>
    </w:p>
    <w:p>
      <w:pPr>
        <w:pStyle w:val="20"/>
        <w:ind w:firstLine="560"/>
      </w:pPr>
      <w:r>
        <w:rPr>
          <w:rFonts w:hint="eastAsia"/>
        </w:rPr>
        <w:t>一是健全完善户外广告设置审批制度；贯彻执行《昆明市户外广告管理条例》、《昆明市户外广告设施设置管理办法》、《昆明市门面招牌设置技术规范》，依照《县城户外广告专项规划》，实行“提前介入，源头管理”的工作模式，规范户外广告设置审批管理，有效提升了县城户外广告和店招店牌的品质和档次。二是加大违规广告整治力度；在摸清底数、建立台账的基础上，集中开展违规广告清理整治，清除大型墙体喷绘广告、小型喷绘广告和违规门头牌匾、不规范广告灯箱，收缴占道广告牌，拆除违规广告布标，清理粘贴和喷涂小广告，拆除非法设置的大型宣传广告块、户外广告牌，教育和制止乱发小广告行为、收缴小广告，对违法广告行为进行处罚，</w:t>
      </w:r>
      <w:r>
        <w:rPr>
          <w:rFonts w:hint="eastAsia" w:hAnsi="宋体" w:cs="宋体"/>
          <w:szCs w:val="28"/>
        </w:rPr>
        <w:t>清理违法粘贴小广告、喷涂广告共计9000余处，结合实际在城区内设置3处小广告粘贴栏，减少了对县城区违法粘贴的数量，从2019年至2020年以来便民小广告粘贴栏共粘贴了400余份</w:t>
      </w:r>
      <w:r>
        <w:rPr>
          <w:rFonts w:hint="eastAsia"/>
        </w:rPr>
        <w:t>，有效保障了临街建筑立面整洁美观。三是增设便民利民广告发布设施；在广场、公园等人流集中地段规范设置告发布栏，接纳粘贴市民群众广告信息；协调企业在县城设置果皮箱广告位，并督促做好管护，疏通了商业广告发布渠道。</w:t>
      </w:r>
    </w:p>
    <w:p>
      <w:pPr>
        <w:pStyle w:val="13"/>
        <w:spacing w:line="120" w:lineRule="atLeast"/>
        <w:ind w:firstLine="482"/>
        <w:outlineLvl w:val="0"/>
        <w:rPr>
          <w:rFonts w:eastAsia="仿宋"/>
          <w:b/>
          <w:bCs/>
          <w:kern w:val="2"/>
          <w:sz w:val="28"/>
        </w:rPr>
      </w:pPr>
      <w:bookmarkStart w:id="13" w:name="_Toc31918"/>
      <w:r>
        <w:rPr>
          <w:rFonts w:hint="eastAsia" w:eastAsia="仿宋"/>
          <w:b/>
          <w:bCs/>
          <w:kern w:val="2"/>
          <w:sz w:val="28"/>
        </w:rPr>
        <w:t>——“厕所革命”工作开展顺利</w:t>
      </w:r>
      <w:bookmarkEnd w:id="13"/>
    </w:p>
    <w:p>
      <w:pPr>
        <w:pStyle w:val="20"/>
        <w:ind w:firstLine="560"/>
      </w:pPr>
      <w:r>
        <w:rPr>
          <w:rFonts w:hint="eastAsia"/>
        </w:rPr>
        <w:t>响应“厕所革命”抓好县城公厕建设改造和运行管理，按照昆明市局2019年3月份下达的城市公厕建设和提升任务， 2016年完成新建城市公厕数22座，提升改造现有城市公厕34座，2017年完成新建公厕数3座，改造提升公厕10座，2018年完成提升改造城市公厕5座，2019年公厕新建1座、改建提升1座。我县现已超额完成目标任务，涉及乡镇已全面完成。</w:t>
      </w:r>
    </w:p>
    <w:p>
      <w:pPr>
        <w:pStyle w:val="20"/>
        <w:ind w:firstLine="562"/>
        <w:outlineLvl w:val="0"/>
        <w:rPr>
          <w:b/>
          <w:bCs/>
        </w:rPr>
      </w:pPr>
      <w:bookmarkStart w:id="14" w:name="_Toc2674"/>
      <w:r>
        <w:rPr>
          <w:rFonts w:hint="eastAsia"/>
          <w:b/>
          <w:bCs/>
        </w:rPr>
        <w:t>——环境卫生质量有效提高</w:t>
      </w:r>
      <w:bookmarkEnd w:id="14"/>
    </w:p>
    <w:p>
      <w:pPr>
        <w:pStyle w:val="20"/>
        <w:ind w:firstLine="560"/>
      </w:pPr>
      <w:r>
        <w:rPr>
          <w:rFonts w:hint="eastAsia"/>
        </w:rPr>
        <w:t>严格监督考核，敦促县城环卫承包企业按照作业标准和规范做好清扫保洁和垃圾收集工作，同时不断健全垃圾中转和卫生填埋处置设施，新建改建县城生活垃圾填埋场渗沥液处置工程，完善运行管理，环卫工作有效提升。完善环卫基础设施建设，新购置新能源垃圾车、吸粪车、路面清洗车，增加移动垃圾箱等，明显改善了县城卫生条件。</w:t>
      </w:r>
    </w:p>
    <w:p>
      <w:pPr>
        <w:pStyle w:val="20"/>
        <w:ind w:firstLine="562"/>
        <w:outlineLvl w:val="0"/>
        <w:rPr>
          <w:b/>
          <w:bCs/>
        </w:rPr>
      </w:pPr>
      <w:bookmarkStart w:id="15" w:name="_Toc28111"/>
      <w:r>
        <w:rPr>
          <w:rFonts w:hint="eastAsia"/>
          <w:b/>
          <w:bCs/>
        </w:rPr>
        <w:t>——园林绿化景观提升</w:t>
      </w:r>
      <w:bookmarkEnd w:id="15"/>
    </w:p>
    <w:p>
      <w:pPr>
        <w:pStyle w:val="20"/>
        <w:ind w:firstLine="560"/>
      </w:pPr>
      <w:r>
        <w:rPr>
          <w:rFonts w:hint="eastAsia"/>
        </w:rPr>
        <w:t>以创建省级园林县城和国家级卫生县城复审为契机，进一步明确任务，突出重点，全力以赴抓好园林绿化各项工作。强规划严管理。坚持规划优先的原则，加快县城绿地系统规划的编制，完善规划的内容，提升规划的水平和档次，并严格按照城市绿地系统规划及城市绿线管理规定实施城市绿线管理，为城市绿化留出空间。严格实施建设项目绿色图章管理制度，园林绿化设计与建筑主体同步设计，同步施工，保证新建改建扩建工程达到园林绿化标准要求。有效开展园林绿化建设，结合“世界春城花都”品牌打造的总体要求和“一路一景、一园一品”的要求完成花卉主题公园和道路绿化景观提升改造，提前超额完成了园林绿化建设目标任务。努力抓好园林绿化管养，督促指导县城园林绿化管养企业认真做好绿化植物的锄草施肥、修剪整形、病虫害防治以及抗旱浇灌等方面的工作，促使县城绿化景观效果进一步提升，在市级对各县区园林绿化管养工作巡查考核中取得较好成绩。继续推进省级园林县城创建，全力做好创建省级园林县城最终实地评审的查缺补漏及迎检筹备工作，以较好的成绩通过了省级专家组检查评审，我县已于2019年6月24日省人民政府以《云南省人民政府关于命名第九批省级园林县城的通知》（云政函〔2019〕36号）正式命名寻甸县城为省级园林县城。</w:t>
      </w:r>
    </w:p>
    <w:p>
      <w:pPr>
        <w:pStyle w:val="21"/>
        <w:numPr>
          <w:ilvl w:val="0"/>
          <w:numId w:val="3"/>
        </w:numPr>
        <w:ind w:firstLine="0"/>
        <w:outlineLvl w:val="2"/>
      </w:pPr>
      <w:bookmarkStart w:id="16" w:name="_Toc10822"/>
      <w:r>
        <w:rPr>
          <w:rFonts w:hint="eastAsia"/>
        </w:rPr>
        <w:t>作风建设不断加强，队伍素质不断提高</w:t>
      </w:r>
      <w:bookmarkEnd w:id="16"/>
      <w:r>
        <w:rPr>
          <w:rFonts w:hint="eastAsia"/>
        </w:rPr>
        <w:t>。</w:t>
      </w:r>
    </w:p>
    <w:p>
      <w:pPr>
        <w:pStyle w:val="20"/>
        <w:ind w:firstLine="562"/>
        <w:outlineLvl w:val="0"/>
        <w:rPr>
          <w:b/>
          <w:bCs/>
        </w:rPr>
      </w:pPr>
      <w:bookmarkStart w:id="17" w:name="_Toc2473"/>
      <w:r>
        <w:rPr>
          <w:b/>
          <w:bCs/>
        </w:rPr>
        <w:t>——</w:t>
      </w:r>
      <w:r>
        <w:rPr>
          <w:rFonts w:hint="eastAsia"/>
          <w:b/>
          <w:bCs/>
        </w:rPr>
        <w:t>不断加强干部职工培训</w:t>
      </w:r>
      <w:bookmarkEnd w:id="17"/>
    </w:p>
    <w:p>
      <w:pPr>
        <w:pStyle w:val="20"/>
        <w:ind w:firstLine="560"/>
      </w:pPr>
      <w:r>
        <w:rPr>
          <w:rFonts w:hint="eastAsia"/>
        </w:rPr>
        <w:t>多种形式开展干部教育培训，组织动员职工认真参加“学习强国”、“云岭先锋”等平台的学习，邀请县消防大队对执法队伍进行了严格军事训练，以集中学习和自学相结合的方式，大大调动了干部职工的学习积极性和主动性，努力构建学习型、知识型、实干型的干部职工队伍，通过不定期的训练和培训，使城管执法队伍工作纪律得到明显增强，工作作风得到明显改进。</w:t>
      </w:r>
    </w:p>
    <w:p>
      <w:pPr>
        <w:pStyle w:val="20"/>
        <w:ind w:firstLine="562"/>
        <w:outlineLvl w:val="0"/>
        <w:rPr>
          <w:b/>
          <w:bCs/>
        </w:rPr>
      </w:pPr>
      <w:bookmarkStart w:id="18" w:name="_Toc24697"/>
      <w:r>
        <w:rPr>
          <w:rFonts w:hint="eastAsia"/>
          <w:b/>
          <w:bCs/>
        </w:rPr>
        <w:t>——不断加强内部纪律管理</w:t>
      </w:r>
      <w:bookmarkEnd w:id="18"/>
    </w:p>
    <w:p>
      <w:pPr>
        <w:pStyle w:val="20"/>
        <w:ind w:firstLine="560"/>
      </w:pPr>
      <w:r>
        <w:rPr>
          <w:rFonts w:hint="eastAsia"/>
        </w:rPr>
        <w:t>在队伍建设上，狠抓了教育培训，切实提高干部职工的政治思想和执法水平，做到知法、懂法、用法，实现用法律的手段规范工作行为。根据单位自身实际，坚持每周例会首先组织学习，规范干部职工的日常行为，培养良好习惯，树立典范形象。</w:t>
      </w:r>
    </w:p>
    <w:p>
      <w:pPr>
        <w:pStyle w:val="20"/>
        <w:ind w:firstLine="562"/>
        <w:outlineLvl w:val="0"/>
        <w:rPr>
          <w:b/>
          <w:bCs/>
        </w:rPr>
      </w:pPr>
      <w:bookmarkStart w:id="19" w:name="_Toc10340"/>
      <w:r>
        <w:rPr>
          <w:rFonts w:hint="eastAsia"/>
          <w:b/>
          <w:bCs/>
        </w:rPr>
        <w:t>——加强执法队伍建设管理</w:t>
      </w:r>
      <w:bookmarkEnd w:id="19"/>
    </w:p>
    <w:p>
      <w:pPr>
        <w:pStyle w:val="20"/>
        <w:ind w:firstLine="560"/>
      </w:pPr>
      <w:r>
        <w:rPr>
          <w:rFonts w:hint="eastAsia"/>
        </w:rPr>
        <w:t>始终把严格规范公正文明执法作为着力点，把为群众搞好服务作为落脚点，努力提高城市管理水平和能力。坚持持证上岗、规范执法，申请建立了“云南省行政执法证件管理系统”单位账号，强化行政执法公示制度。制定完善涵盖行政管理、教育培训、队伍形象、考勤管理、执勤管理、执法规范、执法效果、外部监督等方面的管理制度，有效规范执法行为、提高执法质量和执法效率，实现了培训有制度、执法有机制、过程有监督、过错有追究、效能有评估、奖惩有措施的运行目标。推进队伍形象标准化建设，统一城管队员着装、执法车辆外观标识和涂装样式、健全执法装备使用管理制度推行执法装备标准化，极大地提升了队伍依法行政能力和文明执法水平。</w:t>
      </w:r>
    </w:p>
    <w:p>
      <w:pPr>
        <w:pStyle w:val="21"/>
        <w:numPr>
          <w:ilvl w:val="0"/>
          <w:numId w:val="3"/>
        </w:numPr>
        <w:ind w:firstLine="0"/>
        <w:outlineLvl w:val="2"/>
      </w:pPr>
      <w:r>
        <w:rPr>
          <w:rFonts w:hint="eastAsia"/>
        </w:rPr>
        <w:t xml:space="preserve">信息化手段得到加强，管理水平不断提高 </w:t>
      </w:r>
    </w:p>
    <w:p>
      <w:pPr>
        <w:pStyle w:val="20"/>
        <w:ind w:firstLine="560"/>
      </w:pPr>
      <w:r>
        <w:rPr>
          <w:rFonts w:hint="eastAsia"/>
        </w:rPr>
        <w:t>按照上级部门关于城市管理网格化、精细化、智能化的有关要求，县数字化城市管理监督指挥中心充分发挥数字城管系统平台作用，通过监督员上报案件、12319热线举报、微信举报、上级监督，案件协调指挥，成绩科学评价等方式，进一步加大对市容市貌、环境卫生、交通秩序等方面的精细化管理力度，使市民拨打“12319”服务热线参与城市管理意识逐步增强，职能部门案件处置的主动性和质量显著提高。</w:t>
      </w:r>
    </w:p>
    <w:p/>
    <w:p>
      <w:pPr>
        <w:pStyle w:val="3"/>
        <w:numPr>
          <w:ilvl w:val="0"/>
          <w:numId w:val="2"/>
        </w:numPr>
        <w:spacing w:line="360" w:lineRule="auto"/>
      </w:pPr>
      <w:bookmarkStart w:id="20" w:name="_Toc18751"/>
      <w:r>
        <w:rPr>
          <w:rFonts w:hint="eastAsia"/>
        </w:rPr>
        <w:t>“十三五”存在的问题</w:t>
      </w:r>
      <w:bookmarkEnd w:id="20"/>
    </w:p>
    <w:p>
      <w:pPr>
        <w:pStyle w:val="20"/>
        <w:ind w:firstLine="560"/>
      </w:pPr>
      <w:r>
        <w:rPr>
          <w:rFonts w:hint="eastAsia"/>
        </w:rPr>
        <w:t>“十三五”期间，城市管理局队伍建设不断加强，执法理念不断更新，综合整治工作不断深化，全局上下努力奋斗，较好地完成了全年目标任务，在肯定成绩的同时，我们也清醒地认识到，县城市管理局新组建成立，工作的逐步理顺和步入正轨，还面临诸多困难。</w:t>
      </w:r>
    </w:p>
    <w:p>
      <w:pPr>
        <w:pStyle w:val="21"/>
        <w:numPr>
          <w:ilvl w:val="0"/>
          <w:numId w:val="4"/>
        </w:numPr>
        <w:ind w:firstLine="0"/>
      </w:pPr>
      <w:r>
        <w:rPr>
          <w:rFonts w:hint="eastAsia"/>
        </w:rPr>
        <w:t>管理理念有待转变，思维方式有待提升</w:t>
      </w:r>
    </w:p>
    <w:p>
      <w:pPr>
        <w:pStyle w:val="20"/>
        <w:ind w:firstLine="560"/>
      </w:pPr>
      <w:r>
        <w:rPr>
          <w:rFonts w:hint="eastAsia"/>
        </w:rPr>
        <w:t>城市管理部门及人员工作理念、管理方式方法相对滞后，与新时期国家对城市管理提出的新目标、任务和要求尚有差距，也与寻甸县城市快速发展以及人民群众对城市管理更高要求不相匹配。</w:t>
      </w:r>
    </w:p>
    <w:p>
      <w:pPr>
        <w:pStyle w:val="21"/>
        <w:numPr>
          <w:ilvl w:val="0"/>
          <w:numId w:val="4"/>
        </w:numPr>
        <w:ind w:firstLine="0"/>
      </w:pPr>
      <w:r>
        <w:rPr>
          <w:rFonts w:hint="eastAsia"/>
        </w:rPr>
        <w:t>法规体系仍需健全，体制机制有待完善</w:t>
      </w:r>
    </w:p>
    <w:p>
      <w:pPr>
        <w:pStyle w:val="20"/>
        <w:ind w:firstLine="560"/>
      </w:pPr>
      <w:r>
        <w:rPr>
          <w:rFonts w:hint="eastAsia"/>
        </w:rPr>
        <w:t>城市管理法规体系仍不完善，垂直管理与属地管理尚需进一步磨合，县、乡行政执法的管理体制与调度机制还需进一步完善，城市综合管理与专业管理的衔接配合度不够，城市管理常态机制尚未真正建立，市政工程建设质量监管及移交机制尚未建立，监督考核长效运行机制需进一步完善，行业市场化运作仍需进一步深化。</w:t>
      </w:r>
    </w:p>
    <w:p>
      <w:pPr>
        <w:pStyle w:val="21"/>
        <w:numPr>
          <w:ilvl w:val="0"/>
          <w:numId w:val="4"/>
        </w:numPr>
        <w:ind w:firstLine="0"/>
      </w:pPr>
      <w:r>
        <w:rPr>
          <w:rFonts w:hint="eastAsia"/>
        </w:rPr>
        <w:t>经费投入仍然不足，管理水平有待提高</w:t>
      </w:r>
    </w:p>
    <w:p>
      <w:pPr>
        <w:pStyle w:val="20"/>
        <w:ind w:firstLine="560"/>
      </w:pPr>
      <w:r>
        <w:rPr>
          <w:rFonts w:hint="eastAsia"/>
        </w:rPr>
        <w:t>管理经费、市政设施建设及维护费用未能与城市发展同步增长，导致市政设施建设滞后不完善，各类设备陈旧，增加了市政设施维护难度，影响维护效率，制约了管理水平的进一步提高。城市管理局刚组建成立，必须的办公设备、服装、执法装备配置无法解决；由于长期投入有限、城市管理基础设施薄弱，县城绿化养护、环卫保洁、垃圾处置、市政设施维护等工作仍然滞后，影响了城市管理工作的正常有序和长效运行。由于无地点及人员、经费，县城市管理局对接管的原“两区”城管局的工作职责无法开展，无力保障倘甸城区市容和环境卫生管理、园林绿化管护、协勤人员经费（每年需500万元左右），正常工作运转困难。</w:t>
      </w:r>
    </w:p>
    <w:p>
      <w:pPr>
        <w:pStyle w:val="21"/>
        <w:numPr>
          <w:ilvl w:val="0"/>
          <w:numId w:val="4"/>
        </w:numPr>
        <w:ind w:firstLine="0"/>
      </w:pPr>
      <w:r>
        <w:rPr>
          <w:rFonts w:hint="eastAsia"/>
        </w:rPr>
        <w:t>信息化建设及管理机制有待进一步完善</w:t>
      </w:r>
    </w:p>
    <w:p>
      <w:pPr>
        <w:pStyle w:val="20"/>
        <w:ind w:firstLine="560"/>
      </w:pPr>
      <w:r>
        <w:rPr>
          <w:rFonts w:hint="eastAsia"/>
        </w:rPr>
        <w:t>城市管理信息化建设尚还处于起步阶段，先进的信息通信技术未能有效应用于城市管理工作中，现有信息系统条块分割及“信息孤岛”现象严重，部分纵向信息网络自成体系，未实现互联互通，信息资源难以共享。</w:t>
      </w:r>
    </w:p>
    <w:p>
      <w:pPr>
        <w:pStyle w:val="21"/>
        <w:numPr>
          <w:ilvl w:val="0"/>
          <w:numId w:val="4"/>
        </w:numPr>
        <w:ind w:firstLine="0"/>
      </w:pPr>
      <w:r>
        <w:rPr>
          <w:rFonts w:hint="eastAsia"/>
        </w:rPr>
        <w:t>执法队伍设相对薄弱，队伍素质有待提高</w:t>
      </w:r>
    </w:p>
    <w:p>
      <w:pPr>
        <w:pStyle w:val="20"/>
        <w:ind w:firstLine="560"/>
      </w:pPr>
      <w:r>
        <w:rPr>
          <w:rFonts w:hint="eastAsia"/>
        </w:rPr>
        <w:t>现有城市管理行政执法队伍编制配备严重不足，其相应的执法设备装备比例也不到位。城市管理队伍存在人才总量不足、年龄断层、高层次人才紧缺、专业构成单一及城市管理执法力量整合不足。</w:t>
      </w:r>
    </w:p>
    <w:p>
      <w:pPr>
        <w:pStyle w:val="21"/>
        <w:numPr>
          <w:ilvl w:val="0"/>
          <w:numId w:val="4"/>
        </w:numPr>
        <w:ind w:firstLine="0"/>
      </w:pPr>
      <w:r>
        <w:rPr>
          <w:rFonts w:hint="eastAsia"/>
        </w:rPr>
        <w:t>宣传工作任重道远。</w:t>
      </w:r>
    </w:p>
    <w:p>
      <w:pPr>
        <w:pStyle w:val="20"/>
        <w:ind w:firstLine="560"/>
      </w:pPr>
      <w:r>
        <w:rPr>
          <w:rFonts w:hint="eastAsia"/>
        </w:rPr>
        <w:t>市民群众的</w:t>
      </w:r>
      <w:r>
        <w:rPr>
          <w:rFonts w:hint="eastAsia"/>
          <w:lang w:eastAsia="zh-CN"/>
        </w:rPr>
        <w:t>法治</w:t>
      </w:r>
      <w:bookmarkStart w:id="105" w:name="_GoBack"/>
      <w:bookmarkEnd w:id="105"/>
      <w:r>
        <w:rPr>
          <w:rFonts w:hint="eastAsia"/>
        </w:rPr>
        <w:t>意识、城市意识、文明意识需要进一步提高，乱摆乱放、乱搭乱建、乱扔乱倒垃圾等还一定程度上存在。</w:t>
      </w:r>
    </w:p>
    <w:p>
      <w:pPr>
        <w:pStyle w:val="3"/>
        <w:numPr>
          <w:ilvl w:val="0"/>
          <w:numId w:val="2"/>
        </w:numPr>
        <w:spacing w:line="360" w:lineRule="auto"/>
      </w:pPr>
      <w:bookmarkStart w:id="21" w:name="_Toc9158"/>
      <w:r>
        <w:rPr>
          <w:rFonts w:hint="eastAsia"/>
        </w:rPr>
        <w:t>“十四五”存在的机遇与挑战</w:t>
      </w:r>
      <w:bookmarkEnd w:id="21"/>
    </w:p>
    <w:p>
      <w:pPr>
        <w:pStyle w:val="21"/>
        <w:numPr>
          <w:ilvl w:val="0"/>
          <w:numId w:val="5"/>
        </w:numPr>
        <w:ind w:firstLine="0"/>
      </w:pPr>
      <w:r>
        <w:rPr>
          <w:rFonts w:hint="eastAsia"/>
        </w:rPr>
        <w:t>面临的机遇</w:t>
      </w:r>
    </w:p>
    <w:p>
      <w:pPr>
        <w:pStyle w:val="20"/>
        <w:ind w:firstLine="560"/>
      </w:pPr>
      <w:r>
        <w:rPr>
          <w:rFonts w:hint="eastAsia"/>
        </w:rPr>
        <w:t>2019年中央城市工作会议召开，中央19届五中全会的胜利召开，在社会文明程度、生态文明建设等多方面提出了新要求，这对新时期我国城市管理工作进行了全面部署，提出了新目标、新要求、新任务，我国城市管理将迈入向城市治理转变的重要阶段，城市管理工作将进一步得到重视，城市管理顶层设计将进一步得到加强。</w:t>
      </w:r>
    </w:p>
    <w:p>
      <w:pPr>
        <w:pStyle w:val="20"/>
        <w:ind w:firstLine="560"/>
      </w:pPr>
      <w:r>
        <w:rPr>
          <w:rFonts w:hint="eastAsia"/>
        </w:rPr>
        <w:t>寻甸县城市管理将迈入向城市治理转变的重要阶段，城市管理工作将进一步得到重视，城市管理顶层设计将进一步得到加强。结合寻甸县打造四区一城、美丽县城、卫生县城等全面治理城市面貌，向建设智慧型城市迈进。</w:t>
      </w:r>
    </w:p>
    <w:p>
      <w:pPr>
        <w:pStyle w:val="21"/>
        <w:numPr>
          <w:ilvl w:val="0"/>
          <w:numId w:val="5"/>
        </w:numPr>
        <w:ind w:firstLine="0"/>
      </w:pPr>
      <w:r>
        <w:rPr>
          <w:rFonts w:hint="eastAsia"/>
        </w:rPr>
        <w:t>面临的挑战</w:t>
      </w:r>
    </w:p>
    <w:p>
      <w:pPr>
        <w:pStyle w:val="20"/>
        <w:ind w:firstLine="560"/>
      </w:pPr>
      <w:r>
        <w:rPr>
          <w:rFonts w:hint="eastAsia"/>
        </w:rPr>
        <w:t>我县城市管理工作仍存在不少困难和问题，新常态下面临的挑战更加复杂严峻。主要表现在：一是当前我国经济发展模式转换、体制深层次改革和全方位对外开放正在加速，社会管理的风险和难度加大，社会管理领域存在的问题在城市发展中更为集中和明显，进一步增加了城市管理工作的难度。二是寻甸县城市扩张和城镇化进程加快，市政基础设施建设投入加大，大批市政基础设施项目建设在夯实城市管理工作基础的同时，也考验着城市管理部门应急反应速度和综合管理能力。三是寻甸县市在经济新常态下率先全面建成小康社会的冲刺过程中，人民群众生活水平将得到大幅提高，对城市管理部门加大解决群众关心问题的能力上有了更高要求。</w:t>
      </w:r>
    </w:p>
    <w:p>
      <w:pPr>
        <w:pStyle w:val="2"/>
        <w:numPr>
          <w:ilvl w:val="0"/>
          <w:numId w:val="1"/>
        </w:numPr>
        <w:jc w:val="center"/>
        <w:rPr>
          <w:bCs/>
        </w:rPr>
      </w:pPr>
      <w:bookmarkStart w:id="22" w:name="_Toc10263"/>
      <w:r>
        <w:rPr>
          <w:rFonts w:hint="eastAsia"/>
        </w:rPr>
        <w:t>规划思路与目标</w:t>
      </w:r>
      <w:bookmarkEnd w:id="22"/>
    </w:p>
    <w:p>
      <w:pPr>
        <w:pStyle w:val="3"/>
        <w:numPr>
          <w:ilvl w:val="0"/>
          <w:numId w:val="6"/>
        </w:numPr>
        <w:spacing w:line="360" w:lineRule="auto"/>
      </w:pPr>
      <w:r>
        <w:rPr>
          <w:rFonts w:hint="eastAsia"/>
        </w:rPr>
        <w:t xml:space="preserve"> </w:t>
      </w:r>
      <w:bookmarkStart w:id="23" w:name="_Toc15845"/>
      <w:r>
        <w:rPr>
          <w:rFonts w:hint="eastAsia"/>
        </w:rPr>
        <w:t>指导思想</w:t>
      </w:r>
      <w:bookmarkEnd w:id="23"/>
    </w:p>
    <w:p>
      <w:pPr>
        <w:pStyle w:val="20"/>
        <w:ind w:firstLine="560"/>
      </w:pPr>
      <w:r>
        <w:rPr>
          <w:rFonts w:hint="eastAsia"/>
        </w:rPr>
        <w:t>高举中国特色社会主义伟大旗帜，以马克思列宁主义，毛泽东思想，邓小平理论，“三个代表”重要思想，科学发展观，习近平新时代中国特色社会主义思想为指导，落实中央城市工作会议、中央</w:t>
      </w:r>
      <w:r>
        <w:rPr>
          <w:rFonts w:hint="eastAsia"/>
          <w:lang w:eastAsia="zh-CN"/>
        </w:rPr>
        <w:t>十九</w:t>
      </w:r>
      <w:r>
        <w:rPr>
          <w:rFonts w:hint="eastAsia"/>
        </w:rPr>
        <w:t>届五中全会精神，坚持以人民为中心的发展思想，贯彻“创新、协调、绿色、开放、共享”的发展理念，主动适应经济社会高质量发展要求，尊重城市发展规律，以城市管理现代化为指向，坚持以人为本、源头治理、权责一致、协调创新的原则，围绕提高城市发展质量，优化干净整洁平安有序城市环境；进一步提升城市管理科学化、精细化、智能化水平；构建权责明晰、服务为先、管理优化、执法规范、安全有序的城市管理体制；推动城市管理走向城市治理，建设共治共管、智慧、和谐共生的现代化城市，实现城市让生活更美好，城市管理让城市更美好的目标。为寻甸打造“四区一城”战略目标，建设“美丽县城”、“卫生县城”、“园林县城”等作出贡献。切实增强人民群众获得感、幸福感、安全感。</w:t>
      </w:r>
    </w:p>
    <w:p>
      <w:pPr>
        <w:pStyle w:val="3"/>
        <w:numPr>
          <w:ilvl w:val="0"/>
          <w:numId w:val="6"/>
        </w:numPr>
        <w:spacing w:line="360" w:lineRule="auto"/>
      </w:pPr>
      <w:r>
        <w:rPr>
          <w:rFonts w:hint="eastAsia"/>
        </w:rPr>
        <w:t xml:space="preserve"> </w:t>
      </w:r>
      <w:bookmarkStart w:id="24" w:name="_Toc14566"/>
      <w:r>
        <w:rPr>
          <w:rFonts w:hint="eastAsia"/>
        </w:rPr>
        <w:t>遵循原则</w:t>
      </w:r>
      <w:bookmarkEnd w:id="24"/>
    </w:p>
    <w:p>
      <w:pPr>
        <w:pStyle w:val="21"/>
        <w:numPr>
          <w:ilvl w:val="0"/>
          <w:numId w:val="7"/>
        </w:numPr>
        <w:ind w:firstLine="0"/>
      </w:pPr>
      <w:r>
        <w:rPr>
          <w:rFonts w:hint="eastAsia"/>
        </w:rPr>
        <w:t>坚持改革创新、转型发展</w:t>
      </w:r>
    </w:p>
    <w:p>
      <w:pPr>
        <w:pStyle w:val="20"/>
        <w:ind w:firstLine="560"/>
      </w:pPr>
      <w:r>
        <w:rPr>
          <w:rFonts w:hint="eastAsia"/>
        </w:rPr>
        <w:t xml:space="preserve">持续开展“城管革命”，深化城管执法体制及审批制度改革，优化城管部门机构设置、职能配置、工作流程，充分发挥市场在资源配置中的决定性作用，加强理念创新、体制创新、机制创新、科技创新，不断探索新思路、新举措、新手段，进一步推进城市管理的市场化、社会化进程，实现城市管理全面转型升级。 </w:t>
      </w:r>
    </w:p>
    <w:p>
      <w:pPr>
        <w:pStyle w:val="21"/>
        <w:numPr>
          <w:ilvl w:val="0"/>
          <w:numId w:val="7"/>
        </w:numPr>
        <w:ind w:firstLine="0"/>
      </w:pPr>
      <w:bookmarkStart w:id="25" w:name="_Toc30127"/>
      <w:r>
        <w:rPr>
          <w:rFonts w:hint="eastAsia"/>
        </w:rPr>
        <w:t>坚持多元合作、</w:t>
      </w:r>
      <w:bookmarkEnd w:id="25"/>
      <w:r>
        <w:rPr>
          <w:rFonts w:hint="eastAsia"/>
        </w:rPr>
        <w:t xml:space="preserve">共建共享 </w:t>
      </w:r>
    </w:p>
    <w:p>
      <w:pPr>
        <w:pStyle w:val="20"/>
        <w:ind w:firstLine="560"/>
      </w:pPr>
      <w:r>
        <w:rPr>
          <w:rFonts w:hint="eastAsia"/>
        </w:rPr>
        <w:t>全面建设“服务政府”，强化各级城市管理部门的服务意识，发挥政府在制定、执行法律和社会政策及监管方面的作用，当好统筹者、协调者和监管者的角色，积极培育、扶持和监管非政府城市管理主体，鼓励和支持人民群众参与城市管理，树立公众的“城市主人”意识，着力构建“政府牵头、部门合作、社会参与、专业管理、市场运作”的城市环境建设和管理大格局，共建共享城市发展成果。</w:t>
      </w:r>
    </w:p>
    <w:p>
      <w:pPr>
        <w:pStyle w:val="21"/>
        <w:numPr>
          <w:ilvl w:val="0"/>
          <w:numId w:val="7"/>
        </w:numPr>
        <w:ind w:firstLine="0"/>
      </w:pPr>
      <w:bookmarkStart w:id="26" w:name="_Toc10608"/>
      <w:r>
        <w:rPr>
          <w:rFonts w:hint="eastAsia"/>
        </w:rPr>
        <w:t>坚持依法管理、人性管理</w:t>
      </w:r>
      <w:bookmarkEnd w:id="26"/>
    </w:p>
    <w:p>
      <w:pPr>
        <w:pStyle w:val="20"/>
        <w:ind w:firstLine="560"/>
      </w:pPr>
      <w:r>
        <w:rPr>
          <w:rFonts w:hint="eastAsia"/>
        </w:rPr>
        <w:t>依法全面履行城管部门职能，推进机构、职能、权限、程序、责任法定化，推行部门权力清单制度，全面落实行政执法责任制，深化政务公开。落实“为民服务”理念，及时有效地解决市民普遍关注的热难点问题，在公平基础上针对不同阶层和不同群体的需求差异，提供规范、长效的人性化管理与服务，促进市民与城市自然环境、社会环境及人文环境的和谐发展。</w:t>
      </w:r>
    </w:p>
    <w:p>
      <w:pPr>
        <w:pStyle w:val="21"/>
        <w:numPr>
          <w:ilvl w:val="0"/>
          <w:numId w:val="7"/>
        </w:numPr>
        <w:ind w:firstLine="0"/>
      </w:pPr>
      <w:bookmarkStart w:id="27" w:name="_Toc12679"/>
      <w:r>
        <w:rPr>
          <w:rFonts w:hint="eastAsia"/>
        </w:rPr>
        <w:t>坚持科技引领、智慧管理</w:t>
      </w:r>
      <w:bookmarkEnd w:id="27"/>
    </w:p>
    <w:p>
      <w:pPr>
        <w:pStyle w:val="20"/>
        <w:ind w:firstLine="560"/>
      </w:pPr>
      <w:r>
        <w:rPr>
          <w:rFonts w:hint="eastAsia"/>
        </w:rPr>
        <w:t>以建设“智慧城市”为契机，提高城市管理水平，变粗放低效管理为精准高效管理，积极开展互联网、物联网等新一代信息技术在城市管理中的应用，实现城市管理的智能化、人本化、精细化服务转型，提高城市管理效率，提升管理质量，降低管理成本，形成“互联网+城管”的</w:t>
      </w:r>
      <w:r>
        <w:fldChar w:fldCharType="begin"/>
      </w:r>
      <w:r>
        <w:instrText xml:space="preserve"> HYPERLINK "http://baike.baidu.com/view/1510516.htm" \t "_blank" </w:instrText>
      </w:r>
      <w:r>
        <w:fldChar w:fldCharType="separate"/>
      </w:r>
      <w:r>
        <w:rPr>
          <w:rFonts w:hint="eastAsia"/>
        </w:rPr>
        <w:t>城市管理</w:t>
      </w:r>
      <w:r>
        <w:rPr>
          <w:rFonts w:hint="eastAsia"/>
        </w:rPr>
        <w:fldChar w:fldCharType="end"/>
      </w:r>
      <w:r>
        <w:rPr>
          <w:rFonts w:hint="eastAsia"/>
        </w:rPr>
        <w:t>新模式。</w:t>
      </w:r>
    </w:p>
    <w:p>
      <w:pPr>
        <w:pStyle w:val="21"/>
        <w:numPr>
          <w:ilvl w:val="0"/>
          <w:numId w:val="7"/>
        </w:numPr>
        <w:ind w:firstLine="0"/>
      </w:pPr>
      <w:bookmarkStart w:id="28" w:name="_Toc24674"/>
      <w:r>
        <w:rPr>
          <w:rFonts w:hint="eastAsia"/>
        </w:rPr>
        <w:t>坚持生态环保、绿色发展</w:t>
      </w:r>
      <w:bookmarkEnd w:id="28"/>
    </w:p>
    <w:p>
      <w:pPr>
        <w:pStyle w:val="20"/>
        <w:ind w:firstLine="560"/>
      </w:pPr>
      <w:bookmarkStart w:id="29" w:name="_Toc4944"/>
      <w:bookmarkStart w:id="30" w:name="_Toc432062827"/>
      <w:bookmarkStart w:id="31" w:name="_Toc22467"/>
      <w:bookmarkStart w:id="32" w:name="_Toc437449720"/>
      <w:bookmarkStart w:id="33" w:name="_Toc10976"/>
      <w:bookmarkStart w:id="34" w:name="_Toc29535"/>
      <w:bookmarkStart w:id="35" w:name="_Toc28653"/>
      <w:bookmarkStart w:id="36" w:name="_Toc20179"/>
      <w:bookmarkStart w:id="37" w:name="_Toc13557"/>
      <w:r>
        <w:rPr>
          <w:rFonts w:hint="eastAsia"/>
        </w:rPr>
        <w:t>全面推进“美丽县城”、“四区一城”建设，积极探索特色化城市管理措施，注重生态和绿色化建设，在市政、环卫、照明等行业积极推广新技术、新工艺、新材料，应用节能环保材料及设备，降低资源消耗，减少污染排放，打造绿色环境和人文环境并举的特色化城市管理模式，促进城市可持续发展。</w:t>
      </w:r>
      <w:bookmarkEnd w:id="29"/>
      <w:bookmarkEnd w:id="30"/>
      <w:bookmarkEnd w:id="31"/>
      <w:bookmarkEnd w:id="32"/>
      <w:bookmarkEnd w:id="33"/>
      <w:bookmarkEnd w:id="34"/>
      <w:bookmarkEnd w:id="35"/>
      <w:bookmarkEnd w:id="36"/>
      <w:bookmarkEnd w:id="37"/>
    </w:p>
    <w:p>
      <w:pPr>
        <w:pStyle w:val="3"/>
        <w:numPr>
          <w:ilvl w:val="0"/>
          <w:numId w:val="6"/>
        </w:numPr>
        <w:spacing w:line="360" w:lineRule="auto"/>
      </w:pPr>
      <w:r>
        <w:rPr>
          <w:rFonts w:hint="eastAsia"/>
        </w:rPr>
        <w:t xml:space="preserve"> </w:t>
      </w:r>
      <w:bookmarkStart w:id="38" w:name="_Toc25745"/>
      <w:r>
        <w:rPr>
          <w:rFonts w:hint="eastAsia"/>
        </w:rPr>
        <w:t>规划目标</w:t>
      </w:r>
      <w:bookmarkEnd w:id="38"/>
    </w:p>
    <w:p>
      <w:pPr>
        <w:pStyle w:val="20"/>
        <w:ind w:firstLine="560"/>
      </w:pPr>
      <w:bookmarkStart w:id="39" w:name="_Toc20686"/>
      <w:bookmarkStart w:id="40" w:name="_Toc28216"/>
      <w:bookmarkStart w:id="41" w:name="_Toc12876"/>
      <w:bookmarkStart w:id="42" w:name="_Toc432062829"/>
      <w:bookmarkStart w:id="43" w:name="_Toc21877"/>
      <w:bookmarkStart w:id="44" w:name="_Toc20632"/>
      <w:bookmarkStart w:id="45" w:name="_Toc8210"/>
      <w:bookmarkStart w:id="46" w:name="_Toc29319"/>
      <w:bookmarkStart w:id="47" w:name="_Toc437449722"/>
      <w:r>
        <w:rPr>
          <w:rFonts w:hint="eastAsia"/>
        </w:rPr>
        <w:t>着力构建权责明晰、服务为先、管理优化、执法规范、安全有序的城市管理体制，主动适应新型城镇化发展要求和人民群众生产生活需要，积极推进城市管理现代化，力争到“十四五”期末，城市环境更加整洁，城市设施更加完好，城市市容更加美丽，城市氛围更加和谐，城市管理更加高效，现代城市治理体系初步形成，人民群众满意度显著提升，为寻甸县在实现全面小康社会，全面提升经济社会发展中首位度提供有力支撑。</w:t>
      </w:r>
      <w:bookmarkEnd w:id="39"/>
      <w:bookmarkEnd w:id="40"/>
      <w:bookmarkEnd w:id="41"/>
      <w:bookmarkEnd w:id="42"/>
      <w:bookmarkEnd w:id="43"/>
      <w:bookmarkEnd w:id="44"/>
      <w:bookmarkEnd w:id="45"/>
      <w:bookmarkEnd w:id="46"/>
      <w:bookmarkEnd w:id="47"/>
    </w:p>
    <w:p>
      <w:pPr>
        <w:pStyle w:val="20"/>
        <w:numPr>
          <w:ilvl w:val="0"/>
          <w:numId w:val="8"/>
        </w:numPr>
        <w:ind w:firstLineChars="0"/>
        <w:outlineLvl w:val="2"/>
        <w:rPr>
          <w:b/>
          <w:bCs/>
        </w:rPr>
      </w:pPr>
      <w:r>
        <w:rPr>
          <w:rFonts w:hint="eastAsia"/>
          <w:b/>
          <w:bCs/>
        </w:rPr>
        <w:t>城管体制改革</w:t>
      </w:r>
    </w:p>
    <w:p>
      <w:pPr>
        <w:pStyle w:val="20"/>
        <w:ind w:firstLine="560"/>
      </w:pPr>
      <w:r>
        <w:rPr>
          <w:rFonts w:hint="eastAsia"/>
        </w:rPr>
        <w:t>完成城市管理和综合执法大部门制改革，执法体制基本理顺，执法重心和执法力量进一步下移，坚持管理规范发展，深化城市管理体制改革，建立“权责一致、责任明晰、科学高效”的县、街道、社区三级网格化管理体系，把城市管理纳入法治轨道。</w:t>
      </w:r>
    </w:p>
    <w:p>
      <w:pPr>
        <w:pStyle w:val="20"/>
        <w:numPr>
          <w:ilvl w:val="0"/>
          <w:numId w:val="8"/>
        </w:numPr>
        <w:ind w:firstLineChars="0"/>
        <w:outlineLvl w:val="2"/>
        <w:rPr>
          <w:b/>
          <w:bCs/>
        </w:rPr>
      </w:pPr>
      <w:r>
        <w:rPr>
          <w:rFonts w:hint="eastAsia"/>
          <w:b/>
          <w:bCs/>
        </w:rPr>
        <w:t>法律法规保障</w:t>
      </w:r>
    </w:p>
    <w:p>
      <w:pPr>
        <w:pStyle w:val="20"/>
        <w:ind w:firstLine="560"/>
      </w:pPr>
      <w:r>
        <w:rPr>
          <w:rFonts w:hint="eastAsia"/>
        </w:rPr>
        <w:t>出台相应的管理办法和条例，城市管理法律法规和标准体系基本完善，城市管理综合执法做到有法可依，“法治城管”基础进一步夯实。全面推行行政执法公示制度、执法全过程记录制度、重大行政执法决定法制审核制度，有效规范行政处罚、行政强制、行政检查等执法行为，促进严格规范公正文明执法。</w:t>
      </w:r>
    </w:p>
    <w:p>
      <w:pPr>
        <w:pStyle w:val="20"/>
        <w:numPr>
          <w:ilvl w:val="0"/>
          <w:numId w:val="8"/>
        </w:numPr>
        <w:ind w:firstLineChars="0"/>
        <w:outlineLvl w:val="2"/>
        <w:rPr>
          <w:b/>
          <w:bCs/>
        </w:rPr>
      </w:pPr>
      <w:r>
        <w:rPr>
          <w:rFonts w:hint="eastAsia"/>
          <w:b/>
          <w:bCs/>
        </w:rPr>
        <w:t>行业规范标准</w:t>
      </w:r>
    </w:p>
    <w:p>
      <w:pPr>
        <w:pStyle w:val="20"/>
        <w:ind w:firstLine="560"/>
      </w:pPr>
      <w:r>
        <w:rPr>
          <w:rFonts w:hint="eastAsia"/>
        </w:rPr>
        <w:t>推进行业标准化建设，具体执法管理工作中，将按照城市管理相关标准规范，推动建立精细化管理标准规范体系，以构建城市管理的“寻甸标准”和“寻甸质量”为追求，出台系列行业规范标准，打造城市管理的质量新高地。</w:t>
      </w:r>
    </w:p>
    <w:p>
      <w:pPr>
        <w:pStyle w:val="20"/>
        <w:numPr>
          <w:ilvl w:val="0"/>
          <w:numId w:val="8"/>
        </w:numPr>
        <w:ind w:firstLineChars="0"/>
        <w:outlineLvl w:val="2"/>
        <w:rPr>
          <w:b/>
          <w:bCs/>
        </w:rPr>
      </w:pPr>
      <w:r>
        <w:rPr>
          <w:rFonts w:hint="eastAsia"/>
          <w:b/>
          <w:bCs/>
        </w:rPr>
        <w:t>城乡容貌</w:t>
      </w:r>
    </w:p>
    <w:p>
      <w:pPr>
        <w:pStyle w:val="20"/>
        <w:ind w:firstLine="560"/>
      </w:pPr>
      <w:r>
        <w:rPr>
          <w:rFonts w:hint="eastAsia"/>
        </w:rPr>
        <w:t>加强市容环境整治，分区域、分类别、分步骤地推进“治脏”“治乱”“治差”“治堵”“美化”“亮化”“净化”“绿化”等各项工作，建美丽县城建设与人居环境建设有机结合，使寻甸全域市容环境更加干净整洁、城市景观更加亮丽迷人、出行条件更加舒适便捷、人居环境更加温馨。加大违法建设治理力度，分类处置历史遗留违法建筑和超期临建；严厉查处违法建设行为，对违法建设进行全面调查，制定整治拆除计划，努力实现“杜绝增量、减少存量、逐步推进、长效控制、永无违建”的目标。</w:t>
      </w:r>
    </w:p>
    <w:p>
      <w:pPr>
        <w:pStyle w:val="20"/>
        <w:numPr>
          <w:ilvl w:val="0"/>
          <w:numId w:val="8"/>
        </w:numPr>
        <w:ind w:firstLineChars="0"/>
        <w:outlineLvl w:val="2"/>
        <w:rPr>
          <w:b/>
          <w:bCs/>
        </w:rPr>
      </w:pPr>
      <w:r>
        <w:rPr>
          <w:rFonts w:hint="eastAsia"/>
          <w:b/>
          <w:bCs/>
        </w:rPr>
        <w:t>深入开展“城乡清洁工程”</w:t>
      </w:r>
    </w:p>
    <w:p>
      <w:pPr>
        <w:pStyle w:val="20"/>
        <w:ind w:firstLine="560"/>
      </w:pPr>
      <w:r>
        <w:rPr>
          <w:rFonts w:hint="eastAsia"/>
        </w:rPr>
        <w:t xml:space="preserve">以开展城市生活垃圾分类示范工作为契机，解决好环卫设施不配套、垃圾乱堆乱倒、收集清运不及时、清扫保洁不到位等问题，进一步规范垃圾贮存、收集、转运、处置工作，实施精细化园林绿化管养长效机制，提升城市园林绿化品质。                                                                                                                                                                                                                                                                                                                                                                                                                                                                                                                                                                                                                                                                                                                                                                                                                                                                                                                                                                                                                                                                                                                                                                                                                                                                                                                                                                                                                                                                                                                                                                                                                                                                                                                                                                                                                                                                                                                                                                                                                                                                                                                                                                                                                                                                                                                                                                                                                                                                                                                                                                                                                                                                                                                                                                                                                                                                                                                                                                                                                                                                                                                                                                                                                                                                                                                                                                                                                                                                                                                                                                                                                                                                                                                                                                                                                                                                                                                                                                                                                                                                                                        </w:t>
      </w:r>
      <w:r>
        <w:rPr>
          <w:rFonts w:hint="eastAsia"/>
        </w:rPr>
        <w:t xml:space="preserve">                                                                                                                                                                                                                                                                                                                                                                                                                                                                                                                                                                                                                                                                                                                                                                                                                                                                                                                                                                                                                                                                                                                                                                                                                                                                                                                                                                                                                                                                                                                                                                                                                                                                                                                                                                                                                                                                                                                                                                                                                                                                                                                                                                                                                                                                                                                                                                                                                                                                                                                                                                                                                                                                                                                                                                                                                                                                                                                                                                                                                                                                                                                                                                                                                                                                                                                                                                                                                                                                                                                                                                                                                                                                                                                                                                                                                                                                                                                                                                                                                                                                                                                                                                                                                </w:t>
      </w:r>
      <w:r>
        <w:rPr>
          <w:rFonts w:hint="eastAsia"/>
        </w:rPr>
        <w:t xml:space="preserve">                                                                                                                                                                                                                                                                                                                                                                                                                                                                                                                                                                                                                                                                                                                                                                                                                                                                                                   </w:t>
      </w:r>
    </w:p>
    <w:p>
      <w:pPr>
        <w:pStyle w:val="20"/>
        <w:numPr>
          <w:ilvl w:val="0"/>
          <w:numId w:val="8"/>
        </w:numPr>
        <w:ind w:firstLineChars="0"/>
        <w:outlineLvl w:val="2"/>
        <w:rPr>
          <w:b/>
          <w:bCs/>
        </w:rPr>
      </w:pPr>
      <w:r>
        <w:rPr>
          <w:rFonts w:hint="eastAsia"/>
          <w:b/>
          <w:bCs/>
        </w:rPr>
        <w:t>户外广告</w:t>
      </w:r>
    </w:p>
    <w:p>
      <w:pPr>
        <w:pStyle w:val="20"/>
        <w:ind w:firstLine="560"/>
      </w:pPr>
      <w:r>
        <w:rPr>
          <w:rFonts w:hint="eastAsia"/>
        </w:rPr>
        <w:t>充分发挥政府引导作用和市场主导作用，构建广告产业公共服务管理体系，严厉整治违法广告，全面提升全县广告产业的整体素质和设置管理工作水平。</w:t>
      </w:r>
    </w:p>
    <w:p>
      <w:pPr>
        <w:pStyle w:val="20"/>
        <w:numPr>
          <w:ilvl w:val="0"/>
          <w:numId w:val="8"/>
        </w:numPr>
        <w:ind w:firstLineChars="0"/>
        <w:outlineLvl w:val="2"/>
        <w:rPr>
          <w:b/>
          <w:bCs/>
        </w:rPr>
      </w:pPr>
      <w:r>
        <w:rPr>
          <w:rFonts w:hint="eastAsia"/>
          <w:b/>
          <w:bCs/>
        </w:rPr>
        <w:t>信息化</w:t>
      </w:r>
    </w:p>
    <w:p>
      <w:pPr>
        <w:pStyle w:val="20"/>
        <w:ind w:firstLine="560"/>
      </w:pPr>
      <w:r>
        <w:rPr>
          <w:rFonts w:hint="eastAsia"/>
        </w:rPr>
        <w:t>有效应用大数据、云计算、移动互联网、物联网等新一代信息技术，实现对现有信息系统的整合优化，建立协同统一的“云城管”平台，由“数字城管”向“智慧城管”的转型升级，</w:t>
      </w:r>
      <w:r>
        <w:rPr>
          <w:rFonts w:hint="eastAsia"/>
          <w:lang w:eastAsia="zh-CN"/>
        </w:rPr>
        <w:t>平台注重网络安全，运用密码保障体系，</w:t>
      </w:r>
      <w:r>
        <w:rPr>
          <w:rFonts w:hint="eastAsia"/>
        </w:rPr>
        <w:t>管理精细化水平进一步提升，服务能力进一步增强。</w:t>
      </w:r>
    </w:p>
    <w:p>
      <w:pPr>
        <w:pStyle w:val="20"/>
        <w:numPr>
          <w:ilvl w:val="0"/>
          <w:numId w:val="8"/>
        </w:numPr>
        <w:ind w:firstLineChars="0"/>
        <w:outlineLvl w:val="2"/>
        <w:rPr>
          <w:b/>
          <w:bCs/>
        </w:rPr>
      </w:pPr>
      <w:r>
        <w:rPr>
          <w:rFonts w:hint="eastAsia"/>
          <w:b/>
          <w:bCs/>
        </w:rPr>
        <w:t>节能环保</w:t>
      </w:r>
    </w:p>
    <w:p>
      <w:pPr>
        <w:pStyle w:val="20"/>
        <w:ind w:firstLine="560"/>
      </w:pPr>
      <w:r>
        <w:rPr>
          <w:rFonts w:hint="eastAsia"/>
          <w:lang w:val="zh-CN"/>
        </w:rPr>
        <w:t>推广使用节能环保设备和工程材料，持续提高垃圾无害化处理水平和资源利用率；</w:t>
      </w:r>
      <w:r>
        <w:rPr>
          <w:rFonts w:hint="eastAsia"/>
        </w:rPr>
        <w:t>继续开展绿色照明示范项目建设，积极测试和推广绿色照明新技术、新产品，建立和完善绿色照明体系。</w:t>
      </w:r>
    </w:p>
    <w:p>
      <w:pPr>
        <w:pStyle w:val="20"/>
        <w:numPr>
          <w:ilvl w:val="0"/>
          <w:numId w:val="8"/>
        </w:numPr>
        <w:ind w:firstLineChars="0"/>
        <w:outlineLvl w:val="2"/>
        <w:rPr>
          <w:b/>
          <w:bCs/>
        </w:rPr>
      </w:pPr>
      <w:r>
        <w:rPr>
          <w:rFonts w:hint="eastAsia"/>
          <w:b/>
          <w:bCs/>
        </w:rPr>
        <w:t>行业创新</w:t>
      </w:r>
    </w:p>
    <w:p>
      <w:pPr>
        <w:pStyle w:val="20"/>
        <w:ind w:firstLine="560"/>
        <w:rPr>
          <w:lang w:val="zh-CN"/>
        </w:rPr>
      </w:pPr>
      <w:r>
        <w:rPr>
          <w:rFonts w:hint="eastAsia"/>
          <w:lang w:val="zh-CN"/>
        </w:rPr>
        <w:t>行政执法、行政审批制度、事业单位改革等行业重点领域和关键环节改革取得决定性成果，“服务型城管”基本建成，部门公信力和执行力明显提高，市场化运作不断推进，管理规范化、标准化建设不断加强。</w:t>
      </w:r>
    </w:p>
    <w:p>
      <w:pPr>
        <w:pStyle w:val="20"/>
        <w:numPr>
          <w:ilvl w:val="0"/>
          <w:numId w:val="8"/>
        </w:numPr>
        <w:ind w:firstLineChars="0"/>
        <w:outlineLvl w:val="2"/>
        <w:rPr>
          <w:b/>
          <w:bCs/>
        </w:rPr>
      </w:pPr>
      <w:r>
        <w:rPr>
          <w:rFonts w:hint="eastAsia"/>
          <w:b/>
          <w:bCs/>
        </w:rPr>
        <w:t>队伍建设</w:t>
      </w:r>
    </w:p>
    <w:p>
      <w:pPr>
        <w:pStyle w:val="20"/>
        <w:ind w:firstLine="560"/>
      </w:pPr>
      <w:r>
        <w:rPr>
          <w:rFonts w:hint="eastAsia"/>
        </w:rPr>
        <w:t>全面推进党建和精神文明建设，加强干部职工培训和内部纪律管理，深化干部人事制度改革，建立集聚人才体制机制，干部队伍素质显著提高，工作作风明显改进，执法水平全面提升。结合工作实际，不忘初心、牢记使命，在城市管理中服务于群众。持续开展“强基础、转作风、树形象”专项行动，提升“十种能力”，处理好“十个关系”，统一执法程序、标准、内容、文书、服装、标识等，切实规范城市管理执法行为。</w:t>
      </w:r>
    </w:p>
    <w:p>
      <w:r>
        <w:rPr>
          <w:rFonts w:hint="eastAsia"/>
        </w:rPr>
        <w:br w:type="page"/>
      </w:r>
    </w:p>
    <w:p>
      <w:pPr>
        <w:pStyle w:val="2"/>
        <w:numPr>
          <w:ilvl w:val="0"/>
          <w:numId w:val="1"/>
        </w:numPr>
        <w:jc w:val="center"/>
        <w:rPr>
          <w:bCs/>
        </w:rPr>
      </w:pPr>
      <w:bookmarkStart w:id="48" w:name="_Toc21947"/>
      <w:r>
        <w:rPr>
          <w:rFonts w:hint="eastAsia"/>
          <w:bCs/>
        </w:rPr>
        <w:t>“十四五”主要任务</w:t>
      </w:r>
      <w:r>
        <w:rPr>
          <w:rFonts w:hint="eastAsia"/>
          <w:bCs/>
          <w:lang w:val="en-US" w:eastAsia="zh-CN"/>
        </w:rPr>
        <w:t>及远景规划</w:t>
      </w:r>
      <w:bookmarkEnd w:id="48"/>
    </w:p>
    <w:p/>
    <w:p>
      <w:pPr>
        <w:pStyle w:val="3"/>
        <w:numPr>
          <w:ilvl w:val="0"/>
          <w:numId w:val="9"/>
        </w:numPr>
        <w:spacing w:line="360" w:lineRule="auto"/>
      </w:pPr>
      <w:r>
        <w:rPr>
          <w:rFonts w:hint="eastAsia"/>
        </w:rPr>
        <w:t xml:space="preserve"> </w:t>
      </w:r>
      <w:bookmarkStart w:id="49" w:name="_Toc1839"/>
      <w:r>
        <w:rPr>
          <w:rFonts w:hint="eastAsia"/>
        </w:rPr>
        <w:t>深化体制改革</w:t>
      </w:r>
      <w:bookmarkEnd w:id="49"/>
    </w:p>
    <w:p>
      <w:pPr>
        <w:pStyle w:val="21"/>
        <w:numPr>
          <w:ilvl w:val="0"/>
          <w:numId w:val="10"/>
        </w:numPr>
        <w:ind w:firstLine="0"/>
      </w:pPr>
      <w:r>
        <w:rPr>
          <w:rFonts w:hint="eastAsia"/>
        </w:rPr>
        <w:t>构建完善“大城管”工作格局</w:t>
      </w:r>
    </w:p>
    <w:p>
      <w:pPr>
        <w:ind w:firstLine="560" w:firstLineChars="200"/>
        <w:rPr>
          <w:rFonts w:eastAsia="仿宋"/>
          <w:sz w:val="28"/>
        </w:rPr>
      </w:pPr>
      <w:r>
        <w:rPr>
          <w:rFonts w:hint="eastAsia" w:eastAsia="仿宋"/>
          <w:sz w:val="28"/>
        </w:rPr>
        <w:t>改革完善城市管理体制机制，建立健全有效的部门联动机制，优化跨部门协调与合作，建立完整的城市管理与行政执法相配套的工作体系，构筑县城、倘甸城区、工业园区、集镇体系化城市管理构架，加强对辖区内城市管理工作的业务指导、组织协调、监督检查和考核评价，形成统一决策、统一管理、统一执法的“大城管”格局。</w:t>
      </w:r>
    </w:p>
    <w:p>
      <w:pPr>
        <w:pStyle w:val="21"/>
        <w:numPr>
          <w:ilvl w:val="0"/>
          <w:numId w:val="10"/>
        </w:numPr>
        <w:ind w:firstLine="0"/>
      </w:pPr>
      <w:bookmarkStart w:id="50" w:name="_Toc429732253"/>
      <w:r>
        <w:rPr>
          <w:rFonts w:hint="eastAsia"/>
        </w:rPr>
        <w:t>积极推进简政放权</w:t>
      </w:r>
      <w:bookmarkEnd w:id="50"/>
    </w:p>
    <w:p>
      <w:pPr>
        <w:ind w:firstLine="560" w:firstLineChars="200"/>
        <w:rPr>
          <w:rFonts w:eastAsia="仿宋"/>
          <w:sz w:val="28"/>
        </w:rPr>
      </w:pPr>
      <w:r>
        <w:rPr>
          <w:rFonts w:hint="eastAsia" w:eastAsia="仿宋"/>
          <w:sz w:val="28"/>
        </w:rPr>
        <w:t>以简政放权为手段，有序承接上级放权事项，全面清理审批项目，做到“应减必减、能放则放”。进一步明确县、乡两级的职责，建立县城区、倘甸城区的管理人员及事项，确保职责明确、互不推诿、有放有接。进一步优化审批流程，压缩审批时限，规范审批行为，完善办事指南，确保简政放权落到实处。配合完善网上审批系统，针对各类城管审批事项，统一标准、统一流程、统一时限，确保各城区行政无差异化，实现快速受理、快速流转、快速办结。加强行政审批培训，提高审批人员业务素质，树牢服务理念，改进工作作风，强化服务质量。</w:t>
      </w:r>
    </w:p>
    <w:p>
      <w:pPr>
        <w:pStyle w:val="21"/>
        <w:numPr>
          <w:ilvl w:val="0"/>
          <w:numId w:val="10"/>
        </w:numPr>
        <w:ind w:firstLine="0"/>
      </w:pPr>
      <w:r>
        <w:rPr>
          <w:rFonts w:hint="eastAsia"/>
        </w:rPr>
        <w:t>全面推进市场化</w:t>
      </w:r>
    </w:p>
    <w:p>
      <w:pPr>
        <w:spacing w:line="590" w:lineRule="exact"/>
        <w:ind w:firstLine="640"/>
        <w:rPr>
          <w:rFonts w:eastAsia="仿宋_GB2312"/>
          <w:sz w:val="32"/>
          <w:szCs w:val="32"/>
        </w:rPr>
      </w:pPr>
      <w:bookmarkStart w:id="51" w:name="_Toc429732255"/>
      <w:r>
        <w:rPr>
          <w:rFonts w:hint="eastAsia" w:eastAsia="仿宋"/>
          <w:sz w:val="28"/>
        </w:rPr>
        <w:t xml:space="preserve">大力推进政府购买公共服务。实行政（事）企分开、管护分离，不断完善市场化运作机制，发挥市场作用，吸引社会力量和社会资本参与城市管理，道路、广场、公园、照明等市政设施维修养护，环卫清扫保洁、生活垃圾转运和中转站建设管理、生活垃圾终端处理、市政公厕建设和管理等环卫作业全面推进市场化。积极拓宽投融资渠道，进一步优化市场化运作模式，制定有效的激励机制，改变政府单一投资模式，广泛吸引社会资本投资建设和参与运营市政基础设施，实现投资主体社会化、多元化。 </w:t>
      </w:r>
      <w:r>
        <w:rPr>
          <w:rFonts w:eastAsia="仿宋_GB2312"/>
          <w:sz w:val="32"/>
          <w:szCs w:val="32"/>
        </w:rPr>
        <w:t xml:space="preserve"> </w:t>
      </w:r>
    </w:p>
    <w:p>
      <w:pPr>
        <w:pStyle w:val="21"/>
        <w:numPr>
          <w:ilvl w:val="0"/>
          <w:numId w:val="10"/>
        </w:numPr>
        <w:ind w:firstLine="0"/>
      </w:pPr>
      <w:r>
        <w:rPr>
          <w:rFonts w:hint="eastAsia"/>
        </w:rPr>
        <w:t>完善各项管理机制</w:t>
      </w:r>
      <w:bookmarkEnd w:id="51"/>
    </w:p>
    <w:p>
      <w:pPr>
        <w:spacing w:line="590" w:lineRule="exact"/>
        <w:ind w:firstLine="640"/>
        <w:rPr>
          <w:rFonts w:eastAsia="仿宋"/>
          <w:sz w:val="28"/>
        </w:rPr>
      </w:pPr>
      <w:r>
        <w:rPr>
          <w:rFonts w:hint="eastAsia" w:eastAsia="仿宋"/>
          <w:sz w:val="28"/>
        </w:rPr>
        <w:t>健全考核机制。建立城市管理效能考核机制，将城市管理执法工作纳入经济社会发展综合评价体系和领导干部政绩考核体系，推动地方党委、政府履职尽责。推广绩效管理和服务承诺制度，加快建立城市管理行政问责制度，健全社会公众满意度评价及第三方考评机制，形成公开、公平、公正的城市管理和综合执法工作考核奖惩制度体系。</w:t>
      </w:r>
    </w:p>
    <w:p>
      <w:pPr>
        <w:spacing w:line="590" w:lineRule="exact"/>
        <w:ind w:firstLine="640"/>
        <w:rPr>
          <w:rFonts w:eastAsia="仿宋"/>
          <w:sz w:val="28"/>
        </w:rPr>
      </w:pPr>
      <w:r>
        <w:rPr>
          <w:rFonts w:hint="eastAsia" w:eastAsia="仿宋"/>
          <w:sz w:val="28"/>
        </w:rPr>
        <w:t>强化市政工程质量监管机制。建立健全城市管理部门参与城市规划、城市建设实施情况的评估反馈机制，城市管理部门协助相关部门做好城市基础设施建成后的验收和移交工作，防止出现“规划漏项、建设甩项”问题。加强对交通、环保、水务、园林绿化等相关领域内涉及城市管理内容的统筹协调，做到全县统一规划、统一部署，统一标准、统一验收。</w:t>
      </w:r>
    </w:p>
    <w:p>
      <w:pPr>
        <w:spacing w:line="590" w:lineRule="exact"/>
        <w:ind w:firstLine="640"/>
        <w:rPr>
          <w:rFonts w:eastAsia="仿宋"/>
          <w:sz w:val="28"/>
        </w:rPr>
      </w:pPr>
      <w:r>
        <w:rPr>
          <w:rFonts w:hint="eastAsia" w:eastAsia="仿宋"/>
          <w:sz w:val="28"/>
        </w:rPr>
        <w:t xml:space="preserve">健全公共突发事件应对机制。制定和完善应对市政设施公共突发事件的各项应急预案和工作手册，有计划地组织综合演习、演练，加强部门之间的联动，提高应对公共突发性事件的应急抢险指挥协调能力。 </w:t>
      </w:r>
    </w:p>
    <w:p>
      <w:pPr>
        <w:spacing w:line="590" w:lineRule="exact"/>
        <w:ind w:firstLine="640"/>
        <w:rPr>
          <w:rFonts w:eastAsia="仿宋"/>
          <w:sz w:val="28"/>
        </w:rPr>
      </w:pPr>
      <w:r>
        <w:rPr>
          <w:rFonts w:hint="eastAsia" w:eastAsia="仿宋"/>
          <w:sz w:val="28"/>
        </w:rPr>
        <w:t>建立信息化管理机制。开展市政设施普查工作，合理有效整合信息资源，完善信息共享、交流和业务协同工作机制，实现“管理科学智能化，资产管理精细化、工作流程标准化、应急处理智能化、决策判断科学化”。</w:t>
      </w:r>
    </w:p>
    <w:p>
      <w:pPr>
        <w:spacing w:line="590" w:lineRule="exact"/>
        <w:ind w:firstLine="640"/>
        <w:rPr>
          <w:rFonts w:eastAsia="仿宋"/>
          <w:sz w:val="28"/>
        </w:rPr>
      </w:pPr>
      <w:r>
        <w:rPr>
          <w:rFonts w:hint="eastAsia" w:eastAsia="仿宋"/>
          <w:sz w:val="28"/>
        </w:rPr>
        <w:t>完善户外广告长效治理机制。以科技手段创新管理方式，改变单靠人力巡查为主户外广告管理模式，将覆盖全县的监控系统应用在广告管理范围，提升办案效率，做到及时发现、及时立案、及时查办、及时处罚。</w:t>
      </w:r>
    </w:p>
    <w:p>
      <w:pPr>
        <w:spacing w:line="590" w:lineRule="exact"/>
        <w:ind w:firstLine="640"/>
        <w:rPr>
          <w:rFonts w:eastAsia="仿宋"/>
          <w:sz w:val="28"/>
        </w:rPr>
      </w:pPr>
      <w:r>
        <w:rPr>
          <w:rFonts w:hint="eastAsia" w:eastAsia="仿宋"/>
          <w:sz w:val="28"/>
        </w:rPr>
        <w:t>完善部门联动机制。建立公安保护机制和协作平台，制定例会工作制度，定期研究城管执法动态，合理部署警力，实行公安与城管同班执法；畅通部门间协调、指导、监督渠道，提高信息互通，强化资源共享，及时掌握行政许可情况和批后监管情况，为综合执法工作的开展提供查询便利，进一步提升执法效率。</w:t>
      </w:r>
    </w:p>
    <w:p>
      <w:pPr>
        <w:spacing w:line="590" w:lineRule="exact"/>
        <w:ind w:firstLine="640"/>
        <w:rPr>
          <w:rFonts w:eastAsia="仿宋"/>
          <w:sz w:val="28"/>
        </w:rPr>
      </w:pPr>
      <w:r>
        <w:rPr>
          <w:rFonts w:hint="eastAsia" w:eastAsia="仿宋"/>
          <w:sz w:val="28"/>
        </w:rPr>
        <w:t>完善公众参与城市管理工作机制。加大媒体正面宣传，鼓励广大市民对各种乱象行为进行投诉和曝光；组织城市管理志愿者和社区网格义务督导员参与城市管理；吸收民主党派、社会公众参与城市管理决策，强化社会公众、民评代表、特邀监督员对城市管理行为的监督，形成全民共建、共管、共享的城市管理新局面。</w:t>
      </w:r>
    </w:p>
    <w:p>
      <w:pPr>
        <w:pStyle w:val="3"/>
        <w:numPr>
          <w:ilvl w:val="0"/>
          <w:numId w:val="9"/>
        </w:numPr>
        <w:spacing w:line="360" w:lineRule="auto"/>
      </w:pPr>
      <w:bookmarkStart w:id="52" w:name="_Toc20486"/>
      <w:r>
        <w:rPr>
          <w:rFonts w:hint="eastAsia"/>
        </w:rPr>
        <w:t xml:space="preserve"> </w:t>
      </w:r>
      <w:bookmarkStart w:id="53" w:name="_Toc32682"/>
      <w:r>
        <w:rPr>
          <w:rFonts w:hint="eastAsia"/>
        </w:rPr>
        <w:t>依法执行及完善标准体系</w:t>
      </w:r>
      <w:bookmarkEnd w:id="52"/>
      <w:bookmarkEnd w:id="53"/>
    </w:p>
    <w:p>
      <w:pPr>
        <w:pStyle w:val="21"/>
        <w:numPr>
          <w:ilvl w:val="0"/>
          <w:numId w:val="11"/>
        </w:numPr>
        <w:ind w:firstLine="0"/>
      </w:pPr>
      <w:r>
        <w:rPr>
          <w:rFonts w:hint="eastAsia"/>
        </w:rPr>
        <w:t>城管执法“有法可依”、“有章可循”</w:t>
      </w:r>
    </w:p>
    <w:p>
      <w:pPr>
        <w:spacing w:line="590" w:lineRule="exact"/>
        <w:ind w:firstLine="640"/>
        <w:rPr>
          <w:rFonts w:eastAsia="仿宋"/>
          <w:sz w:val="28"/>
        </w:rPr>
      </w:pPr>
      <w:r>
        <w:rPr>
          <w:rFonts w:hint="eastAsia" w:eastAsia="仿宋"/>
          <w:sz w:val="28"/>
        </w:rPr>
        <w:t>强化城市管理依法执行。全面推行行政执法公示制度、执法全过程记录制度、重大行政执法决定法制审核制度，有效规范行政处罚、行政强制、行政检查等执法行为，促进严格规范公正文明执法。为建设“法治城管”夯实基础。制定全市统一、规范的综合行政执法手册，出台规范行政执法自由裁量权规定，实现城管执法“有法可依”、“有章可循”。</w:t>
      </w:r>
    </w:p>
    <w:p>
      <w:pPr>
        <w:pStyle w:val="21"/>
        <w:numPr>
          <w:ilvl w:val="0"/>
          <w:numId w:val="11"/>
        </w:numPr>
        <w:ind w:firstLine="0"/>
      </w:pPr>
      <w:r>
        <w:rPr>
          <w:rFonts w:hint="eastAsia"/>
        </w:rPr>
        <w:t>建立健全标准体系</w:t>
      </w:r>
    </w:p>
    <w:p>
      <w:pPr>
        <w:spacing w:line="590" w:lineRule="exact"/>
        <w:ind w:firstLine="640"/>
        <w:rPr>
          <w:rFonts w:eastAsia="仿宋"/>
          <w:sz w:val="28"/>
        </w:rPr>
      </w:pPr>
      <w:r>
        <w:rPr>
          <w:rFonts w:hint="eastAsia" w:eastAsia="仿宋"/>
          <w:sz w:val="28"/>
        </w:rPr>
        <w:t>具体执法管理工作中，将按照城市管理相关标准规范，推动建立精细化管理标准规范体系，以构建城市管理的“寻甸标准”和“寻甸质量”为追求，打造城市管理的新高地，推动重点领域的管理质量提升。一是建立完善市场化条件下的环卫管理标准，完善环卫清扫、垃圾收储处理及公厕升级改造等考核指标。二是建立完善市场化条件下的市政设施管理标准，建立健全市市政设施标准体系，重点提升道路、排水、桥涵、照明、广场等的建设管理以及维护管养标准。三是建立完善城市精细化管理标准，强化招投标和外包作业监管，落实合同管理、分项管理、单项核算。</w:t>
      </w:r>
    </w:p>
    <w:p>
      <w:pPr>
        <w:pStyle w:val="3"/>
        <w:numPr>
          <w:ilvl w:val="0"/>
          <w:numId w:val="9"/>
        </w:numPr>
        <w:spacing w:line="360" w:lineRule="auto"/>
      </w:pPr>
      <w:bookmarkStart w:id="54" w:name="_Toc429732257"/>
      <w:bookmarkStart w:id="55" w:name="_Toc8006"/>
      <w:r>
        <w:rPr>
          <w:rFonts w:hint="eastAsia"/>
        </w:rPr>
        <w:t xml:space="preserve"> </w:t>
      </w:r>
      <w:bookmarkStart w:id="56" w:name="_Toc23718"/>
      <w:r>
        <w:rPr>
          <w:rFonts w:hint="eastAsia"/>
        </w:rPr>
        <w:t>改善城乡容貌</w:t>
      </w:r>
      <w:bookmarkEnd w:id="54"/>
      <w:bookmarkEnd w:id="55"/>
      <w:bookmarkEnd w:id="56"/>
    </w:p>
    <w:p>
      <w:pPr>
        <w:pStyle w:val="20"/>
        <w:ind w:firstLine="560"/>
      </w:pPr>
      <w:r>
        <w:rPr>
          <w:rFonts w:hint="eastAsia"/>
        </w:rPr>
        <w:t>在“十三五”实施的基础上，围绕县委、县政府 “四区一城”建设目标，以“国家级园林县城”创建、巩固“国家级卫生县城”、“美丽县城”建设为契机，结合自身工作实际，探索推进城市精细化管理，使市容环境得到较大改善，市民文明素质得到显著提升。</w:t>
      </w:r>
    </w:p>
    <w:p>
      <w:pPr>
        <w:pStyle w:val="21"/>
        <w:numPr>
          <w:ilvl w:val="0"/>
          <w:numId w:val="12"/>
        </w:numPr>
        <w:ind w:firstLine="0"/>
      </w:pPr>
      <w:r>
        <w:rPr>
          <w:rFonts w:hint="eastAsia"/>
        </w:rPr>
        <w:t>加大广告专项整治力度</w:t>
      </w:r>
    </w:p>
    <w:p>
      <w:pPr>
        <w:pStyle w:val="20"/>
        <w:ind w:firstLine="560"/>
      </w:pPr>
      <w:r>
        <w:rPr>
          <w:rFonts w:hint="eastAsia"/>
        </w:rPr>
        <w:t>根据《昆明市户外广告管理条例》、《昆明市户外广告设施设置管理办法》、《昆明市门面招牌设置技术规范》，依照《县城户外广告专项规划》的要求，实行“提前介入，源头管理”的工作模式，规范户外广告设置审批管理，对“密度过大、存在安全隐患和影响观瞻的户外广告牌”全面开展户外广告牌、招牌集中整治工作。严打违章户外广告；规范门头招牌，保持建筑立面清爽整洁。加大违规广告整治力度；在摸清底数、建立台账的基础上，集中开展违规广告清理整治；增设便民利民广告发布设施，疏通了商业广告发布渠道。</w:t>
      </w:r>
    </w:p>
    <w:p>
      <w:pPr>
        <w:pStyle w:val="21"/>
        <w:numPr>
          <w:ilvl w:val="0"/>
          <w:numId w:val="12"/>
        </w:numPr>
        <w:ind w:firstLine="0"/>
      </w:pPr>
      <w:bookmarkStart w:id="57" w:name="_Toc429732262"/>
      <w:r>
        <w:rPr>
          <w:rFonts w:hint="eastAsia"/>
        </w:rPr>
        <w:t>加大市容乱象整治力度</w:t>
      </w:r>
      <w:bookmarkEnd w:id="57"/>
    </w:p>
    <w:p>
      <w:pPr>
        <w:pStyle w:val="20"/>
        <w:ind w:firstLine="560"/>
      </w:pPr>
      <w:r>
        <w:rPr>
          <w:rFonts w:hint="eastAsia"/>
        </w:rPr>
        <w:t>以主要干道、商业街区、车站和重要活动场所周边为重点，设置城管联勤岗，强化“夜班”执勤工作制度，采取城管、公安、交通、工商、食药、交警等部门联合执法等手段和措施，进行严管、严防、严控，对违法占道、跨门槛经营、乱设广告、泥头车违章、车辆乱停行为和无序“夜市”实施严管重罚。</w:t>
      </w:r>
    </w:p>
    <w:p>
      <w:pPr>
        <w:pStyle w:val="21"/>
        <w:numPr>
          <w:ilvl w:val="0"/>
          <w:numId w:val="12"/>
        </w:numPr>
        <w:ind w:firstLine="0"/>
      </w:pPr>
      <w:bookmarkStart w:id="58" w:name="_Toc429732263"/>
      <w:r>
        <w:rPr>
          <w:rFonts w:hint="eastAsia"/>
        </w:rPr>
        <w:t>继续推行</w:t>
      </w:r>
      <w:bookmarkEnd w:id="58"/>
      <w:r>
        <w:rPr>
          <w:rFonts w:hint="eastAsia"/>
        </w:rPr>
        <w:t>县城保洁工作</w:t>
      </w:r>
    </w:p>
    <w:p>
      <w:pPr>
        <w:pStyle w:val="20"/>
        <w:ind w:firstLine="560"/>
      </w:pPr>
      <w:r>
        <w:rPr>
          <w:rFonts w:hint="eastAsia"/>
        </w:rPr>
        <w:t>卫生保洁、垃圾运输每天有专人负责保洁，主干道实施全天候保洁，通过垃圾定点投放、定时清运，基本实现服务范围内无长时间垃圾暴露、街道垃圾收集全覆盖的目标。构建“机械作业为主、人工清扫为辅”的作业模式，道路清扫变扫为吸、变扫为洗，主次干道机械化清扫率达70%以上。</w:t>
      </w:r>
    </w:p>
    <w:p>
      <w:pPr>
        <w:pStyle w:val="21"/>
        <w:numPr>
          <w:ilvl w:val="0"/>
          <w:numId w:val="12"/>
        </w:numPr>
        <w:ind w:firstLine="0"/>
      </w:pPr>
      <w:r>
        <w:rPr>
          <w:rFonts w:hint="eastAsia"/>
        </w:rPr>
        <w:t>加强施工现场卫生管理</w:t>
      </w:r>
    </w:p>
    <w:p>
      <w:pPr>
        <w:pStyle w:val="20"/>
        <w:ind w:firstLine="560"/>
        <w:rPr>
          <w:lang w:val="zh-CN"/>
        </w:rPr>
      </w:pPr>
      <w:r>
        <w:rPr>
          <w:rFonts w:hint="eastAsia"/>
          <w:lang w:val="zh-CN"/>
        </w:rPr>
        <w:t>建筑工地、拆迁工地、道路施工现场</w:t>
      </w:r>
      <w:r>
        <w:rPr>
          <w:rFonts w:hint="eastAsia"/>
        </w:rPr>
        <w:t>100%围挡，工地物料堆放100%覆盖，施工现场路面100%硬化，驶出工地车辆100%冲洗。强化建筑垃圾密闭化管理，加强联合执法，保持打击“泥头车”违章运输的高压态势。通过严查泥头车未密闭化上路、轮胎带泥、撒漏污染等，控制道路扬尘。重点整治建筑工地、消纳场和泥头车，</w:t>
      </w:r>
      <w:r>
        <w:rPr>
          <w:rFonts w:hint="eastAsia"/>
          <w:lang w:val="zh-CN"/>
        </w:rPr>
        <w:t>推进建筑垃圾密闭运输车辆信息化、智能化，</w:t>
      </w:r>
      <w:r>
        <w:rPr>
          <w:rFonts w:hint="eastAsia"/>
        </w:rPr>
        <w:t>核载质量5吨以上建筑垃圾运输车辆需安装GPS、醒目顶灯、机械化密闭运输装置，</w:t>
      </w:r>
      <w:r>
        <w:rPr>
          <w:rFonts w:hint="eastAsia"/>
          <w:lang w:val="zh-CN"/>
        </w:rPr>
        <w:t>建筑渣土密闭化率达到</w:t>
      </w:r>
      <w:r>
        <w:rPr>
          <w:rFonts w:hint="eastAsia"/>
        </w:rPr>
        <w:t>80</w:t>
      </w:r>
      <w:r>
        <w:rPr>
          <w:rFonts w:hint="eastAsia"/>
          <w:lang w:val="zh-CN"/>
        </w:rPr>
        <w:t>%以上。</w:t>
      </w:r>
    </w:p>
    <w:p>
      <w:pPr>
        <w:pStyle w:val="21"/>
        <w:numPr>
          <w:ilvl w:val="0"/>
          <w:numId w:val="12"/>
        </w:numPr>
        <w:ind w:firstLine="0"/>
      </w:pPr>
      <w:bookmarkStart w:id="59" w:name="_Toc429732265"/>
      <w:r>
        <w:rPr>
          <w:rFonts w:hint="eastAsia"/>
        </w:rPr>
        <w:t>扎实推进</w:t>
      </w:r>
      <w:bookmarkEnd w:id="59"/>
      <w:r>
        <w:rPr>
          <w:rFonts w:hint="eastAsia"/>
        </w:rPr>
        <w:t xml:space="preserve">违建治理 </w:t>
      </w:r>
    </w:p>
    <w:p>
      <w:pPr>
        <w:pStyle w:val="20"/>
        <w:ind w:firstLine="560"/>
        <w:rPr>
          <w:lang w:val="zh-CN"/>
        </w:rPr>
      </w:pPr>
      <w:r>
        <w:rPr>
          <w:rFonts w:hint="eastAsia"/>
          <w:lang w:val="zh-CN"/>
        </w:rPr>
        <w:t>严厉查处违法建设行为，对违法建设进行全面调查，制定整治计划，努力实现“杜绝增量、减少存量、逐步推进、长效控制、永无违建”的目标。</w:t>
      </w:r>
    </w:p>
    <w:p>
      <w:pPr>
        <w:pStyle w:val="20"/>
        <w:ind w:firstLine="560"/>
        <w:rPr>
          <w:lang w:val="zh-CN"/>
        </w:rPr>
      </w:pPr>
      <w:r>
        <w:rPr>
          <w:rFonts w:hint="eastAsia"/>
          <w:lang w:val="zh-CN"/>
        </w:rPr>
        <w:t>加强“两违”执法队伍建设，组织开展“两违”执法相关培训，深入研究拓展“两违”执法业务，提高队伍整体专业水平。深化“两违”执法体制改革，开展综合执法模式，完善“两违”查控机制。全面清理“两违”历史存量，完成“两违”分类处置工作。</w:t>
      </w:r>
    </w:p>
    <w:p>
      <w:pPr>
        <w:pStyle w:val="21"/>
        <w:numPr>
          <w:ilvl w:val="0"/>
          <w:numId w:val="12"/>
        </w:numPr>
        <w:ind w:firstLine="0"/>
      </w:pPr>
      <w:r>
        <w:rPr>
          <w:rFonts w:hint="eastAsia"/>
        </w:rPr>
        <w:t>整合各方力量改善市容市貌</w:t>
      </w:r>
    </w:p>
    <w:p>
      <w:pPr>
        <w:pStyle w:val="20"/>
        <w:ind w:firstLine="560"/>
      </w:pPr>
      <w:r>
        <w:rPr>
          <w:rFonts w:hint="eastAsia"/>
        </w:rPr>
        <w:t>按照“美丽县城”的相关要求、按照安全、整洁、卫生、方便的原则，配合市场监管部门，加强县城农贸市场整治和建设，建设若干规模不等的标准化农贸市场，彻底消除县城内“以路为市”的现象。配合住建部门对老旧小区实施物业管理，提高小区卫生水平，美化人居环境。配合相关部门，按照小型化、分散化原则合理布局建设县城停车设施，同时加强执法力度，全面整治路边乱停乱放行为，基本杜绝占道、街边、路边乱停车现象。</w:t>
      </w:r>
    </w:p>
    <w:p>
      <w:pPr>
        <w:pStyle w:val="3"/>
        <w:numPr>
          <w:ilvl w:val="0"/>
          <w:numId w:val="9"/>
        </w:numPr>
        <w:spacing w:line="360" w:lineRule="auto"/>
      </w:pPr>
      <w:r>
        <w:rPr>
          <w:rFonts w:hint="eastAsia"/>
        </w:rPr>
        <w:t xml:space="preserve"> </w:t>
      </w:r>
      <w:bookmarkStart w:id="60" w:name="_Toc27547"/>
      <w:r>
        <w:rPr>
          <w:rFonts w:hint="eastAsia"/>
        </w:rPr>
        <w:t>加强环卫基础设施建设与管理</w:t>
      </w:r>
      <w:bookmarkEnd w:id="60"/>
    </w:p>
    <w:p>
      <w:pPr>
        <w:pStyle w:val="20"/>
        <w:ind w:firstLine="560"/>
      </w:pPr>
      <w:r>
        <w:rPr>
          <w:rFonts w:hint="eastAsia"/>
        </w:rPr>
        <w:t>不断创新环卫管理体制，加大环卫基础设施建设力度，统筹城乡生活垃圾处理，深入推进垃圾处理无害化、减量化、资源化，不断提升环卫管理城镇一体化水平，促进全县环卫管理工作整体跃升。推进实施环卫、绿化一体化运营与管理，引入第三方专业机构进行管理。</w:t>
      </w:r>
    </w:p>
    <w:p>
      <w:pPr>
        <w:pStyle w:val="21"/>
        <w:numPr>
          <w:ilvl w:val="0"/>
          <w:numId w:val="13"/>
        </w:numPr>
        <w:ind w:firstLine="0"/>
      </w:pPr>
      <w:r>
        <w:rPr>
          <w:rFonts w:hint="eastAsia"/>
        </w:rPr>
        <w:t>稳步推进厕所革命</w:t>
      </w:r>
    </w:p>
    <w:p>
      <w:pPr>
        <w:pStyle w:val="20"/>
        <w:ind w:firstLine="560"/>
      </w:pPr>
      <w:r>
        <w:rPr>
          <w:rFonts w:hint="eastAsia"/>
        </w:rPr>
        <w:t>按照“美丽县城”的要求，推进厕所革命，建设数量充分、分布合理、干净卫生的城市公共厕所，彻底消除县城和旅游景区内旱厕。使城市公厕达到5座/平方公里，繁华地段500-800米内有一座城市公厕。建设一定数量的智慧厕所、一类公厕和A级以上的旅游厕所。</w:t>
      </w:r>
    </w:p>
    <w:p>
      <w:pPr>
        <w:pStyle w:val="21"/>
        <w:numPr>
          <w:ilvl w:val="0"/>
          <w:numId w:val="13"/>
        </w:numPr>
        <w:ind w:firstLine="0"/>
      </w:pPr>
      <w:r>
        <w:rPr>
          <w:rFonts w:hint="eastAsia"/>
        </w:rPr>
        <w:t>深入推广生活垃圾分类工作</w:t>
      </w:r>
    </w:p>
    <w:p>
      <w:pPr>
        <w:pStyle w:val="20"/>
        <w:ind w:firstLine="560"/>
      </w:pPr>
      <w:r>
        <w:rPr>
          <w:rFonts w:hint="eastAsia"/>
        </w:rPr>
        <w:t>全面推广生活垃圾分类，逐步完善生活垃圾分类投放、收集、运输和处理的管理和运行体系。购入垃圾收集车、垃圾压缩车、三轮垃圾收集车、垃圾收集桶及垃圾分类收集亭等，逐步推进各级垃圾储运设施，规划期末，实现主城区生活垃圾分类工作显著有效，公众知晓率达90%以上，垃圾分类收集率达到80%以上，居民投放正确率达80%以上。</w:t>
      </w:r>
    </w:p>
    <w:p>
      <w:pPr>
        <w:pStyle w:val="21"/>
        <w:numPr>
          <w:ilvl w:val="0"/>
          <w:numId w:val="13"/>
        </w:numPr>
        <w:ind w:firstLine="0"/>
      </w:pPr>
      <w:bookmarkStart w:id="61" w:name="_Toc429732268"/>
      <w:r>
        <w:rPr>
          <w:rFonts w:hint="eastAsia"/>
        </w:rPr>
        <w:t>完善餐厨垃圾项目建设及运行监管</w:t>
      </w:r>
      <w:bookmarkEnd w:id="61"/>
    </w:p>
    <w:p>
      <w:pPr>
        <w:pStyle w:val="20"/>
        <w:ind w:firstLine="560"/>
      </w:pPr>
      <w:r>
        <w:rPr>
          <w:rFonts w:hint="eastAsia"/>
        </w:rPr>
        <w:t>建立和完善覆盖全市的餐厨垃圾收运系统，建立联动执法制度，实行餐厨垃圾的科学收集、统一运输和集中处置，实现餐厨垃圾资源化利用和无害化处理，切实保障食品安全和人民群众身体健康。全面建成覆盖全市餐厨垃圾回收处置监管平台，配套建设监管数据处理系统、信息安全防护系统、监管数据传输系统、监管信息采集系统、餐厨垃圾监管中心，对餐厨垃圾处理进行有效监管。</w:t>
      </w:r>
    </w:p>
    <w:p>
      <w:pPr>
        <w:pStyle w:val="21"/>
        <w:numPr>
          <w:ilvl w:val="0"/>
          <w:numId w:val="13"/>
        </w:numPr>
        <w:ind w:firstLine="0"/>
      </w:pPr>
      <w:r>
        <w:rPr>
          <w:rFonts w:hint="eastAsia"/>
        </w:rPr>
        <w:t>加强垃圾无害化处理</w:t>
      </w:r>
    </w:p>
    <w:p>
      <w:pPr>
        <w:pStyle w:val="20"/>
        <w:ind w:firstLine="560"/>
      </w:pPr>
      <w:r>
        <w:rPr>
          <w:rFonts w:hint="eastAsia"/>
        </w:rPr>
        <w:t>垃圾中转运输采取集中转运为主，分散直运为辅；集中压缩为主，单车压缩为辅的生活垃圾收集转运方式，努力实现生活垃圾及时转运和日产日清目标。生活垃圾终端处理采取焚烧为主，填埋为辅，形成与生活垃圾产生量相匹配的无害化处理能力规模，城市生活垃圾无害化处理率达到100%，进一步提高生活垃圾资源化利用水平。</w:t>
      </w:r>
    </w:p>
    <w:p>
      <w:pPr>
        <w:pStyle w:val="21"/>
        <w:numPr>
          <w:ilvl w:val="0"/>
          <w:numId w:val="13"/>
        </w:numPr>
        <w:ind w:firstLine="0"/>
      </w:pPr>
      <w:bookmarkStart w:id="62" w:name="_Toc429732270"/>
      <w:r>
        <w:rPr>
          <w:rFonts w:hint="eastAsia"/>
        </w:rPr>
        <w:t>强化环卫规划建设用地保障</w:t>
      </w:r>
      <w:bookmarkEnd w:id="62"/>
    </w:p>
    <w:p>
      <w:pPr>
        <w:pStyle w:val="20"/>
        <w:ind w:firstLine="560"/>
      </w:pPr>
      <w:r>
        <w:rPr>
          <w:rFonts w:hint="eastAsia"/>
        </w:rPr>
        <w:t>严格按照规划选点，在重大项目实施前或实施过程中，配套建设环卫公厕、垃圾中转站等环卫基础设施。坚持环卫设施建设用地统一规划，提前预留，合理安排垃圾处理设施、环卫车辆停车场、垃圾转运站、公共厕所、环卫职工休息点等环卫基础设施用地，保障环卫设施建设与城市发展相协调。</w:t>
      </w:r>
    </w:p>
    <w:p>
      <w:pPr>
        <w:pStyle w:val="21"/>
        <w:numPr>
          <w:ilvl w:val="0"/>
          <w:numId w:val="13"/>
        </w:numPr>
        <w:ind w:firstLine="0"/>
      </w:pPr>
      <w:bookmarkStart w:id="63" w:name="_Toc429732271"/>
      <w:r>
        <w:rPr>
          <w:rFonts w:hint="eastAsia"/>
        </w:rPr>
        <w:t>稳步推进环卫项目建设</w:t>
      </w:r>
      <w:bookmarkEnd w:id="63"/>
    </w:p>
    <w:p>
      <w:pPr>
        <w:spacing w:line="590" w:lineRule="exact"/>
        <w:ind w:firstLine="640"/>
        <w:rPr>
          <w:rFonts w:eastAsia="仿宋_GB2312"/>
          <w:sz w:val="32"/>
          <w:szCs w:val="32"/>
        </w:rPr>
      </w:pPr>
      <w:r>
        <w:rPr>
          <w:rFonts w:hint="eastAsia" w:eastAsia="仿宋"/>
          <w:sz w:val="28"/>
        </w:rPr>
        <w:t>强化环境卫生基础性公益事业地位，加大环卫设施建设和运营的投入，深化前期研究论证，加强协调调度，严格落实规划设施建设，解决规划难、选址难、建设难的突出问题，稳步推进环卫项目建设。推动垃圾中转站新建、垃圾填埋场扩建、渗滤液处理厂扩建等一批市容环卫项目建设</w:t>
      </w:r>
      <w:r>
        <w:rPr>
          <w:rFonts w:hint="eastAsia" w:eastAsia="仿宋_GB2312"/>
          <w:sz w:val="32"/>
          <w:szCs w:val="32"/>
        </w:rPr>
        <w:t>。</w:t>
      </w:r>
    </w:p>
    <w:p>
      <w:pPr>
        <w:pStyle w:val="3"/>
        <w:numPr>
          <w:ilvl w:val="0"/>
          <w:numId w:val="9"/>
        </w:numPr>
        <w:spacing w:line="360" w:lineRule="auto"/>
      </w:pPr>
      <w:bookmarkStart w:id="64" w:name="_Toc7953"/>
      <w:bookmarkStart w:id="65" w:name="_Toc429732272"/>
      <w:r>
        <w:rPr>
          <w:rFonts w:hint="eastAsia"/>
        </w:rPr>
        <w:t xml:space="preserve"> </w:t>
      </w:r>
      <w:bookmarkStart w:id="66" w:name="_Toc8557"/>
      <w:r>
        <w:rPr>
          <w:rFonts w:hint="eastAsia"/>
        </w:rPr>
        <w:t>完善市政基础设施</w:t>
      </w:r>
      <w:bookmarkEnd w:id="64"/>
      <w:bookmarkEnd w:id="65"/>
      <w:bookmarkEnd w:id="66"/>
    </w:p>
    <w:p>
      <w:pPr>
        <w:spacing w:line="590" w:lineRule="exact"/>
        <w:ind w:firstLine="640"/>
        <w:rPr>
          <w:rFonts w:eastAsia="仿宋"/>
          <w:sz w:val="28"/>
        </w:rPr>
      </w:pPr>
      <w:r>
        <w:rPr>
          <w:rFonts w:hint="eastAsia" w:eastAsia="仿宋"/>
          <w:sz w:val="28"/>
        </w:rPr>
        <w:t>不断提高市政设施维护管理的质量和效益，积极引进、应用和推广市政设施维修养护的新材料、新工艺、新技术，引进国内成熟的先进检测、监测技术，购置更新检测设备，开展预防性维修工作，提高维护管理工作效率。</w:t>
      </w:r>
    </w:p>
    <w:p>
      <w:pPr>
        <w:pStyle w:val="21"/>
        <w:numPr>
          <w:ilvl w:val="0"/>
          <w:numId w:val="14"/>
        </w:numPr>
        <w:ind w:firstLine="0"/>
      </w:pPr>
      <w:bookmarkStart w:id="67" w:name="_Toc429732273"/>
      <w:r>
        <w:rPr>
          <w:rFonts w:hint="eastAsia"/>
        </w:rPr>
        <w:t>提升城市绿化美化水平</w:t>
      </w:r>
    </w:p>
    <w:p>
      <w:pPr>
        <w:pStyle w:val="20"/>
        <w:ind w:firstLine="560"/>
      </w:pPr>
      <w:r>
        <w:rPr>
          <w:rFonts w:hint="eastAsia"/>
        </w:rPr>
        <w:t>加强县城周边山水田林湖草等生态环境的保护治理，加强县城面山、县城入口、县城内重点区域、主街区和河岸线的绿化美化工作，注重县城小景小品的设计打造，充分利用县城地形、地貌、水体植被和历史文化遗迹等，大力提升园林绿化水平。一是提高道路绿化普及率不低于95%，林荫路推广率不低于60%，河道绿化普及率不低于85%，强化公共绿地管理养护。二是对县城内主次干道附属绿地和已建公园及结头绿地小游园进行提升改造，实施县城中央绿化带南延段新建工程；实施县城再生水回用工程，县城一路一景建设等；三是新建来龙公园、中央主轴绿地公园、推进寻园项目的落地建设，对汇龙湿地公园进行提升改善。四是积极开展美丽家居庭院、园林单位、园林小区建设，发动群众参与县城人居环境提升治理，做好房前、屋后、小区、庭院内部及周边绿化美化工作。</w:t>
      </w:r>
    </w:p>
    <w:p>
      <w:pPr>
        <w:pStyle w:val="21"/>
        <w:numPr>
          <w:ilvl w:val="0"/>
          <w:numId w:val="14"/>
        </w:numPr>
        <w:ind w:firstLine="0"/>
      </w:pPr>
      <w:r>
        <w:rPr>
          <w:rFonts w:hint="eastAsia"/>
        </w:rPr>
        <w:t>抓好城市道路日常维护</w:t>
      </w:r>
      <w:bookmarkEnd w:id="67"/>
    </w:p>
    <w:p>
      <w:pPr>
        <w:pStyle w:val="20"/>
        <w:ind w:firstLine="560"/>
      </w:pPr>
      <w:r>
        <w:rPr>
          <w:rFonts w:hint="eastAsia"/>
        </w:rPr>
        <w:t>加强道路路况检测，逐步改善道路设施质量。进一步明确道路开挖后期修复养护及监管职责，统筹人员力量和技术设备，推进市政道路大修工程、人行道改造工程，合理调整城市家具布局，提高维修效率，保证设施完好。</w:t>
      </w:r>
    </w:p>
    <w:p>
      <w:pPr>
        <w:pStyle w:val="21"/>
        <w:numPr>
          <w:ilvl w:val="0"/>
          <w:numId w:val="14"/>
        </w:numPr>
        <w:ind w:firstLine="0"/>
        <w:rPr>
          <w:lang w:val="zh-CN"/>
        </w:rPr>
      </w:pPr>
      <w:r>
        <w:rPr>
          <w:rFonts w:hint="eastAsia"/>
        </w:rPr>
        <w:t>强化城市清洁设施的建设管理</w:t>
      </w:r>
    </w:p>
    <w:p>
      <w:pPr>
        <w:pStyle w:val="20"/>
        <w:ind w:firstLine="560"/>
        <w:rPr>
          <w:lang w:val="zh-CN"/>
        </w:rPr>
      </w:pPr>
      <w:r>
        <w:rPr>
          <w:rFonts w:hint="eastAsia"/>
          <w:lang w:val="zh-CN"/>
        </w:rPr>
        <w:t>科学合理布点建设洗手池，加大日常巡查和维修养护力度，建立</w:t>
      </w:r>
      <w:r>
        <w:rPr>
          <w:rFonts w:hint="eastAsia"/>
        </w:rPr>
        <w:t>城市清洁设施</w:t>
      </w:r>
      <w:r>
        <w:rPr>
          <w:rFonts w:hint="eastAsia"/>
          <w:lang w:val="zh-CN"/>
        </w:rPr>
        <w:t>预防性养护决策机制和管理体制，不断提</w:t>
      </w:r>
      <w:r>
        <w:rPr>
          <w:rFonts w:hint="eastAsia"/>
        </w:rPr>
        <w:t>城市清洁设施</w:t>
      </w:r>
      <w:r>
        <w:rPr>
          <w:rFonts w:hint="eastAsia"/>
          <w:lang w:val="zh-CN"/>
        </w:rPr>
        <w:t>梁维护管理水平，确保管辖范围内的</w:t>
      </w:r>
      <w:r>
        <w:rPr>
          <w:rFonts w:hint="eastAsia"/>
        </w:rPr>
        <w:t>城市清洁设施</w:t>
      </w:r>
      <w:r>
        <w:rPr>
          <w:rFonts w:hint="eastAsia"/>
          <w:lang w:val="zh-CN"/>
        </w:rPr>
        <w:t>均处于严格的监控状态。</w:t>
      </w:r>
    </w:p>
    <w:p>
      <w:pPr>
        <w:pStyle w:val="21"/>
        <w:numPr>
          <w:ilvl w:val="0"/>
          <w:numId w:val="14"/>
        </w:numPr>
        <w:ind w:firstLine="0"/>
        <w:rPr>
          <w:lang w:val="zh-CN"/>
        </w:rPr>
      </w:pPr>
      <w:bookmarkStart w:id="68" w:name="_Toc251053440"/>
      <w:bookmarkStart w:id="69" w:name="_Toc429732275"/>
      <w:r>
        <w:rPr>
          <w:rFonts w:hint="eastAsia"/>
        </w:rPr>
        <w:t>加强照明设施维护管理</w:t>
      </w:r>
      <w:bookmarkEnd w:id="68"/>
      <w:bookmarkEnd w:id="69"/>
      <w:r>
        <w:rPr>
          <w:rFonts w:hint="eastAsia"/>
        </w:rPr>
        <w:t xml:space="preserve">  </w:t>
      </w:r>
    </w:p>
    <w:p>
      <w:pPr>
        <w:pStyle w:val="20"/>
        <w:ind w:firstLine="560"/>
        <w:rPr>
          <w:lang w:val="zh-CN"/>
        </w:rPr>
      </w:pPr>
      <w:r>
        <w:rPr>
          <w:rFonts w:hint="eastAsia"/>
          <w:lang w:val="zh-CN"/>
        </w:rPr>
        <w:t>建立有利于城市照明品质提升的管理体制和运行维护机制，强化行业引导长效管理，全面提升功能照明和景观亮化档次和水平。新建、改造一批城市功能照明项目，完善城市功能照明，消灭无灯区；城市道路装灯率达到100%；道路照明设施完好率达到95%以上；道路照明主干道亮灯率达到98%以上，次干道、支路的亮灯率达到96%，路灯故障率降低到10%以内。围绕凤梧路、月秀路、龙泉路周边等重要路段和区域的亮化改造提升，打造具有本地文化特色的新照明景观点，提升县城景观照明整体和谐水平。</w:t>
      </w:r>
    </w:p>
    <w:p>
      <w:pPr>
        <w:pStyle w:val="21"/>
        <w:numPr>
          <w:ilvl w:val="0"/>
          <w:numId w:val="14"/>
        </w:numPr>
        <w:ind w:firstLine="0"/>
      </w:pPr>
      <w:r>
        <w:rPr>
          <w:rFonts w:hint="eastAsia"/>
        </w:rPr>
        <w:t>提升城市广场品质管理</w:t>
      </w:r>
    </w:p>
    <w:p>
      <w:pPr>
        <w:pStyle w:val="20"/>
        <w:ind w:firstLine="560"/>
        <w:rPr>
          <w:lang w:val="zh-CN"/>
        </w:rPr>
      </w:pPr>
      <w:r>
        <w:rPr>
          <w:rFonts w:hint="eastAsia"/>
          <w:lang w:val="zh-CN"/>
        </w:rPr>
        <w:t xml:space="preserve">开展广场设施维修改造工作，结合海绵城市建设要求，完善功能，打造主题广场，提升广场设施品质，为广大市民提供一个安全、文明、正规、有序的环境。按照创建“国家生态园林城市”要求，对广场进行绿化提升，加快推进城市广场绿化老化灌木和单调绿色植被配置进行绿化提升。定期更换老旧垃圾桶，采购一批扫地车、高压清洗机、垃圾清运车，实现广场保洁的机械化，保证广场保洁、秩序、设施能达到“美丽县城”的要求。为群众性文化体育活动创造条件，逐步配备全民健身器材。做好广场举行重大活动场地保洁、广场秩序、电力供应等保障工作。 </w:t>
      </w:r>
    </w:p>
    <w:p>
      <w:pPr>
        <w:pStyle w:val="21"/>
        <w:numPr>
          <w:ilvl w:val="0"/>
          <w:numId w:val="14"/>
        </w:numPr>
        <w:ind w:firstLine="0"/>
        <w:rPr>
          <w:lang w:val="zh-CN"/>
        </w:rPr>
      </w:pPr>
      <w:r>
        <w:rPr>
          <w:rFonts w:hint="eastAsia"/>
          <w:lang w:val="zh-CN"/>
        </w:rPr>
        <w:t>加快市政维护基地建设</w:t>
      </w:r>
    </w:p>
    <w:p>
      <w:pPr>
        <w:pStyle w:val="20"/>
        <w:ind w:firstLine="560"/>
        <w:rPr>
          <w:lang w:val="zh-CN"/>
        </w:rPr>
      </w:pPr>
      <w:r>
        <w:rPr>
          <w:rFonts w:hint="eastAsia"/>
          <w:lang w:val="zh-CN"/>
        </w:rPr>
        <w:t>按照城市空间布局，结合市政维护基地的总体建设思路，全力推进市政维护基地建设，妥善解决市政设施仓储、应急机械设备均衡分布问题，进一步提升应急处置能力，高效处置市政设施突发事件。</w:t>
      </w:r>
    </w:p>
    <w:p>
      <w:pPr>
        <w:pStyle w:val="3"/>
        <w:numPr>
          <w:ilvl w:val="0"/>
          <w:numId w:val="9"/>
        </w:numPr>
        <w:spacing w:line="360" w:lineRule="auto"/>
      </w:pPr>
      <w:bookmarkStart w:id="70" w:name="_Toc9183"/>
      <w:bookmarkStart w:id="71" w:name="_Toc429732279"/>
      <w:r>
        <w:rPr>
          <w:rFonts w:hint="eastAsia"/>
        </w:rPr>
        <w:t xml:space="preserve"> </w:t>
      </w:r>
      <w:bookmarkStart w:id="72" w:name="_Toc6806"/>
      <w:r>
        <w:rPr>
          <w:rFonts w:hint="eastAsia"/>
        </w:rPr>
        <w:t>提高综合执法水平</w:t>
      </w:r>
      <w:bookmarkEnd w:id="70"/>
      <w:bookmarkEnd w:id="71"/>
      <w:bookmarkEnd w:id="72"/>
    </w:p>
    <w:p>
      <w:pPr>
        <w:pStyle w:val="21"/>
        <w:numPr>
          <w:ilvl w:val="0"/>
          <w:numId w:val="15"/>
        </w:numPr>
        <w:ind w:firstLine="0"/>
        <w:rPr>
          <w:lang w:val="zh-CN"/>
        </w:rPr>
      </w:pPr>
      <w:r>
        <w:rPr>
          <w:rFonts w:hint="eastAsia"/>
          <w:lang w:val="zh-CN"/>
        </w:rPr>
        <w:t>完善城管执法工作分配</w:t>
      </w:r>
    </w:p>
    <w:p>
      <w:pPr>
        <w:pStyle w:val="20"/>
        <w:ind w:firstLine="560"/>
        <w:rPr>
          <w:lang w:val="zh-CN"/>
        </w:rPr>
      </w:pPr>
      <w:r>
        <w:rPr>
          <w:rFonts w:hint="eastAsia"/>
          <w:lang w:val="zh-CN"/>
        </w:rPr>
        <w:t>结合寻甸实际，县城区与倘甸城区城市体量、人口规模等因素，健全城管执法网格式管控模式，细化网格管理目标、工作标准和考核方法，落实工作责任，使责任区域内人员匹配、标准细化、职责明确、整体联动、管理长效，提高快速反应能力和日常管理水平，基本消除城管执法盲区。</w:t>
      </w:r>
    </w:p>
    <w:p>
      <w:pPr>
        <w:pStyle w:val="21"/>
        <w:numPr>
          <w:ilvl w:val="0"/>
          <w:numId w:val="15"/>
        </w:numPr>
        <w:ind w:firstLine="0"/>
        <w:rPr>
          <w:lang w:val="zh-CN"/>
        </w:rPr>
      </w:pPr>
      <w:r>
        <w:rPr>
          <w:rFonts w:hint="eastAsia"/>
          <w:lang w:val="zh-CN"/>
        </w:rPr>
        <w:t>完善职工考核制度</w:t>
      </w:r>
    </w:p>
    <w:p>
      <w:pPr>
        <w:pStyle w:val="20"/>
        <w:ind w:firstLine="560"/>
        <w:rPr>
          <w:lang w:val="zh-CN"/>
        </w:rPr>
      </w:pPr>
      <w:r>
        <w:rPr>
          <w:rFonts w:hint="eastAsia"/>
          <w:lang w:val="zh-CN"/>
        </w:rPr>
        <w:t>在现有考评体系和细则的基础上，继续完善检查考核制度，出台相应的奖惩制度，更有效地提升检查考核的重视程度和对检查中发现问题的整改力度，将数字城管案件督查督办工作纳入职工检查考核制度中，进一步提高督查督办效率，实现督查督办长效化、常态化管理。</w:t>
      </w:r>
    </w:p>
    <w:p>
      <w:pPr>
        <w:pStyle w:val="21"/>
        <w:numPr>
          <w:ilvl w:val="0"/>
          <w:numId w:val="15"/>
        </w:numPr>
        <w:ind w:firstLine="0"/>
        <w:rPr>
          <w:lang w:val="zh-CN"/>
        </w:rPr>
      </w:pPr>
      <w:r>
        <w:rPr>
          <w:rFonts w:hint="eastAsia"/>
          <w:lang w:val="zh-CN"/>
        </w:rPr>
        <w:t>强化执法队伍建设</w:t>
      </w:r>
    </w:p>
    <w:p>
      <w:pPr>
        <w:pStyle w:val="20"/>
        <w:ind w:firstLine="560"/>
        <w:rPr>
          <w:lang w:val="zh-CN"/>
        </w:rPr>
      </w:pPr>
      <w:r>
        <w:rPr>
          <w:rFonts w:hint="eastAsia"/>
          <w:lang w:val="zh-CN"/>
        </w:rPr>
        <w:t>推进队伍标准化、规范化建设，实现全县执法队伍“六个统一”（统一标志、统一着装、统一执法车辆、统一执法程序、统一执法标准、统一督查标准），树立城管队伍“法治、亲民、文明、和谐”新形象。</w:t>
      </w:r>
      <w:bookmarkStart w:id="73" w:name="_Toc429732280"/>
      <w:r>
        <w:rPr>
          <w:rFonts w:hint="eastAsia"/>
          <w:lang w:val="zh-CN"/>
        </w:rPr>
        <w:t>加强执法培训，深入推进全县城市综合管理目标责任制，健全执法人员考核体系，建立执法勤务管理数据库，在“网格化管理”的基础上落实“四定”工作（即定人员、定路段、定责任、定工作标准），覆盖市区内所有路段和区域，确保行政执法的无缝管理。</w:t>
      </w:r>
    </w:p>
    <w:p>
      <w:pPr>
        <w:pStyle w:val="3"/>
        <w:numPr>
          <w:ilvl w:val="0"/>
          <w:numId w:val="9"/>
        </w:numPr>
        <w:spacing w:line="360" w:lineRule="auto"/>
      </w:pPr>
      <w:bookmarkStart w:id="74" w:name="_Toc15944"/>
      <w:r>
        <w:rPr>
          <w:rFonts w:hint="eastAsia"/>
        </w:rPr>
        <w:t xml:space="preserve"> </w:t>
      </w:r>
      <w:bookmarkStart w:id="75" w:name="_Toc22321"/>
      <w:r>
        <w:rPr>
          <w:rFonts w:hint="eastAsia"/>
        </w:rPr>
        <w:t>推进信息化建设</w:t>
      </w:r>
      <w:bookmarkEnd w:id="73"/>
      <w:bookmarkEnd w:id="74"/>
      <w:bookmarkEnd w:id="75"/>
    </w:p>
    <w:p>
      <w:pPr>
        <w:pStyle w:val="20"/>
        <w:ind w:firstLine="560"/>
        <w:rPr>
          <w:lang w:val="zh-CN"/>
        </w:rPr>
      </w:pPr>
      <w:r>
        <w:rPr>
          <w:rFonts w:hint="eastAsia"/>
          <w:lang w:val="zh-CN"/>
        </w:rPr>
        <w:t>继续按照“美丽县城”要求，围绕城市建设管理中的重点和薄弱环节，强化跨部门数据整合和业务协同，创新城市管理理念，进一步提高城市建设管理的精细化、智能化水平，形成有寻甸特色的“大城管”格局，实现“数字城管”向“智慧城管”拓展与升华。</w:t>
      </w:r>
    </w:p>
    <w:p>
      <w:pPr>
        <w:pStyle w:val="21"/>
        <w:numPr>
          <w:ilvl w:val="0"/>
          <w:numId w:val="16"/>
        </w:numPr>
        <w:ind w:firstLine="0"/>
        <w:rPr>
          <w:lang w:val="zh-CN"/>
        </w:rPr>
      </w:pPr>
      <w:r>
        <w:rPr>
          <w:rFonts w:hint="eastAsia"/>
          <w:lang w:val="zh-CN"/>
        </w:rPr>
        <w:t>制定科学、合理的城市管理信息化规划</w:t>
      </w:r>
    </w:p>
    <w:p>
      <w:pPr>
        <w:pStyle w:val="20"/>
        <w:ind w:firstLine="560"/>
        <w:rPr>
          <w:lang w:val="zh-CN"/>
        </w:rPr>
      </w:pPr>
      <w:r>
        <w:rPr>
          <w:rFonts w:hint="eastAsia"/>
          <w:lang w:val="zh-CN"/>
        </w:rPr>
        <w:t>发挥规划的引领作用，编制《寻甸县城市管理信息化建设发展规划》，明确城市管理信息化的主要目标和任务，提出强有力的规划实施保障措施，加强信息化标准体系和信息安全体系建设，为“十四五”城市管理信息化建设提供指导。</w:t>
      </w:r>
    </w:p>
    <w:p>
      <w:pPr>
        <w:pStyle w:val="21"/>
        <w:numPr>
          <w:ilvl w:val="0"/>
          <w:numId w:val="16"/>
        </w:numPr>
        <w:ind w:firstLine="0"/>
        <w:rPr>
          <w:lang w:val="zh-CN"/>
        </w:rPr>
      </w:pPr>
      <w:r>
        <w:rPr>
          <w:rFonts w:hint="eastAsia"/>
          <w:lang w:val="zh-CN"/>
        </w:rPr>
        <w:t>建设城市管理综合信息平台</w:t>
      </w:r>
    </w:p>
    <w:p>
      <w:pPr>
        <w:pStyle w:val="20"/>
        <w:ind w:firstLine="560"/>
        <w:rPr>
          <w:lang w:val="zh-CN"/>
        </w:rPr>
      </w:pPr>
      <w:r>
        <w:rPr>
          <w:rFonts w:hint="eastAsia"/>
          <w:lang w:val="zh-CN"/>
        </w:rPr>
        <w:t>积极推进城市管理数字化、精细化、智慧化，按照“一平台四系统”总体思路，综合运用物联网、云计算、大数据等现代信息技术，推进人口、交通、能源、建设等公共设施信息和公共基础服务资源共享，拓展数字化城市管理平台功能，完成市县两级城市管理信息系统的整合，形成涵盖综合执法、市政、环卫、照明、广场、广告等行业信息的城市管理综合信息平台。加快数字化城市管理向智慧化升级，建设城市管理日常运行管理信息系统、公共服务与互动信息系统、应急指挥信息系统及政策研究分析信息系统，实现感知、分析、服务、指挥、监察“五位一体”。强化行政许可、行政处罚等城市管理要素数据的采集与整合，提升数据标准化程度，促进城管部门公共数据资源互联互通和开放共享，建立用数据说话、用数据决策、用数据管理、用数据创新的新机制。</w:t>
      </w:r>
    </w:p>
    <w:p>
      <w:pPr>
        <w:pStyle w:val="21"/>
        <w:numPr>
          <w:ilvl w:val="0"/>
          <w:numId w:val="16"/>
        </w:numPr>
        <w:ind w:firstLine="0"/>
        <w:rPr>
          <w:lang w:val="zh-CN"/>
        </w:rPr>
      </w:pPr>
      <w:r>
        <w:rPr>
          <w:rFonts w:hint="eastAsia"/>
          <w:lang w:val="zh-CN"/>
        </w:rPr>
        <w:t>积极推行“互联网+城管”</w:t>
      </w:r>
    </w:p>
    <w:p>
      <w:pPr>
        <w:pStyle w:val="20"/>
        <w:ind w:firstLine="560"/>
        <w:rPr>
          <w:lang w:val="zh-CN"/>
        </w:rPr>
      </w:pPr>
      <w:r>
        <w:rPr>
          <w:rFonts w:hint="eastAsia"/>
          <w:lang w:val="zh-CN"/>
        </w:rPr>
        <w:t>加快互联网与城市管理服务体系的深度融合，推动城市管理公共数据资源开放，促进城市管理公共服务创新供给和服务资源整合，构建面向公众的一体化在线城市管理公共服务体系。积极探索公众参与城市管理服务新模式，完善现有的微信平台，建设城市管理移动客户端，加强与公众的沟通交流，提高城市管理的响应速度，提升城市管理部门科学决策能力和城市治理水平。</w:t>
      </w:r>
    </w:p>
    <w:p>
      <w:pPr>
        <w:pStyle w:val="21"/>
        <w:numPr>
          <w:ilvl w:val="0"/>
          <w:numId w:val="17"/>
        </w:numPr>
        <w:ind w:firstLine="0"/>
        <w:rPr>
          <w:lang w:val="zh-CN"/>
        </w:rPr>
      </w:pPr>
      <w:r>
        <w:rPr>
          <w:rFonts w:hint="eastAsia"/>
          <w:lang w:val="zh-CN"/>
        </w:rPr>
        <w:t>积极推广新材料、新工艺、新技术、新产品</w:t>
      </w:r>
    </w:p>
    <w:p>
      <w:pPr>
        <w:pStyle w:val="3"/>
        <w:numPr>
          <w:ilvl w:val="0"/>
          <w:numId w:val="9"/>
        </w:numPr>
        <w:spacing w:line="360" w:lineRule="auto"/>
      </w:pPr>
      <w:bookmarkStart w:id="76" w:name="_Toc327"/>
      <w:r>
        <w:rPr>
          <w:rFonts w:hint="eastAsia"/>
          <w:lang w:val="zh-CN"/>
        </w:rPr>
        <w:t>将节能环保理</w:t>
      </w:r>
      <w:bookmarkStart w:id="77" w:name="_Toc26242"/>
      <w:r>
        <w:rPr>
          <w:rFonts w:hint="eastAsia"/>
        </w:rPr>
        <w:t xml:space="preserve"> 推进节能环保</w:t>
      </w:r>
      <w:bookmarkEnd w:id="76"/>
      <w:bookmarkEnd w:id="77"/>
    </w:p>
    <w:p>
      <w:pPr>
        <w:pStyle w:val="20"/>
        <w:ind w:firstLine="560"/>
        <w:rPr>
          <w:lang w:val="zh-CN"/>
        </w:rPr>
      </w:pPr>
      <w:r>
        <w:rPr>
          <w:rFonts w:hint="eastAsia"/>
          <w:lang w:val="zh-CN"/>
        </w:rPr>
        <w:t>念贯穿城市管理工作各环节，在项目建设中，注重节能环保设计；在市政设施行业中推行节能环保设备和工程材料；在市容环卫行业中推广使用节能环保设备，加快循环经济项目建设，提高垃圾无害化处理和资源利用率；按照市政府提出的节能减排目标要求，对广场重点耗能设施进行技术改良，推广LED照明灯使用，将部分广场的露天喷泉改造成旱喷，建设广场绿化自动喷淋系统。全面推广城市绿色照明工程，实现城市照明节能工作新突破，对能耗超标的景观亮化灯具进行改造，在景观照明中严禁使用强力探照灯和大功率泛光灯等产品；积极开展城市照明新产品、新技术的测试和应用，大力推广新型LED等节能灯具，逐步将管辖范围内的路灯全部改造为高效节能的灯具，打造绿色环保、节能高效的城市照明系统。</w:t>
      </w:r>
    </w:p>
    <w:p>
      <w:pPr>
        <w:pStyle w:val="21"/>
        <w:numPr>
          <w:ilvl w:val="0"/>
          <w:numId w:val="17"/>
        </w:numPr>
        <w:ind w:firstLine="0"/>
        <w:rPr>
          <w:lang w:val="zh-CN"/>
        </w:rPr>
      </w:pPr>
      <w:r>
        <w:rPr>
          <w:rFonts w:hint="eastAsia"/>
          <w:lang w:val="zh-CN"/>
        </w:rPr>
        <w:t>着力打造“绿色城管”</w:t>
      </w:r>
    </w:p>
    <w:p>
      <w:pPr>
        <w:pStyle w:val="20"/>
        <w:ind w:firstLine="560"/>
        <w:rPr>
          <w:rFonts w:hint="eastAsia"/>
          <w:lang w:val="zh-CN"/>
        </w:rPr>
      </w:pPr>
      <w:r>
        <w:rPr>
          <w:rFonts w:hint="eastAsia"/>
          <w:lang w:val="zh-CN"/>
        </w:rPr>
        <w:t>提出“低碳办公”的新理念，倡导节约文明，注重开源节流，推行电子化办公，确保年耗电量、耗水量、耗油量以及办公耗材、车辆维修保养的下降，使节能减排、勤俭成为城管干部职工自觉行动，打造一支绿色环保的低碳型管理和执法队伍。</w:t>
      </w:r>
    </w:p>
    <w:p>
      <w:pPr>
        <w:pStyle w:val="20"/>
        <w:ind w:firstLine="0" w:firstLineChars="0"/>
        <w:rPr>
          <w:lang w:val="zh-CN"/>
        </w:rPr>
      </w:pPr>
      <w:r>
        <w:rPr>
          <w:rFonts w:hint="eastAsia"/>
          <w:lang w:val="zh-CN"/>
        </w:rPr>
        <w:t>表：“十四五”城市管理建设主要项目汇总表</w:t>
      </w:r>
    </w:p>
    <w:tbl>
      <w:tblPr>
        <w:tblStyle w:val="14"/>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3"/>
        <w:gridCol w:w="1984"/>
        <w:gridCol w:w="4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433" w:type="dxa"/>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建设内容</w:t>
            </w:r>
          </w:p>
        </w:tc>
        <w:tc>
          <w:tcPr>
            <w:tcW w:w="1984" w:type="dxa"/>
            <w:shd w:val="clear" w:color="auto" w:fill="auto"/>
            <w:tcMar>
              <w:top w:w="15" w:type="dxa"/>
              <w:left w:w="15" w:type="dxa"/>
              <w:right w:w="15" w:type="dxa"/>
            </w:tcMar>
            <w:vAlign w:val="center"/>
          </w:tcPr>
          <w:p>
            <w:pPr>
              <w:widowControl/>
              <w:ind w:firstLine="422" w:firstLineChars="200"/>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项目名称</w:t>
            </w:r>
          </w:p>
        </w:tc>
        <w:tc>
          <w:tcPr>
            <w:tcW w:w="4919" w:type="dxa"/>
            <w:shd w:val="clear" w:color="auto" w:fill="auto"/>
            <w:tcMar>
              <w:top w:w="15" w:type="dxa"/>
              <w:left w:w="15" w:type="dxa"/>
              <w:right w:w="15" w:type="dxa"/>
            </w:tcMar>
            <w:vAlign w:val="center"/>
          </w:tcPr>
          <w:p>
            <w:pPr>
              <w:widowControl/>
              <w:ind w:firstLine="422" w:firstLineChars="200"/>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8" w:hRule="atLeast"/>
        </w:trPr>
        <w:tc>
          <w:tcPr>
            <w:tcW w:w="1433" w:type="dxa"/>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城市公厕</w:t>
            </w: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寻甸县县城城市公厕扩建项目</w:t>
            </w:r>
            <w:r>
              <w:rPr>
                <w:rFonts w:hint="eastAsia" w:ascii="仿宋" w:hAnsi="仿宋" w:eastAsia="仿宋" w:cs="仿宋"/>
                <w:color w:val="000000"/>
                <w:kern w:val="0"/>
                <w:szCs w:val="21"/>
                <w:lang w:eastAsia="zh-CN"/>
              </w:rPr>
              <w:t>，预计投资人民币</w:t>
            </w:r>
            <w:r>
              <w:rPr>
                <w:rFonts w:hint="eastAsia" w:ascii="仿宋" w:hAnsi="仿宋" w:eastAsia="仿宋" w:cs="仿宋"/>
                <w:color w:val="000000"/>
                <w:kern w:val="0"/>
                <w:szCs w:val="21"/>
                <w:lang w:val="en-US" w:eastAsia="zh-CN"/>
              </w:rPr>
              <w:t>600万元。</w:t>
            </w:r>
          </w:p>
        </w:tc>
        <w:tc>
          <w:tcPr>
            <w:tcW w:w="4919"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rPr>
              <w:t>新建</w:t>
            </w:r>
            <w:r>
              <w:rPr>
                <w:rStyle w:val="29"/>
                <w:rFonts w:eastAsia="仿宋"/>
              </w:rPr>
              <w:t>1</w:t>
            </w:r>
            <w:r>
              <w:rPr>
                <w:rStyle w:val="30"/>
                <w:rFonts w:hint="default"/>
              </w:rPr>
              <w:t>座智慧厕所、</w:t>
            </w:r>
            <w:r>
              <w:rPr>
                <w:rStyle w:val="29"/>
                <w:rFonts w:eastAsia="仿宋"/>
              </w:rPr>
              <w:t>2</w:t>
            </w:r>
            <w:r>
              <w:rPr>
                <w:rStyle w:val="30"/>
                <w:rFonts w:hint="default"/>
              </w:rPr>
              <w:t>座一类公厕，购买</w:t>
            </w:r>
            <w:r>
              <w:rPr>
                <w:rStyle w:val="29"/>
                <w:rFonts w:eastAsia="仿宋"/>
              </w:rPr>
              <w:t>2</w:t>
            </w:r>
            <w:r>
              <w:rPr>
                <w:rStyle w:val="30"/>
                <w:rFonts w:hint="default"/>
              </w:rPr>
              <w:t>辆</w:t>
            </w:r>
            <w:r>
              <w:rPr>
                <w:rStyle w:val="29"/>
                <w:rFonts w:eastAsia="仿宋"/>
              </w:rPr>
              <w:t>5</w:t>
            </w:r>
            <w:r>
              <w:rPr>
                <w:rStyle w:val="30"/>
                <w:rFonts w:hint="default"/>
              </w:rPr>
              <w:t>吨吸粪车</w:t>
            </w:r>
            <w:r>
              <w:rPr>
                <w:rStyle w:val="30"/>
                <w:rFonts w:hint="eastAsia"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15" w:hRule="atLeast"/>
        </w:trPr>
        <w:tc>
          <w:tcPr>
            <w:tcW w:w="1433" w:type="dxa"/>
            <w:vMerge w:val="restart"/>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环境卫生</w:t>
            </w: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垃圾收集清运和垃圾分类项目</w:t>
            </w:r>
            <w:r>
              <w:rPr>
                <w:rFonts w:hint="eastAsia" w:ascii="仿宋" w:hAnsi="仿宋" w:eastAsia="仿宋" w:cs="仿宋"/>
                <w:color w:val="000000"/>
                <w:kern w:val="0"/>
                <w:szCs w:val="21"/>
                <w:lang w:eastAsia="zh-CN"/>
              </w:rPr>
              <w:t>，预计投资人民币</w:t>
            </w:r>
            <w:r>
              <w:rPr>
                <w:rFonts w:hint="eastAsia" w:ascii="仿宋" w:hAnsi="仿宋" w:eastAsia="仿宋" w:cs="仿宋"/>
                <w:color w:val="000000"/>
                <w:kern w:val="0"/>
                <w:szCs w:val="21"/>
                <w:lang w:val="en-US" w:eastAsia="zh-CN"/>
              </w:rPr>
              <w:t>4.5亿元。</w:t>
            </w:r>
          </w:p>
        </w:tc>
        <w:tc>
          <w:tcPr>
            <w:tcW w:w="4919"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val="en-US" w:eastAsia="zh-CN"/>
              </w:rPr>
              <w:t>分别实施</w:t>
            </w:r>
            <w:r>
              <w:rPr>
                <w:rFonts w:hint="eastAsia" w:ascii="仿宋" w:hAnsi="仿宋" w:eastAsia="仿宋" w:cs="仿宋"/>
                <w:color w:val="000000"/>
                <w:kern w:val="0"/>
                <w:szCs w:val="21"/>
              </w:rPr>
              <w:t>餐厨垃圾处理中心1座，规模为100t/d、菜叶处理厂1座，规模为100t/d、县城区域和西部片区（倘甸）建设垃圾填埋场各一座，处理规模日处理</w:t>
            </w: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rPr>
              <w:t>00吨，库容为</w:t>
            </w: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rPr>
              <w:t>00万m</w:t>
            </w:r>
            <w:r>
              <w:rPr>
                <w:rFonts w:hint="eastAsia" w:ascii="宋体" w:hAnsi="宋体" w:cs="宋体"/>
                <w:color w:val="000000"/>
                <w:kern w:val="0"/>
                <w:szCs w:val="21"/>
              </w:rPr>
              <w:t>³、</w:t>
            </w:r>
            <w:r>
              <w:rPr>
                <w:rFonts w:hint="eastAsia" w:ascii="仿宋" w:hAnsi="仿宋" w:eastAsia="仿宋" w:cs="仿宋"/>
                <w:color w:val="000000"/>
                <w:kern w:val="0"/>
                <w:szCs w:val="21"/>
              </w:rPr>
              <w:t>购买</w:t>
            </w:r>
            <w:r>
              <w:rPr>
                <w:rStyle w:val="29"/>
                <w:rFonts w:eastAsia="仿宋"/>
              </w:rPr>
              <w:t>6</w:t>
            </w:r>
            <w:r>
              <w:rPr>
                <w:rStyle w:val="30"/>
                <w:rFonts w:hint="default"/>
              </w:rPr>
              <w:t>辆</w:t>
            </w:r>
            <w:r>
              <w:rPr>
                <w:rStyle w:val="29"/>
                <w:rFonts w:eastAsia="仿宋"/>
              </w:rPr>
              <w:t>1</w:t>
            </w:r>
            <w:r>
              <w:rPr>
                <w:rStyle w:val="30"/>
                <w:rFonts w:hint="default"/>
              </w:rPr>
              <w:t>吨垃圾车、</w:t>
            </w:r>
            <w:r>
              <w:rPr>
                <w:rStyle w:val="29"/>
                <w:rFonts w:eastAsia="仿宋"/>
              </w:rPr>
              <w:t>3</w:t>
            </w:r>
            <w:r>
              <w:rPr>
                <w:rStyle w:val="30"/>
                <w:rFonts w:hint="default"/>
              </w:rPr>
              <w:t>辆</w:t>
            </w:r>
            <w:r>
              <w:rPr>
                <w:rStyle w:val="29"/>
                <w:rFonts w:eastAsia="仿宋"/>
              </w:rPr>
              <w:t>3</w:t>
            </w:r>
            <w:r>
              <w:rPr>
                <w:rStyle w:val="30"/>
                <w:rFonts w:hint="default"/>
              </w:rPr>
              <w:t>吨垃圾车、</w:t>
            </w:r>
            <w:r>
              <w:rPr>
                <w:rStyle w:val="29"/>
                <w:rFonts w:eastAsia="仿宋"/>
              </w:rPr>
              <w:t>2</w:t>
            </w:r>
            <w:r>
              <w:rPr>
                <w:rStyle w:val="30"/>
                <w:rFonts w:hint="default"/>
              </w:rPr>
              <w:t>辆五吨垃圾车、</w:t>
            </w:r>
            <w:r>
              <w:rPr>
                <w:rStyle w:val="29"/>
                <w:rFonts w:eastAsia="仿宋"/>
              </w:rPr>
              <w:t>1</w:t>
            </w:r>
            <w:r>
              <w:rPr>
                <w:rStyle w:val="30"/>
                <w:rFonts w:hint="default"/>
              </w:rPr>
              <w:t>辆</w:t>
            </w:r>
            <w:r>
              <w:rPr>
                <w:rStyle w:val="29"/>
                <w:rFonts w:eastAsia="仿宋"/>
              </w:rPr>
              <w:t>12</w:t>
            </w:r>
            <w:r>
              <w:rPr>
                <w:rStyle w:val="30"/>
                <w:rFonts w:hint="default"/>
              </w:rPr>
              <w:t>吨垃圾压缩车、</w:t>
            </w:r>
            <w:r>
              <w:rPr>
                <w:rStyle w:val="29"/>
                <w:rFonts w:eastAsia="仿宋"/>
              </w:rPr>
              <w:t>50</w:t>
            </w:r>
            <w:r>
              <w:rPr>
                <w:rStyle w:val="30"/>
                <w:rFonts w:hint="default"/>
              </w:rPr>
              <w:t>辆三轮垃圾收集车、</w:t>
            </w:r>
            <w:r>
              <w:rPr>
                <w:rStyle w:val="29"/>
                <w:rFonts w:eastAsia="仿宋"/>
              </w:rPr>
              <w:t>40</w:t>
            </w:r>
            <w:r>
              <w:rPr>
                <w:rStyle w:val="30"/>
                <w:rFonts w:hint="default"/>
              </w:rPr>
              <w:t>只垃圾收集箱、</w:t>
            </w:r>
            <w:r>
              <w:rPr>
                <w:rStyle w:val="29"/>
                <w:rFonts w:eastAsia="仿宋"/>
              </w:rPr>
              <w:t>270</w:t>
            </w:r>
            <w:r>
              <w:rPr>
                <w:rStyle w:val="30"/>
                <w:rFonts w:hint="default"/>
              </w:rPr>
              <w:t>只垃圾收集桶，购置</w:t>
            </w:r>
            <w:r>
              <w:rPr>
                <w:rStyle w:val="29"/>
                <w:rFonts w:eastAsia="仿宋"/>
              </w:rPr>
              <w:t>16</w:t>
            </w:r>
            <w:r>
              <w:rPr>
                <w:rStyle w:val="30"/>
                <w:rFonts w:hint="default"/>
              </w:rPr>
              <w:t>座垃圾分类收集亭。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1433" w:type="dxa"/>
            <w:vMerge w:val="continue"/>
            <w:shd w:val="clear" w:color="auto" w:fill="auto"/>
            <w:tcMar>
              <w:top w:w="15" w:type="dxa"/>
              <w:left w:w="15" w:type="dxa"/>
              <w:right w:w="15" w:type="dxa"/>
            </w:tcMar>
            <w:vAlign w:val="center"/>
          </w:tcPr>
          <w:p>
            <w:pPr>
              <w:jc w:val="center"/>
              <w:rPr>
                <w:rFonts w:ascii="仿宋" w:hAnsi="仿宋" w:eastAsia="仿宋" w:cs="仿宋"/>
                <w:b/>
                <w:color w:val="000000"/>
                <w:szCs w:val="21"/>
              </w:rPr>
            </w:pP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县城保洁项目</w:t>
            </w:r>
            <w:r>
              <w:rPr>
                <w:rFonts w:hint="eastAsia" w:ascii="仿宋" w:hAnsi="仿宋" w:eastAsia="仿宋" w:cs="仿宋"/>
                <w:color w:val="000000"/>
                <w:kern w:val="0"/>
                <w:szCs w:val="21"/>
                <w:lang w:eastAsia="zh-CN"/>
              </w:rPr>
              <w:t>，预计投资</w:t>
            </w:r>
            <w:r>
              <w:rPr>
                <w:rFonts w:hint="eastAsia" w:ascii="仿宋" w:hAnsi="仿宋" w:eastAsia="仿宋" w:cs="仿宋"/>
                <w:color w:val="000000"/>
                <w:kern w:val="0"/>
                <w:szCs w:val="21"/>
                <w:lang w:val="en-US" w:eastAsia="zh-CN"/>
              </w:rPr>
              <w:t>200万元。</w:t>
            </w:r>
          </w:p>
        </w:tc>
        <w:tc>
          <w:tcPr>
            <w:tcW w:w="4919"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rPr>
              <w:t>购置</w:t>
            </w:r>
            <w:r>
              <w:rPr>
                <w:rFonts w:hint="eastAsia" w:ascii="仿宋" w:hAnsi="仿宋" w:eastAsia="仿宋" w:cs="仿宋"/>
                <w:color w:val="000000"/>
                <w:kern w:val="0"/>
                <w:szCs w:val="21"/>
              </w:rPr>
              <w:t>2辆</w:t>
            </w:r>
            <w:r>
              <w:rPr>
                <w:rStyle w:val="29"/>
                <w:rFonts w:eastAsia="仿宋"/>
              </w:rPr>
              <w:t>8</w:t>
            </w:r>
            <w:r>
              <w:rPr>
                <w:rStyle w:val="30"/>
                <w:rFonts w:hint="default"/>
              </w:rPr>
              <w:t>吨洗扫车、</w:t>
            </w:r>
            <w:r>
              <w:rPr>
                <w:rStyle w:val="29"/>
                <w:rFonts w:eastAsia="仿宋"/>
              </w:rPr>
              <w:t>2</w:t>
            </w:r>
            <w:r>
              <w:rPr>
                <w:rStyle w:val="30"/>
                <w:rFonts w:hint="default"/>
              </w:rPr>
              <w:t>辆</w:t>
            </w:r>
            <w:r>
              <w:rPr>
                <w:rStyle w:val="29"/>
                <w:rFonts w:eastAsia="仿宋"/>
              </w:rPr>
              <w:t>8</w:t>
            </w:r>
            <w:r>
              <w:rPr>
                <w:rStyle w:val="30"/>
                <w:rFonts w:hint="default"/>
              </w:rPr>
              <w:t>吨高压冲洗车、</w:t>
            </w:r>
            <w:r>
              <w:rPr>
                <w:rStyle w:val="29"/>
                <w:rFonts w:eastAsia="仿宋"/>
              </w:rPr>
              <w:t>2</w:t>
            </w:r>
            <w:r>
              <w:rPr>
                <w:rStyle w:val="30"/>
                <w:rFonts w:hint="default"/>
              </w:rPr>
              <w:t>辆</w:t>
            </w:r>
            <w:r>
              <w:rPr>
                <w:rStyle w:val="29"/>
                <w:rFonts w:eastAsia="仿宋"/>
              </w:rPr>
              <w:t>1</w:t>
            </w:r>
            <w:r>
              <w:rPr>
                <w:rStyle w:val="30"/>
                <w:rFonts w:hint="default"/>
              </w:rPr>
              <w:t>吨高压冲洗车、</w:t>
            </w:r>
            <w:r>
              <w:rPr>
                <w:rStyle w:val="29"/>
                <w:rFonts w:eastAsia="仿宋"/>
              </w:rPr>
              <w:t>1</w:t>
            </w:r>
            <w:r>
              <w:rPr>
                <w:rStyle w:val="30"/>
                <w:rFonts w:hint="default"/>
              </w:rPr>
              <w:t>辆路面养护车</w:t>
            </w:r>
            <w:r>
              <w:rPr>
                <w:rStyle w:val="30"/>
                <w:rFonts w:hint="eastAsia"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433" w:type="dxa"/>
            <w:vMerge w:val="continue"/>
            <w:shd w:val="clear" w:color="auto" w:fill="auto"/>
            <w:tcMar>
              <w:top w:w="15" w:type="dxa"/>
              <w:left w:w="15" w:type="dxa"/>
              <w:right w:w="15" w:type="dxa"/>
            </w:tcMar>
            <w:vAlign w:val="center"/>
          </w:tcPr>
          <w:p>
            <w:pPr>
              <w:jc w:val="center"/>
              <w:rPr>
                <w:rFonts w:ascii="仿宋" w:hAnsi="仿宋" w:eastAsia="仿宋" w:cs="仿宋"/>
                <w:b/>
                <w:color w:val="000000"/>
                <w:szCs w:val="21"/>
              </w:rPr>
            </w:pP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垃圾中转站</w:t>
            </w:r>
            <w:r>
              <w:rPr>
                <w:rStyle w:val="29"/>
                <w:rFonts w:hint="eastAsia" w:eastAsia="仿宋"/>
                <w:lang w:val="en-US" w:eastAsia="zh-CN"/>
              </w:rPr>
              <w:t>3</w:t>
            </w:r>
            <w:r>
              <w:rPr>
                <w:rStyle w:val="30"/>
                <w:rFonts w:hint="default"/>
              </w:rPr>
              <w:t>座</w:t>
            </w:r>
            <w:r>
              <w:rPr>
                <w:rStyle w:val="30"/>
                <w:rFonts w:hint="eastAsia" w:eastAsia="仿宋"/>
                <w:lang w:eastAsia="zh-CN"/>
              </w:rPr>
              <w:t>，预计投资</w:t>
            </w:r>
            <w:r>
              <w:rPr>
                <w:rStyle w:val="30"/>
                <w:rFonts w:hint="eastAsia" w:eastAsia="仿宋"/>
                <w:lang w:val="en-US" w:eastAsia="zh-CN"/>
              </w:rPr>
              <w:t>500万元。</w:t>
            </w:r>
          </w:p>
        </w:tc>
        <w:tc>
          <w:tcPr>
            <w:tcW w:w="4919"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rPr>
              <w:t>南城</w:t>
            </w:r>
            <w:r>
              <w:rPr>
                <w:rFonts w:hint="eastAsia" w:ascii="仿宋" w:hAnsi="仿宋" w:eastAsia="仿宋" w:cs="仿宋"/>
                <w:color w:val="000000"/>
                <w:kern w:val="0"/>
                <w:szCs w:val="21"/>
                <w:lang w:eastAsia="zh-CN"/>
              </w:rPr>
              <w:t>区</w:t>
            </w:r>
            <w:r>
              <w:rPr>
                <w:rFonts w:hint="eastAsia" w:ascii="仿宋" w:hAnsi="仿宋" w:eastAsia="仿宋" w:cs="仿宋"/>
                <w:color w:val="000000"/>
                <w:kern w:val="0"/>
                <w:szCs w:val="21"/>
              </w:rPr>
              <w:t>改造各一座，东城区、西城区各新建</w:t>
            </w:r>
            <w:r>
              <w:rPr>
                <w:rStyle w:val="29"/>
                <w:rFonts w:eastAsia="仿宋"/>
              </w:rPr>
              <w:t>1</w:t>
            </w:r>
            <w:r>
              <w:rPr>
                <w:rStyle w:val="30"/>
                <w:rFonts w:hint="default"/>
              </w:rPr>
              <w:t>座</w:t>
            </w:r>
            <w:r>
              <w:rPr>
                <w:rStyle w:val="30"/>
                <w:rFonts w:hint="eastAsia"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trPr>
        <w:tc>
          <w:tcPr>
            <w:tcW w:w="1433" w:type="dxa"/>
            <w:vMerge w:val="continue"/>
            <w:shd w:val="clear" w:color="auto" w:fill="auto"/>
            <w:tcMar>
              <w:top w:w="15" w:type="dxa"/>
              <w:left w:w="15" w:type="dxa"/>
              <w:right w:w="15" w:type="dxa"/>
            </w:tcMar>
            <w:vAlign w:val="center"/>
          </w:tcPr>
          <w:p>
            <w:pPr>
              <w:jc w:val="center"/>
              <w:rPr>
                <w:rFonts w:ascii="仿宋" w:hAnsi="仿宋" w:eastAsia="仿宋" w:cs="仿宋"/>
                <w:b/>
                <w:color w:val="000000"/>
                <w:szCs w:val="21"/>
              </w:rPr>
            </w:pPr>
          </w:p>
        </w:tc>
        <w:tc>
          <w:tcPr>
            <w:tcW w:w="1984"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规范门牌、路牌、广告牌</w:t>
            </w:r>
          </w:p>
        </w:tc>
        <w:tc>
          <w:tcPr>
            <w:tcW w:w="4919"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rPr>
              <w:t>规范门牌、路牌、广告牌</w:t>
            </w:r>
            <w:r>
              <w:rPr>
                <w:rFonts w:hint="eastAsia" w:ascii="仿宋" w:hAnsi="仿宋" w:eastAsia="仿宋" w:cs="仿宋"/>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trPr>
        <w:tc>
          <w:tcPr>
            <w:tcW w:w="1433" w:type="dxa"/>
            <w:shd w:val="clear" w:color="auto" w:fill="auto"/>
            <w:tcMar>
              <w:top w:w="15" w:type="dxa"/>
              <w:left w:w="15" w:type="dxa"/>
              <w:right w:w="15" w:type="dxa"/>
            </w:tcMar>
            <w:vAlign w:val="center"/>
          </w:tcPr>
          <w:p>
            <w:pPr>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违建治理</w:t>
            </w:r>
          </w:p>
        </w:tc>
        <w:tc>
          <w:tcPr>
            <w:tcW w:w="1984" w:type="dxa"/>
            <w:shd w:val="clear" w:color="auto" w:fill="auto"/>
            <w:tcMar>
              <w:top w:w="15" w:type="dxa"/>
              <w:left w:w="15" w:type="dxa"/>
              <w:right w:w="15" w:type="dxa"/>
            </w:tcMar>
            <w:vAlign w:val="center"/>
          </w:tcPr>
          <w:p>
            <w:pPr>
              <w:jc w:val="left"/>
              <w:textAlignment w:val="center"/>
              <w:rPr>
                <w:rFonts w:ascii="仿宋" w:hAnsi="仿宋" w:eastAsia="仿宋" w:cs="仿宋"/>
                <w:color w:val="000000"/>
                <w:szCs w:val="21"/>
              </w:rPr>
            </w:pPr>
            <w:r>
              <w:rPr>
                <w:rFonts w:hint="eastAsia" w:ascii="仿宋" w:hAnsi="仿宋" w:eastAsia="仿宋" w:cs="仿宋"/>
                <w:color w:val="000000"/>
                <w:kern w:val="0"/>
                <w:szCs w:val="21"/>
              </w:rPr>
              <w:t>治理违建、临建</w:t>
            </w:r>
          </w:p>
        </w:tc>
        <w:tc>
          <w:tcPr>
            <w:tcW w:w="4919" w:type="dxa"/>
            <w:shd w:val="clear" w:color="auto" w:fill="auto"/>
            <w:tcMar>
              <w:top w:w="15" w:type="dxa"/>
              <w:left w:w="15" w:type="dxa"/>
              <w:right w:w="15" w:type="dxa"/>
            </w:tcMar>
            <w:vAlign w:val="center"/>
          </w:tcPr>
          <w:p>
            <w:pPr>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rPr>
              <w:t>对县城内不符合建设要求的违章建筑、临时建筑进行治理</w:t>
            </w:r>
            <w:r>
              <w:rPr>
                <w:rFonts w:hint="eastAsia" w:ascii="仿宋" w:hAnsi="仿宋" w:eastAsia="仿宋" w:cs="仿宋"/>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9" w:hRule="atLeast"/>
        </w:trPr>
        <w:tc>
          <w:tcPr>
            <w:tcW w:w="1433" w:type="dxa"/>
            <w:shd w:val="clear" w:color="auto" w:fill="auto"/>
            <w:tcMar>
              <w:top w:w="15" w:type="dxa"/>
              <w:left w:w="15" w:type="dxa"/>
              <w:right w:w="15" w:type="dxa"/>
            </w:tcMar>
            <w:vAlign w:val="center"/>
          </w:tcPr>
          <w:p>
            <w:pPr>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停车设施</w:t>
            </w:r>
          </w:p>
        </w:tc>
        <w:tc>
          <w:tcPr>
            <w:tcW w:w="1984" w:type="dxa"/>
            <w:shd w:val="clear" w:color="auto" w:fill="auto"/>
            <w:tcMar>
              <w:top w:w="15" w:type="dxa"/>
              <w:left w:w="15" w:type="dxa"/>
              <w:right w:w="15" w:type="dxa"/>
            </w:tcMar>
            <w:vAlign w:val="center"/>
          </w:tcPr>
          <w:p>
            <w:pPr>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寻甸县停车设施建设项目</w:t>
            </w:r>
            <w:r>
              <w:rPr>
                <w:rFonts w:hint="eastAsia" w:ascii="仿宋" w:hAnsi="仿宋" w:eastAsia="仿宋" w:cs="仿宋"/>
                <w:color w:val="000000"/>
                <w:kern w:val="0"/>
                <w:szCs w:val="21"/>
                <w:lang w:eastAsia="zh-CN"/>
              </w:rPr>
              <w:t>，计划投资</w:t>
            </w:r>
            <w:r>
              <w:rPr>
                <w:rFonts w:hint="eastAsia" w:ascii="仿宋" w:hAnsi="仿宋" w:eastAsia="仿宋" w:cs="仿宋"/>
                <w:color w:val="000000"/>
                <w:kern w:val="0"/>
                <w:szCs w:val="21"/>
                <w:lang w:val="en-US" w:eastAsia="zh-CN"/>
              </w:rPr>
              <w:t>5000万元。</w:t>
            </w:r>
          </w:p>
        </w:tc>
        <w:tc>
          <w:tcPr>
            <w:tcW w:w="4919" w:type="dxa"/>
            <w:shd w:val="clear" w:color="auto" w:fill="auto"/>
            <w:tcMar>
              <w:top w:w="15" w:type="dxa"/>
              <w:left w:w="15" w:type="dxa"/>
              <w:right w:w="15" w:type="dxa"/>
            </w:tcMar>
            <w:vAlign w:val="center"/>
          </w:tcPr>
          <w:p>
            <w:pPr>
              <w:jc w:val="left"/>
              <w:textAlignment w:val="center"/>
              <w:rPr>
                <w:rFonts w:ascii="仿宋" w:hAnsi="仿宋" w:eastAsia="仿宋" w:cs="仿宋"/>
                <w:color w:val="000000"/>
                <w:szCs w:val="21"/>
              </w:rPr>
            </w:pPr>
            <w:r>
              <w:rPr>
                <w:rFonts w:hint="eastAsia" w:ascii="仿宋" w:hAnsi="仿宋" w:eastAsia="仿宋" w:cs="仿宋"/>
                <w:color w:val="000000"/>
                <w:kern w:val="0"/>
                <w:szCs w:val="21"/>
              </w:rPr>
              <w:t>结合新建路网设置路边泊车位，大道车位数与机动车保有量的比值为1.2：1，争取资金建设车位2000余个</w:t>
            </w:r>
            <w:r>
              <w:rPr>
                <w:rFonts w:hint="eastAsia" w:ascii="仿宋" w:hAnsi="仿宋" w:eastAsia="仿宋" w:cs="仿宋"/>
                <w:color w:val="000000"/>
                <w:kern w:val="0"/>
                <w:szCs w:val="21"/>
                <w:lang w:eastAsia="zh-CN"/>
              </w:rPr>
              <w:t>；新建货运车辆停车场</w:t>
            </w:r>
            <w:r>
              <w:rPr>
                <w:rFonts w:hint="eastAsia" w:ascii="仿宋" w:hAnsi="仿宋" w:eastAsia="仿宋" w:cs="仿宋"/>
                <w:color w:val="000000"/>
                <w:kern w:val="0"/>
                <w:szCs w:val="21"/>
                <w:lang w:val="en-US" w:eastAsia="zh-CN"/>
              </w:rPr>
              <w:t>1个</w:t>
            </w:r>
            <w:r>
              <w:rPr>
                <w:rFonts w:hint="eastAsia" w:ascii="仿宋" w:hAnsi="仿宋" w:eastAsia="仿宋"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5" w:hRule="atLeast"/>
        </w:trPr>
        <w:tc>
          <w:tcPr>
            <w:tcW w:w="1433" w:type="dxa"/>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绿化美化</w:t>
            </w: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寻甸县公园和部分道路再生水利用及绿化改造提升项目</w:t>
            </w:r>
            <w:r>
              <w:rPr>
                <w:rFonts w:hint="eastAsia" w:ascii="仿宋" w:hAnsi="仿宋" w:eastAsia="仿宋" w:cs="仿宋"/>
                <w:color w:val="000000"/>
                <w:kern w:val="0"/>
                <w:szCs w:val="21"/>
                <w:lang w:eastAsia="zh-CN"/>
              </w:rPr>
              <w:t>，计划投资</w:t>
            </w:r>
            <w:r>
              <w:rPr>
                <w:rFonts w:hint="eastAsia" w:ascii="仿宋" w:hAnsi="仿宋" w:eastAsia="仿宋" w:cs="仿宋"/>
                <w:color w:val="000000"/>
                <w:kern w:val="0"/>
                <w:szCs w:val="21"/>
                <w:lang w:val="en-US" w:eastAsia="zh-CN"/>
              </w:rPr>
              <w:t>3000万元。</w:t>
            </w:r>
          </w:p>
        </w:tc>
        <w:tc>
          <w:tcPr>
            <w:tcW w:w="4919"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rPr>
              <w:t>对县城内</w:t>
            </w:r>
            <w:r>
              <w:rPr>
                <w:rStyle w:val="29"/>
                <w:rFonts w:eastAsia="仿宋"/>
              </w:rPr>
              <w:t>43</w:t>
            </w:r>
            <w:r>
              <w:rPr>
                <w:rStyle w:val="30"/>
                <w:rFonts w:hint="default"/>
              </w:rPr>
              <w:t>条主次干道附属绿地和已建</w:t>
            </w:r>
            <w:r>
              <w:rPr>
                <w:rStyle w:val="29"/>
                <w:rFonts w:eastAsia="仿宋"/>
              </w:rPr>
              <w:t>20</w:t>
            </w:r>
            <w:r>
              <w:rPr>
                <w:rStyle w:val="30"/>
                <w:rFonts w:hint="default"/>
              </w:rPr>
              <w:t>个公园及</w:t>
            </w:r>
            <w:r>
              <w:rPr>
                <w:rStyle w:val="30"/>
                <w:rFonts w:hint="eastAsia" w:eastAsia="仿宋"/>
                <w:lang w:eastAsia="zh-CN"/>
              </w:rPr>
              <w:t>街</w:t>
            </w:r>
            <w:r>
              <w:rPr>
                <w:rStyle w:val="30"/>
                <w:rFonts w:hint="default"/>
              </w:rPr>
              <w:t>头绿地小游园进行提升改造实施县城再生水回用工程，县城一路一景建设等</w:t>
            </w:r>
            <w:r>
              <w:rPr>
                <w:rStyle w:val="30"/>
                <w:rFonts w:hint="eastAsia"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1" w:hRule="atLeast"/>
        </w:trPr>
        <w:tc>
          <w:tcPr>
            <w:tcW w:w="1433" w:type="dxa"/>
            <w:vMerge w:val="restart"/>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城市公园</w:t>
            </w: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娱乐主题公园，计划投资1.2亿元。</w:t>
            </w:r>
          </w:p>
        </w:tc>
        <w:tc>
          <w:tcPr>
            <w:tcW w:w="4919"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在“十三五”县城公园绿地规划范围内，引入社会资本参与公园建设，新建娱乐主题公园一座，占地面积约100亩，丰富群众娱乐文化需求。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5" w:hRule="atLeast"/>
        </w:trPr>
        <w:tc>
          <w:tcPr>
            <w:tcW w:w="1433" w:type="dxa"/>
            <w:vMerge w:val="continue"/>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eastAsia="zh-CN"/>
              </w:rPr>
              <w:t>三月三森林公园提升改造项目，计划投资</w:t>
            </w:r>
            <w:r>
              <w:rPr>
                <w:rFonts w:hint="eastAsia" w:ascii="仿宋" w:hAnsi="仿宋" w:eastAsia="仿宋" w:cs="仿宋"/>
                <w:color w:val="000000"/>
                <w:kern w:val="0"/>
                <w:szCs w:val="21"/>
                <w:lang w:val="en-US" w:eastAsia="zh-CN"/>
              </w:rPr>
              <w:t>5000万元。</w:t>
            </w:r>
          </w:p>
        </w:tc>
        <w:tc>
          <w:tcPr>
            <w:tcW w:w="4919"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一期工程沿三月三水库大坝至水杉林、海后庵，新建观光栈道1710米，并沿途配套必要的果皮箱、座椅、照明灯具、休息亭等设施，以湖岸林荫山水景观连接海会寺、水杉林、水库坝体等景点，初步形成生态、人文相协调的观光公园，同时达到增加33公顷以上公园绿地面积的目标。中期规划在此基础上创造条件继续深化建设改造，建成</w:t>
            </w:r>
            <w:r>
              <w:rPr>
                <w:rFonts w:hint="eastAsia" w:ascii="仿宋" w:hAnsi="仿宋" w:eastAsia="仿宋" w:cs="仿宋"/>
                <w:color w:val="000000"/>
                <w:kern w:val="0"/>
                <w:szCs w:val="21"/>
                <w:lang w:val="en-US" w:eastAsia="zh-CN"/>
              </w:rPr>
              <w:t>濒</w:t>
            </w:r>
            <w:r>
              <w:rPr>
                <w:rFonts w:hint="eastAsia" w:ascii="仿宋" w:hAnsi="仿宋" w:eastAsia="仿宋" w:cs="仿宋"/>
                <w:color w:val="000000"/>
                <w:kern w:val="0"/>
                <w:szCs w:val="21"/>
              </w:rPr>
              <w:t>水占道，适度开发水上娱乐项目，盘活周边资源，主动融入寻甸全域旅游范畴，逐步提高群众幸福感、获得感。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1433" w:type="dxa"/>
            <w:vMerge w:val="continue"/>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汇龙湿地公园改造提升</w:t>
            </w:r>
            <w:r>
              <w:rPr>
                <w:rFonts w:hint="eastAsia" w:ascii="仿宋" w:hAnsi="仿宋" w:eastAsia="仿宋" w:cs="仿宋"/>
                <w:color w:val="000000"/>
                <w:kern w:val="0"/>
                <w:szCs w:val="21"/>
                <w:lang w:eastAsia="zh-CN"/>
              </w:rPr>
              <w:t>项目，计划投资</w:t>
            </w:r>
            <w:r>
              <w:rPr>
                <w:rFonts w:hint="eastAsia" w:ascii="仿宋" w:hAnsi="仿宋" w:eastAsia="仿宋" w:cs="仿宋"/>
                <w:color w:val="000000"/>
                <w:kern w:val="0"/>
                <w:szCs w:val="21"/>
                <w:lang w:val="en-US" w:eastAsia="zh-CN"/>
              </w:rPr>
              <w:t>500万元。</w:t>
            </w:r>
          </w:p>
        </w:tc>
        <w:tc>
          <w:tcPr>
            <w:tcW w:w="4919"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rPr>
              <w:t>对县城公园和街头小游园进行改造提升，强化公共绿地管理养护</w:t>
            </w:r>
            <w:r>
              <w:rPr>
                <w:rFonts w:hint="eastAsia" w:ascii="仿宋" w:hAnsi="仿宋" w:eastAsia="仿宋" w:cs="仿宋"/>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trPr>
        <w:tc>
          <w:tcPr>
            <w:tcW w:w="1433" w:type="dxa"/>
            <w:vMerge w:val="continue"/>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kern w:val="0"/>
                <w:szCs w:val="21"/>
              </w:rPr>
            </w:pP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来龙公园建设项目</w:t>
            </w:r>
            <w:r>
              <w:rPr>
                <w:rFonts w:hint="eastAsia" w:ascii="仿宋" w:hAnsi="仿宋" w:eastAsia="仿宋" w:cs="仿宋"/>
                <w:color w:val="000000"/>
                <w:kern w:val="0"/>
                <w:szCs w:val="21"/>
                <w:lang w:eastAsia="zh-CN"/>
              </w:rPr>
              <w:t>，计划投资</w:t>
            </w:r>
            <w:r>
              <w:rPr>
                <w:rFonts w:hint="eastAsia" w:ascii="仿宋" w:hAnsi="仿宋" w:eastAsia="仿宋" w:cs="仿宋"/>
                <w:color w:val="000000"/>
                <w:kern w:val="0"/>
                <w:szCs w:val="21"/>
                <w:lang w:val="en-US" w:eastAsia="zh-CN"/>
              </w:rPr>
              <w:t>3600万元。</w:t>
            </w:r>
          </w:p>
        </w:tc>
        <w:tc>
          <w:tcPr>
            <w:tcW w:w="4919"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rPr>
              <w:t>新建</w:t>
            </w:r>
            <w:r>
              <w:rPr>
                <w:rFonts w:hint="eastAsia" w:ascii="仿宋" w:hAnsi="仿宋" w:eastAsia="仿宋" w:cs="仿宋"/>
                <w:color w:val="000000"/>
                <w:kern w:val="0"/>
                <w:szCs w:val="21"/>
              </w:rPr>
              <w:t>面积</w:t>
            </w:r>
            <w:r>
              <w:rPr>
                <w:rStyle w:val="29"/>
                <w:rFonts w:eastAsia="仿宋"/>
              </w:rPr>
              <w:t>12000</w:t>
            </w:r>
            <w:r>
              <w:rPr>
                <w:rStyle w:val="30"/>
                <w:rFonts w:hint="default"/>
              </w:rPr>
              <w:t>平方米</w:t>
            </w:r>
            <w:r>
              <w:rPr>
                <w:rStyle w:val="30"/>
                <w:rFonts w:hint="eastAsia" w:eastAsia="仿宋"/>
                <w:lang w:eastAsia="zh-CN"/>
              </w:rPr>
              <w:t>来龙公园。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1433" w:type="dxa"/>
            <w:vMerge w:val="continue"/>
            <w:shd w:val="clear" w:color="auto" w:fill="auto"/>
            <w:tcMar>
              <w:top w:w="15" w:type="dxa"/>
              <w:left w:w="15" w:type="dxa"/>
              <w:right w:w="15" w:type="dxa"/>
            </w:tcMar>
            <w:vAlign w:val="center"/>
          </w:tcPr>
          <w:p>
            <w:pPr>
              <w:jc w:val="center"/>
              <w:rPr>
                <w:rFonts w:ascii="仿宋" w:hAnsi="仿宋" w:eastAsia="仿宋" w:cs="仿宋"/>
                <w:b/>
                <w:color w:val="000000"/>
                <w:szCs w:val="21"/>
              </w:rPr>
            </w:pP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rPr>
              <w:t>寻园</w:t>
            </w:r>
            <w:r>
              <w:rPr>
                <w:rFonts w:hint="eastAsia" w:ascii="仿宋" w:hAnsi="仿宋" w:eastAsia="仿宋" w:cs="仿宋"/>
                <w:color w:val="000000"/>
                <w:szCs w:val="21"/>
                <w:lang w:eastAsia="zh-CN"/>
              </w:rPr>
              <w:t>公园新建项目，计划投资</w:t>
            </w:r>
            <w:r>
              <w:rPr>
                <w:rFonts w:hint="eastAsia" w:ascii="仿宋" w:hAnsi="仿宋" w:eastAsia="仿宋" w:cs="仿宋"/>
                <w:color w:val="000000"/>
                <w:szCs w:val="21"/>
                <w:lang w:val="en-US" w:eastAsia="zh-CN"/>
              </w:rPr>
              <w:t>9000万元。</w:t>
            </w:r>
          </w:p>
        </w:tc>
        <w:tc>
          <w:tcPr>
            <w:tcW w:w="4919"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依托寻园项目建设，促进寻园公园绿地的建设落地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9" w:hRule="atLeast"/>
        </w:trPr>
        <w:tc>
          <w:tcPr>
            <w:tcW w:w="1433" w:type="dxa"/>
            <w:vMerge w:val="continue"/>
            <w:shd w:val="clear" w:color="auto" w:fill="auto"/>
            <w:tcMar>
              <w:top w:w="15" w:type="dxa"/>
              <w:left w:w="15" w:type="dxa"/>
              <w:right w:w="15" w:type="dxa"/>
            </w:tcMar>
            <w:vAlign w:val="center"/>
          </w:tcPr>
          <w:p>
            <w:pPr>
              <w:jc w:val="center"/>
              <w:rPr>
                <w:rFonts w:ascii="仿宋" w:hAnsi="仿宋" w:eastAsia="仿宋" w:cs="仿宋"/>
                <w:b/>
                <w:color w:val="000000"/>
                <w:szCs w:val="21"/>
              </w:rPr>
            </w:pP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rPr>
              <w:t>中央主轴绿地公园</w:t>
            </w:r>
            <w:r>
              <w:rPr>
                <w:rFonts w:hint="eastAsia" w:ascii="仿宋" w:hAnsi="仿宋" w:eastAsia="仿宋" w:cs="仿宋"/>
                <w:color w:val="000000"/>
                <w:szCs w:val="21"/>
                <w:lang w:eastAsia="zh-CN"/>
              </w:rPr>
              <w:t>建设项目，计划投资</w:t>
            </w:r>
            <w:r>
              <w:rPr>
                <w:rFonts w:hint="eastAsia" w:ascii="仿宋" w:hAnsi="仿宋" w:eastAsia="仿宋" w:cs="仿宋"/>
                <w:color w:val="000000"/>
                <w:szCs w:val="21"/>
                <w:lang w:val="en-US" w:eastAsia="zh-CN"/>
              </w:rPr>
              <w:t>1.5亿元。</w:t>
            </w:r>
          </w:p>
        </w:tc>
        <w:tc>
          <w:tcPr>
            <w:tcW w:w="4919"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Cs w:val="21"/>
              </w:rPr>
            </w:pPr>
            <w:r>
              <w:rPr>
                <w:rStyle w:val="30"/>
                <w:rFonts w:hint="default"/>
              </w:rPr>
              <w:t>实施县城中央绿化带南延段新建工程</w:t>
            </w:r>
            <w:r>
              <w:rPr>
                <w:rStyle w:val="30"/>
                <w:rFonts w:hint="eastAsia" w:eastAsia="仿宋"/>
                <w:lang w:eastAsia="zh-CN"/>
              </w:rPr>
              <w:t>，面积约</w:t>
            </w:r>
            <w:r>
              <w:rPr>
                <w:rStyle w:val="30"/>
                <w:rFonts w:hint="eastAsia" w:eastAsia="仿宋"/>
                <w:lang w:val="en-US" w:eastAsia="zh-CN"/>
              </w:rPr>
              <w:t>100亩</w:t>
            </w:r>
            <w:r>
              <w:rPr>
                <w:rStyle w:val="30"/>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3" w:hRule="atLeast"/>
        </w:trPr>
        <w:tc>
          <w:tcPr>
            <w:tcW w:w="1433" w:type="dxa"/>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公共安全</w:t>
            </w: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河滨公园、湿地公园、市民休闲广场、体育馆提升改造项目</w:t>
            </w:r>
            <w:r>
              <w:rPr>
                <w:rFonts w:hint="eastAsia" w:ascii="仿宋" w:hAnsi="仿宋" w:eastAsia="仿宋" w:cs="仿宋"/>
                <w:color w:val="000000"/>
                <w:kern w:val="0"/>
                <w:szCs w:val="21"/>
                <w:lang w:eastAsia="zh-CN"/>
              </w:rPr>
              <w:t>。计划投资</w:t>
            </w:r>
            <w:r>
              <w:rPr>
                <w:rFonts w:hint="eastAsia" w:ascii="仿宋" w:hAnsi="仿宋" w:eastAsia="仿宋" w:cs="仿宋"/>
                <w:color w:val="000000"/>
                <w:kern w:val="0"/>
                <w:szCs w:val="21"/>
                <w:lang w:val="en-US" w:eastAsia="zh-CN"/>
              </w:rPr>
              <w:t>150万元。</w:t>
            </w:r>
          </w:p>
        </w:tc>
        <w:tc>
          <w:tcPr>
            <w:tcW w:w="4919"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应急基础设施、标识标牌设置完善、规范、美观。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6" w:hRule="atLeast"/>
        </w:trPr>
        <w:tc>
          <w:tcPr>
            <w:tcW w:w="1433" w:type="dxa"/>
            <w:vMerge w:val="restart"/>
            <w:shd w:val="clear" w:color="auto" w:fill="auto"/>
            <w:tcMar>
              <w:top w:w="15" w:type="dxa"/>
              <w:left w:w="15" w:type="dxa"/>
              <w:right w:w="15" w:type="dxa"/>
            </w:tcMar>
            <w:vAlign w:val="center"/>
          </w:tcPr>
          <w:p>
            <w:pPr>
              <w:jc w:val="center"/>
              <w:rPr>
                <w:rFonts w:ascii="仿宋" w:hAnsi="仿宋" w:eastAsia="仿宋" w:cs="仿宋"/>
                <w:b/>
                <w:color w:val="000000"/>
                <w:szCs w:val="21"/>
              </w:rPr>
            </w:pPr>
          </w:p>
          <w:p>
            <w:pPr>
              <w:jc w:val="center"/>
              <w:rPr>
                <w:rFonts w:ascii="仿宋" w:hAnsi="仿宋" w:eastAsia="仿宋" w:cs="仿宋"/>
                <w:b/>
                <w:color w:val="000000"/>
                <w:szCs w:val="21"/>
              </w:rPr>
            </w:pPr>
            <w:r>
              <w:rPr>
                <w:rFonts w:hint="eastAsia" w:ascii="仿宋" w:hAnsi="仿宋" w:eastAsia="仿宋" w:cs="仿宋"/>
                <w:b/>
                <w:color w:val="000000"/>
                <w:kern w:val="0"/>
                <w:szCs w:val="21"/>
              </w:rPr>
              <w:t>风貌提升</w:t>
            </w: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城市防洪排涝治理项目</w:t>
            </w:r>
            <w:r>
              <w:rPr>
                <w:rFonts w:hint="eastAsia" w:ascii="仿宋" w:hAnsi="仿宋" w:eastAsia="仿宋" w:cs="仿宋"/>
                <w:color w:val="000000"/>
                <w:kern w:val="0"/>
                <w:szCs w:val="21"/>
                <w:lang w:eastAsia="zh-CN"/>
              </w:rPr>
              <w:t>，计划投资</w:t>
            </w:r>
            <w:r>
              <w:rPr>
                <w:rFonts w:hint="eastAsia" w:ascii="仿宋" w:hAnsi="仿宋" w:eastAsia="仿宋" w:cs="仿宋"/>
                <w:color w:val="000000"/>
                <w:kern w:val="0"/>
                <w:szCs w:val="21"/>
                <w:lang w:val="en-US" w:eastAsia="zh-CN"/>
              </w:rPr>
              <w:t>500万元。</w:t>
            </w:r>
          </w:p>
        </w:tc>
        <w:tc>
          <w:tcPr>
            <w:tcW w:w="4919"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rPr>
              <w:t>对</w:t>
            </w:r>
            <w:r>
              <w:rPr>
                <w:rFonts w:hint="eastAsia" w:ascii="仿宋" w:hAnsi="仿宋" w:eastAsia="仿宋" w:cs="仿宋"/>
                <w:color w:val="000000"/>
                <w:kern w:val="0"/>
                <w:szCs w:val="21"/>
              </w:rPr>
              <w:t>县城</w:t>
            </w:r>
            <w:r>
              <w:rPr>
                <w:rFonts w:hint="eastAsia" w:ascii="仿宋" w:hAnsi="仿宋" w:eastAsia="仿宋" w:cs="仿宋"/>
                <w:color w:val="000000"/>
                <w:kern w:val="0"/>
                <w:szCs w:val="21"/>
                <w:lang w:eastAsia="zh-CN"/>
              </w:rPr>
              <w:t>公园内河道</w:t>
            </w:r>
            <w:r>
              <w:rPr>
                <w:rFonts w:hint="eastAsia" w:ascii="仿宋" w:hAnsi="仿宋" w:eastAsia="仿宋" w:cs="仿宋"/>
                <w:color w:val="000000"/>
                <w:kern w:val="0"/>
                <w:szCs w:val="21"/>
              </w:rPr>
              <w:t>易涝</w:t>
            </w:r>
            <w:r>
              <w:rPr>
                <w:rFonts w:hint="eastAsia" w:ascii="仿宋" w:hAnsi="仿宋" w:eastAsia="仿宋" w:cs="仿宋"/>
                <w:color w:val="000000"/>
                <w:kern w:val="0"/>
                <w:szCs w:val="21"/>
                <w:lang w:eastAsia="zh-CN"/>
              </w:rPr>
              <w:t>易堵</w:t>
            </w:r>
            <w:r>
              <w:rPr>
                <w:rFonts w:hint="eastAsia" w:ascii="仿宋" w:hAnsi="仿宋" w:eastAsia="仿宋" w:cs="仿宋"/>
                <w:color w:val="000000"/>
                <w:kern w:val="0"/>
                <w:szCs w:val="21"/>
              </w:rPr>
              <w:t>点</w:t>
            </w:r>
            <w:r>
              <w:rPr>
                <w:rFonts w:hint="eastAsia" w:ascii="仿宋" w:hAnsi="仿宋" w:eastAsia="仿宋" w:cs="仿宋"/>
                <w:color w:val="000000"/>
                <w:kern w:val="0"/>
                <w:szCs w:val="21"/>
                <w:lang w:eastAsia="zh-CN"/>
              </w:rPr>
              <w:t>逐年</w:t>
            </w:r>
            <w:r>
              <w:rPr>
                <w:rFonts w:hint="eastAsia" w:ascii="仿宋" w:hAnsi="仿宋" w:eastAsia="仿宋" w:cs="仿宋"/>
                <w:color w:val="000000"/>
                <w:kern w:val="0"/>
                <w:szCs w:val="21"/>
              </w:rPr>
              <w:t>治理</w:t>
            </w:r>
            <w:r>
              <w:rPr>
                <w:rFonts w:hint="eastAsia" w:ascii="仿宋" w:hAnsi="仿宋" w:eastAsia="仿宋" w:cs="仿宋"/>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trPr>
        <w:tc>
          <w:tcPr>
            <w:tcW w:w="1433" w:type="dxa"/>
            <w:vMerge w:val="continue"/>
            <w:shd w:val="clear" w:color="auto" w:fill="auto"/>
            <w:tcMar>
              <w:top w:w="15" w:type="dxa"/>
              <w:left w:w="15" w:type="dxa"/>
              <w:right w:w="15" w:type="dxa"/>
            </w:tcMar>
            <w:vAlign w:val="center"/>
          </w:tcPr>
          <w:p>
            <w:pPr>
              <w:jc w:val="center"/>
              <w:rPr>
                <w:rFonts w:ascii="仿宋" w:hAnsi="仿宋" w:eastAsia="仿宋" w:cs="仿宋"/>
                <w:b/>
                <w:color w:val="000000"/>
                <w:szCs w:val="21"/>
              </w:rPr>
            </w:pPr>
          </w:p>
        </w:tc>
        <w:tc>
          <w:tcPr>
            <w:tcW w:w="198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县城入口风貌提升</w:t>
            </w:r>
            <w:r>
              <w:rPr>
                <w:rFonts w:hint="eastAsia" w:ascii="仿宋" w:hAnsi="仿宋" w:eastAsia="仿宋" w:cs="仿宋"/>
                <w:color w:val="000000"/>
                <w:kern w:val="0"/>
                <w:szCs w:val="21"/>
                <w:lang w:eastAsia="zh-CN"/>
              </w:rPr>
              <w:t>改造项目，计划投资</w:t>
            </w:r>
            <w:r>
              <w:rPr>
                <w:rFonts w:hint="eastAsia" w:ascii="仿宋" w:hAnsi="仿宋" w:eastAsia="仿宋" w:cs="仿宋"/>
                <w:color w:val="000000"/>
                <w:kern w:val="0"/>
                <w:szCs w:val="21"/>
                <w:lang w:val="en-US" w:eastAsia="zh-CN"/>
              </w:rPr>
              <w:t>500万元。</w:t>
            </w:r>
          </w:p>
        </w:tc>
        <w:tc>
          <w:tcPr>
            <w:tcW w:w="4919"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县城三月三入城口风貌提升改造，打造城市</w:t>
            </w:r>
            <w:r>
              <w:rPr>
                <w:rFonts w:hint="eastAsia" w:ascii="仿宋" w:hAnsi="仿宋" w:eastAsia="仿宋" w:cs="仿宋"/>
                <w:color w:val="000000"/>
                <w:kern w:val="0"/>
                <w:szCs w:val="21"/>
                <w:lang w:val="en-US" w:eastAsia="zh-CN"/>
              </w:rPr>
              <w:t>入口</w:t>
            </w:r>
            <w:r>
              <w:rPr>
                <w:rFonts w:hint="eastAsia" w:ascii="仿宋" w:hAnsi="仿宋" w:eastAsia="仿宋" w:cs="仿宋"/>
                <w:color w:val="000000"/>
                <w:kern w:val="0"/>
                <w:szCs w:val="21"/>
              </w:rPr>
              <w:t>。</w:t>
            </w:r>
          </w:p>
        </w:tc>
      </w:tr>
    </w:tbl>
    <w:p>
      <w:pPr>
        <w:pStyle w:val="20"/>
        <w:numPr>
          <w:ilvl w:val="0"/>
          <w:numId w:val="9"/>
        </w:numPr>
        <w:ind w:left="0" w:leftChars="0" w:firstLine="0" w:firstLineChars="0"/>
        <w:outlineLvl w:val="1"/>
        <w:rPr>
          <w:rFonts w:hint="eastAsia" w:ascii="宋体" w:hAnsi="宋体" w:eastAsia="宋体" w:cs="宋体"/>
          <w:b/>
          <w:kern w:val="2"/>
          <w:sz w:val="28"/>
          <w:szCs w:val="24"/>
          <w:lang w:val="en-US" w:eastAsia="zh-CN" w:bidi="ar-SA"/>
        </w:rPr>
      </w:pPr>
      <w:r>
        <w:rPr>
          <w:rFonts w:hint="eastAsia" w:ascii="宋体" w:hAnsi="宋体" w:eastAsia="宋体" w:cs="宋体"/>
          <w:b/>
          <w:kern w:val="2"/>
          <w:sz w:val="28"/>
          <w:szCs w:val="24"/>
          <w:lang w:val="en-US" w:eastAsia="zh-CN" w:bidi="ar-SA"/>
        </w:rPr>
        <w:t xml:space="preserve"> </w:t>
      </w:r>
      <w:bookmarkStart w:id="78" w:name="_Toc6849"/>
      <w:r>
        <w:rPr>
          <w:rFonts w:hint="eastAsia" w:ascii="宋体" w:hAnsi="宋体" w:eastAsia="宋体" w:cs="宋体"/>
          <w:b/>
          <w:kern w:val="2"/>
          <w:sz w:val="28"/>
          <w:szCs w:val="24"/>
          <w:lang w:val="en-US" w:eastAsia="zh-CN" w:bidi="ar-SA"/>
        </w:rPr>
        <w:t>2035远景规划</w:t>
      </w:r>
      <w:bookmarkEnd w:id="78"/>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right="0" w:firstLine="560" w:firstLineChars="200"/>
        <w:rPr>
          <w:rFonts w:hint="eastAsia" w:ascii="仿宋" w:hAnsi="仿宋" w:eastAsia="仿宋" w:cs="仿宋"/>
          <w:kern w:val="2"/>
          <w:sz w:val="28"/>
          <w:szCs w:val="24"/>
          <w:lang w:val="zh-CN" w:eastAsia="zh-CN" w:bidi="ar-SA"/>
        </w:rPr>
      </w:pPr>
      <w:r>
        <w:rPr>
          <w:rFonts w:hint="eastAsia" w:ascii="仿宋" w:hAnsi="仿宋" w:eastAsia="仿宋" w:cs="仿宋"/>
          <w:kern w:val="2"/>
          <w:sz w:val="28"/>
          <w:szCs w:val="24"/>
          <w:lang w:val="en-US" w:eastAsia="zh-CN" w:bidi="ar-SA"/>
        </w:rPr>
        <w:t>2035年，寻甸县城市管理主要围绕</w:t>
      </w:r>
      <w:r>
        <w:rPr>
          <w:rFonts w:hint="eastAsia" w:ascii="仿宋" w:hAnsi="仿宋" w:eastAsia="仿宋" w:cs="仿宋"/>
          <w:kern w:val="2"/>
          <w:sz w:val="28"/>
          <w:szCs w:val="24"/>
          <w:lang w:val="zh-CN" w:eastAsia="zh-CN" w:bidi="ar-SA"/>
        </w:rPr>
        <w:t>一个目标：“坚持党建引领、重心下移、科技赋能，不断提升城市治理科学化精细化智能化水平，推进市域社会治理现代化。”目标是市域社会治理现代化。标志是提升城市治理科学化精细化和智能化水平，也可以说是城市管理现代化的主要标志。措施和手段主要是党建引领、重心下移、科技赋能。党建引领是城市治理体系的龙头，是整体性治理的核心，决定治理的方向。重心下移是城市治理现代化的重点。要整合资源、审批、管理、服务和执法力量向街道乡镇下沉，服务基层群众。</w:t>
      </w:r>
    </w:p>
    <w:p>
      <w:pPr>
        <w:pStyle w:val="13"/>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562" w:firstLineChars="200"/>
        <w:outlineLvl w:val="2"/>
        <w:rPr>
          <w:rFonts w:hint="eastAsia" w:ascii="楷体" w:hAnsi="楷体" w:eastAsia="楷体" w:cs="楷体"/>
          <w:b/>
          <w:bCs/>
          <w:i w:val="0"/>
          <w:caps w:val="0"/>
          <w:color w:val="333333"/>
          <w:spacing w:val="0"/>
          <w:sz w:val="28"/>
          <w:szCs w:val="28"/>
          <w:shd w:val="clear" w:color="auto" w:fill="FFFFFF"/>
          <w:lang w:val="en-US" w:eastAsia="zh-CN"/>
        </w:rPr>
      </w:pPr>
      <w:r>
        <w:rPr>
          <w:rFonts w:hint="eastAsia" w:ascii="楷体" w:hAnsi="楷体" w:eastAsia="楷体" w:cs="楷体"/>
          <w:b/>
          <w:bCs/>
          <w:i w:val="0"/>
          <w:caps w:val="0"/>
          <w:color w:val="333333"/>
          <w:spacing w:val="0"/>
          <w:sz w:val="28"/>
          <w:szCs w:val="28"/>
          <w:shd w:val="clear" w:color="auto" w:fill="FFFFFF"/>
          <w:lang w:val="en-US" w:eastAsia="zh-CN"/>
        </w:rPr>
        <w:t>深化体制改革</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560" w:firstLineChars="200"/>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color="auto" w:fill="FFFFFF"/>
          <w:lang w:val="en-US" w:eastAsia="zh-CN"/>
        </w:rPr>
        <w:t>按照</w:t>
      </w:r>
      <w:r>
        <w:rPr>
          <w:rFonts w:hint="eastAsia" w:ascii="仿宋" w:hAnsi="仿宋" w:eastAsia="仿宋" w:cs="仿宋"/>
          <w:i w:val="0"/>
          <w:caps w:val="0"/>
          <w:color w:val="333333"/>
          <w:spacing w:val="0"/>
          <w:sz w:val="28"/>
          <w:szCs w:val="28"/>
          <w:shd w:val="clear" w:color="auto" w:fill="FFFFFF"/>
        </w:rPr>
        <w:t>《中共中央 国务院关于深入推进城市执法体制改革改进城市管理工作的指导意见》提出了城市管理体制改革的顶层设计和系统性指导意见，经过五年的改革探索，城市管理体制的机构设置、机构名称、职责范围、队伍编制等重要事项并没有实现全国统一和规范，因此急需改革和完善城市管理体制的任务仍然在路上。</w:t>
      </w:r>
    </w:p>
    <w:p>
      <w:pPr>
        <w:pStyle w:val="13"/>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562" w:firstLineChars="200"/>
        <w:outlineLvl w:val="2"/>
        <w:rPr>
          <w:rFonts w:hint="eastAsia" w:ascii="楷体" w:hAnsi="楷体" w:eastAsia="楷体" w:cs="楷体"/>
          <w:b/>
          <w:bCs/>
          <w:i w:val="0"/>
          <w:caps w:val="0"/>
          <w:color w:val="333333"/>
          <w:spacing w:val="0"/>
          <w:sz w:val="28"/>
          <w:szCs w:val="28"/>
          <w:shd w:val="clear" w:color="auto" w:fill="FFFFFF"/>
          <w:lang w:val="en-US" w:eastAsia="zh-CN"/>
        </w:rPr>
      </w:pPr>
      <w:r>
        <w:rPr>
          <w:rFonts w:hint="eastAsia" w:ascii="楷体" w:hAnsi="楷体" w:eastAsia="楷体" w:cs="楷体"/>
          <w:b/>
          <w:bCs/>
          <w:i w:val="0"/>
          <w:caps w:val="0"/>
          <w:color w:val="333333"/>
          <w:spacing w:val="0"/>
          <w:sz w:val="28"/>
          <w:szCs w:val="28"/>
          <w:shd w:val="clear" w:color="auto" w:fill="FFFFFF"/>
          <w:lang w:val="en-US" w:eastAsia="zh-CN"/>
        </w:rPr>
        <w:t>延伸社会治理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560" w:firstLineChars="200"/>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color="auto" w:fill="FFFFFF"/>
        </w:rPr>
        <w:t>推广“街乡吹哨、部门报到、接诉即办”等基层管理机制经验，推动资源、管理、服务向街道社区下沉，加快建设现代社区。</w:t>
      </w:r>
      <w:r>
        <w:rPr>
          <w:rFonts w:hint="eastAsia" w:ascii="仿宋" w:hAnsi="仿宋" w:eastAsia="仿宋" w:cs="仿宋"/>
          <w:i w:val="0"/>
          <w:caps w:val="0"/>
          <w:color w:val="333333"/>
          <w:spacing w:val="0"/>
          <w:sz w:val="28"/>
          <w:szCs w:val="28"/>
          <w:shd w:val="clear" w:color="auto" w:fill="FFFFFF"/>
          <w:lang w:val="en-US" w:eastAsia="zh-CN"/>
        </w:rPr>
        <w:t>借鉴发达地区</w:t>
      </w:r>
      <w:r>
        <w:rPr>
          <w:rFonts w:hint="eastAsia" w:ascii="仿宋" w:hAnsi="仿宋" w:eastAsia="仿宋" w:cs="仿宋"/>
          <w:i w:val="0"/>
          <w:caps w:val="0"/>
          <w:color w:val="333333"/>
          <w:spacing w:val="0"/>
          <w:sz w:val="28"/>
          <w:szCs w:val="28"/>
          <w:shd w:val="clear" w:color="auto" w:fill="FFFFFF"/>
        </w:rPr>
        <w:t>“街乡吹哨、部门报到、接诉即办”</w:t>
      </w:r>
      <w:r>
        <w:rPr>
          <w:rFonts w:hint="eastAsia" w:ascii="仿宋" w:hAnsi="仿宋" w:eastAsia="仿宋" w:cs="仿宋"/>
          <w:i w:val="0"/>
          <w:caps w:val="0"/>
          <w:color w:val="333333"/>
          <w:spacing w:val="0"/>
          <w:sz w:val="28"/>
          <w:szCs w:val="28"/>
          <w:shd w:val="clear" w:color="auto" w:fill="FFFFFF"/>
          <w:lang w:val="en-US" w:eastAsia="zh-CN"/>
        </w:rPr>
        <w:t>的</w:t>
      </w:r>
      <w:r>
        <w:rPr>
          <w:rFonts w:hint="eastAsia" w:ascii="仿宋" w:hAnsi="仿宋" w:eastAsia="仿宋" w:cs="仿宋"/>
          <w:i w:val="0"/>
          <w:caps w:val="0"/>
          <w:color w:val="333333"/>
          <w:spacing w:val="0"/>
          <w:sz w:val="28"/>
          <w:szCs w:val="28"/>
          <w:shd w:val="clear" w:color="auto" w:fill="FFFFFF"/>
        </w:rPr>
        <w:t>政府层级管理体制机制的成功经验，调动了部门解决阶层城市管理服务难题的积极性，回应了基层街道</w:t>
      </w:r>
      <w:r>
        <w:rPr>
          <w:rFonts w:hint="eastAsia" w:ascii="仿宋" w:hAnsi="仿宋" w:eastAsia="仿宋" w:cs="仿宋"/>
          <w:i w:val="0"/>
          <w:caps w:val="0"/>
          <w:color w:val="333333"/>
          <w:spacing w:val="0"/>
          <w:sz w:val="28"/>
          <w:szCs w:val="28"/>
          <w:shd w:val="clear" w:color="auto" w:fill="FFFFFF"/>
          <w:lang w:val="en-US" w:eastAsia="zh-CN"/>
        </w:rPr>
        <w:t>涉及</w:t>
      </w:r>
      <w:r>
        <w:rPr>
          <w:rFonts w:hint="eastAsia" w:ascii="仿宋" w:hAnsi="仿宋" w:eastAsia="仿宋" w:cs="仿宋"/>
          <w:i w:val="0"/>
          <w:caps w:val="0"/>
          <w:color w:val="333333"/>
          <w:spacing w:val="0"/>
          <w:sz w:val="28"/>
          <w:szCs w:val="28"/>
          <w:shd w:val="clear" w:color="auto" w:fill="FFFFFF"/>
        </w:rPr>
        <w:t>居民的服务需求。推动资源、管理、服务向街道社区下沉，向街道社区赋能，增强街道统筹协调城市综合管理的能力。从而加快建设现代社区，现代社区既是配套服务设施齐全的完整社区，也是社会和谐的安全社区，还是低碳节能的绿色社区。</w:t>
      </w:r>
    </w:p>
    <w:p>
      <w:pPr>
        <w:pStyle w:val="13"/>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562" w:firstLineChars="200"/>
        <w:outlineLvl w:val="2"/>
        <w:rPr>
          <w:rFonts w:hint="eastAsia" w:ascii="楷体" w:hAnsi="楷体" w:eastAsia="楷体" w:cs="楷体"/>
          <w:b/>
          <w:bCs/>
          <w:i w:val="0"/>
          <w:caps w:val="0"/>
          <w:color w:val="333333"/>
          <w:spacing w:val="0"/>
          <w:sz w:val="28"/>
          <w:szCs w:val="28"/>
          <w:shd w:val="clear" w:color="auto" w:fill="FFFFFF"/>
          <w:lang w:val="en-US" w:eastAsia="zh-CN"/>
        </w:rPr>
      </w:pPr>
      <w:r>
        <w:rPr>
          <w:rFonts w:hint="eastAsia" w:ascii="楷体" w:hAnsi="楷体" w:eastAsia="楷体" w:cs="楷体"/>
          <w:b/>
          <w:bCs/>
          <w:i w:val="0"/>
          <w:caps w:val="0"/>
          <w:color w:val="333333"/>
          <w:spacing w:val="0"/>
          <w:sz w:val="28"/>
          <w:szCs w:val="28"/>
          <w:shd w:val="clear" w:color="auto" w:fill="FFFFFF"/>
          <w:lang w:val="en-US" w:eastAsia="zh-CN"/>
        </w:rPr>
        <w:t>提高信息化水平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280" w:firstLineChars="100"/>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color="auto" w:fill="FFFFFF"/>
        </w:rPr>
        <w:t>运用数字技术推动城市管理手段、管理模式、管理理念创新，精准高效满足群众需求。总书记多次强调推动城市管理手段、管理模式、管理理念创新。创新的目的是为了给市民提供精准高效的服务，满足群众的生老病死、衣食住行、安居乐业的各项需求。创新的主要手段是日新月异的数字技术。加快数字城管平台升级，建设现代化的城市运行综合管理服务平台，实现一网统管。将市政公用、园林绿化、市容环卫等与市民生活密切相关的城市专业管理统一纳入城市运行管理服务平台，推动城市管理手段创新。改革和完善“大城管”高位协调机制和部门联动机制，再造城市管理闭环流程，完善城市综合管理服务评价体系，推动城市管理模式创新。践行“人民城市人民建、人民城市为人民”的理念，推动城市管理理念创新。</w:t>
      </w:r>
    </w:p>
    <w:p>
      <w:pPr>
        <w:pStyle w:val="13"/>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562" w:firstLineChars="200"/>
        <w:outlineLvl w:val="2"/>
        <w:rPr>
          <w:rFonts w:hint="eastAsia" w:ascii="楷体" w:hAnsi="楷体" w:eastAsia="楷体" w:cs="楷体"/>
          <w:b/>
          <w:bCs/>
          <w:i w:val="0"/>
          <w:caps w:val="0"/>
          <w:color w:val="333333"/>
          <w:spacing w:val="0"/>
          <w:sz w:val="28"/>
          <w:szCs w:val="28"/>
          <w:shd w:val="clear" w:color="auto" w:fill="FFFFFF"/>
          <w:lang w:val="en-US" w:eastAsia="zh-CN"/>
        </w:rPr>
      </w:pPr>
      <w:r>
        <w:rPr>
          <w:rFonts w:hint="eastAsia" w:ascii="楷体" w:hAnsi="楷体" w:eastAsia="楷体" w:cs="楷体"/>
          <w:b/>
          <w:bCs/>
          <w:i w:val="0"/>
          <w:caps w:val="0"/>
          <w:color w:val="333333"/>
          <w:spacing w:val="0"/>
          <w:sz w:val="28"/>
          <w:szCs w:val="28"/>
          <w:shd w:val="clear" w:color="auto" w:fill="FFFFFF"/>
          <w:lang w:val="en-US" w:eastAsia="zh-CN"/>
        </w:rPr>
        <w:t>强化物业监督</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560" w:firstLineChars="200"/>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color="auto" w:fill="FFFFFF"/>
        </w:rPr>
        <w:t>加强物业服务监管，提高物业服务覆盖率、服务质量和标准化水平。这项任务表明城市管理延伸到对物业服务进行监管，换言之，城市管理向街道社区延伸，推进城市管理进社区。监督和推动物业企业提高服务质量和标准化水平。同时整治居住社区人居环境，遏制社区私搭乱建，维护社区美好生活环境和秩序。</w:t>
      </w:r>
    </w:p>
    <w:p>
      <w:pPr>
        <w:pStyle w:val="13"/>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562" w:firstLineChars="200"/>
        <w:outlineLvl w:val="2"/>
        <w:rPr>
          <w:rFonts w:hint="eastAsia" w:ascii="楷体" w:hAnsi="楷体" w:eastAsia="楷体" w:cs="楷体"/>
          <w:b/>
          <w:bCs/>
          <w:i w:val="0"/>
          <w:caps w:val="0"/>
          <w:color w:val="333333"/>
          <w:spacing w:val="0"/>
          <w:sz w:val="28"/>
          <w:szCs w:val="28"/>
          <w:shd w:val="clear" w:color="auto" w:fill="FFFFFF"/>
          <w:lang w:val="en-US" w:eastAsia="zh-CN"/>
        </w:rPr>
      </w:pPr>
      <w:r>
        <w:rPr>
          <w:rFonts w:hint="eastAsia" w:ascii="楷体" w:hAnsi="楷体" w:eastAsia="楷体" w:cs="楷体"/>
          <w:b/>
          <w:bCs/>
          <w:i w:val="0"/>
          <w:caps w:val="0"/>
          <w:color w:val="333333"/>
          <w:spacing w:val="0"/>
          <w:sz w:val="28"/>
          <w:szCs w:val="28"/>
          <w:shd w:val="clear" w:color="auto" w:fill="FFFFFF"/>
          <w:lang w:val="en-US" w:eastAsia="zh-CN"/>
        </w:rPr>
        <w:t>创新治理方式</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right="0" w:rightChars="0" w:firstLine="560" w:firstLineChars="200"/>
        <w:jc w:val="left"/>
        <w:rPr>
          <w:rFonts w:hint="eastAsia" w:ascii="楷体" w:hAnsi="楷体" w:eastAsia="楷体" w:cs="楷体"/>
          <w:b/>
          <w:bCs/>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党中央、国务院在</w:t>
      </w:r>
      <w:r>
        <w:rPr>
          <w:rFonts w:hint="eastAsia" w:ascii="仿宋" w:hAnsi="仿宋" w:eastAsia="仿宋" w:cs="仿宋"/>
          <w:i w:val="0"/>
          <w:caps w:val="0"/>
          <w:color w:val="333333"/>
          <w:spacing w:val="0"/>
          <w:sz w:val="28"/>
          <w:szCs w:val="28"/>
          <w:shd w:val="clear" w:color="auto" w:fill="FFFFFF"/>
        </w:rPr>
        <w:t>《十三五规划纲要》首次将城市管理和执法改革工作纳入，第三十四章第四节 提升城市治理水平中写道：“创新城市治理方式，改革城市管理和执法体制，推进城市精细化、全周期、合作性管理。”当时的背景是中央召开了中央城市工作会议，下发了中发《中共中央 国务院关于深入推进城市执法体制改革改进城市管理工作的指导意见》文件要求</w:t>
      </w:r>
      <w:r>
        <w:rPr>
          <w:rFonts w:hint="eastAsia" w:ascii="仿宋" w:hAnsi="仿宋" w:eastAsia="仿宋" w:cs="仿宋"/>
          <w:i w:val="0"/>
          <w:caps w:val="0"/>
          <w:color w:val="333333"/>
          <w:spacing w:val="0"/>
          <w:sz w:val="28"/>
          <w:szCs w:val="28"/>
          <w:shd w:val="clear" w:color="auto" w:fill="FFFFFF"/>
          <w:lang w:eastAsia="zh-CN"/>
        </w:rPr>
        <w:t>，</w:t>
      </w:r>
      <w:r>
        <w:rPr>
          <w:rFonts w:hint="eastAsia" w:ascii="仿宋" w:hAnsi="仿宋" w:eastAsia="仿宋" w:cs="仿宋"/>
          <w:i w:val="0"/>
          <w:caps w:val="0"/>
          <w:color w:val="333333"/>
          <w:spacing w:val="0"/>
          <w:sz w:val="28"/>
          <w:szCs w:val="28"/>
          <w:shd w:val="clear" w:color="auto" w:fill="FFFFFF"/>
        </w:rPr>
        <w:t>健全考核制度。</w:t>
      </w:r>
      <w:r>
        <w:rPr>
          <w:rFonts w:hint="eastAsia" w:ascii="仿宋" w:hAnsi="仿宋" w:eastAsia="仿宋" w:cs="仿宋"/>
          <w:i w:val="0"/>
          <w:caps w:val="0"/>
          <w:color w:val="333333"/>
          <w:spacing w:val="0"/>
          <w:sz w:val="28"/>
          <w:szCs w:val="28"/>
          <w:shd w:val="clear" w:color="auto" w:fill="FFFFFF"/>
          <w:lang w:val="en-US" w:eastAsia="zh-CN"/>
        </w:rPr>
        <w:t>到2035年，更需要</w:t>
      </w:r>
      <w:r>
        <w:rPr>
          <w:rFonts w:hint="eastAsia" w:ascii="仿宋" w:hAnsi="仿宋" w:eastAsia="仿宋" w:cs="仿宋"/>
          <w:i w:val="0"/>
          <w:caps w:val="0"/>
          <w:color w:val="333333"/>
          <w:spacing w:val="0"/>
          <w:sz w:val="28"/>
          <w:szCs w:val="28"/>
          <w:shd w:val="clear" w:color="auto" w:fill="FFFFFF"/>
        </w:rPr>
        <w:t>将城市管理执法工作纳入经济社会发展综合评价体系和领导干部政绩考核体系，推动地方党委、政府履职尽责。”既然要纳入经济社会发展综合评价体系和领导干部政绩考核体系，当然首先要纳入国民经济与社会发展规划。</w:t>
      </w:r>
    </w:p>
    <w:p>
      <w:pPr>
        <w:pStyle w:val="13"/>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562" w:firstLineChars="200"/>
        <w:outlineLvl w:val="2"/>
        <w:rPr>
          <w:rFonts w:hint="eastAsia" w:ascii="楷体" w:hAnsi="楷体" w:eastAsia="楷体" w:cs="楷体"/>
          <w:b/>
          <w:bCs/>
          <w:i w:val="0"/>
          <w:caps w:val="0"/>
          <w:color w:val="333333"/>
          <w:spacing w:val="0"/>
          <w:sz w:val="28"/>
          <w:szCs w:val="28"/>
          <w:shd w:val="clear" w:color="auto" w:fill="FFFFFF"/>
          <w:lang w:val="en-US" w:eastAsia="zh-CN"/>
        </w:rPr>
      </w:pPr>
      <w:r>
        <w:rPr>
          <w:rFonts w:hint="eastAsia" w:ascii="楷体" w:hAnsi="楷体" w:eastAsia="楷体" w:cs="楷体"/>
          <w:b/>
          <w:bCs/>
          <w:i w:val="0"/>
          <w:caps w:val="0"/>
          <w:color w:val="333333"/>
          <w:spacing w:val="0"/>
          <w:sz w:val="28"/>
          <w:szCs w:val="28"/>
          <w:shd w:val="clear" w:color="auto" w:fill="FFFFFF"/>
          <w:lang w:val="en-US" w:eastAsia="zh-CN"/>
        </w:rPr>
        <w:t>加快项目建设</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Chars="200" w:right="0" w:rightChars="0" w:firstLine="560" w:firstLineChars="200"/>
        <w:rPr>
          <w:rFonts w:hint="default" w:ascii="仿宋" w:hAnsi="仿宋" w:eastAsia="仿宋" w:cs="仿宋"/>
          <w:b w:val="0"/>
          <w:bCs w:val="0"/>
          <w:i w:val="0"/>
          <w:caps w:val="0"/>
          <w:color w:val="333333"/>
          <w:spacing w:val="0"/>
          <w:sz w:val="28"/>
          <w:szCs w:val="28"/>
          <w:shd w:val="clear" w:color="auto" w:fill="FFFFFF"/>
          <w:lang w:val="en-US" w:eastAsia="zh-CN"/>
        </w:rPr>
      </w:pPr>
      <w:r>
        <w:rPr>
          <w:rFonts w:hint="eastAsia" w:ascii="仿宋" w:hAnsi="仿宋" w:eastAsia="仿宋" w:cs="仿宋"/>
          <w:b w:val="0"/>
          <w:bCs w:val="0"/>
          <w:i w:val="0"/>
          <w:caps w:val="0"/>
          <w:color w:val="333333"/>
          <w:spacing w:val="0"/>
          <w:sz w:val="28"/>
          <w:szCs w:val="28"/>
          <w:shd w:val="clear" w:color="auto" w:fill="FFFFFF"/>
          <w:lang w:val="en-US" w:eastAsia="zh-CN"/>
        </w:rPr>
        <w:t>围绕“一园三片”（湿地中央公园、青龙山森林公园片区、三月三森林公园片区、文笔塔公园片区），着力提升县城公园绿地品质。县城建成区绿地率达45%以上，人均公园占地面积达14㎡以上。实现市场秩序井然有序，生活垃圾分类全覆盖，餐厨垃圾专业化处置，县城环境优美，人人参与的精细化、数字化城市管理目标。</w:t>
      </w:r>
    </w:p>
    <w:tbl>
      <w:tblPr>
        <w:tblStyle w:val="14"/>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3"/>
        <w:gridCol w:w="1979"/>
        <w:gridCol w:w="4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433" w:type="dxa"/>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建设内容</w:t>
            </w:r>
          </w:p>
        </w:tc>
        <w:tc>
          <w:tcPr>
            <w:tcW w:w="1979" w:type="dxa"/>
            <w:shd w:val="clear" w:color="auto" w:fill="auto"/>
            <w:tcMar>
              <w:top w:w="15" w:type="dxa"/>
              <w:left w:w="15" w:type="dxa"/>
              <w:right w:w="15" w:type="dxa"/>
            </w:tcMar>
            <w:vAlign w:val="center"/>
          </w:tcPr>
          <w:p>
            <w:pPr>
              <w:widowControl/>
              <w:ind w:firstLine="422" w:firstLineChars="200"/>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项目名称</w:t>
            </w:r>
          </w:p>
        </w:tc>
        <w:tc>
          <w:tcPr>
            <w:tcW w:w="4924" w:type="dxa"/>
            <w:shd w:val="clear" w:color="auto" w:fill="auto"/>
            <w:tcMar>
              <w:top w:w="15" w:type="dxa"/>
              <w:left w:w="15" w:type="dxa"/>
              <w:right w:w="15" w:type="dxa"/>
            </w:tcMar>
            <w:vAlign w:val="center"/>
          </w:tcPr>
          <w:p>
            <w:pPr>
              <w:widowControl/>
              <w:ind w:firstLine="422" w:firstLineChars="200"/>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8" w:hRule="atLeast"/>
        </w:trPr>
        <w:tc>
          <w:tcPr>
            <w:tcW w:w="1433" w:type="dxa"/>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城市公厕</w:t>
            </w:r>
          </w:p>
        </w:tc>
        <w:tc>
          <w:tcPr>
            <w:tcW w:w="1979"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提升改造建成区公厕，建成旅游开发区5座。预计投资1.3亿元。</w:t>
            </w:r>
          </w:p>
        </w:tc>
        <w:tc>
          <w:tcPr>
            <w:tcW w:w="492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完成县城建成区28座公厕提升改造，新建4A级以上公厕5座。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15" w:hRule="atLeast"/>
        </w:trPr>
        <w:tc>
          <w:tcPr>
            <w:tcW w:w="1433" w:type="dxa"/>
            <w:vMerge w:val="restart"/>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环境卫生</w:t>
            </w:r>
          </w:p>
        </w:tc>
        <w:tc>
          <w:tcPr>
            <w:tcW w:w="1979"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城乡</w:t>
            </w:r>
            <w:r>
              <w:rPr>
                <w:rFonts w:hint="eastAsia" w:ascii="仿宋" w:hAnsi="仿宋" w:eastAsia="仿宋" w:cs="仿宋"/>
                <w:color w:val="000000"/>
                <w:kern w:val="0"/>
                <w:szCs w:val="21"/>
              </w:rPr>
              <w:t>垃圾</w:t>
            </w:r>
            <w:r>
              <w:rPr>
                <w:rFonts w:hint="eastAsia" w:ascii="仿宋" w:hAnsi="仿宋" w:eastAsia="仿宋" w:cs="仿宋"/>
                <w:color w:val="000000"/>
                <w:kern w:val="0"/>
                <w:szCs w:val="21"/>
                <w:lang w:val="en-US" w:eastAsia="zh-CN"/>
              </w:rPr>
              <w:t>综合利用项目，预计投资10亿元。</w:t>
            </w:r>
          </w:p>
        </w:tc>
        <w:tc>
          <w:tcPr>
            <w:tcW w:w="492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建成覆盖县域范围垃圾综合利用项目，实现分类处置，有效利用，提升有害垃圾专业处置能力。督促指导各乡镇（街道）垃圾划片区无害化处置。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6" w:hRule="atLeast"/>
        </w:trPr>
        <w:tc>
          <w:tcPr>
            <w:tcW w:w="1433" w:type="dxa"/>
            <w:vMerge w:val="continue"/>
            <w:shd w:val="clear" w:color="auto" w:fill="auto"/>
            <w:tcMar>
              <w:top w:w="15" w:type="dxa"/>
              <w:left w:w="15" w:type="dxa"/>
              <w:right w:w="15" w:type="dxa"/>
            </w:tcMar>
            <w:vAlign w:val="center"/>
          </w:tcPr>
          <w:p>
            <w:pPr>
              <w:jc w:val="center"/>
              <w:rPr>
                <w:rFonts w:ascii="仿宋" w:hAnsi="仿宋" w:eastAsia="仿宋" w:cs="仿宋"/>
                <w:b/>
                <w:color w:val="000000"/>
                <w:szCs w:val="21"/>
              </w:rPr>
            </w:pPr>
          </w:p>
        </w:tc>
        <w:tc>
          <w:tcPr>
            <w:tcW w:w="1979"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垃圾中转站建设项目，预计投资5000万元。</w:t>
            </w:r>
          </w:p>
        </w:tc>
        <w:tc>
          <w:tcPr>
            <w:tcW w:w="492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各乡镇（街道）垃圾中转站全覆盖，实现分类收集、运输、处置。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9" w:hRule="atLeast"/>
        </w:trPr>
        <w:tc>
          <w:tcPr>
            <w:tcW w:w="1433" w:type="dxa"/>
            <w:shd w:val="clear" w:color="auto" w:fill="auto"/>
            <w:tcMar>
              <w:top w:w="15" w:type="dxa"/>
              <w:left w:w="15" w:type="dxa"/>
              <w:right w:w="15" w:type="dxa"/>
            </w:tcMar>
            <w:vAlign w:val="center"/>
          </w:tcPr>
          <w:p>
            <w:pPr>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停车设施</w:t>
            </w:r>
          </w:p>
        </w:tc>
        <w:tc>
          <w:tcPr>
            <w:tcW w:w="1979" w:type="dxa"/>
            <w:shd w:val="clear" w:color="auto" w:fill="auto"/>
            <w:tcMar>
              <w:top w:w="15" w:type="dxa"/>
              <w:left w:w="15" w:type="dxa"/>
              <w:right w:w="15" w:type="dxa"/>
            </w:tcMar>
            <w:vAlign w:val="center"/>
          </w:tcPr>
          <w:p>
            <w:pPr>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建成入城口转运站、县城停车场覆盖各类商业、旅游区域。预计投资10亿元。</w:t>
            </w:r>
          </w:p>
        </w:tc>
        <w:tc>
          <w:tcPr>
            <w:tcW w:w="4924" w:type="dxa"/>
            <w:shd w:val="clear" w:color="auto" w:fill="auto"/>
            <w:tcMar>
              <w:top w:w="15" w:type="dxa"/>
              <w:left w:w="15" w:type="dxa"/>
              <w:right w:w="15" w:type="dxa"/>
            </w:tcMar>
            <w:vAlign w:val="center"/>
          </w:tcPr>
          <w:p>
            <w:pPr>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建成4个入城口货运转运站，配套商业、旅游景点大型停车场建设。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5" w:hRule="atLeast"/>
        </w:trPr>
        <w:tc>
          <w:tcPr>
            <w:tcW w:w="1433" w:type="dxa"/>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绿化美化</w:t>
            </w:r>
          </w:p>
        </w:tc>
        <w:tc>
          <w:tcPr>
            <w:tcW w:w="1979"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提升县城绿化品质项目，预计投资3亿元。</w:t>
            </w:r>
          </w:p>
        </w:tc>
        <w:tc>
          <w:tcPr>
            <w:tcW w:w="4924"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rPr>
              <w:t>对县城</w:t>
            </w:r>
            <w:r>
              <w:rPr>
                <w:rFonts w:hint="eastAsia" w:ascii="仿宋" w:hAnsi="仿宋" w:eastAsia="仿宋" w:cs="仿宋"/>
                <w:color w:val="000000"/>
                <w:kern w:val="0"/>
                <w:szCs w:val="21"/>
                <w:lang w:val="en-US" w:eastAsia="zh-CN"/>
              </w:rPr>
              <w:t>建成区绿化品质提升改造</w:t>
            </w:r>
            <w:r>
              <w:rPr>
                <w:rStyle w:val="30"/>
                <w:rFonts w:hint="default"/>
              </w:rPr>
              <w:t>，</w:t>
            </w:r>
            <w:r>
              <w:rPr>
                <w:rStyle w:val="30"/>
                <w:rFonts w:hint="eastAsia" w:eastAsia="仿宋"/>
                <w:lang w:val="en-US" w:eastAsia="zh-CN"/>
              </w:rPr>
              <w:t>建成鲜花大道、林荫大道，形成</w:t>
            </w:r>
            <w:r>
              <w:rPr>
                <w:rStyle w:val="30"/>
                <w:rFonts w:hint="default"/>
              </w:rPr>
              <w:t>一路一景</w:t>
            </w:r>
            <w:r>
              <w:rPr>
                <w:rStyle w:val="30"/>
                <w:rFonts w:hint="eastAsia" w:eastAsia="仿宋"/>
                <w:lang w:eastAsia="zh-CN"/>
              </w:rPr>
              <w:t>、</w:t>
            </w:r>
            <w:r>
              <w:rPr>
                <w:rStyle w:val="30"/>
                <w:rFonts w:hint="eastAsia" w:eastAsia="仿宋"/>
                <w:lang w:val="en-US" w:eastAsia="zh-CN"/>
              </w:rPr>
              <w:t>一园一特色的旅游景观</w:t>
            </w:r>
            <w:r>
              <w:rPr>
                <w:rStyle w:val="30"/>
                <w:rFonts w:hint="eastAsia"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1" w:hRule="atLeast"/>
        </w:trPr>
        <w:tc>
          <w:tcPr>
            <w:tcW w:w="1433" w:type="dxa"/>
            <w:vMerge w:val="restart"/>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城市公园</w:t>
            </w:r>
          </w:p>
        </w:tc>
        <w:tc>
          <w:tcPr>
            <w:tcW w:w="1979"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改造提升青龙山森林公园项目，预计投资7000万元。</w:t>
            </w:r>
          </w:p>
        </w:tc>
        <w:tc>
          <w:tcPr>
            <w:tcW w:w="492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按照绿色、健康理念，提升改造青龙山森林公园，逐步形成自然景观与人文地理相辉映的健康主题公园。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rPr>
        <w:tc>
          <w:tcPr>
            <w:tcW w:w="1433" w:type="dxa"/>
            <w:vMerge w:val="continue"/>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p>
        </w:tc>
        <w:tc>
          <w:tcPr>
            <w:tcW w:w="1979"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eastAsia="zh-CN"/>
              </w:rPr>
              <w:t>三月三森林公园提升改造项目，计划投资</w:t>
            </w:r>
            <w:r>
              <w:rPr>
                <w:rFonts w:hint="eastAsia" w:ascii="仿宋" w:hAnsi="仿宋" w:eastAsia="仿宋" w:cs="仿宋"/>
                <w:color w:val="000000"/>
                <w:kern w:val="0"/>
                <w:szCs w:val="21"/>
                <w:lang w:val="en-US" w:eastAsia="zh-CN"/>
              </w:rPr>
              <w:t>2.5万元。</w:t>
            </w:r>
          </w:p>
        </w:tc>
        <w:tc>
          <w:tcPr>
            <w:tcW w:w="4924" w:type="dxa"/>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在前期提升改造基础上，，深入挖掘文化底蕴，引入社会资本适度开发水上娱乐项目，汇集资源，建成特色化旅游景区。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1433" w:type="dxa"/>
            <w:vMerge w:val="continue"/>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p>
        </w:tc>
        <w:tc>
          <w:tcPr>
            <w:tcW w:w="1979" w:type="dxa"/>
            <w:vMerge w:val="restart"/>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新建文笔塔公园项目，预计投资4.5亿元。</w:t>
            </w:r>
          </w:p>
        </w:tc>
        <w:tc>
          <w:tcPr>
            <w:tcW w:w="4924" w:type="dxa"/>
            <w:vMerge w:val="restart"/>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持续深入挖掘寻甸文化底蕴，依托文笔塔地标性建筑，建成主题文化公园。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1433" w:type="dxa"/>
            <w:vMerge w:val="continue"/>
            <w:shd w:val="clear" w:color="auto" w:fill="auto"/>
            <w:tcMar>
              <w:top w:w="15" w:type="dxa"/>
              <w:left w:w="15" w:type="dxa"/>
              <w:right w:w="15" w:type="dxa"/>
            </w:tcMar>
            <w:vAlign w:val="center"/>
          </w:tcPr>
          <w:p>
            <w:pPr>
              <w:jc w:val="center"/>
              <w:rPr>
                <w:rFonts w:ascii="仿宋" w:hAnsi="仿宋" w:eastAsia="仿宋" w:cs="仿宋"/>
                <w:b/>
                <w:color w:val="000000"/>
                <w:szCs w:val="21"/>
              </w:rPr>
            </w:pPr>
          </w:p>
        </w:tc>
        <w:tc>
          <w:tcPr>
            <w:tcW w:w="1979" w:type="dxa"/>
            <w:vMerge w:val="continue"/>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szCs w:val="21"/>
                <w:lang w:val="en-US" w:eastAsia="zh-CN"/>
              </w:rPr>
            </w:pPr>
          </w:p>
        </w:tc>
        <w:tc>
          <w:tcPr>
            <w:tcW w:w="4924" w:type="dxa"/>
            <w:vMerge w:val="continue"/>
            <w:shd w:val="clear" w:color="auto" w:fill="auto"/>
            <w:tcMar>
              <w:top w:w="15" w:type="dxa"/>
              <w:left w:w="15" w:type="dxa"/>
              <w:right w:w="15" w:type="dxa"/>
            </w:tcMar>
            <w:vAlign w:val="center"/>
          </w:tcPr>
          <w:p>
            <w:pPr>
              <w:widowControl/>
              <w:jc w:val="left"/>
              <w:textAlignment w:val="center"/>
              <w:rPr>
                <w:rFonts w:hint="default" w:ascii="仿宋" w:hAnsi="仿宋" w:eastAsia="仿宋" w:cs="仿宋"/>
                <w:color w:val="000000"/>
                <w:kern w:val="2"/>
                <w:sz w:val="21"/>
                <w:szCs w:val="21"/>
                <w:lang w:val="en-US" w:eastAsia="zh-CN" w:bidi="ar-SA"/>
              </w:rPr>
            </w:pPr>
          </w:p>
        </w:tc>
      </w:tr>
    </w:tbl>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Chars="200" w:right="0" w:rightChars="0"/>
        <w:rPr>
          <w:rFonts w:hint="eastAsia" w:ascii="楷体" w:hAnsi="楷体" w:eastAsia="楷体" w:cs="楷体"/>
          <w:b/>
          <w:bCs/>
          <w:i w:val="0"/>
          <w:caps w:val="0"/>
          <w:color w:val="333333"/>
          <w:spacing w:val="0"/>
          <w:sz w:val="28"/>
          <w:szCs w:val="28"/>
          <w:shd w:val="clear" w:color="auto" w:fill="FFFFFF"/>
          <w:lang w:val="en-US" w:eastAsia="zh-CN"/>
        </w:rPr>
      </w:pPr>
    </w:p>
    <w:p>
      <w:pPr>
        <w:pStyle w:val="20"/>
        <w:numPr>
          <w:ilvl w:val="0"/>
          <w:numId w:val="0"/>
        </w:numPr>
        <w:tabs>
          <w:tab w:val="left" w:pos="0"/>
        </w:tabs>
        <w:ind w:leftChars="0"/>
        <w:rPr>
          <w:rFonts w:hint="default" w:ascii="仿宋" w:hAnsi="仿宋" w:eastAsia="仿宋" w:cs="仿宋"/>
          <w:b/>
          <w:kern w:val="2"/>
          <w:sz w:val="28"/>
          <w:szCs w:val="24"/>
          <w:lang w:val="en-US" w:eastAsia="zh-CN" w:bidi="ar-SA"/>
        </w:rPr>
      </w:pPr>
    </w:p>
    <w:p>
      <w:pPr>
        <w:pStyle w:val="20"/>
        <w:ind w:firstLine="560"/>
        <w:rPr>
          <w:rFonts w:hint="eastAsia"/>
          <w:lang w:val="zh-CN"/>
        </w:rPr>
      </w:pPr>
    </w:p>
    <w:p>
      <w:pPr>
        <w:pStyle w:val="2"/>
        <w:numPr>
          <w:ilvl w:val="0"/>
          <w:numId w:val="1"/>
        </w:numPr>
        <w:spacing w:after="260"/>
        <w:jc w:val="center"/>
        <w:rPr>
          <w:bCs/>
        </w:rPr>
      </w:pPr>
      <w:bookmarkStart w:id="79" w:name="_Toc8402"/>
      <w:bookmarkStart w:id="80" w:name="_Toc29093"/>
      <w:bookmarkStart w:id="81" w:name="_Toc2680"/>
      <w:r>
        <w:rPr>
          <w:rFonts w:hint="eastAsia"/>
          <w:bCs/>
        </w:rPr>
        <w:t>保障措施</w:t>
      </w:r>
      <w:bookmarkEnd w:id="79"/>
      <w:bookmarkEnd w:id="80"/>
      <w:bookmarkEnd w:id="81"/>
    </w:p>
    <w:p>
      <w:pPr>
        <w:pStyle w:val="3"/>
        <w:numPr>
          <w:ilvl w:val="0"/>
          <w:numId w:val="19"/>
        </w:numPr>
        <w:spacing w:line="360" w:lineRule="auto"/>
        <w:rPr>
          <w:rFonts w:hint="default"/>
          <w:lang w:val="en-US" w:eastAsia="zh-CN"/>
        </w:rPr>
      </w:pPr>
      <w:r>
        <w:rPr>
          <w:rFonts w:hint="eastAsia"/>
          <w:lang w:val="en-US" w:eastAsia="zh-CN"/>
        </w:rPr>
        <w:t xml:space="preserve"> </w:t>
      </w:r>
      <w:bookmarkStart w:id="82" w:name="_Toc2575"/>
      <w:r>
        <w:rPr>
          <w:rFonts w:hint="eastAsia"/>
          <w:lang w:val="en-US" w:eastAsia="zh-CN"/>
        </w:rPr>
        <w:t>党建引领</w:t>
      </w:r>
      <w:bookmarkEnd w:id="82"/>
    </w:p>
    <w:p>
      <w:pPr>
        <w:spacing w:line="6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以党的建设为引领，着力推进</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城市管理</w:t>
      </w:r>
      <w:r>
        <w:rPr>
          <w:rFonts w:hint="eastAsia" w:ascii="仿宋" w:hAnsi="仿宋" w:eastAsia="仿宋" w:cs="仿宋"/>
          <w:sz w:val="28"/>
          <w:szCs w:val="28"/>
        </w:rPr>
        <w:t>“十四五”规划落地见效；在</w:t>
      </w:r>
      <w:r>
        <w:rPr>
          <w:rFonts w:hint="eastAsia" w:ascii="仿宋" w:hAnsi="仿宋" w:eastAsia="仿宋" w:cs="仿宋"/>
          <w:sz w:val="28"/>
          <w:szCs w:val="28"/>
          <w:lang w:val="en-US" w:eastAsia="zh-CN"/>
        </w:rPr>
        <w:t>全县</w:t>
      </w:r>
      <w:r>
        <w:rPr>
          <w:rFonts w:hint="eastAsia" w:ascii="仿宋" w:hAnsi="仿宋" w:eastAsia="仿宋" w:cs="仿宋"/>
          <w:sz w:val="28"/>
          <w:szCs w:val="28"/>
        </w:rPr>
        <w:t>“十四五”规划的引领性，按照一个重点产业“一个推进组、一个发展规划、一套支持政策、一批重点项目、一个考核机制”的思路，分年度制定实施方案或行动计划。并督促指导</w:t>
      </w:r>
      <w:r>
        <w:rPr>
          <w:rFonts w:hint="eastAsia" w:ascii="仿宋" w:hAnsi="仿宋" w:eastAsia="仿宋" w:cs="仿宋"/>
          <w:sz w:val="28"/>
          <w:szCs w:val="28"/>
          <w:lang w:val="en-US" w:eastAsia="zh-CN"/>
        </w:rPr>
        <w:t>乡镇（街道）和涉及县直个部门</w:t>
      </w:r>
      <w:r>
        <w:rPr>
          <w:rFonts w:hint="eastAsia" w:ascii="仿宋" w:hAnsi="仿宋" w:eastAsia="仿宋" w:cs="仿宋"/>
          <w:sz w:val="28"/>
          <w:szCs w:val="28"/>
        </w:rPr>
        <w:t>项目建设具体规划</w:t>
      </w:r>
      <w:r>
        <w:rPr>
          <w:rFonts w:hint="eastAsia" w:ascii="仿宋" w:hAnsi="仿宋" w:eastAsia="仿宋" w:cs="仿宋"/>
          <w:sz w:val="28"/>
          <w:szCs w:val="28"/>
          <w:lang w:eastAsia="zh-CN"/>
        </w:rPr>
        <w:t>。</w:t>
      </w:r>
    </w:p>
    <w:p>
      <w:pPr>
        <w:rPr>
          <w:rFonts w:hint="default"/>
          <w:lang w:val="en-US" w:eastAsia="zh-CN"/>
        </w:rPr>
      </w:pPr>
    </w:p>
    <w:p>
      <w:pPr>
        <w:pStyle w:val="3"/>
        <w:numPr>
          <w:ilvl w:val="0"/>
          <w:numId w:val="19"/>
        </w:numPr>
        <w:spacing w:line="360" w:lineRule="auto"/>
        <w:rPr>
          <w:lang w:val="zh-CN"/>
        </w:rPr>
      </w:pPr>
      <w:bookmarkStart w:id="83" w:name="_Toc17975"/>
      <w:bookmarkStart w:id="84" w:name="_Toc13275"/>
      <w:bookmarkStart w:id="85" w:name="_Toc422321497"/>
      <w:r>
        <w:rPr>
          <w:rFonts w:hint="eastAsia"/>
        </w:rPr>
        <w:t xml:space="preserve"> </w:t>
      </w:r>
      <w:bookmarkStart w:id="86" w:name="_Toc17209"/>
      <w:r>
        <w:rPr>
          <w:rFonts w:hint="eastAsia"/>
          <w:lang w:val="zh-CN"/>
        </w:rPr>
        <w:t>组织保障</w:t>
      </w:r>
      <w:bookmarkEnd w:id="83"/>
      <w:bookmarkEnd w:id="84"/>
      <w:bookmarkEnd w:id="86"/>
    </w:p>
    <w:p>
      <w:pPr>
        <w:pStyle w:val="20"/>
        <w:ind w:firstLine="560"/>
        <w:rPr>
          <w:lang w:val="zh-CN"/>
        </w:rPr>
      </w:pPr>
      <w:r>
        <w:rPr>
          <w:rFonts w:hint="eastAsia"/>
          <w:lang w:val="zh-CN"/>
        </w:rPr>
        <w:t>建立规划实施保障机制。建立组织领导机制，成立规划实施领导小组，制定组织领导制度，协调解决规划实施中的重大问题，监督检查重大事项进展和落实情况。建立规划目标管理责任制，将“十四五”规划确定的相关任务分解纳入各部门年度工作目标，切实抓好落实。建立规划实施科学考核评价机制，加强规划实施的宣传和民主监督，形成全社会关心规划、参与实施和共同监督的良好氛围。</w:t>
      </w:r>
    </w:p>
    <w:p>
      <w:pPr>
        <w:pStyle w:val="20"/>
        <w:ind w:firstLine="560"/>
        <w:rPr>
          <w:lang w:val="zh-CN"/>
        </w:rPr>
      </w:pPr>
      <w:r>
        <w:rPr>
          <w:rFonts w:hint="eastAsia"/>
          <w:lang w:val="zh-CN"/>
        </w:rPr>
        <w:t>建立规划实施和评估机制。加强对规划实施情况跟踪分析，自觉接受上级部门及公众的监督检查，在规划实施的中期阶段，按照县政府部署开展全面评估，并根据形势变化和实际需要，对规划目标、任务适时进行必要的调整。完善统计制度，进一步加强统计信息工作，提高城市管理规划实施和运行效益的分析水平。</w:t>
      </w:r>
    </w:p>
    <w:bookmarkEnd w:id="85"/>
    <w:p>
      <w:pPr>
        <w:pStyle w:val="20"/>
        <w:ind w:firstLine="560"/>
        <w:rPr>
          <w:lang w:val="zh-CN"/>
        </w:rPr>
      </w:pPr>
      <w:r>
        <w:rPr>
          <w:rFonts w:hint="eastAsia"/>
          <w:lang w:val="zh-CN"/>
        </w:rPr>
        <w:t>建立城市管理专家库，对城市管理的重大政策和法规进行技术咨询，对城市管理中的其他重大问题进行技术指导。</w:t>
      </w:r>
      <w:bookmarkStart w:id="87" w:name="_Toc422321498"/>
      <w:bookmarkStart w:id="88" w:name="_Toc8767"/>
      <w:bookmarkStart w:id="89" w:name="_Toc21864"/>
    </w:p>
    <w:p>
      <w:pPr>
        <w:pStyle w:val="3"/>
        <w:numPr>
          <w:ilvl w:val="0"/>
          <w:numId w:val="19"/>
        </w:numPr>
        <w:spacing w:line="360" w:lineRule="auto"/>
        <w:rPr>
          <w:lang w:val="zh-CN"/>
        </w:rPr>
      </w:pPr>
      <w:r>
        <w:rPr>
          <w:rFonts w:hint="eastAsia"/>
        </w:rPr>
        <w:t xml:space="preserve"> </w:t>
      </w:r>
      <w:bookmarkStart w:id="90" w:name="_Toc17291"/>
      <w:r>
        <w:rPr>
          <w:rFonts w:hint="eastAsia"/>
          <w:lang w:val="zh-CN"/>
        </w:rPr>
        <w:t>经费保障</w:t>
      </w:r>
      <w:bookmarkEnd w:id="87"/>
      <w:bookmarkEnd w:id="88"/>
      <w:bookmarkEnd w:id="89"/>
      <w:bookmarkEnd w:id="90"/>
    </w:p>
    <w:p>
      <w:pPr>
        <w:pStyle w:val="20"/>
        <w:ind w:firstLine="560"/>
        <w:rPr>
          <w:lang w:val="zh-CN"/>
        </w:rPr>
      </w:pPr>
      <w:r>
        <w:rPr>
          <w:rFonts w:hint="eastAsia"/>
          <w:lang w:val="zh-CN"/>
        </w:rPr>
        <w:t>建立完善城市管理经费保障机制。随着设施规模的大幅增长、养护标准的提高，原有的城市维护费核拨标准与基数已无法保障城市管理工作的正常开展。因此，应会同财政等有关部门，尽快开展城市维护年度经费的研究和重新核定，制定核拨标准，建立完善城市管理经费保障机制和相应的增长机制，逐步加大财政资金对城市管理的保障力度，全面落实并加强行政执法部门的经费保障。</w:t>
      </w:r>
    </w:p>
    <w:p>
      <w:pPr>
        <w:pStyle w:val="20"/>
        <w:ind w:firstLine="560"/>
        <w:rPr>
          <w:lang w:val="zh-CN"/>
        </w:rPr>
      </w:pPr>
      <w:r>
        <w:rPr>
          <w:rFonts w:hint="eastAsia"/>
          <w:lang w:val="zh-CN"/>
        </w:rPr>
        <w:t>积极拓宽城市管理筹融资渠道，发挥政府资金的引导作用，吸引并鼓励社会资本、民间资本和外资参与城市管理，加大对民间资本和社会资本参与城市管理的政策扶持力度。</w:t>
      </w:r>
    </w:p>
    <w:p>
      <w:pPr>
        <w:pStyle w:val="3"/>
        <w:numPr>
          <w:ilvl w:val="0"/>
          <w:numId w:val="19"/>
        </w:numPr>
        <w:spacing w:line="360" w:lineRule="auto"/>
        <w:rPr>
          <w:lang w:val="zh-CN"/>
        </w:rPr>
      </w:pPr>
      <w:bookmarkStart w:id="91" w:name="_Toc422321499"/>
      <w:bookmarkStart w:id="92" w:name="_Toc3547"/>
      <w:bookmarkStart w:id="93" w:name="_Toc21204"/>
      <w:r>
        <w:rPr>
          <w:rFonts w:hint="eastAsia"/>
        </w:rPr>
        <w:t xml:space="preserve"> </w:t>
      </w:r>
      <w:bookmarkStart w:id="94" w:name="_Toc24531"/>
      <w:r>
        <w:rPr>
          <w:rFonts w:hint="eastAsia"/>
          <w:lang w:val="zh-CN"/>
        </w:rPr>
        <w:t>政策保障</w:t>
      </w:r>
      <w:bookmarkEnd w:id="91"/>
      <w:bookmarkEnd w:id="92"/>
      <w:bookmarkEnd w:id="93"/>
      <w:bookmarkEnd w:id="94"/>
    </w:p>
    <w:p>
      <w:pPr>
        <w:pStyle w:val="20"/>
        <w:ind w:firstLine="560"/>
        <w:rPr>
          <w:lang w:val="zh-CN"/>
        </w:rPr>
      </w:pPr>
      <w:r>
        <w:rPr>
          <w:rFonts w:hint="eastAsia"/>
          <w:lang w:val="zh-CN"/>
        </w:rPr>
        <w:t>根据建立城管新型管理模式和加强城市综合行政执法的需要，开展城市管理政策法规理论研究，适时对城市管理各职能机构的责权利以及新生问题进行动态研究和界定，增强法律、法规、规章和政策的可操作性。定期发布和更新城市管理行业导向政策，大力发展质量效益型、科技先导型、资源节约型的产业。</w:t>
      </w:r>
    </w:p>
    <w:p>
      <w:pPr>
        <w:pStyle w:val="20"/>
        <w:ind w:firstLine="560"/>
        <w:rPr>
          <w:lang w:val="zh-CN"/>
        </w:rPr>
      </w:pPr>
      <w:r>
        <w:rPr>
          <w:rFonts w:hint="eastAsia"/>
          <w:lang w:val="zh-CN"/>
        </w:rPr>
        <w:t>建立城市管理优先的政策机制，加大政策扶持力度。保障并落实优先政策，在兼顾社会效益与经济效益的基础上，制定出台市场培育政策，进一步推进市场化运作；针对基础设施规划用地常被变作他用的状况，应加强规划与土地的政策保障，以满足广大市民对市政、环卫等设施等不断增长的需要，真正实现政府服务民生的理念。</w:t>
      </w:r>
    </w:p>
    <w:p>
      <w:pPr>
        <w:pStyle w:val="3"/>
        <w:numPr>
          <w:ilvl w:val="0"/>
          <w:numId w:val="19"/>
        </w:numPr>
        <w:spacing w:line="360" w:lineRule="auto"/>
        <w:rPr>
          <w:lang w:val="zh-CN"/>
        </w:rPr>
      </w:pPr>
      <w:bookmarkStart w:id="95" w:name="_Toc17101"/>
      <w:bookmarkStart w:id="96" w:name="_Toc422321500"/>
      <w:bookmarkStart w:id="97" w:name="_Toc25883"/>
      <w:r>
        <w:rPr>
          <w:rFonts w:hint="eastAsia"/>
          <w:lang w:val="zh-CN"/>
        </w:rPr>
        <w:t xml:space="preserve"> </w:t>
      </w:r>
      <w:bookmarkStart w:id="98" w:name="_Toc4400"/>
      <w:r>
        <w:rPr>
          <w:rFonts w:hint="eastAsia"/>
          <w:lang w:val="zh-CN"/>
        </w:rPr>
        <w:t>人才保障</w:t>
      </w:r>
      <w:bookmarkEnd w:id="95"/>
      <w:bookmarkEnd w:id="96"/>
      <w:bookmarkEnd w:id="97"/>
      <w:bookmarkEnd w:id="98"/>
    </w:p>
    <w:p>
      <w:pPr>
        <w:pStyle w:val="20"/>
        <w:ind w:firstLine="560"/>
        <w:rPr>
          <w:lang w:val="zh-CN"/>
        </w:rPr>
      </w:pPr>
      <w:r>
        <w:rPr>
          <w:rFonts w:hint="eastAsia"/>
          <w:lang w:val="zh-CN"/>
        </w:rPr>
        <w:t>城市管理是一门综合性的工作，需要各方面的人才，发现、培养和使用好人才，是城市管理工作保持发展后劲的基础。因此，需要建设好干部队伍、人才队伍、职工队伍。</w:t>
      </w:r>
    </w:p>
    <w:p>
      <w:pPr>
        <w:pStyle w:val="20"/>
        <w:ind w:firstLine="560"/>
        <w:rPr>
          <w:lang w:val="zh-CN"/>
        </w:rPr>
      </w:pPr>
      <w:r>
        <w:rPr>
          <w:rFonts w:hint="eastAsia"/>
          <w:lang w:val="zh-CN"/>
        </w:rPr>
        <w:t>干部队伍：着眼寻甸县城市管理事业的需要，培养结构合理、年龄梯度有序，既有理论素养，又有实践经验的城市管理队伍；鼓励在职人员参加与本职工作相关的继续教育，提升城市管理人员的文化素养。对党政人才，着重加强执政和领导能力的培训。</w:t>
      </w:r>
    </w:p>
    <w:p>
      <w:pPr>
        <w:pStyle w:val="20"/>
        <w:ind w:firstLine="560"/>
        <w:rPr>
          <w:lang w:val="zh-CN"/>
        </w:rPr>
      </w:pPr>
      <w:r>
        <w:rPr>
          <w:rFonts w:hint="eastAsia"/>
          <w:lang w:val="zh-CN"/>
        </w:rPr>
        <w:t>人才队伍：加大系统内人才培养力度，重点引进面向行业领域的高层次专业人才。建立人才公开招考、人才培训、竞争上岗等激励制度。对专业技术人才，重点提高城市管理技术的发展推广应用能力的培训，形成各具特色的人才群体。</w:t>
      </w:r>
    </w:p>
    <w:p>
      <w:pPr>
        <w:pStyle w:val="20"/>
        <w:ind w:firstLine="560"/>
        <w:rPr>
          <w:lang w:val="zh-CN"/>
        </w:rPr>
      </w:pPr>
      <w:r>
        <w:rPr>
          <w:rFonts w:hint="eastAsia"/>
          <w:lang w:val="zh-CN"/>
        </w:rPr>
        <w:t>职工队伍：加强职工队伍建设，进一步优化管理人员和专业技术人员结构比例。鼓励职工加强学习，更新知识结构，不断提高自身综合素质，建立多层次、广覆盖、多样化的培训机制与网络，努力实现队伍结构与素质和城市管理形势与任务相适应，人员知识能力和岗位职责相匹配，以保障新形势下城市管理工作的开展。</w:t>
      </w:r>
      <w:bookmarkStart w:id="99" w:name="_Toc20186"/>
      <w:bookmarkStart w:id="100" w:name="_Toc1427"/>
    </w:p>
    <w:p>
      <w:pPr>
        <w:pStyle w:val="3"/>
        <w:numPr>
          <w:ilvl w:val="0"/>
          <w:numId w:val="19"/>
        </w:numPr>
        <w:spacing w:line="360" w:lineRule="auto"/>
        <w:rPr>
          <w:lang w:val="zh-CN"/>
        </w:rPr>
      </w:pPr>
      <w:r>
        <w:rPr>
          <w:rFonts w:hint="eastAsia"/>
          <w:lang w:val="zh-CN"/>
        </w:rPr>
        <w:t xml:space="preserve"> </w:t>
      </w:r>
      <w:bookmarkStart w:id="101" w:name="_Toc4269"/>
      <w:r>
        <w:rPr>
          <w:rFonts w:hint="eastAsia"/>
          <w:lang w:val="zh-CN"/>
        </w:rPr>
        <w:t>科技保障</w:t>
      </w:r>
      <w:bookmarkEnd w:id="99"/>
      <w:bookmarkEnd w:id="100"/>
      <w:bookmarkEnd w:id="101"/>
    </w:p>
    <w:p>
      <w:pPr>
        <w:pStyle w:val="20"/>
        <w:ind w:firstLine="560"/>
        <w:rPr>
          <w:lang w:val="zh-CN"/>
        </w:rPr>
      </w:pPr>
      <w:r>
        <w:rPr>
          <w:rFonts w:hint="eastAsia"/>
          <w:lang w:val="zh-CN"/>
        </w:rPr>
        <w:t xml:space="preserve"> 积极推广新材料、新工艺、新技术，注重环保材料和废旧材料再生的开发利用技术，把握建设科技新方向、研发新技术，并促进科研成果的转化。保障重大工程顺利完成的关键技术攻关。</w:t>
      </w:r>
    </w:p>
    <w:p>
      <w:pPr>
        <w:pStyle w:val="20"/>
        <w:ind w:firstLine="560"/>
        <w:rPr>
          <w:lang w:val="zh-CN"/>
        </w:rPr>
      </w:pPr>
      <w:r>
        <w:rPr>
          <w:rFonts w:hint="eastAsia"/>
          <w:lang w:val="zh-CN"/>
        </w:rPr>
        <w:t>围绕提升设施管理水平开展创新研究，建立健全科技创新体系。促进以企业为主体的技术研究开发利用体系，以院校和科研机构为主体的基础应用研究体系，以政府部门为主体的管理和协调体系，以社会机构为主体的中介服务体系。以科技创业为重点，培育建立高层次、高技能、具有自主创新能力的人才队伍。</w:t>
      </w:r>
    </w:p>
    <w:p>
      <w:pPr>
        <w:pStyle w:val="3"/>
        <w:numPr>
          <w:ilvl w:val="0"/>
          <w:numId w:val="19"/>
        </w:numPr>
        <w:spacing w:line="360" w:lineRule="auto"/>
        <w:rPr>
          <w:lang w:val="zh-CN"/>
        </w:rPr>
      </w:pPr>
      <w:bookmarkStart w:id="102" w:name="_Toc5170"/>
      <w:bookmarkStart w:id="103" w:name="_Toc6330"/>
      <w:r>
        <w:rPr>
          <w:rFonts w:hint="eastAsia"/>
          <w:lang w:val="zh-CN"/>
        </w:rPr>
        <w:t xml:space="preserve"> </w:t>
      </w:r>
      <w:bookmarkStart w:id="104" w:name="_Toc9449"/>
      <w:r>
        <w:rPr>
          <w:rFonts w:hint="eastAsia"/>
          <w:lang w:val="zh-CN"/>
        </w:rPr>
        <w:t>宣传保障</w:t>
      </w:r>
      <w:bookmarkEnd w:id="102"/>
      <w:bookmarkEnd w:id="103"/>
      <w:bookmarkEnd w:id="104"/>
    </w:p>
    <w:p>
      <w:pPr>
        <w:pStyle w:val="20"/>
        <w:ind w:firstLine="560"/>
        <w:rPr>
          <w:lang w:val="zh-CN"/>
        </w:rPr>
      </w:pPr>
      <w:r>
        <w:rPr>
          <w:rFonts w:hint="eastAsia"/>
          <w:lang w:val="zh-CN"/>
        </w:rPr>
        <w:t>全面包装“城管革命”。配合寻甸县市城市管理“大城管”的建设，对市政、环卫、综合执法等各方面的工作改革，开展阶段性专题集中宣传，营造城管改革良好的舆论氛围。</w:t>
      </w:r>
    </w:p>
    <w:p>
      <w:pPr>
        <w:pStyle w:val="20"/>
        <w:ind w:firstLine="560"/>
        <w:rPr>
          <w:lang w:val="zh-CN"/>
        </w:rPr>
      </w:pPr>
      <w:r>
        <w:rPr>
          <w:rFonts w:hint="eastAsia"/>
          <w:lang w:val="zh-CN"/>
        </w:rPr>
        <w:t>深入宣传城市管理相关法律法规，每年开展1-2次法律专题宣传活动，营造“法治城管”良好氛围。</w:t>
      </w:r>
    </w:p>
    <w:p>
      <w:pPr>
        <w:pStyle w:val="20"/>
        <w:ind w:firstLine="560"/>
        <w:rPr>
          <w:lang w:val="zh-CN"/>
        </w:rPr>
      </w:pPr>
      <w:r>
        <w:rPr>
          <w:rFonts w:hint="eastAsia"/>
          <w:lang w:val="zh-CN"/>
        </w:rPr>
        <w:t>建立和完善城市管理“微信平台”、城市管理客户端等交互平台，把城市管理宣传工作融入新媒体当中，扩展城市管理的广度和深度。</w:t>
      </w:r>
    </w:p>
    <w:p>
      <w:pPr>
        <w:pStyle w:val="20"/>
        <w:ind w:firstLine="560"/>
        <w:rPr>
          <w:lang w:val="zh-CN"/>
        </w:rPr>
      </w:pPr>
      <w:r>
        <w:rPr>
          <w:rFonts w:hint="eastAsia"/>
          <w:lang w:val="zh-CN"/>
        </w:rPr>
        <w:t>完善城市管理系统通讯员队伍建设。完善各基层单位通讯员队伍的建立，形成素质优良、装备精良、反应迅速、宣传及时、质量上乘（见报宣传稿件等）、互动灵活、合作默契的通讯员队伍。</w:t>
      </w:r>
    </w:p>
    <w:p>
      <w:pPr>
        <w:pStyle w:val="20"/>
        <w:ind w:firstLine="480"/>
        <w:jc w:val="left"/>
        <w:rPr>
          <w:sz w:val="24"/>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ACA3F"/>
    <w:multiLevelType w:val="singleLevel"/>
    <w:tmpl w:val="8AEACA3F"/>
    <w:lvl w:ilvl="0" w:tentative="0">
      <w:start w:val="1"/>
      <w:numFmt w:val="chineseCounting"/>
      <w:suff w:val="nothing"/>
      <w:lvlText w:val="（%1）"/>
      <w:lvlJc w:val="left"/>
      <w:pPr>
        <w:ind w:left="0" w:firstLine="420"/>
      </w:pPr>
      <w:rPr>
        <w:rFonts w:hint="eastAsia"/>
      </w:rPr>
    </w:lvl>
  </w:abstractNum>
  <w:abstractNum w:abstractNumId="1">
    <w:nsid w:val="8E96D902"/>
    <w:multiLevelType w:val="singleLevel"/>
    <w:tmpl w:val="8E96D902"/>
    <w:lvl w:ilvl="0" w:tentative="0">
      <w:start w:val="1"/>
      <w:numFmt w:val="chineseCounting"/>
      <w:suff w:val="space"/>
      <w:lvlText w:val="第%1节"/>
      <w:lvlJc w:val="left"/>
      <w:pPr>
        <w:tabs>
          <w:tab w:val="left" w:pos="0"/>
        </w:tabs>
      </w:pPr>
      <w:rPr>
        <w:rFonts w:hint="eastAsia"/>
      </w:rPr>
    </w:lvl>
  </w:abstractNum>
  <w:abstractNum w:abstractNumId="2">
    <w:nsid w:val="8F466FCF"/>
    <w:multiLevelType w:val="singleLevel"/>
    <w:tmpl w:val="8F466FCF"/>
    <w:lvl w:ilvl="0" w:tentative="0">
      <w:start w:val="1"/>
      <w:numFmt w:val="chineseCounting"/>
      <w:suff w:val="nothing"/>
      <w:lvlText w:val="（%1）"/>
      <w:lvlJc w:val="left"/>
      <w:pPr>
        <w:ind w:left="0" w:firstLine="420"/>
      </w:pPr>
      <w:rPr>
        <w:rFonts w:hint="eastAsia"/>
      </w:rPr>
    </w:lvl>
  </w:abstractNum>
  <w:abstractNum w:abstractNumId="3">
    <w:nsid w:val="9D3F2FD6"/>
    <w:multiLevelType w:val="singleLevel"/>
    <w:tmpl w:val="9D3F2FD6"/>
    <w:lvl w:ilvl="0" w:tentative="0">
      <w:start w:val="1"/>
      <w:numFmt w:val="chineseCounting"/>
      <w:suff w:val="nothing"/>
      <w:lvlText w:val="（%1）"/>
      <w:lvlJc w:val="left"/>
      <w:pPr>
        <w:ind w:left="0" w:firstLine="420"/>
      </w:pPr>
      <w:rPr>
        <w:rFonts w:hint="eastAsia"/>
      </w:rPr>
    </w:lvl>
  </w:abstractNum>
  <w:abstractNum w:abstractNumId="4">
    <w:nsid w:val="9F452E41"/>
    <w:multiLevelType w:val="singleLevel"/>
    <w:tmpl w:val="9F452E41"/>
    <w:lvl w:ilvl="0" w:tentative="0">
      <w:start w:val="1"/>
      <w:numFmt w:val="chineseCounting"/>
      <w:suff w:val="nothing"/>
      <w:lvlText w:val="（%1）"/>
      <w:lvlJc w:val="left"/>
      <w:pPr>
        <w:ind w:left="-136" w:firstLine="420"/>
      </w:pPr>
      <w:rPr>
        <w:rFonts w:hint="eastAsia"/>
      </w:rPr>
    </w:lvl>
  </w:abstractNum>
  <w:abstractNum w:abstractNumId="5">
    <w:nsid w:val="B11D336D"/>
    <w:multiLevelType w:val="singleLevel"/>
    <w:tmpl w:val="B11D336D"/>
    <w:lvl w:ilvl="0" w:tentative="0">
      <w:start w:val="1"/>
      <w:numFmt w:val="chineseCounting"/>
      <w:suff w:val="nothing"/>
      <w:lvlText w:val="（%1）"/>
      <w:lvlJc w:val="left"/>
      <w:pPr>
        <w:ind w:left="0" w:firstLine="420"/>
      </w:pPr>
      <w:rPr>
        <w:rFonts w:hint="eastAsia"/>
      </w:rPr>
    </w:lvl>
  </w:abstractNum>
  <w:abstractNum w:abstractNumId="6">
    <w:nsid w:val="B655A361"/>
    <w:multiLevelType w:val="singleLevel"/>
    <w:tmpl w:val="B655A361"/>
    <w:lvl w:ilvl="0" w:tentative="0">
      <w:start w:val="1"/>
      <w:numFmt w:val="chineseCounting"/>
      <w:suff w:val="nothing"/>
      <w:lvlText w:val="（%1）"/>
      <w:lvlJc w:val="left"/>
      <w:pPr>
        <w:ind w:left="0" w:firstLine="420"/>
      </w:pPr>
      <w:rPr>
        <w:rFonts w:hint="eastAsia"/>
      </w:rPr>
    </w:lvl>
  </w:abstractNum>
  <w:abstractNum w:abstractNumId="7">
    <w:nsid w:val="D8CA4BF4"/>
    <w:multiLevelType w:val="singleLevel"/>
    <w:tmpl w:val="D8CA4BF4"/>
    <w:lvl w:ilvl="0" w:tentative="0">
      <w:start w:val="1"/>
      <w:numFmt w:val="chineseCounting"/>
      <w:suff w:val="nothing"/>
      <w:lvlText w:val="（%1）"/>
      <w:lvlJc w:val="left"/>
      <w:pPr>
        <w:ind w:left="0" w:firstLine="420"/>
      </w:pPr>
      <w:rPr>
        <w:rFonts w:hint="eastAsia"/>
      </w:rPr>
    </w:lvl>
  </w:abstractNum>
  <w:abstractNum w:abstractNumId="8">
    <w:nsid w:val="EB8B7238"/>
    <w:multiLevelType w:val="singleLevel"/>
    <w:tmpl w:val="EB8B7238"/>
    <w:lvl w:ilvl="0" w:tentative="0">
      <w:start w:val="1"/>
      <w:numFmt w:val="chineseCounting"/>
      <w:suff w:val="nothing"/>
      <w:lvlText w:val="（%1）"/>
      <w:lvlJc w:val="left"/>
      <w:pPr>
        <w:ind w:left="0" w:firstLine="420"/>
      </w:pPr>
      <w:rPr>
        <w:rFonts w:hint="eastAsia"/>
      </w:rPr>
    </w:lvl>
  </w:abstractNum>
  <w:abstractNum w:abstractNumId="9">
    <w:nsid w:val="F091DA6D"/>
    <w:multiLevelType w:val="singleLevel"/>
    <w:tmpl w:val="F091DA6D"/>
    <w:lvl w:ilvl="0" w:tentative="0">
      <w:start w:val="1"/>
      <w:numFmt w:val="chineseCounting"/>
      <w:suff w:val="nothing"/>
      <w:lvlText w:val="（%1）"/>
      <w:lvlJc w:val="left"/>
      <w:pPr>
        <w:ind w:left="0" w:firstLine="420"/>
      </w:pPr>
      <w:rPr>
        <w:rFonts w:hint="eastAsia"/>
      </w:rPr>
    </w:lvl>
  </w:abstractNum>
  <w:abstractNum w:abstractNumId="10">
    <w:nsid w:val="F5FA610C"/>
    <w:multiLevelType w:val="singleLevel"/>
    <w:tmpl w:val="F5FA610C"/>
    <w:lvl w:ilvl="0" w:tentative="0">
      <w:start w:val="1"/>
      <w:numFmt w:val="chineseCounting"/>
      <w:suff w:val="nothing"/>
      <w:lvlText w:val="（%1）"/>
      <w:lvlJc w:val="left"/>
      <w:pPr>
        <w:ind w:left="0" w:firstLine="420"/>
      </w:pPr>
      <w:rPr>
        <w:rFonts w:hint="eastAsia"/>
      </w:rPr>
    </w:lvl>
  </w:abstractNum>
  <w:abstractNum w:abstractNumId="11">
    <w:nsid w:val="F79F4A9D"/>
    <w:multiLevelType w:val="singleLevel"/>
    <w:tmpl w:val="F79F4A9D"/>
    <w:lvl w:ilvl="0" w:tentative="0">
      <w:start w:val="1"/>
      <w:numFmt w:val="chineseCounting"/>
      <w:suff w:val="space"/>
      <w:lvlText w:val="第%1节"/>
      <w:lvlJc w:val="left"/>
      <w:pPr>
        <w:tabs>
          <w:tab w:val="left" w:pos="0"/>
        </w:tabs>
      </w:pPr>
      <w:rPr>
        <w:rFonts w:hint="eastAsia"/>
      </w:rPr>
    </w:lvl>
  </w:abstractNum>
  <w:abstractNum w:abstractNumId="12">
    <w:nsid w:val="28FBEE58"/>
    <w:multiLevelType w:val="singleLevel"/>
    <w:tmpl w:val="28FBEE58"/>
    <w:lvl w:ilvl="0" w:tentative="0">
      <w:start w:val="1"/>
      <w:numFmt w:val="chineseCounting"/>
      <w:suff w:val="nothing"/>
      <w:lvlText w:val="（%1）"/>
      <w:lvlJc w:val="left"/>
      <w:pPr>
        <w:ind w:left="0" w:firstLine="420"/>
      </w:pPr>
      <w:rPr>
        <w:rFonts w:hint="eastAsia"/>
      </w:rPr>
    </w:lvl>
  </w:abstractNum>
  <w:abstractNum w:abstractNumId="13">
    <w:nsid w:val="31F7BB7D"/>
    <w:multiLevelType w:val="singleLevel"/>
    <w:tmpl w:val="31F7BB7D"/>
    <w:lvl w:ilvl="0" w:tentative="0">
      <w:start w:val="1"/>
      <w:numFmt w:val="chineseCounting"/>
      <w:suff w:val="nothing"/>
      <w:lvlText w:val="（%1）"/>
      <w:lvlJc w:val="left"/>
      <w:pPr>
        <w:ind w:left="0" w:firstLine="420"/>
      </w:pPr>
      <w:rPr>
        <w:rFonts w:hint="eastAsia"/>
      </w:rPr>
    </w:lvl>
  </w:abstractNum>
  <w:abstractNum w:abstractNumId="14">
    <w:nsid w:val="3D9779A7"/>
    <w:multiLevelType w:val="singleLevel"/>
    <w:tmpl w:val="3D9779A7"/>
    <w:lvl w:ilvl="0" w:tentative="0">
      <w:start w:val="1"/>
      <w:numFmt w:val="chineseCounting"/>
      <w:suff w:val="space"/>
      <w:lvlText w:val="第%1章"/>
      <w:lvlJc w:val="left"/>
      <w:rPr>
        <w:rFonts w:hint="eastAsia"/>
      </w:rPr>
    </w:lvl>
  </w:abstractNum>
  <w:abstractNum w:abstractNumId="15">
    <w:nsid w:val="3DFA6497"/>
    <w:multiLevelType w:val="singleLevel"/>
    <w:tmpl w:val="3DFA6497"/>
    <w:lvl w:ilvl="0" w:tentative="0">
      <w:start w:val="1"/>
      <w:numFmt w:val="chineseCounting"/>
      <w:suff w:val="space"/>
      <w:lvlText w:val="第%1节"/>
      <w:lvlJc w:val="left"/>
      <w:pPr>
        <w:tabs>
          <w:tab w:val="left" w:pos="0"/>
        </w:tabs>
      </w:pPr>
      <w:rPr>
        <w:rFonts w:hint="eastAsia"/>
      </w:rPr>
    </w:lvl>
  </w:abstractNum>
  <w:abstractNum w:abstractNumId="16">
    <w:nsid w:val="44AC266F"/>
    <w:multiLevelType w:val="singleLevel"/>
    <w:tmpl w:val="44AC266F"/>
    <w:lvl w:ilvl="0" w:tentative="0">
      <w:start w:val="1"/>
      <w:numFmt w:val="chineseCounting"/>
      <w:suff w:val="nothing"/>
      <w:lvlText w:val="（%1）"/>
      <w:lvlJc w:val="left"/>
      <w:pPr>
        <w:ind w:left="0" w:firstLine="420"/>
      </w:pPr>
      <w:rPr>
        <w:rFonts w:hint="eastAsia"/>
      </w:rPr>
    </w:lvl>
  </w:abstractNum>
  <w:abstractNum w:abstractNumId="17">
    <w:nsid w:val="460FCA07"/>
    <w:multiLevelType w:val="singleLevel"/>
    <w:tmpl w:val="460FCA07"/>
    <w:lvl w:ilvl="0" w:tentative="0">
      <w:start w:val="1"/>
      <w:numFmt w:val="chineseCounting"/>
      <w:suff w:val="space"/>
      <w:lvlText w:val="第%1节"/>
      <w:lvlJc w:val="left"/>
      <w:pPr>
        <w:tabs>
          <w:tab w:val="left" w:pos="0"/>
        </w:tabs>
      </w:pPr>
      <w:rPr>
        <w:rFonts w:hint="eastAsia"/>
      </w:rPr>
    </w:lvl>
  </w:abstractNum>
  <w:abstractNum w:abstractNumId="18">
    <w:nsid w:val="4FA29A1D"/>
    <w:multiLevelType w:val="singleLevel"/>
    <w:tmpl w:val="4FA29A1D"/>
    <w:lvl w:ilvl="0" w:tentative="0">
      <w:start w:val="1"/>
      <w:numFmt w:val="chineseCounting"/>
      <w:suff w:val="nothing"/>
      <w:lvlText w:val="（%1）"/>
      <w:lvlJc w:val="left"/>
      <w:rPr>
        <w:rFonts w:hint="eastAsia"/>
      </w:rPr>
    </w:lvl>
  </w:abstractNum>
  <w:num w:numId="1">
    <w:abstractNumId w:val="14"/>
  </w:num>
  <w:num w:numId="2">
    <w:abstractNumId w:val="15"/>
  </w:num>
  <w:num w:numId="3">
    <w:abstractNumId w:val="3"/>
  </w:num>
  <w:num w:numId="4">
    <w:abstractNumId w:val="9"/>
  </w:num>
  <w:num w:numId="5">
    <w:abstractNumId w:val="10"/>
  </w:num>
  <w:num w:numId="6">
    <w:abstractNumId w:val="17"/>
  </w:num>
  <w:num w:numId="7">
    <w:abstractNumId w:val="0"/>
  </w:num>
  <w:num w:numId="8">
    <w:abstractNumId w:val="4"/>
  </w:num>
  <w:num w:numId="9">
    <w:abstractNumId w:val="1"/>
  </w:num>
  <w:num w:numId="10">
    <w:abstractNumId w:val="7"/>
  </w:num>
  <w:num w:numId="11">
    <w:abstractNumId w:val="2"/>
  </w:num>
  <w:num w:numId="12">
    <w:abstractNumId w:val="5"/>
  </w:num>
  <w:num w:numId="13">
    <w:abstractNumId w:val="16"/>
  </w:num>
  <w:num w:numId="14">
    <w:abstractNumId w:val="13"/>
  </w:num>
  <w:num w:numId="15">
    <w:abstractNumId w:val="8"/>
  </w:num>
  <w:num w:numId="16">
    <w:abstractNumId w:val="6"/>
  </w:num>
  <w:num w:numId="17">
    <w:abstractNumId w:val="12"/>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25DC3"/>
    <w:rsid w:val="00190893"/>
    <w:rsid w:val="0024479A"/>
    <w:rsid w:val="003844AC"/>
    <w:rsid w:val="003908BD"/>
    <w:rsid w:val="00594389"/>
    <w:rsid w:val="005C33B3"/>
    <w:rsid w:val="005F5825"/>
    <w:rsid w:val="00617A10"/>
    <w:rsid w:val="0068722E"/>
    <w:rsid w:val="006956F2"/>
    <w:rsid w:val="006A3F4E"/>
    <w:rsid w:val="006D5067"/>
    <w:rsid w:val="00754A00"/>
    <w:rsid w:val="0092538D"/>
    <w:rsid w:val="00A348A2"/>
    <w:rsid w:val="00A651B3"/>
    <w:rsid w:val="00AC5143"/>
    <w:rsid w:val="00BA0612"/>
    <w:rsid w:val="00C2550E"/>
    <w:rsid w:val="00C80D9E"/>
    <w:rsid w:val="00CB48FB"/>
    <w:rsid w:val="00CE4F92"/>
    <w:rsid w:val="00E142D0"/>
    <w:rsid w:val="00E624DE"/>
    <w:rsid w:val="011216D8"/>
    <w:rsid w:val="01886163"/>
    <w:rsid w:val="036E775C"/>
    <w:rsid w:val="05A216FF"/>
    <w:rsid w:val="0A214B04"/>
    <w:rsid w:val="0A883CDC"/>
    <w:rsid w:val="112B138F"/>
    <w:rsid w:val="11E9782B"/>
    <w:rsid w:val="12F76D0B"/>
    <w:rsid w:val="13BF2F52"/>
    <w:rsid w:val="14734C5C"/>
    <w:rsid w:val="14BB6441"/>
    <w:rsid w:val="14C666E9"/>
    <w:rsid w:val="14DF5461"/>
    <w:rsid w:val="176E68CE"/>
    <w:rsid w:val="179C0EB1"/>
    <w:rsid w:val="192B5B86"/>
    <w:rsid w:val="1A641F41"/>
    <w:rsid w:val="1C055651"/>
    <w:rsid w:val="1C1369DA"/>
    <w:rsid w:val="1E5446DE"/>
    <w:rsid w:val="1EF30D3A"/>
    <w:rsid w:val="1F09080E"/>
    <w:rsid w:val="1FAE1E56"/>
    <w:rsid w:val="2039443D"/>
    <w:rsid w:val="20BE3637"/>
    <w:rsid w:val="21AC0EA6"/>
    <w:rsid w:val="23862E00"/>
    <w:rsid w:val="23D603E8"/>
    <w:rsid w:val="245344EE"/>
    <w:rsid w:val="2479009E"/>
    <w:rsid w:val="24B10B8C"/>
    <w:rsid w:val="25FE13B6"/>
    <w:rsid w:val="28266AE9"/>
    <w:rsid w:val="2832766C"/>
    <w:rsid w:val="2921188D"/>
    <w:rsid w:val="294577D6"/>
    <w:rsid w:val="2AF96DDF"/>
    <w:rsid w:val="2CC96FFD"/>
    <w:rsid w:val="2DFD4B6D"/>
    <w:rsid w:val="2E7C3630"/>
    <w:rsid w:val="2F3F49E7"/>
    <w:rsid w:val="30461F05"/>
    <w:rsid w:val="31193048"/>
    <w:rsid w:val="37FD2566"/>
    <w:rsid w:val="3B162653"/>
    <w:rsid w:val="3C185C34"/>
    <w:rsid w:val="3D711636"/>
    <w:rsid w:val="3D9B076D"/>
    <w:rsid w:val="3D9F1409"/>
    <w:rsid w:val="40EB7CAE"/>
    <w:rsid w:val="40F63FBB"/>
    <w:rsid w:val="41EE20DC"/>
    <w:rsid w:val="428C7DDA"/>
    <w:rsid w:val="43184DD1"/>
    <w:rsid w:val="43776C83"/>
    <w:rsid w:val="443378C7"/>
    <w:rsid w:val="461663D3"/>
    <w:rsid w:val="48C76D69"/>
    <w:rsid w:val="499C64AD"/>
    <w:rsid w:val="4A6B6EC7"/>
    <w:rsid w:val="4C0A0DE0"/>
    <w:rsid w:val="4CB42FAA"/>
    <w:rsid w:val="4D3248B0"/>
    <w:rsid w:val="4DC80193"/>
    <w:rsid w:val="4DF3152D"/>
    <w:rsid w:val="4EEC5E96"/>
    <w:rsid w:val="50B472C0"/>
    <w:rsid w:val="50E00DDF"/>
    <w:rsid w:val="517A2ECD"/>
    <w:rsid w:val="51CD4CF1"/>
    <w:rsid w:val="51D81D13"/>
    <w:rsid w:val="52394083"/>
    <w:rsid w:val="52C26F27"/>
    <w:rsid w:val="544B59A2"/>
    <w:rsid w:val="547A3FC9"/>
    <w:rsid w:val="56DA359E"/>
    <w:rsid w:val="57B93C81"/>
    <w:rsid w:val="57E0256A"/>
    <w:rsid w:val="58FC3F71"/>
    <w:rsid w:val="594075BD"/>
    <w:rsid w:val="5BD73210"/>
    <w:rsid w:val="5C0155EA"/>
    <w:rsid w:val="5CCB3A10"/>
    <w:rsid w:val="5D8463CE"/>
    <w:rsid w:val="5D9735FC"/>
    <w:rsid w:val="5DE10259"/>
    <w:rsid w:val="5FC831F2"/>
    <w:rsid w:val="5FDD7F04"/>
    <w:rsid w:val="602954E1"/>
    <w:rsid w:val="61F445E6"/>
    <w:rsid w:val="637437EC"/>
    <w:rsid w:val="63CA1F1B"/>
    <w:rsid w:val="65491807"/>
    <w:rsid w:val="669A144B"/>
    <w:rsid w:val="683C5BAA"/>
    <w:rsid w:val="689C5267"/>
    <w:rsid w:val="6D971694"/>
    <w:rsid w:val="6E1C24A5"/>
    <w:rsid w:val="6E425DC3"/>
    <w:rsid w:val="6E5A03BD"/>
    <w:rsid w:val="6EEA35D8"/>
    <w:rsid w:val="6F056F7F"/>
    <w:rsid w:val="6F1A2048"/>
    <w:rsid w:val="6F7F781B"/>
    <w:rsid w:val="70595553"/>
    <w:rsid w:val="70FD29D4"/>
    <w:rsid w:val="74A274EC"/>
    <w:rsid w:val="75CB34EF"/>
    <w:rsid w:val="76CE3134"/>
    <w:rsid w:val="7805593B"/>
    <w:rsid w:val="78327973"/>
    <w:rsid w:val="7B240D92"/>
    <w:rsid w:val="7C6E2A85"/>
    <w:rsid w:val="7DFE106A"/>
    <w:rsid w:val="7F1B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line="480" w:lineRule="auto"/>
      <w:outlineLvl w:val="0"/>
    </w:pPr>
    <w:rPr>
      <w:rFonts w:eastAsia="微软雅黑"/>
      <w:b/>
      <w:kern w:val="44"/>
      <w:sz w:val="32"/>
    </w:rPr>
  </w:style>
  <w:style w:type="paragraph" w:styleId="3">
    <w:name w:val="heading 2"/>
    <w:basedOn w:val="1"/>
    <w:next w:val="1"/>
    <w:unhideWhenUsed/>
    <w:qFormat/>
    <w:uiPriority w:val="0"/>
    <w:pPr>
      <w:keepNext/>
      <w:keepLines/>
      <w:spacing w:line="413" w:lineRule="auto"/>
      <w:outlineLvl w:val="1"/>
    </w:pPr>
    <w:rPr>
      <w:rFonts w:ascii="Arial" w:hAnsi="Arial" w:eastAsia="仿宋"/>
      <w:b/>
      <w:sz w:val="28"/>
    </w:rPr>
  </w:style>
  <w:style w:type="paragraph" w:styleId="4">
    <w:name w:val="heading 3"/>
    <w:basedOn w:val="1"/>
    <w:next w:val="1"/>
    <w:link w:val="26"/>
    <w:unhideWhenUsed/>
    <w:qFormat/>
    <w:uiPriority w:val="0"/>
    <w:pPr>
      <w:keepNext/>
      <w:keepLines/>
      <w:spacing w:line="413" w:lineRule="auto"/>
      <w:outlineLvl w:val="2"/>
    </w:pPr>
    <w:rPr>
      <w:b/>
      <w:sz w:val="32"/>
    </w:rPr>
  </w:style>
  <w:style w:type="paragraph" w:styleId="5">
    <w:name w:val="heading 4"/>
    <w:basedOn w:val="1"/>
    <w:next w:val="1"/>
    <w:qFormat/>
    <w:uiPriority w:val="9"/>
    <w:pPr>
      <w:keepNext/>
      <w:keepLines/>
      <w:widowControl/>
      <w:spacing w:before="280" w:after="290" w:line="376" w:lineRule="atLeast"/>
      <w:ind w:firstLine="200" w:firstLineChars="200"/>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alloon Text"/>
    <w:basedOn w:val="1"/>
    <w:link w:val="3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footnote text"/>
    <w:basedOn w:val="1"/>
    <w:qFormat/>
    <w:uiPriority w:val="0"/>
    <w:pPr>
      <w:snapToGrid w:val="0"/>
      <w:jc w:val="left"/>
    </w:pPr>
    <w:rPr>
      <w:rFonts w:ascii="Calibri" w:hAnsi="Calibri"/>
      <w:sz w:val="18"/>
      <w:szCs w:val="18"/>
    </w:rPr>
  </w:style>
  <w:style w:type="paragraph" w:styleId="12">
    <w:name w:val="toc 2"/>
    <w:basedOn w:val="1"/>
    <w:next w:val="1"/>
    <w:qFormat/>
    <w:uiPriority w:val="0"/>
    <w:pPr>
      <w:ind w:left="420" w:leftChars="200"/>
    </w:pPr>
  </w:style>
  <w:style w:type="paragraph" w:styleId="13">
    <w:name w:val="Normal (Web)"/>
    <w:basedOn w:val="1"/>
    <w:qFormat/>
    <w:uiPriority w:val="0"/>
    <w:pPr>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FollowedHyperlink"/>
    <w:basedOn w:val="16"/>
    <w:qFormat/>
    <w:uiPriority w:val="0"/>
    <w:rPr>
      <w:color w:val="800080"/>
      <w:u w:val="none"/>
    </w:rPr>
  </w:style>
  <w:style w:type="character" w:styleId="18">
    <w:name w:val="Hyperlink"/>
    <w:basedOn w:val="16"/>
    <w:qFormat/>
    <w:uiPriority w:val="0"/>
    <w:rPr>
      <w:color w:val="0000FF"/>
      <w:u w:val="none"/>
    </w:rPr>
  </w:style>
  <w:style w:type="character" w:styleId="19">
    <w:name w:val="footnote reference"/>
    <w:qFormat/>
    <w:uiPriority w:val="0"/>
    <w:rPr>
      <w:rFonts w:cs="Times New Roman"/>
      <w:vertAlign w:val="superscript"/>
    </w:rPr>
  </w:style>
  <w:style w:type="paragraph" w:customStyle="1" w:styleId="20">
    <w:name w:val="正文王妍"/>
    <w:basedOn w:val="1"/>
    <w:qFormat/>
    <w:uiPriority w:val="0"/>
    <w:pPr>
      <w:ind w:firstLine="1680" w:firstLineChars="200"/>
    </w:pPr>
    <w:rPr>
      <w:rFonts w:eastAsia="仿宋"/>
      <w:sz w:val="28"/>
    </w:rPr>
  </w:style>
  <w:style w:type="paragraph" w:customStyle="1" w:styleId="21">
    <w:name w:val="标题3王妍"/>
    <w:basedOn w:val="4"/>
    <w:next w:val="1"/>
    <w:link w:val="22"/>
    <w:qFormat/>
    <w:uiPriority w:val="0"/>
    <w:pPr>
      <w:spacing w:before="100" w:after="100" w:line="360" w:lineRule="auto"/>
    </w:pPr>
    <w:rPr>
      <w:rFonts w:eastAsia="楷体"/>
      <w:sz w:val="28"/>
    </w:rPr>
  </w:style>
  <w:style w:type="character" w:customStyle="1" w:styleId="22">
    <w:name w:val="标题3王妍 Char"/>
    <w:link w:val="21"/>
    <w:qFormat/>
    <w:uiPriority w:val="0"/>
    <w:rPr>
      <w:rFonts w:eastAsia="楷体"/>
      <w:sz w:val="28"/>
    </w:rPr>
  </w:style>
  <w:style w:type="paragraph" w:customStyle="1" w:styleId="23">
    <w:name w:val="样式1"/>
    <w:basedOn w:val="20"/>
    <w:qFormat/>
    <w:uiPriority w:val="0"/>
    <w:pPr>
      <w:spacing w:line="360" w:lineRule="auto"/>
      <w:jc w:val="left"/>
    </w:pPr>
  </w:style>
  <w:style w:type="paragraph" w:customStyle="1" w:styleId="24">
    <w:name w:val="样式2"/>
    <w:basedOn w:val="2"/>
    <w:next w:val="1"/>
    <w:qFormat/>
    <w:uiPriority w:val="0"/>
    <w:pPr>
      <w:spacing w:line="360" w:lineRule="auto"/>
    </w:pPr>
  </w:style>
  <w:style w:type="paragraph" w:styleId="25">
    <w:name w:val="List Paragraph"/>
    <w:basedOn w:val="1"/>
    <w:unhideWhenUsed/>
    <w:qFormat/>
    <w:uiPriority w:val="99"/>
    <w:pPr>
      <w:ind w:firstLine="420" w:firstLineChars="200"/>
    </w:pPr>
  </w:style>
  <w:style w:type="character" w:customStyle="1" w:styleId="26">
    <w:name w:val="标题 3 Char"/>
    <w:link w:val="4"/>
    <w:qFormat/>
    <w:uiPriority w:val="9"/>
    <w:rPr>
      <w:b/>
      <w:sz w:val="32"/>
    </w:rPr>
  </w:style>
  <w:style w:type="paragraph" w:customStyle="1" w:styleId="27">
    <w:name w:val="WPSOffice手动目录 1"/>
    <w:qFormat/>
    <w:uiPriority w:val="0"/>
    <w:rPr>
      <w:rFonts w:ascii="Calibri" w:hAnsi="Calibri" w:eastAsia="宋体" w:cs="Times New Roman"/>
      <w:lang w:val="en-US" w:eastAsia="zh-CN" w:bidi="ar-SA"/>
    </w:rPr>
  </w:style>
  <w:style w:type="paragraph" w:customStyle="1" w:styleId="28">
    <w:name w:val="WPSOffice手动目录 2"/>
    <w:qFormat/>
    <w:uiPriority w:val="0"/>
    <w:pPr>
      <w:ind w:left="200" w:leftChars="200"/>
    </w:pPr>
    <w:rPr>
      <w:rFonts w:ascii="Calibri" w:hAnsi="Calibri" w:eastAsia="宋体" w:cs="Times New Roman"/>
      <w:lang w:val="en-US" w:eastAsia="zh-CN" w:bidi="ar-SA"/>
    </w:rPr>
  </w:style>
  <w:style w:type="character" w:customStyle="1" w:styleId="29">
    <w:name w:val="font11"/>
    <w:basedOn w:val="16"/>
    <w:qFormat/>
    <w:uiPriority w:val="0"/>
    <w:rPr>
      <w:rFonts w:hint="default" w:ascii="Times New Roman" w:hAnsi="Times New Roman" w:cs="Times New Roman"/>
      <w:color w:val="000000"/>
      <w:sz w:val="21"/>
      <w:szCs w:val="21"/>
      <w:u w:val="none"/>
    </w:rPr>
  </w:style>
  <w:style w:type="character" w:customStyle="1" w:styleId="30">
    <w:name w:val="font21"/>
    <w:basedOn w:val="16"/>
    <w:qFormat/>
    <w:uiPriority w:val="0"/>
    <w:rPr>
      <w:rFonts w:hint="eastAsia" w:ascii="仿宋" w:hAnsi="仿宋" w:eastAsia="仿宋" w:cs="仿宋"/>
      <w:color w:val="000000"/>
      <w:sz w:val="21"/>
      <w:szCs w:val="21"/>
      <w:u w:val="none"/>
    </w:rPr>
  </w:style>
  <w:style w:type="character" w:customStyle="1" w:styleId="31">
    <w:name w:val="批注框文本 Char"/>
    <w:basedOn w:val="16"/>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4469</Words>
  <Characters>25474</Characters>
  <Lines>212</Lines>
  <Paragraphs>59</Paragraphs>
  <TotalTime>30</TotalTime>
  <ScaleCrop>false</ScaleCrop>
  <LinksUpToDate>false</LinksUpToDate>
  <CharactersWithSpaces>29884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2020-11-11T01:56:00Z</dcterms:created>
  <dc:creator>Administrator</dc:creator>
  <cp:lastModifiedBy>LENO</cp:lastModifiedBy>
  <cp:lastPrinted>2021-12-14T08:37:00Z</cp:lastPrinted>
  <dcterms:modified xsi:type="dcterms:W3CDTF">2023-09-07T01:10:28Z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