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0" w:firstLineChars="0"/>
        <w:jc w:val="center"/>
        <w:rPr>
          <w:rFonts w:cs="仿宋"/>
          <w:b/>
          <w:sz w:val="36"/>
          <w:szCs w:val="36"/>
        </w:rPr>
      </w:pPr>
    </w:p>
    <w:p>
      <w:pPr>
        <w:pStyle w:val="3"/>
        <w:spacing w:line="600" w:lineRule="atLeast"/>
        <w:ind w:firstLine="0" w:firstLineChars="0"/>
      </w:pPr>
    </w:p>
    <w:p>
      <w:pPr>
        <w:spacing w:line="600" w:lineRule="exact"/>
        <w:ind w:firstLine="0" w:firstLineChars="0"/>
        <w:jc w:val="center"/>
        <w:outlineLvl w:val="0"/>
        <w:rPr>
          <w:rFonts w:ascii="宋体" w:hAnsi="宋体" w:eastAsia="宋体" w:cs="Times New Roman"/>
          <w:sz w:val="28"/>
          <w:szCs w:val="28"/>
        </w:rPr>
      </w:pPr>
      <w:r>
        <w:rPr>
          <w:rFonts w:hint="eastAsia" w:ascii="宋体" w:hAnsi="宋体" w:eastAsia="宋体" w:cs="Times New Roman"/>
          <w:sz w:val="28"/>
          <w:szCs w:val="28"/>
        </w:rPr>
        <w:t>寻甸回族彝族自治县城市管理局202</w:t>
      </w:r>
      <w:r>
        <w:rPr>
          <w:rFonts w:ascii="宋体" w:hAnsi="宋体" w:eastAsia="宋体" w:cs="Times New Roman"/>
          <w:sz w:val="28"/>
          <w:szCs w:val="28"/>
        </w:rPr>
        <w:t>2</w:t>
      </w:r>
      <w:r>
        <w:rPr>
          <w:rFonts w:hint="eastAsia" w:ascii="宋体" w:hAnsi="宋体" w:eastAsia="宋体" w:cs="Times New Roman"/>
          <w:sz w:val="28"/>
          <w:szCs w:val="28"/>
        </w:rPr>
        <w:t>年湿地公园清淤改造项目支出</w:t>
      </w:r>
    </w:p>
    <w:p>
      <w:pPr>
        <w:spacing w:line="600" w:lineRule="exact"/>
        <w:ind w:firstLine="0" w:firstLineChars="0"/>
        <w:jc w:val="center"/>
        <w:outlineLvl w:val="0"/>
        <w:rPr>
          <w:rFonts w:ascii="宋体" w:hAnsi="宋体" w:eastAsia="宋体" w:cs="Times New Roman"/>
          <w:sz w:val="36"/>
          <w:szCs w:val="36"/>
        </w:rPr>
      </w:pPr>
      <w:r>
        <w:rPr>
          <w:rFonts w:hint="eastAsia" w:ascii="宋体" w:hAnsi="宋体" w:eastAsia="宋体" w:cs="Times New Roman"/>
          <w:sz w:val="36"/>
          <w:szCs w:val="36"/>
        </w:rPr>
        <w:t>绩效评价报告</w:t>
      </w:r>
    </w:p>
    <w:p>
      <w:pPr>
        <w:spacing w:line="600" w:lineRule="exact"/>
        <w:ind w:firstLine="0" w:firstLineChars="0"/>
        <w:jc w:val="center"/>
        <w:rPr>
          <w:rFonts w:ascii="仿宋_GB2312" w:hAnsi="仿宋_GB2312" w:eastAsia="仿宋_GB2312" w:cs="仿宋_GB2312"/>
          <w:sz w:val="32"/>
          <w:szCs w:val="32"/>
        </w:rPr>
      </w:pPr>
    </w:p>
    <w:p>
      <w:pPr>
        <w:pStyle w:val="3"/>
        <w:spacing w:line="600" w:lineRule="exact"/>
        <w:ind w:firstLine="0" w:firstLineChars="0"/>
      </w:pPr>
    </w:p>
    <w:p>
      <w:pPr>
        <w:spacing w:line="600" w:lineRule="exact"/>
        <w:ind w:firstLine="0" w:firstLineChars="0"/>
        <w:jc w:val="center"/>
        <w:rPr>
          <w:rFonts w:ascii="宋体" w:hAnsi="宋体" w:eastAsia="宋体"/>
          <w:szCs w:val="24"/>
        </w:rPr>
      </w:pPr>
    </w:p>
    <w:p>
      <w:pPr>
        <w:spacing w:line="600" w:lineRule="exact"/>
        <w:ind w:firstLine="0" w:firstLineChars="0"/>
      </w:pPr>
    </w:p>
    <w:p>
      <w:pPr>
        <w:spacing w:line="600" w:lineRule="exact"/>
        <w:ind w:left="1500" w:hanging="1500" w:hangingChars="500"/>
        <w:jc w:val="left"/>
        <w:outlineLvl w:val="0"/>
        <w:rPr>
          <w:rFonts w:ascii="宋体" w:hAnsi="宋体" w:eastAsia="宋体" w:cs="宋体"/>
          <w:sz w:val="30"/>
          <w:szCs w:val="30"/>
        </w:rPr>
      </w:pPr>
      <w:r>
        <w:rPr>
          <w:rFonts w:hint="eastAsia" w:ascii="宋体" w:hAnsi="宋体" w:eastAsia="宋体" w:cs="宋体"/>
          <w:sz w:val="30"/>
          <w:szCs w:val="30"/>
        </w:rPr>
        <w:t>项目名称：202</w:t>
      </w:r>
      <w:r>
        <w:rPr>
          <w:rFonts w:ascii="宋体" w:hAnsi="宋体" w:eastAsia="宋体" w:cs="宋体"/>
          <w:sz w:val="30"/>
          <w:szCs w:val="30"/>
        </w:rPr>
        <w:t>2</w:t>
      </w:r>
      <w:r>
        <w:rPr>
          <w:rFonts w:hint="eastAsia" w:ascii="宋体" w:hAnsi="宋体" w:eastAsia="宋体" w:cs="宋体"/>
          <w:sz w:val="30"/>
          <w:szCs w:val="30"/>
        </w:rPr>
        <w:t>年湿地公园清淤改造项目支出绩效评价</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评价单位：寻甸回族彝族自治县城市管理局</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委托部门：寻甸回族彝族自治县财政局</w:t>
      </w:r>
    </w:p>
    <w:p>
      <w:pPr>
        <w:spacing w:line="600" w:lineRule="exact"/>
        <w:ind w:firstLine="0" w:firstLineChars="0"/>
        <w:jc w:val="left"/>
        <w:rPr>
          <w:rFonts w:ascii="宋体" w:hAnsi="宋体" w:eastAsia="宋体" w:cs="宋体"/>
          <w:b/>
          <w:sz w:val="30"/>
          <w:szCs w:val="30"/>
        </w:rPr>
      </w:pPr>
      <w:r>
        <w:rPr>
          <w:rFonts w:hint="eastAsia" w:ascii="宋体" w:hAnsi="宋体" w:eastAsia="宋体" w:cs="宋体"/>
          <w:sz w:val="30"/>
          <w:szCs w:val="30"/>
        </w:rPr>
        <w:t>评价机构：云南京健会计师事务所（普通合伙）</w:t>
      </w:r>
    </w:p>
    <w:p>
      <w:pPr>
        <w:spacing w:line="600" w:lineRule="exact"/>
        <w:ind w:firstLine="0" w:firstLineChars="0"/>
        <w:jc w:val="center"/>
        <w:rPr>
          <w:rFonts w:cs="仿宋"/>
          <w:b/>
          <w:sz w:val="28"/>
          <w:szCs w:val="28"/>
        </w:rPr>
      </w:pPr>
    </w:p>
    <w:p>
      <w:pPr>
        <w:ind w:firstLine="562"/>
        <w:jc w:val="center"/>
        <w:rPr>
          <w:rFonts w:cs="仿宋"/>
          <w:b/>
          <w:sz w:val="28"/>
          <w:szCs w:val="28"/>
        </w:rPr>
      </w:pPr>
    </w:p>
    <w:p>
      <w:pPr>
        <w:pStyle w:val="11"/>
        <w:keepNext w:val="0"/>
        <w:keepLines w:val="0"/>
        <w:ind w:firstLine="0" w:firstLineChars="0"/>
        <w:rPr>
          <w:rFonts w:ascii="黑体" w:hAnsi="黑体" w:eastAsia="黑体"/>
          <w:sz w:val="36"/>
          <w:szCs w:val="36"/>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77" w:footer="992" w:gutter="0"/>
          <w:pgBorders>
            <w:top w:val="single" w:color="auto" w:sz="4" w:space="1"/>
            <w:bottom w:val="single" w:color="auto" w:sz="4" w:space="1"/>
          </w:pgBorders>
          <w:pgNumType w:start="1"/>
          <w:cols w:space="425" w:num="1"/>
          <w:docGrid w:type="lines" w:linePitch="312" w:charSpace="0"/>
        </w:sectPr>
      </w:pPr>
    </w:p>
    <w:p>
      <w:pPr>
        <w:ind w:firstLine="0" w:firstLineChars="0"/>
        <w:jc w:val="center"/>
        <w:rPr>
          <w:rFonts w:ascii="黑体" w:hAnsi="黑体" w:eastAsia="黑体" w:cs="黑体"/>
          <w:bCs/>
          <w:szCs w:val="24"/>
        </w:rPr>
      </w:pPr>
      <w:r>
        <w:rPr>
          <w:rFonts w:hint="eastAsia" w:ascii="黑体" w:hAnsi="黑体" w:eastAsia="黑体" w:cs="黑体"/>
          <w:bCs/>
          <w:szCs w:val="24"/>
        </w:rPr>
        <w:t>寻甸回族彝族自治县城市管理局</w:t>
      </w:r>
      <w:bookmarkStart w:id="0" w:name="_Hlk148610335"/>
      <w:r>
        <w:rPr>
          <w:rFonts w:hint="eastAsia" w:ascii="黑体" w:hAnsi="黑体" w:eastAsia="黑体" w:cs="黑体"/>
          <w:bCs/>
          <w:szCs w:val="24"/>
        </w:rPr>
        <w:t>202</w:t>
      </w:r>
      <w:r>
        <w:rPr>
          <w:rFonts w:ascii="黑体" w:hAnsi="黑体" w:eastAsia="黑体" w:cs="黑体"/>
          <w:bCs/>
          <w:szCs w:val="24"/>
        </w:rPr>
        <w:t>2</w:t>
      </w:r>
      <w:r>
        <w:rPr>
          <w:rFonts w:hint="eastAsia" w:ascii="黑体" w:hAnsi="黑体" w:eastAsia="黑体" w:cs="黑体"/>
          <w:bCs/>
          <w:szCs w:val="24"/>
        </w:rPr>
        <w:t>年湿地公园清淤改造</w:t>
      </w:r>
      <w:bookmarkEnd w:id="0"/>
      <w:r>
        <w:rPr>
          <w:rFonts w:hint="eastAsia" w:ascii="黑体" w:hAnsi="黑体" w:eastAsia="黑体" w:cs="黑体"/>
          <w:bCs/>
          <w:szCs w:val="24"/>
        </w:rPr>
        <w:t>项目支出</w:t>
      </w:r>
    </w:p>
    <w:p>
      <w:pPr>
        <w:ind w:firstLine="640"/>
        <w:jc w:val="center"/>
        <w:rPr>
          <w:rFonts w:ascii="黑体" w:hAnsi="黑体" w:eastAsia="黑体" w:cs="黑体"/>
          <w:bCs/>
          <w:sz w:val="32"/>
          <w:szCs w:val="32"/>
        </w:rPr>
      </w:pPr>
      <w:r>
        <w:rPr>
          <w:rFonts w:hint="eastAsia" w:ascii="黑体" w:hAnsi="黑体" w:eastAsia="黑体" w:cs="黑体"/>
          <w:bCs/>
          <w:sz w:val="32"/>
          <w:szCs w:val="32"/>
        </w:rPr>
        <w:t>绩效评价报告</w:t>
      </w:r>
    </w:p>
    <w:p>
      <w:pPr>
        <w:ind w:firstLine="318" w:firstLineChars="177"/>
        <w:jc w:val="center"/>
        <w:rPr>
          <w:rFonts w:ascii="宋体" w:hAnsi="宋体" w:eastAsia="宋体"/>
          <w:sz w:val="18"/>
          <w:szCs w:val="18"/>
        </w:rPr>
      </w:pPr>
      <w:r>
        <w:rPr>
          <w:rFonts w:hint="eastAsia" w:ascii="宋体" w:hAnsi="宋体" w:eastAsia="宋体"/>
          <w:sz w:val="18"/>
          <w:szCs w:val="18"/>
        </w:rPr>
        <w:t>云京健专审字（202</w:t>
      </w:r>
      <w:r>
        <w:rPr>
          <w:rFonts w:ascii="宋体" w:hAnsi="宋体" w:eastAsia="宋体"/>
          <w:sz w:val="18"/>
          <w:szCs w:val="18"/>
        </w:rPr>
        <w:t>3</w:t>
      </w:r>
      <w:r>
        <w:rPr>
          <w:rFonts w:hint="eastAsia" w:ascii="宋体" w:hAnsi="宋体" w:eastAsia="宋体"/>
          <w:sz w:val="18"/>
          <w:szCs w:val="18"/>
        </w:rPr>
        <w:t>）第</w:t>
      </w:r>
      <w:r>
        <w:rPr>
          <w:rFonts w:hint="eastAsia" w:ascii="宋体" w:hAnsi="宋体" w:eastAsia="宋体"/>
          <w:sz w:val="18"/>
          <w:szCs w:val="18"/>
          <w:lang w:val="en-US" w:eastAsia="zh-CN"/>
        </w:rPr>
        <w:t>052</w:t>
      </w:r>
      <w:r>
        <w:rPr>
          <w:rFonts w:hint="eastAsia" w:ascii="宋体" w:hAnsi="宋体" w:eastAsia="宋体"/>
          <w:sz w:val="18"/>
          <w:szCs w:val="18"/>
        </w:rPr>
        <w:t>号</w:t>
      </w:r>
    </w:p>
    <w:p>
      <w:pPr>
        <w:ind w:firstLine="0" w:firstLineChars="0"/>
        <w:rPr>
          <w:rFonts w:ascii="宋体" w:hAnsi="宋体" w:eastAsia="宋体" w:cs="宋体"/>
          <w:b/>
          <w:szCs w:val="24"/>
        </w:rPr>
      </w:pPr>
      <w:r>
        <w:rPr>
          <w:rFonts w:hint="eastAsia" w:ascii="宋体" w:hAnsi="宋体" w:eastAsia="宋体" w:cs="宋体"/>
          <w:b/>
          <w:szCs w:val="24"/>
        </w:rPr>
        <w:t>寻甸回族彝族自治县财政局：</w:t>
      </w:r>
    </w:p>
    <w:p>
      <w:pPr>
        <w:ind w:firstLine="480"/>
      </w:pPr>
      <w:r>
        <w:rPr>
          <w:rFonts w:hint="eastAsia"/>
        </w:rPr>
        <w:t>我们接受委托，根据</w:t>
      </w:r>
      <w:bookmarkStart w:id="1" w:name="_Hlk143855331"/>
      <w:r>
        <w:rPr>
          <w:rFonts w:hint="eastAsia"/>
        </w:rPr>
        <w:t>《关于全面推进预算绩效管理改革的实施意见》（寻政发〔</w:t>
      </w:r>
      <w:r>
        <w:t>2016〕122号）</w:t>
      </w:r>
      <w:bookmarkEnd w:id="1"/>
      <w:r>
        <w:t>、《关于印发寻甸回族彝族自治县预算绩效管理工作考核办法（试行）的通知》（寻政办发〔2016〕79号）、《关于明确预算绩效管理工作职责的通知》（寻财〔2020〕5号）和</w:t>
      </w:r>
      <w:bookmarkStart w:id="2" w:name="_Hlk143855269"/>
      <w:r>
        <w:t>《关于2022年度部门整体支出、重大项目支出和地方政府债券项目支出绩效再评价的通知》（寻财绩〔2023〕5号）</w:t>
      </w:r>
      <w:bookmarkEnd w:id="2"/>
      <w:r>
        <w:rPr>
          <w:rFonts w:hint="eastAsia"/>
        </w:rPr>
        <w:t>等文件要求，组成审计评价组对寻甸回族彝族自治县城市管理局202</w:t>
      </w:r>
      <w:r>
        <w:t>2</w:t>
      </w:r>
      <w:r>
        <w:rPr>
          <w:rFonts w:hint="eastAsia"/>
        </w:rPr>
        <w:t>年湿地公园清淤改造项目（以下简称“项目”）的管理、使用及效益情况进行了绩效评价。寻甸回族彝族自治县城市管理局（以下简称“城市管理局”）对所提供评价资料的真实性、完整性负责。现将绩效评价情况报告如下：</w:t>
      </w:r>
      <w:bookmarkStart w:id="3" w:name="_Toc502134848"/>
    </w:p>
    <w:p>
      <w:pPr>
        <w:ind w:firstLine="480"/>
        <w:rPr>
          <w:rFonts w:ascii="黑体" w:hAnsi="黑体" w:eastAsia="黑体" w:cs="黑体"/>
          <w:b/>
          <w:bCs/>
          <w:szCs w:val="24"/>
        </w:rPr>
      </w:pPr>
      <w:r>
        <w:rPr>
          <w:rFonts w:hint="eastAsia" w:ascii="黑体" w:hAnsi="黑体" w:eastAsia="黑体" w:cs="黑体"/>
          <w:szCs w:val="24"/>
        </w:rPr>
        <w:t>一、基本情况</w:t>
      </w:r>
      <w:bookmarkEnd w:id="3"/>
      <w:bookmarkStart w:id="4" w:name="_Toc502134849"/>
    </w:p>
    <w:p>
      <w:pPr>
        <w:ind w:firstLine="480"/>
        <w:rPr>
          <w:rFonts w:ascii="楷体" w:hAnsi="楷体" w:eastAsia="楷体" w:cs="楷体"/>
          <w:szCs w:val="24"/>
        </w:rPr>
      </w:pPr>
      <w:r>
        <w:rPr>
          <w:rFonts w:hint="eastAsia" w:ascii="楷体" w:hAnsi="楷体" w:eastAsia="楷体" w:cs="楷体"/>
          <w:szCs w:val="24"/>
        </w:rPr>
        <w:t>(一)项目概况</w:t>
      </w:r>
      <w:bookmarkEnd w:id="4"/>
    </w:p>
    <w:p>
      <w:pPr>
        <w:ind w:firstLine="480"/>
        <w:rPr>
          <w:rFonts w:cs="仿宋"/>
          <w:szCs w:val="24"/>
        </w:rPr>
      </w:pPr>
      <w:r>
        <w:rPr>
          <w:rFonts w:hint="eastAsia" w:cs="仿宋"/>
          <w:szCs w:val="24"/>
        </w:rPr>
        <w:t>1.项目设定背景、目的</w:t>
      </w:r>
    </w:p>
    <w:p>
      <w:pPr>
        <w:ind w:firstLine="480"/>
        <w:rPr>
          <w:rFonts w:cs="仿宋"/>
          <w:szCs w:val="24"/>
        </w:rPr>
      </w:pPr>
      <w:r>
        <w:rPr>
          <w:rFonts w:hint="eastAsia" w:cs="仿宋"/>
          <w:szCs w:val="24"/>
        </w:rPr>
        <w:t>寻甸回族彝族自治县汇龙湿地公园建设时采用“</w:t>
      </w:r>
      <w:r>
        <w:rPr>
          <w:rFonts w:cs="仿宋"/>
          <w:szCs w:val="24"/>
        </w:rPr>
        <w:t>S”型生态水体，引河水自北向南缓缓流过，形成漫摊湿地、生态岛屿、栈道廊桥、疏林草地等多姿多彩的自然景观，但由于公园水体多年淤积堵塞</w:t>
      </w:r>
      <w:r>
        <w:rPr>
          <w:rFonts w:hint="eastAsia" w:cs="仿宋"/>
          <w:szCs w:val="24"/>
        </w:rPr>
        <w:t>未</w:t>
      </w:r>
      <w:r>
        <w:rPr>
          <w:rFonts w:cs="仿宋"/>
          <w:szCs w:val="24"/>
        </w:rPr>
        <w:t>清理，严重影响了景观效果和水质状况。为贯彻落实党的二十大关于推动绿色发展，促进人与自然和谐共生的思想，加强市容环境“治脏”“治乱”“治差”“治堵”“美化”“亮化”“净化”“绿化”等各项整治工作，使市容环境更加干净整洁、城市景观更加亮丽迷人、出行条件更加舒适便捷、人居环境更加温馨，申请立项实施寻甸县湿地公园清淤改造项目，夯实文明城市、生态文明示范</w:t>
      </w:r>
      <w:r>
        <w:rPr>
          <w:rFonts w:hint="eastAsia" w:cs="仿宋"/>
          <w:szCs w:val="24"/>
        </w:rPr>
        <w:t>县，卫生县城、园林县城基础，持续提升城乡人居环境，逐步增强人民群众幸福感、获得感。</w:t>
      </w:r>
    </w:p>
    <w:p>
      <w:pPr>
        <w:ind w:firstLine="480"/>
        <w:rPr>
          <w:rFonts w:cs="仿宋"/>
          <w:color w:val="FF0000"/>
          <w:szCs w:val="24"/>
        </w:rPr>
      </w:pPr>
      <w:r>
        <w:rPr>
          <w:rFonts w:hint="eastAsia" w:cs="仿宋"/>
          <w:szCs w:val="24"/>
        </w:rPr>
        <w:t>2.项目立项依据</w:t>
      </w:r>
    </w:p>
    <w:p>
      <w:pPr>
        <w:ind w:firstLine="480"/>
        <w:rPr>
          <w:rFonts w:cs="仿宋"/>
          <w:szCs w:val="24"/>
        </w:rPr>
      </w:pPr>
      <w:bookmarkStart w:id="5" w:name="_Hlk114838304"/>
      <w:bookmarkStart w:id="6" w:name="_Toc502134850"/>
      <w:r>
        <w:rPr>
          <w:rFonts w:hint="eastAsia" w:cs="仿宋"/>
          <w:szCs w:val="24"/>
        </w:rPr>
        <w:t>(1)</w:t>
      </w:r>
      <w:bookmarkEnd w:id="5"/>
      <w:r>
        <w:rPr>
          <w:rFonts w:hint="eastAsia" w:cs="仿宋"/>
          <w:szCs w:val="24"/>
        </w:rPr>
        <w:t>《国务院城市市容和环境卫生管理条例》；</w:t>
      </w:r>
    </w:p>
    <w:p>
      <w:pPr>
        <w:ind w:firstLine="480"/>
        <w:rPr>
          <w:rFonts w:cs="仿宋"/>
          <w:color w:val="FF0000"/>
          <w:szCs w:val="24"/>
        </w:rPr>
      </w:pPr>
      <w:r>
        <w:rPr>
          <w:rFonts w:cs="仿宋"/>
          <w:szCs w:val="24"/>
        </w:rPr>
        <w:t>(2)</w:t>
      </w:r>
      <w:r>
        <w:rPr>
          <w:rFonts w:hint="eastAsia" w:cs="仿宋"/>
          <w:szCs w:val="24"/>
        </w:rPr>
        <w:t>《昆明市城市市容和环境卫生管理条例》；</w:t>
      </w:r>
    </w:p>
    <w:p>
      <w:pPr>
        <w:ind w:firstLine="480"/>
        <w:rPr>
          <w:rFonts w:cs="仿宋"/>
          <w:szCs w:val="24"/>
        </w:rPr>
      </w:pPr>
      <w:r>
        <w:rPr>
          <w:rFonts w:cs="仿宋"/>
          <w:szCs w:val="24"/>
        </w:rPr>
        <w:t>(3)</w:t>
      </w:r>
      <w:r>
        <w:rPr>
          <w:rFonts w:hint="eastAsia" w:cs="仿宋"/>
          <w:szCs w:val="24"/>
        </w:rPr>
        <w:t>《昆明市人民政府关于加强环境卫生管理工作的实施意见》；</w:t>
      </w:r>
    </w:p>
    <w:p>
      <w:pPr>
        <w:ind w:firstLine="480"/>
        <w:rPr>
          <w:rFonts w:cs="仿宋"/>
          <w:szCs w:val="24"/>
        </w:rPr>
        <w:sectPr>
          <w:footerReference r:id="rId11" w:type="default"/>
          <w:pgSz w:w="11906" w:h="16838"/>
          <w:pgMar w:top="1440" w:right="1803" w:bottom="1440" w:left="1803" w:header="1077" w:footer="992" w:gutter="0"/>
          <w:pgBorders>
            <w:top w:val="single" w:color="auto" w:sz="4" w:space="1"/>
            <w:bottom w:val="single" w:color="auto" w:sz="4" w:space="1"/>
          </w:pgBorders>
          <w:pgNumType w:start="1"/>
          <w:cols w:space="425" w:num="1"/>
          <w:docGrid w:type="lines" w:linePitch="312" w:charSpace="0"/>
        </w:sectPr>
      </w:pPr>
    </w:p>
    <w:p>
      <w:pPr>
        <w:ind w:firstLine="480"/>
        <w:rPr>
          <w:rFonts w:cs="仿宋"/>
          <w:szCs w:val="24"/>
        </w:rPr>
      </w:pPr>
      <w:r>
        <w:rPr>
          <w:rFonts w:cs="仿宋"/>
          <w:szCs w:val="24"/>
        </w:rPr>
        <w:t>(4)</w:t>
      </w:r>
      <w:r>
        <w:rPr>
          <w:rFonts w:hint="eastAsia" w:cs="仿宋"/>
          <w:szCs w:val="24"/>
        </w:rPr>
        <w:t>《2</w:t>
      </w:r>
      <w:r>
        <w:rPr>
          <w:rFonts w:cs="仿宋"/>
          <w:szCs w:val="24"/>
        </w:rPr>
        <w:t>022</w:t>
      </w:r>
      <w:r>
        <w:rPr>
          <w:rFonts w:hint="eastAsia" w:cs="仿宋"/>
          <w:szCs w:val="24"/>
        </w:rPr>
        <w:t>年昆明市园林绿化建设管理工作方案》；</w:t>
      </w:r>
    </w:p>
    <w:p>
      <w:pPr>
        <w:ind w:firstLine="480"/>
        <w:rPr>
          <w:rFonts w:cs="仿宋"/>
          <w:szCs w:val="24"/>
        </w:rPr>
      </w:pPr>
      <w:r>
        <w:rPr>
          <w:rFonts w:cs="仿宋"/>
          <w:szCs w:val="24"/>
        </w:rPr>
        <w:t>(5)</w:t>
      </w:r>
      <w:r>
        <w:rPr>
          <w:rFonts w:hint="eastAsia" w:cs="仿宋"/>
          <w:szCs w:val="24"/>
        </w:rPr>
        <w:t>《关于寻甸县生态文明示范创建项目立项的批复》。</w:t>
      </w:r>
    </w:p>
    <w:p>
      <w:pPr>
        <w:ind w:firstLine="480"/>
        <w:rPr>
          <w:rFonts w:ascii="楷体" w:hAnsi="楷体" w:eastAsia="楷体" w:cs="楷体"/>
          <w:szCs w:val="24"/>
        </w:rPr>
      </w:pPr>
      <w:r>
        <w:rPr>
          <w:rFonts w:hint="eastAsia" w:ascii="楷体" w:hAnsi="楷体" w:eastAsia="楷体" w:cs="楷体"/>
          <w:szCs w:val="24"/>
        </w:rPr>
        <w:t>(二)项目资金安排情况</w:t>
      </w:r>
      <w:bookmarkEnd w:id="6"/>
    </w:p>
    <w:p>
      <w:pPr>
        <w:ind w:firstLine="480"/>
        <w:rPr>
          <w:rFonts w:cs="仿宋"/>
          <w:szCs w:val="24"/>
        </w:rPr>
      </w:pPr>
      <w:bookmarkStart w:id="7" w:name="_Toc502134851"/>
      <w:r>
        <w:rPr>
          <w:rFonts w:hint="eastAsia" w:ascii="仿宋_GB2312" w:eastAsia="仿宋_GB2312" w:cs="仿宋"/>
          <w:szCs w:val="24"/>
        </w:rPr>
        <w:t>根</w:t>
      </w:r>
      <w:r>
        <w:rPr>
          <w:rFonts w:hint="eastAsia" w:cs="仿宋"/>
          <w:szCs w:val="24"/>
        </w:rPr>
        <w:t>据</w:t>
      </w:r>
      <w:bookmarkStart w:id="8" w:name="_Hlk143941706"/>
      <w:r>
        <w:rPr>
          <w:rFonts w:hint="eastAsia" w:cs="仿宋"/>
          <w:szCs w:val="24"/>
        </w:rPr>
        <w:t>《关于下达2</w:t>
      </w:r>
      <w:r>
        <w:rPr>
          <w:rFonts w:cs="仿宋"/>
          <w:szCs w:val="24"/>
        </w:rPr>
        <w:t>021</w:t>
      </w:r>
      <w:r>
        <w:rPr>
          <w:rFonts w:hint="eastAsia" w:cs="仿宋"/>
          <w:szCs w:val="24"/>
        </w:rPr>
        <w:t>年市级生态文明建设资金支出预算的通知》（寻财预〔202</w:t>
      </w:r>
      <w:r>
        <w:rPr>
          <w:rFonts w:cs="仿宋"/>
          <w:szCs w:val="24"/>
        </w:rPr>
        <w:t>2</w:t>
      </w:r>
      <w:r>
        <w:rPr>
          <w:rFonts w:hint="eastAsia" w:cs="仿宋"/>
          <w:szCs w:val="24"/>
        </w:rPr>
        <w:t>〕</w:t>
      </w:r>
      <w:r>
        <w:rPr>
          <w:rFonts w:cs="仿宋"/>
          <w:szCs w:val="24"/>
        </w:rPr>
        <w:t>29</w:t>
      </w:r>
      <w:r>
        <w:rPr>
          <w:rFonts w:hint="eastAsia" w:cs="仿宋"/>
          <w:szCs w:val="24"/>
        </w:rPr>
        <w:t>号），项目预算资金为</w:t>
      </w:r>
      <w:r>
        <w:rPr>
          <w:rFonts w:cs="仿宋"/>
          <w:szCs w:val="24"/>
        </w:rPr>
        <w:t>2</w:t>
      </w:r>
      <w:r>
        <w:rPr>
          <w:rFonts w:hint="eastAsia" w:cs="仿宋"/>
          <w:szCs w:val="24"/>
        </w:rPr>
        <w:t>,</w:t>
      </w:r>
      <w:r>
        <w:rPr>
          <w:rFonts w:cs="仿宋"/>
          <w:szCs w:val="24"/>
        </w:rPr>
        <w:t>0</w:t>
      </w:r>
      <w:r>
        <w:rPr>
          <w:rFonts w:hint="eastAsia" w:cs="仿宋"/>
          <w:szCs w:val="24"/>
        </w:rPr>
        <w:t>00,000.00元</w:t>
      </w:r>
      <w:bookmarkEnd w:id="8"/>
      <w:r>
        <w:rPr>
          <w:rFonts w:hint="eastAsia" w:cs="仿宋"/>
          <w:szCs w:val="24"/>
        </w:rPr>
        <w:t>，无预算调整。根据项目支出台账，截至</w:t>
      </w:r>
      <w:r>
        <w:rPr>
          <w:rFonts w:cs="仿宋"/>
          <w:szCs w:val="24"/>
        </w:rPr>
        <w:t>2022年12月31日，共计支付相关费用1,590,942.25元，</w:t>
      </w:r>
      <w:r>
        <w:rPr>
          <w:rFonts w:hint="eastAsia" w:cs="仿宋"/>
          <w:szCs w:val="24"/>
        </w:rPr>
        <w:t>结余资金</w:t>
      </w:r>
      <w:r>
        <w:rPr>
          <w:rFonts w:cs="仿宋"/>
          <w:szCs w:val="24"/>
        </w:rPr>
        <w:t>结转</w:t>
      </w:r>
      <w:r>
        <w:rPr>
          <w:rFonts w:hint="eastAsia" w:cs="仿宋"/>
          <w:szCs w:val="24"/>
        </w:rPr>
        <w:t>至</w:t>
      </w:r>
      <w:r>
        <w:rPr>
          <w:rFonts w:cs="仿宋"/>
          <w:szCs w:val="24"/>
        </w:rPr>
        <w:t>2023年</w:t>
      </w:r>
      <w:r>
        <w:rPr>
          <w:rFonts w:hint="eastAsia" w:cs="仿宋"/>
          <w:szCs w:val="24"/>
        </w:rPr>
        <w:t>。</w:t>
      </w:r>
    </w:p>
    <w:p>
      <w:pPr>
        <w:ind w:firstLine="480"/>
        <w:rPr>
          <w:rFonts w:ascii="楷体" w:hAnsi="楷体" w:eastAsia="楷体" w:cs="楷体"/>
          <w:szCs w:val="24"/>
        </w:rPr>
      </w:pPr>
      <w:r>
        <w:rPr>
          <w:rFonts w:hint="eastAsia" w:ascii="楷体" w:hAnsi="楷体" w:eastAsia="楷体" w:cs="楷体"/>
          <w:szCs w:val="24"/>
        </w:rPr>
        <w:t>(三)项目实施内容</w:t>
      </w:r>
      <w:bookmarkEnd w:id="7"/>
    </w:p>
    <w:p>
      <w:pPr>
        <w:ind w:firstLine="480"/>
        <w:rPr>
          <w:rFonts w:cs="仿宋"/>
          <w:szCs w:val="24"/>
        </w:rPr>
      </w:pPr>
      <w:bookmarkStart w:id="9" w:name="_Toc502134852"/>
      <w:r>
        <w:rPr>
          <w:rFonts w:hint="eastAsia" w:cs="仿宋"/>
          <w:szCs w:val="24"/>
        </w:rPr>
        <w:t>根据</w:t>
      </w:r>
      <w:bookmarkStart w:id="10" w:name="_Hlk143955233"/>
      <w:r>
        <w:rPr>
          <w:rFonts w:hint="eastAsia" w:cs="仿宋"/>
          <w:szCs w:val="24"/>
        </w:rPr>
        <w:t>云南宏图工程设计有限公司</w:t>
      </w:r>
      <w:bookmarkEnd w:id="10"/>
      <w:r>
        <w:rPr>
          <w:rFonts w:hint="eastAsia" w:cs="仿宋"/>
          <w:szCs w:val="24"/>
        </w:rPr>
        <w:t>《寻甸县湿地公园清淤改造项目施工图图册》，</w:t>
      </w:r>
      <w:bookmarkStart w:id="11" w:name="_Hlk143940306"/>
      <w:r>
        <w:rPr>
          <w:rFonts w:hint="eastAsia" w:cs="仿宋"/>
          <w:szCs w:val="24"/>
        </w:rPr>
        <w:t>项目设计实施内容</w:t>
      </w:r>
      <w:bookmarkEnd w:id="11"/>
      <w:r>
        <w:rPr>
          <w:rFonts w:hint="eastAsia" w:cs="仿宋"/>
          <w:szCs w:val="24"/>
        </w:rPr>
        <w:t>为：</w:t>
      </w:r>
    </w:p>
    <w:p>
      <w:pPr>
        <w:ind w:firstLine="480"/>
        <w:rPr>
          <w:rFonts w:cs="仿宋"/>
          <w:szCs w:val="24"/>
        </w:rPr>
      </w:pPr>
      <w:r>
        <w:rPr>
          <w:rFonts w:cs="仿宋"/>
          <w:szCs w:val="24"/>
        </w:rPr>
        <w:t>1.水域底部清淤工程：1号清淤面积12900.58㎡、清淤总量6450.29㎡，2号清淤面积190.11㎡、清淤总量285.17㎡，3号清淤面积1304.54㎡、清淤总量1956.81㎡，4号清淤面积740.37</w:t>
      </w:r>
      <w:bookmarkStart w:id="12" w:name="_Hlk143954622"/>
      <w:r>
        <w:rPr>
          <w:rFonts w:cs="仿宋"/>
          <w:szCs w:val="24"/>
        </w:rPr>
        <w:t>㎡</w:t>
      </w:r>
      <w:bookmarkEnd w:id="12"/>
      <w:r>
        <w:rPr>
          <w:rFonts w:cs="仿宋"/>
          <w:szCs w:val="24"/>
        </w:rPr>
        <w:t>、清淤总量1110.56㎡，5号清淤面积22630.48㎡、清淤总量33945.72</w:t>
      </w:r>
      <w:r>
        <w:rPr>
          <w:rFonts w:hint="eastAsia" w:cs="仿宋"/>
          <w:szCs w:val="24"/>
        </w:rPr>
        <w:t>㎡</w:t>
      </w:r>
      <w:r>
        <w:rPr>
          <w:rFonts w:cs="仿宋"/>
          <w:szCs w:val="24"/>
        </w:rPr>
        <w:t>，淤泥外运。</w:t>
      </w:r>
    </w:p>
    <w:p>
      <w:pPr>
        <w:ind w:firstLine="480"/>
        <w:rPr>
          <w:rFonts w:cs="仿宋"/>
          <w:szCs w:val="24"/>
        </w:rPr>
      </w:pPr>
      <w:r>
        <w:rPr>
          <w:rFonts w:cs="仿宋"/>
          <w:szCs w:val="24"/>
        </w:rPr>
        <w:t>2.拦砂坝工程：新建</w:t>
      </w:r>
      <w:r>
        <w:rPr>
          <w:rFonts w:hint="eastAsia" w:cs="仿宋"/>
          <w:szCs w:val="24"/>
        </w:rPr>
        <w:t>或修复</w:t>
      </w:r>
      <w:r>
        <w:rPr>
          <w:rFonts w:cs="仿宋"/>
          <w:szCs w:val="24"/>
        </w:rPr>
        <w:t>3个拦砂坝，其中：1号拦砂坝坝长5米、坝高1.5m，2号拦砂坝坝长8米、坝高1.5m，3号拦砂坝坝长4.5米、坝高1.5m。</w:t>
      </w:r>
    </w:p>
    <w:p>
      <w:pPr>
        <w:ind w:firstLine="480"/>
        <w:rPr>
          <w:rFonts w:cs="仿宋"/>
          <w:szCs w:val="24"/>
        </w:rPr>
      </w:pPr>
      <w:r>
        <w:rPr>
          <w:rFonts w:hint="eastAsia" w:cs="仿宋"/>
          <w:szCs w:val="24"/>
        </w:rPr>
        <w:t>按照政府采购管理规定，通过竞争性比选的方式确定</w:t>
      </w:r>
      <w:bookmarkStart w:id="13" w:name="_Hlk143854507"/>
      <w:r>
        <w:rPr>
          <w:rFonts w:hint="eastAsia" w:cs="仿宋"/>
          <w:szCs w:val="24"/>
        </w:rPr>
        <w:t>云南恒庆建设有限公司</w:t>
      </w:r>
      <w:bookmarkEnd w:id="13"/>
      <w:r>
        <w:rPr>
          <w:rFonts w:hint="eastAsia" w:cs="仿宋"/>
          <w:szCs w:val="24"/>
        </w:rPr>
        <w:t>为项目具体施工单位。</w:t>
      </w:r>
    </w:p>
    <w:p>
      <w:pPr>
        <w:ind w:firstLine="480"/>
        <w:rPr>
          <w:rFonts w:ascii="楷体" w:hAnsi="楷体" w:eastAsia="楷体" w:cs="楷体"/>
          <w:szCs w:val="24"/>
        </w:rPr>
      </w:pPr>
      <w:r>
        <w:rPr>
          <w:rFonts w:hint="eastAsia" w:ascii="楷体" w:hAnsi="楷体" w:eastAsia="楷体" w:cs="楷体"/>
          <w:szCs w:val="24"/>
        </w:rPr>
        <w:t>(四)项目绩效目标设定情况</w:t>
      </w:r>
      <w:bookmarkEnd w:id="9"/>
    </w:p>
    <w:p>
      <w:pPr>
        <w:ind w:firstLine="480"/>
        <w:rPr>
          <w:rFonts w:cs="仿宋"/>
          <w:szCs w:val="24"/>
        </w:rPr>
      </w:pPr>
      <w:r>
        <w:rPr>
          <w:rFonts w:hint="eastAsia" w:cs="仿宋"/>
          <w:szCs w:val="24"/>
        </w:rPr>
        <w:t>城市管理局根据上述项目实施内容，设定了项目总体目标和年度目标。</w:t>
      </w:r>
    </w:p>
    <w:p>
      <w:pPr>
        <w:ind w:firstLine="480"/>
        <w:rPr>
          <w:rFonts w:cs="仿宋"/>
          <w:szCs w:val="24"/>
        </w:rPr>
      </w:pPr>
      <w:r>
        <w:rPr>
          <w:rFonts w:hint="eastAsia" w:cs="仿宋"/>
          <w:szCs w:val="24"/>
        </w:rPr>
        <w:t>总体目标：2</w:t>
      </w:r>
      <w:r>
        <w:rPr>
          <w:rFonts w:cs="仿宋"/>
          <w:szCs w:val="24"/>
        </w:rPr>
        <w:t>022</w:t>
      </w:r>
      <w:r>
        <w:rPr>
          <w:rFonts w:hint="eastAsia" w:cs="仿宋"/>
          <w:szCs w:val="24"/>
        </w:rPr>
        <w:t>年至2</w:t>
      </w:r>
      <w:r>
        <w:rPr>
          <w:rFonts w:cs="仿宋"/>
          <w:szCs w:val="24"/>
        </w:rPr>
        <w:t>024</w:t>
      </w:r>
      <w:r>
        <w:rPr>
          <w:rFonts w:hint="eastAsia" w:cs="仿宋"/>
          <w:szCs w:val="24"/>
        </w:rPr>
        <w:t>年完成</w:t>
      </w:r>
      <w:bookmarkStart w:id="14" w:name="_Hlk143940227"/>
      <w:r>
        <w:rPr>
          <w:rFonts w:hint="eastAsia" w:cs="仿宋"/>
          <w:szCs w:val="24"/>
        </w:rPr>
        <w:t>汇龙湿地公园水体清淤清污综合治理</w:t>
      </w:r>
      <w:bookmarkEnd w:id="14"/>
      <w:r>
        <w:rPr>
          <w:rFonts w:hint="eastAsia" w:cs="仿宋"/>
          <w:szCs w:val="24"/>
        </w:rPr>
        <w:t>。实施寻甸县湿地公园清淤改造项目，对汇龙湿地公园多年淤积堵塞的水体进行清淤改造，使公园环境更加干净整洁、景观更加亮丽迷人、氛围更加舒适温馨，增强人民群众幸福感、获得感。</w:t>
      </w:r>
    </w:p>
    <w:p>
      <w:pPr>
        <w:ind w:firstLine="480"/>
        <w:rPr>
          <w:rFonts w:cs="仿宋"/>
          <w:szCs w:val="24"/>
        </w:rPr>
      </w:pPr>
      <w:r>
        <w:rPr>
          <w:rFonts w:hint="eastAsia" w:cs="仿宋"/>
          <w:szCs w:val="24"/>
        </w:rPr>
        <w:t>年度目标：完成汇龙湿地公园水体清淤清污综合治理（一期），即完成上述“项目设计实施内容”。按照工程建设相关标准和技术规范，对寻甸县城汇龙湿地公园</w:t>
      </w:r>
      <w:r>
        <w:rPr>
          <w:rFonts w:cs="仿宋"/>
          <w:szCs w:val="24"/>
        </w:rPr>
        <w:t>19485平方米水体进行清淤治理，清除过度生长的挺水植物和淤积泥沙，恢复公园水体良好的园林绿化景观效果和生态自净化能力。通过健全监督考评机制，对中标企业项目工程建设进行全过程规范监督，确保良好的工程质量</w:t>
      </w:r>
      <w:r>
        <w:rPr>
          <w:rFonts w:hint="eastAsia" w:cs="仿宋"/>
          <w:szCs w:val="24"/>
        </w:rPr>
        <w:t>。</w:t>
      </w:r>
    </w:p>
    <w:p>
      <w:pPr>
        <w:spacing w:after="312" w:afterLines="100"/>
        <w:ind w:firstLine="480"/>
      </w:pPr>
      <w:r>
        <w:rPr>
          <w:rFonts w:hint="eastAsia" w:cs="仿宋"/>
          <w:szCs w:val="24"/>
        </w:rPr>
        <w:t>根据上述项目年度目标，城市管理局申报的年度预算绩效指标及指标值的具体情况如下：</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86"/>
        <w:gridCol w:w="1628"/>
        <w:gridCol w:w="3358"/>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restar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绩效指标</w:t>
            </w:r>
          </w:p>
        </w:tc>
        <w:tc>
          <w:tcPr>
            <w:tcW w:w="638"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一级指标</w:t>
            </w:r>
          </w:p>
        </w:tc>
        <w:tc>
          <w:tcPr>
            <w:tcW w:w="956"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三级指标</w:t>
            </w:r>
          </w:p>
        </w:tc>
        <w:tc>
          <w:tcPr>
            <w:tcW w:w="1049"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restar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tc>
        <w:tc>
          <w:tcPr>
            <w:tcW w:w="956"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数量指标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公园水体治理</w:t>
            </w:r>
          </w:p>
        </w:tc>
        <w:tc>
          <w:tcPr>
            <w:tcW w:w="1049"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19485</w:t>
            </w:r>
            <w:r>
              <w:rPr>
                <w:rFonts w:hint="eastAsia" w:asciiTheme="minorEastAsia" w:hAnsiTheme="minorEastAsia" w:eastAsiaTheme="minorEastAsia" w:cstheme="minorEastAsia"/>
                <w:color w:val="000000"/>
                <w:kern w:val="0"/>
                <w:sz w:val="18"/>
                <w:szCs w:val="1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质量指标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工程质量合规率</w:t>
            </w:r>
          </w:p>
        </w:tc>
        <w:tc>
          <w:tcPr>
            <w:tcW w:w="1049"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restart"/>
            <w:tcBorders>
              <w:tl2br w:val="nil"/>
              <w:tr2bl w:val="nil"/>
            </w:tcBorders>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tc>
        <w:tc>
          <w:tcPr>
            <w:tcW w:w="956" w:type="pct"/>
            <w:vMerge w:val="restart"/>
            <w:tcBorders>
              <w:tl2br w:val="nil"/>
              <w:tr2bl w:val="nil"/>
            </w:tcBorders>
            <w:shd w:val="clear" w:color="auto" w:fill="auto"/>
            <w:vAlign w:val="center"/>
          </w:tcPr>
          <w:p>
            <w:pPr>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社会效益指标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排水及景观优化程度</w:t>
            </w:r>
          </w:p>
        </w:tc>
        <w:tc>
          <w:tcPr>
            <w:tcW w:w="1049"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vMerge w:val="continue"/>
            <w:tcBorders>
              <w:tl2br w:val="nil"/>
              <w:tr2bl w:val="nil"/>
            </w:tcBorders>
            <w:shd w:val="clear" w:color="auto" w:fill="auto"/>
            <w:vAlign w:val="center"/>
          </w:tcPr>
          <w:p>
            <w:pPr>
              <w:ind w:firstLine="0" w:firstLineChars="0"/>
              <w:jc w:val="center"/>
              <w:rPr>
                <w:rFonts w:asciiTheme="minorEastAsia" w:hAnsiTheme="minorEastAsia" w:eastAsiaTheme="minorEastAsia" w:cstheme="minorEastAsia"/>
                <w:color w:val="000000"/>
                <w:kern w:val="0"/>
                <w:sz w:val="18"/>
                <w:szCs w:val="18"/>
              </w:rPr>
            </w:pP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对生态环境保护的促进作用</w:t>
            </w:r>
          </w:p>
        </w:tc>
        <w:tc>
          <w:tcPr>
            <w:tcW w:w="1049"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5" w:type="pct"/>
            <w:vMerge w:val="continue"/>
            <w:tcBorders>
              <w:tl2br w:val="nil"/>
              <w:tr2bl w:val="nil"/>
            </w:tcBorders>
            <w:shd w:val="clear" w:color="auto" w:fill="auto"/>
            <w:vAlign w:val="center"/>
          </w:tcPr>
          <w:p>
            <w:pPr>
              <w:widowControl/>
              <w:ind w:firstLine="360"/>
              <w:jc w:val="center"/>
              <w:rPr>
                <w:rFonts w:asciiTheme="minorEastAsia" w:hAnsiTheme="minorEastAsia" w:eastAsiaTheme="minorEastAsia" w:cstheme="minorEastAsia"/>
                <w:color w:val="000000"/>
                <w:kern w:val="0"/>
                <w:sz w:val="18"/>
                <w:szCs w:val="18"/>
                <w:highlight w:val="yellow"/>
              </w:rPr>
            </w:pPr>
          </w:p>
        </w:tc>
        <w:tc>
          <w:tcPr>
            <w:tcW w:w="638" w:type="pct"/>
            <w:vMerge w:val="continue"/>
            <w:tcBorders>
              <w:tl2br w:val="nil"/>
              <w:tr2bl w:val="nil"/>
            </w:tcBorders>
            <w:vAlign w:val="center"/>
          </w:tcPr>
          <w:p>
            <w:pPr>
              <w:widowControl/>
              <w:ind w:firstLine="360"/>
              <w:jc w:val="center"/>
              <w:rPr>
                <w:rFonts w:asciiTheme="minorEastAsia" w:hAnsiTheme="minorEastAsia" w:eastAsiaTheme="minorEastAsia" w:cstheme="minorEastAsia"/>
                <w:color w:val="000000"/>
                <w:kern w:val="0"/>
                <w:sz w:val="18"/>
                <w:szCs w:val="18"/>
              </w:rPr>
            </w:pPr>
          </w:p>
        </w:tc>
        <w:tc>
          <w:tcPr>
            <w:tcW w:w="956"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满意度指标</w:t>
            </w:r>
          </w:p>
        </w:tc>
        <w:tc>
          <w:tcPr>
            <w:tcW w:w="1972" w:type="pct"/>
            <w:tcBorders>
              <w:tl2br w:val="nil"/>
              <w:tr2bl w:val="nil"/>
            </w:tcBorders>
            <w:shd w:val="clear" w:color="auto" w:fill="auto"/>
            <w:vAlign w:val="center"/>
          </w:tcPr>
          <w:p>
            <w:pPr>
              <w:widowControl/>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受益对象满意度</w:t>
            </w:r>
          </w:p>
        </w:tc>
        <w:tc>
          <w:tcPr>
            <w:tcW w:w="1049" w:type="pct"/>
            <w:tcBorders>
              <w:tl2br w:val="nil"/>
              <w:tr2bl w:val="nil"/>
            </w:tcBorders>
            <w:shd w:val="clear" w:color="auto" w:fill="auto"/>
            <w:vAlign w:val="center"/>
          </w:tcPr>
          <w:p>
            <w:pPr>
              <w:widowControl/>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≥90%</w:t>
            </w:r>
          </w:p>
        </w:tc>
      </w:tr>
    </w:tbl>
    <w:p>
      <w:pPr>
        <w:ind w:firstLine="480"/>
      </w:pPr>
      <w:r>
        <w:rPr>
          <w:rFonts w:hint="eastAsia"/>
        </w:rPr>
        <w:t>根据城市管理局提供的预算绩效目标申报表，申报表填列不规范完整，指标设定不充分全面，未通过清晰、可衡量的指标及指标值予以体现，未设定最能体现项目绩效目标实现程度和项目实施部门职能履职情况的关键的、核心的绩效指标。</w:t>
      </w:r>
    </w:p>
    <w:p>
      <w:pPr>
        <w:ind w:firstLine="480"/>
      </w:pPr>
      <w:r>
        <w:rPr>
          <w:rFonts w:hint="eastAsia"/>
        </w:rPr>
        <w:t>根据上述情况，绩效评价组在与城市管理局充分沟通一致后，根据项目具体实施内容，并结合本项目设定的背景、目的及依据等，将项目绩效指标及指标值设定如下</w:t>
      </w:r>
      <w:r>
        <w:t>：</w:t>
      </w:r>
    </w:p>
    <w:tbl>
      <w:tblPr>
        <w:tblStyle w:val="7"/>
        <w:tblW w:w="8355" w:type="dxa"/>
        <w:tblInd w:w="0" w:type="dxa"/>
        <w:tblLayout w:type="fixed"/>
        <w:tblCellMar>
          <w:top w:w="0" w:type="dxa"/>
          <w:left w:w="0" w:type="dxa"/>
          <w:bottom w:w="0" w:type="dxa"/>
          <w:right w:w="0" w:type="dxa"/>
        </w:tblCellMar>
      </w:tblPr>
      <w:tblGrid>
        <w:gridCol w:w="1065"/>
        <w:gridCol w:w="1128"/>
        <w:gridCol w:w="2220"/>
        <w:gridCol w:w="2832"/>
        <w:gridCol w:w="1110"/>
      </w:tblGrid>
      <w:tr>
        <w:tblPrEx>
          <w:tblCellMar>
            <w:top w:w="0" w:type="dxa"/>
            <w:left w:w="0" w:type="dxa"/>
            <w:bottom w:w="0" w:type="dxa"/>
            <w:right w:w="0" w:type="dxa"/>
          </w:tblCellMar>
        </w:tblPrEx>
        <w:trPr>
          <w:cantSplit/>
          <w:trHeight w:val="387" w:hRule="exact"/>
        </w:trPr>
        <w:tc>
          <w:tcPr>
            <w:tcW w:w="10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绩</w:t>
            </w:r>
            <w:r>
              <w:rPr>
                <w:rFonts w:hint="eastAsia" w:ascii="宋体" w:hAnsi="宋体" w:eastAsia="宋体" w:cs="宋体"/>
                <w:color w:val="000000"/>
                <w:kern w:val="0"/>
                <w:sz w:val="18"/>
                <w:szCs w:val="18"/>
              </w:rPr>
              <w:t>效指标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一级指标</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二级指标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指标值</w:t>
            </w:r>
          </w:p>
        </w:tc>
      </w:tr>
      <w:tr>
        <w:tblPrEx>
          <w:tblCellMar>
            <w:top w:w="0" w:type="dxa"/>
            <w:left w:w="0" w:type="dxa"/>
            <w:bottom w:w="0" w:type="dxa"/>
            <w:right w:w="0" w:type="dxa"/>
          </w:tblCellMar>
        </w:tblPrEx>
        <w:trPr>
          <w:cantSplit/>
          <w:trHeight w:val="393"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效益指标</w:t>
            </w:r>
          </w:p>
        </w:tc>
        <w:tc>
          <w:tcPr>
            <w:tcW w:w="22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经济效益指标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建安工程费用偏差率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≤0</w:t>
            </w:r>
          </w:p>
        </w:tc>
      </w:tr>
      <w:tr>
        <w:tblPrEx>
          <w:tblCellMar>
            <w:top w:w="0" w:type="dxa"/>
            <w:left w:w="0" w:type="dxa"/>
            <w:bottom w:w="0" w:type="dxa"/>
            <w:right w:w="0" w:type="dxa"/>
          </w:tblCellMar>
        </w:tblPrEx>
        <w:trPr>
          <w:cantSplit/>
          <w:trHeight w:val="393"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建设投资偏差率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≤0</w:t>
            </w:r>
          </w:p>
        </w:tc>
      </w:tr>
      <w:tr>
        <w:tblPrEx>
          <w:tblCellMar>
            <w:top w:w="0" w:type="dxa"/>
            <w:left w:w="0" w:type="dxa"/>
            <w:bottom w:w="0" w:type="dxa"/>
            <w:right w:w="0" w:type="dxa"/>
          </w:tblCellMar>
        </w:tblPrEx>
        <w:trPr>
          <w:cantSplit/>
          <w:trHeight w:val="403"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0" w:firstLineChars="0"/>
              <w:jc w:val="center"/>
              <w:rPr>
                <w:rFonts w:ascii="宋体" w:hAnsi="宋体" w:eastAsia="宋体" w:cs="宋体"/>
                <w:sz w:val="18"/>
                <w:szCs w:val="18"/>
              </w:rPr>
            </w:pPr>
          </w:p>
        </w:tc>
        <w:tc>
          <w:tcPr>
            <w:tcW w:w="22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社会效益指标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安全事故发生率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0</w:t>
            </w:r>
          </w:p>
        </w:tc>
      </w:tr>
      <w:tr>
        <w:tblPrEx>
          <w:tblCellMar>
            <w:top w:w="0" w:type="dxa"/>
            <w:left w:w="0" w:type="dxa"/>
            <w:bottom w:w="0" w:type="dxa"/>
            <w:right w:w="0" w:type="dxa"/>
          </w:tblCellMar>
        </w:tblPrEx>
        <w:trPr>
          <w:cantSplit/>
          <w:trHeight w:val="36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湿地公园免费开放率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38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湿地保护意识</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462"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2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生态效益指标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绿化覆盖率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≥30%</w:t>
            </w:r>
          </w:p>
        </w:tc>
      </w:tr>
      <w:tr>
        <w:tblPrEx>
          <w:tblCellMar>
            <w:top w:w="0" w:type="dxa"/>
            <w:left w:w="0" w:type="dxa"/>
            <w:bottom w:w="0" w:type="dxa"/>
            <w:right w:w="0" w:type="dxa"/>
          </w:tblCellMar>
        </w:tblPrEx>
        <w:trPr>
          <w:cantSplit/>
          <w:trHeight w:val="470"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绿化种植成活率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444"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22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水质检测合格率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cantSplit/>
          <w:trHeight w:val="430"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2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可持续性指标</w:t>
            </w:r>
          </w:p>
        </w:tc>
        <w:tc>
          <w:tcPr>
            <w:tcW w:w="28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可持续性影响期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≥5年</w:t>
            </w:r>
          </w:p>
        </w:tc>
      </w:tr>
      <w:tr>
        <w:tblPrEx>
          <w:tblCellMar>
            <w:top w:w="0" w:type="dxa"/>
            <w:left w:w="0" w:type="dxa"/>
            <w:bottom w:w="0" w:type="dxa"/>
            <w:right w:w="0" w:type="dxa"/>
          </w:tblCellMar>
        </w:tblPrEx>
        <w:trPr>
          <w:cantSplit/>
          <w:trHeight w:val="475" w:hRule="exact"/>
        </w:trPr>
        <w:tc>
          <w:tcPr>
            <w:tcW w:w="10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360"/>
              <w:jc w:val="center"/>
              <w:rPr>
                <w:rFonts w:ascii="宋体" w:hAnsi="宋体" w:eastAsia="宋体" w:cs="宋体"/>
                <w:sz w:val="18"/>
                <w:szCs w:val="18"/>
              </w:rPr>
            </w:pPr>
          </w:p>
        </w:tc>
        <w:tc>
          <w:tcPr>
            <w:tcW w:w="22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满意度指标</w:t>
            </w:r>
          </w:p>
        </w:tc>
        <w:tc>
          <w:tcPr>
            <w:tcW w:w="28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left"/>
              <w:rPr>
                <w:rFonts w:ascii="宋体" w:hAnsi="宋体" w:eastAsia="宋体" w:cs="宋体"/>
                <w:sz w:val="18"/>
                <w:szCs w:val="18"/>
              </w:rPr>
            </w:pPr>
            <w:r>
              <w:rPr>
                <w:rFonts w:hint="eastAsia" w:ascii="宋体" w:hAnsi="宋体" w:eastAsia="宋体" w:cs="宋体"/>
                <w:sz w:val="18"/>
                <w:szCs w:val="18"/>
              </w:rPr>
              <w:t>社会公众或服务对象满意度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ind w:firstLine="0" w:firstLineChars="0"/>
              <w:jc w:val="center"/>
              <w:rPr>
                <w:rFonts w:ascii="宋体" w:hAnsi="宋体" w:eastAsia="宋体" w:cs="宋体"/>
                <w:sz w:val="18"/>
                <w:szCs w:val="18"/>
              </w:rPr>
            </w:pPr>
            <w:r>
              <w:rPr>
                <w:rFonts w:hint="eastAsia" w:ascii="宋体" w:hAnsi="宋体" w:eastAsia="宋体" w:cs="宋体"/>
                <w:sz w:val="18"/>
                <w:szCs w:val="18"/>
              </w:rPr>
              <w:t>≥90%</w:t>
            </w:r>
          </w:p>
        </w:tc>
      </w:tr>
    </w:tbl>
    <w:p>
      <w:pPr>
        <w:spacing w:before="312" w:beforeLines="100"/>
        <w:ind w:firstLine="480"/>
        <w:rPr>
          <w:rFonts w:ascii="楷体" w:hAnsi="楷体" w:eastAsia="楷体" w:cs="楷体"/>
          <w:color w:val="FF0000"/>
          <w:szCs w:val="24"/>
        </w:rPr>
      </w:pPr>
      <w:bookmarkStart w:id="15" w:name="_Toc502134853"/>
      <w:r>
        <w:rPr>
          <w:rFonts w:hint="eastAsia" w:ascii="楷体" w:hAnsi="楷体" w:eastAsia="楷体" w:cs="楷体"/>
          <w:szCs w:val="24"/>
        </w:rPr>
        <w:t>(五)组织管理情况</w:t>
      </w:r>
      <w:bookmarkEnd w:id="15"/>
    </w:p>
    <w:p>
      <w:pPr>
        <w:ind w:firstLine="480"/>
      </w:pPr>
      <w:r>
        <w:rPr>
          <w:rFonts w:hint="eastAsia"/>
        </w:rPr>
        <w:t>1.项目实施主体。项目以城市管理局为主管部门，</w:t>
      </w:r>
      <w:bookmarkStart w:id="16" w:name="_Hlk143952680"/>
      <w:r>
        <w:rPr>
          <w:rFonts w:hint="eastAsia"/>
        </w:rPr>
        <w:t>云南恒庆建设有限公司</w:t>
      </w:r>
      <w:bookmarkEnd w:id="16"/>
      <w:r>
        <w:rPr>
          <w:rFonts w:hint="eastAsia"/>
        </w:rPr>
        <w:t>为具体实施单位，编写实施方案，组织实施，确保项目任务的完成。</w:t>
      </w:r>
    </w:p>
    <w:p>
      <w:pPr>
        <w:ind w:firstLine="480"/>
      </w:pPr>
      <w:r>
        <w:rPr>
          <w:rFonts w:hint="eastAsia"/>
        </w:rPr>
        <w:t>2.保障措施。一是以项目管理办法保障项目的申报范围、安排导向和实施方式；二是以绩效考核、工程质量监测的方式发挥资金效益；三是以预算明细的方式保障资金安排的科学规范，城市管理局建立预算管理制度，规范管理项目。</w:t>
      </w:r>
    </w:p>
    <w:p>
      <w:pPr>
        <w:ind w:firstLine="480"/>
      </w:pPr>
      <w:r>
        <w:rPr>
          <w:rFonts w:hint="eastAsia"/>
        </w:rPr>
        <w:t>3.资金安排程序。由涉及到的相关处室进行项目经费的测算，测算完后及时将所需资金报城市管理局，城市管理局领导成员班子通过会议讨论决定最终项目经费。</w:t>
      </w:r>
    </w:p>
    <w:p>
      <w:pPr>
        <w:ind w:firstLine="480"/>
      </w:pPr>
      <w:r>
        <w:rPr>
          <w:rFonts w:hint="eastAsia"/>
        </w:rPr>
        <w:t>4.资金安排标准或依据。《关于下达</w:t>
      </w:r>
      <w:r>
        <w:t>2021年市级生态文明建设资金支出预算的通知》（寻财预〔2022〕29号），项目预算资金为2,000,000.00元</w:t>
      </w:r>
      <w:r>
        <w:rPr>
          <w:rFonts w:hint="eastAsia"/>
        </w:rPr>
        <w:t>。</w:t>
      </w:r>
    </w:p>
    <w:p>
      <w:pPr>
        <w:ind w:firstLine="480"/>
      </w:pPr>
      <w:r>
        <w:rPr>
          <w:rFonts w:hint="eastAsia"/>
        </w:rPr>
        <w:t>5.财务管理。城市管理局制定了《寻甸县城市管理局财务管理制度》等财务管理制度。规定了严格的审批制度。加强专项资金管理，严格执行财务管理制度，切实提高财政资金的使用效率。资金管理及核算执行《政府会计制度》。</w:t>
      </w:r>
    </w:p>
    <w:p>
      <w:pPr>
        <w:ind w:firstLine="480"/>
        <w:rPr>
          <w:rFonts w:ascii="黑体" w:hAnsi="黑体" w:eastAsia="黑体" w:cs="黑体"/>
          <w:szCs w:val="24"/>
        </w:rPr>
      </w:pPr>
      <w:bookmarkStart w:id="17" w:name="_Toc502134854"/>
      <w:r>
        <w:rPr>
          <w:rFonts w:hint="eastAsia" w:ascii="黑体" w:hAnsi="黑体" w:eastAsia="黑体" w:cs="黑体"/>
          <w:szCs w:val="24"/>
        </w:rPr>
        <w:t>二、绩效自评情况</w:t>
      </w:r>
      <w:bookmarkEnd w:id="17"/>
    </w:p>
    <w:p>
      <w:pPr>
        <w:ind w:firstLine="480"/>
        <w:rPr>
          <w:rFonts w:ascii="楷体" w:hAnsi="楷体" w:eastAsia="楷体" w:cs="楷体"/>
          <w:szCs w:val="24"/>
        </w:rPr>
      </w:pPr>
      <w:bookmarkStart w:id="18" w:name="_Toc502134855"/>
      <w:bookmarkStart w:id="19" w:name="_Toc498009772"/>
      <w:r>
        <w:rPr>
          <w:rFonts w:hint="eastAsia" w:ascii="楷体" w:hAnsi="楷体" w:eastAsia="楷体" w:cs="楷体"/>
          <w:szCs w:val="24"/>
        </w:rPr>
        <w:t>(一)绩效自评概述</w:t>
      </w:r>
      <w:bookmarkEnd w:id="18"/>
      <w:bookmarkEnd w:id="19"/>
    </w:p>
    <w:p>
      <w:pPr>
        <w:ind w:firstLine="480"/>
      </w:pPr>
      <w:bookmarkStart w:id="20" w:name="_Toc498009773"/>
      <w:bookmarkStart w:id="21" w:name="_Toc502134856"/>
      <w:r>
        <w:rPr>
          <w:rFonts w:hint="eastAsia"/>
        </w:rPr>
        <w:t>根据</w:t>
      </w:r>
      <w:bookmarkStart w:id="22" w:name="_Hlk143869243"/>
      <w:r>
        <w:rPr>
          <w:rFonts w:hint="eastAsia"/>
        </w:rPr>
        <w:t>《寻甸县财政局关于印发</w:t>
      </w:r>
      <w:r>
        <w:t>&lt;寻甸县本级部门预算绩效自评管理暂行办法&gt;的通知》（寻财绩〔20</w:t>
      </w:r>
      <w:r>
        <w:rPr>
          <w:rFonts w:hint="eastAsia"/>
        </w:rPr>
        <w:t>18</w:t>
      </w:r>
      <w:r>
        <w:t>〕9号）</w:t>
      </w:r>
      <w:bookmarkEnd w:id="22"/>
      <w:r>
        <w:rPr>
          <w:rFonts w:hint="eastAsia"/>
        </w:rPr>
        <w:t>等文件的规定，城市管理局成立了202</w:t>
      </w:r>
      <w:r>
        <w:t>2</w:t>
      </w:r>
      <w:r>
        <w:rPr>
          <w:rFonts w:hint="eastAsia"/>
        </w:rPr>
        <w:t>年湿地公园清淤改造项目支出绩效自评组，并于202</w:t>
      </w:r>
      <w:r>
        <w:t>3</w:t>
      </w:r>
      <w:r>
        <w:rPr>
          <w:rFonts w:hint="eastAsia"/>
        </w:rPr>
        <w:t>年</w:t>
      </w:r>
      <w:r>
        <w:t>7</w:t>
      </w:r>
      <w:r>
        <w:rPr>
          <w:rFonts w:hint="eastAsia"/>
        </w:rPr>
        <w:t>月形成了《寻甸回族彝族自治县城市管理局202</w:t>
      </w:r>
      <w:r>
        <w:t>2</w:t>
      </w:r>
      <w:r>
        <w:rPr>
          <w:rFonts w:hint="eastAsia"/>
        </w:rPr>
        <w:t>年湿地公园清淤改造项目支出绩效自评报告》。</w:t>
      </w:r>
    </w:p>
    <w:p>
      <w:pPr>
        <w:ind w:firstLine="480"/>
        <w:rPr>
          <w:rFonts w:ascii="楷体" w:hAnsi="楷体" w:eastAsia="楷体" w:cs="楷体"/>
          <w:szCs w:val="24"/>
        </w:rPr>
      </w:pPr>
      <w:r>
        <w:rPr>
          <w:rFonts w:hint="eastAsia" w:ascii="楷体" w:hAnsi="楷体" w:eastAsia="楷体" w:cs="楷体"/>
          <w:szCs w:val="24"/>
        </w:rPr>
        <w:t>(二)绩效自评结论</w:t>
      </w:r>
      <w:bookmarkEnd w:id="20"/>
      <w:bookmarkEnd w:id="21"/>
    </w:p>
    <w:p>
      <w:pPr>
        <w:ind w:firstLine="480"/>
        <w:rPr>
          <w:rFonts w:cs="仿宋"/>
          <w:szCs w:val="24"/>
        </w:rPr>
      </w:pPr>
      <w:r>
        <w:rPr>
          <w:rFonts w:hint="eastAsia" w:cs="仿宋"/>
          <w:szCs w:val="24"/>
        </w:rPr>
        <w:t>根据城市管理局提供的《2</w:t>
      </w:r>
      <w:r>
        <w:rPr>
          <w:rFonts w:cs="仿宋"/>
          <w:szCs w:val="24"/>
        </w:rPr>
        <w:t>022</w:t>
      </w:r>
      <w:r>
        <w:rPr>
          <w:rFonts w:hint="eastAsia" w:cs="仿宋"/>
          <w:szCs w:val="24"/>
        </w:rPr>
        <w:t>年</w:t>
      </w:r>
      <w:bookmarkStart w:id="23" w:name="_Hlk143941822"/>
      <w:r>
        <w:rPr>
          <w:rFonts w:hint="eastAsia" w:cs="仿宋"/>
          <w:szCs w:val="24"/>
        </w:rPr>
        <w:t>湿地公园清淤改造项目</w:t>
      </w:r>
      <w:bookmarkEnd w:id="23"/>
      <w:r>
        <w:rPr>
          <w:rFonts w:hint="eastAsia" w:cs="仿宋"/>
          <w:szCs w:val="24"/>
        </w:rPr>
        <w:t>支出绩效自评报告》，城市管理局202</w:t>
      </w:r>
      <w:r>
        <w:rPr>
          <w:rFonts w:cs="仿宋"/>
          <w:szCs w:val="24"/>
        </w:rPr>
        <w:t>2</w:t>
      </w:r>
      <w:r>
        <w:rPr>
          <w:rFonts w:hint="eastAsia" w:cs="仿宋"/>
          <w:szCs w:val="24"/>
        </w:rPr>
        <w:t>年湿地公园清淤改造项目的决策、管理、绩效情况自评综合得分为9</w:t>
      </w:r>
      <w:r>
        <w:rPr>
          <w:rFonts w:cs="仿宋"/>
          <w:szCs w:val="24"/>
        </w:rPr>
        <w:t>8.90</w:t>
      </w:r>
      <w:r>
        <w:rPr>
          <w:rFonts w:hint="eastAsia" w:cs="仿宋"/>
          <w:szCs w:val="24"/>
        </w:rPr>
        <w:t>分，自评等级为“优”。</w:t>
      </w:r>
    </w:p>
    <w:p>
      <w:pPr>
        <w:ind w:firstLine="480"/>
        <w:rPr>
          <w:rFonts w:ascii="黑体" w:hAnsi="黑体" w:eastAsia="黑体" w:cs="黑体"/>
          <w:szCs w:val="24"/>
        </w:rPr>
      </w:pPr>
      <w:bookmarkStart w:id="24" w:name="_Toc502134857"/>
      <w:r>
        <w:rPr>
          <w:rFonts w:hint="eastAsia" w:ascii="黑体" w:hAnsi="黑体" w:eastAsia="黑体" w:cs="黑体"/>
          <w:szCs w:val="24"/>
        </w:rPr>
        <w:t>三、绩效评价组织情况</w:t>
      </w:r>
      <w:bookmarkEnd w:id="24"/>
    </w:p>
    <w:p>
      <w:pPr>
        <w:ind w:firstLine="480"/>
        <w:rPr>
          <w:rFonts w:ascii="楷体" w:hAnsi="楷体" w:eastAsia="楷体" w:cs="楷体"/>
          <w:szCs w:val="24"/>
        </w:rPr>
      </w:pPr>
      <w:bookmarkStart w:id="25" w:name="_Toc502134858"/>
      <w:r>
        <w:rPr>
          <w:rFonts w:hint="eastAsia" w:ascii="楷体" w:hAnsi="楷体" w:eastAsia="楷体" w:cs="楷体"/>
          <w:szCs w:val="24"/>
        </w:rPr>
        <w:t>(一)绩效评价依据</w:t>
      </w:r>
      <w:bookmarkEnd w:id="25"/>
    </w:p>
    <w:p>
      <w:pPr>
        <w:ind w:firstLine="480"/>
        <w:rPr>
          <w:rFonts w:cs="仿宋"/>
          <w:szCs w:val="24"/>
        </w:rPr>
      </w:pPr>
      <w:r>
        <w:rPr>
          <w:rFonts w:hint="eastAsia" w:cs="仿宋"/>
          <w:szCs w:val="24"/>
        </w:rPr>
        <w:t>1.《中华人民共和国预算法》（201</w:t>
      </w:r>
      <w:r>
        <w:rPr>
          <w:rFonts w:cs="仿宋"/>
          <w:szCs w:val="24"/>
        </w:rPr>
        <w:t>8</w:t>
      </w:r>
      <w:r>
        <w:rPr>
          <w:rFonts w:hint="eastAsia" w:cs="仿宋"/>
          <w:szCs w:val="24"/>
        </w:rPr>
        <w:t>年修订）；</w:t>
      </w:r>
    </w:p>
    <w:p>
      <w:pPr>
        <w:ind w:firstLine="480"/>
        <w:rPr>
          <w:rFonts w:cs="仿宋"/>
          <w:szCs w:val="24"/>
        </w:rPr>
      </w:pPr>
      <w:r>
        <w:rPr>
          <w:rFonts w:hint="eastAsia" w:cs="仿宋"/>
          <w:szCs w:val="24"/>
        </w:rPr>
        <w:t>2.《项目支出绩效评价管理办法》（财预〔2020〕10号）；</w:t>
      </w:r>
    </w:p>
    <w:p>
      <w:pPr>
        <w:ind w:firstLine="480"/>
        <w:rPr>
          <w:rFonts w:cs="仿宋"/>
          <w:szCs w:val="24"/>
        </w:rPr>
      </w:pPr>
      <w:r>
        <w:rPr>
          <w:rFonts w:hint="eastAsia" w:cs="仿宋"/>
          <w:szCs w:val="24"/>
        </w:rPr>
        <w:t>3.《中共云南省委、云南省人民政府关于全面实施预算管理绩效的意见》（云发〔2019〕11号）；</w:t>
      </w:r>
    </w:p>
    <w:p>
      <w:pPr>
        <w:ind w:firstLine="480"/>
        <w:rPr>
          <w:rFonts w:cs="仿宋"/>
          <w:szCs w:val="24"/>
        </w:rPr>
      </w:pPr>
      <w:r>
        <w:rPr>
          <w:rFonts w:hint="eastAsia" w:cs="仿宋"/>
          <w:szCs w:val="24"/>
        </w:rPr>
        <w:t>4.《云南省省级财政预算绩效管理暂行办法》（云财预〔2015〕295号）；</w:t>
      </w:r>
    </w:p>
    <w:p>
      <w:pPr>
        <w:ind w:firstLine="480"/>
        <w:rPr>
          <w:rFonts w:cs="仿宋"/>
          <w:szCs w:val="24"/>
        </w:rPr>
      </w:pPr>
      <w:r>
        <w:rPr>
          <w:rFonts w:hint="eastAsia" w:cs="仿宋"/>
          <w:szCs w:val="24"/>
        </w:rPr>
        <w:t>5.</w:t>
      </w:r>
      <w:bookmarkStart w:id="26" w:name="_Hlk143869363"/>
      <w:r>
        <w:rPr>
          <w:rFonts w:hint="eastAsia" w:cs="仿宋"/>
          <w:szCs w:val="24"/>
        </w:rPr>
        <w:t>《关于全面推进预算绩效管理改革的实施意见》（寻政发〔</w:t>
      </w:r>
      <w:r>
        <w:rPr>
          <w:rFonts w:cs="仿宋"/>
          <w:szCs w:val="24"/>
        </w:rPr>
        <w:t>2016〕122号）</w:t>
      </w:r>
      <w:r>
        <w:rPr>
          <w:rFonts w:hint="eastAsia" w:cs="仿宋"/>
          <w:szCs w:val="24"/>
        </w:rPr>
        <w:t>；</w:t>
      </w:r>
    </w:p>
    <w:p>
      <w:pPr>
        <w:ind w:firstLine="480"/>
        <w:rPr>
          <w:rFonts w:cs="仿宋"/>
          <w:szCs w:val="24"/>
        </w:rPr>
      </w:pPr>
      <w:r>
        <w:rPr>
          <w:rFonts w:cs="仿宋"/>
          <w:szCs w:val="24"/>
        </w:rPr>
        <w:t>6.</w:t>
      </w:r>
      <w:r>
        <w:rPr>
          <w:rFonts w:hint="eastAsia" w:cs="仿宋"/>
          <w:szCs w:val="24"/>
        </w:rPr>
        <w:t>《关于</w:t>
      </w:r>
      <w:r>
        <w:rPr>
          <w:rFonts w:cs="仿宋"/>
          <w:szCs w:val="24"/>
        </w:rPr>
        <w:t>2022年度部门整体支出、重大项目支出和地方政府债券项目支出绩效再评价的通知》（寻财绩〔2023〕5号）</w:t>
      </w:r>
      <w:r>
        <w:rPr>
          <w:rFonts w:hint="eastAsia" w:cs="仿宋"/>
          <w:szCs w:val="24"/>
        </w:rPr>
        <w:t>；</w:t>
      </w:r>
    </w:p>
    <w:p>
      <w:pPr>
        <w:ind w:firstLine="480"/>
        <w:rPr>
          <w:rFonts w:cs="仿宋"/>
          <w:szCs w:val="24"/>
        </w:rPr>
      </w:pPr>
      <w:r>
        <w:rPr>
          <w:rFonts w:cs="仿宋"/>
          <w:szCs w:val="24"/>
        </w:rPr>
        <w:t>7</w:t>
      </w:r>
      <w:r>
        <w:rPr>
          <w:rFonts w:hint="eastAsia" w:cs="仿宋"/>
          <w:szCs w:val="24"/>
        </w:rPr>
        <w:t>.其他相关依据文件</w:t>
      </w:r>
      <w:bookmarkEnd w:id="26"/>
      <w:r>
        <w:rPr>
          <w:rFonts w:hint="eastAsia" w:cs="仿宋"/>
          <w:szCs w:val="24"/>
        </w:rPr>
        <w:t>。</w:t>
      </w:r>
    </w:p>
    <w:p>
      <w:pPr>
        <w:ind w:firstLine="480"/>
        <w:rPr>
          <w:rFonts w:ascii="楷体" w:hAnsi="楷体" w:eastAsia="楷体" w:cs="楷体"/>
          <w:szCs w:val="24"/>
        </w:rPr>
      </w:pPr>
      <w:bookmarkStart w:id="27" w:name="_Toc502134859"/>
      <w:r>
        <w:rPr>
          <w:rFonts w:hint="eastAsia" w:ascii="楷体" w:hAnsi="楷体" w:eastAsia="楷体" w:cs="楷体"/>
          <w:szCs w:val="24"/>
        </w:rPr>
        <w:t>(二)绩效评价方法</w:t>
      </w:r>
      <w:bookmarkEnd w:id="27"/>
    </w:p>
    <w:p>
      <w:pPr>
        <w:ind w:firstLine="480"/>
        <w:rPr>
          <w:rFonts w:cs="仿宋"/>
          <w:szCs w:val="24"/>
        </w:rPr>
      </w:pPr>
      <w:r>
        <w:rPr>
          <w:rFonts w:hint="eastAsia" w:cs="仿宋"/>
          <w:szCs w:val="24"/>
        </w:rPr>
        <w:t>本次绩效评价采取定量与定性相结合的方式，具体实施了审阅、实地踏勘、检查、分析复核、计算、交换和反馈意见、专家会审等程序。通过资料收集、数据填报、案卷研究、实地调研、座谈会、问卷调查等方式，开展实地评价。对202</w:t>
      </w:r>
      <w:r>
        <w:rPr>
          <w:rFonts w:cs="仿宋"/>
          <w:szCs w:val="24"/>
        </w:rPr>
        <w:t>2</w:t>
      </w:r>
      <w:r>
        <w:rPr>
          <w:rFonts w:hint="eastAsia" w:cs="仿宋"/>
          <w:szCs w:val="24"/>
        </w:rPr>
        <w:t>年湿地公园清淤改造项目相关档案资料进行查阅，结合现场核实情况和资金到位使用及结余情况的分析，进行数据分析和取证。</w:t>
      </w:r>
    </w:p>
    <w:p>
      <w:pPr>
        <w:ind w:firstLine="480"/>
        <w:rPr>
          <w:rFonts w:cs="仿宋"/>
          <w:szCs w:val="24"/>
        </w:rPr>
      </w:pPr>
      <w:r>
        <w:rPr>
          <w:rFonts w:hint="eastAsia" w:cs="仿宋"/>
          <w:szCs w:val="24"/>
        </w:rPr>
        <w:t>具体方法可以采用以下</w:t>
      </w:r>
      <w:r>
        <w:rPr>
          <w:rFonts w:hint="eastAsia" w:cs="仿宋"/>
          <w:szCs w:val="24"/>
          <w:lang w:val="en-US" w:eastAsia="zh-CN"/>
        </w:rPr>
        <w:t>6</w:t>
      </w:r>
      <w:r>
        <w:rPr>
          <w:rFonts w:hint="eastAsia" w:cs="仿宋"/>
          <w:szCs w:val="24"/>
        </w:rPr>
        <w:t>种方法中的一种，也可多种评价方法并用：目标比较法、成本效益法、历史比较法、专家评价法、问卷调查法、横向比较法。</w:t>
      </w:r>
    </w:p>
    <w:p>
      <w:pPr>
        <w:ind w:firstLine="480"/>
        <w:rPr>
          <w:rFonts w:ascii="楷体" w:hAnsi="楷体" w:eastAsia="楷体" w:cs="楷体"/>
          <w:szCs w:val="24"/>
        </w:rPr>
      </w:pPr>
      <w:bookmarkStart w:id="28" w:name="_Toc502134860"/>
      <w:r>
        <w:rPr>
          <w:rFonts w:hint="eastAsia" w:ascii="楷体" w:hAnsi="楷体" w:eastAsia="楷体" w:cs="楷体"/>
          <w:szCs w:val="24"/>
        </w:rPr>
        <w:t>(三)绩效评价指标体系</w:t>
      </w:r>
      <w:bookmarkEnd w:id="28"/>
    </w:p>
    <w:p>
      <w:pPr>
        <w:ind w:firstLine="480"/>
        <w:rPr>
          <w:rFonts w:cs="仿宋"/>
          <w:szCs w:val="24"/>
        </w:rPr>
      </w:pPr>
      <w:r>
        <w:rPr>
          <w:rFonts w:hint="eastAsia" w:cs="仿宋"/>
          <w:szCs w:val="24"/>
        </w:rPr>
        <w:t>1.绩效评价指标</w:t>
      </w:r>
    </w:p>
    <w:p>
      <w:pPr>
        <w:ind w:firstLine="480"/>
        <w:rPr>
          <w:rFonts w:cs="仿宋"/>
          <w:szCs w:val="24"/>
        </w:rPr>
      </w:pPr>
      <w:bookmarkStart w:id="29" w:name="_Toc502134861"/>
      <w:r>
        <w:rPr>
          <w:rFonts w:hint="eastAsia" w:cs="仿宋"/>
          <w:szCs w:val="24"/>
        </w:rPr>
        <w:t>本项目绩效评价以100分计，设项目决策、项目执行过程、项目产出、项目效益4个一级指标，权重分别为：1</w:t>
      </w:r>
      <w:r>
        <w:rPr>
          <w:rFonts w:cs="仿宋"/>
          <w:szCs w:val="24"/>
        </w:rPr>
        <w:t>6</w:t>
      </w:r>
      <w:r>
        <w:rPr>
          <w:rFonts w:hint="eastAsia" w:cs="仿宋"/>
          <w:szCs w:val="24"/>
        </w:rPr>
        <w:t>%、2</w:t>
      </w:r>
      <w:r>
        <w:rPr>
          <w:rFonts w:cs="仿宋"/>
          <w:szCs w:val="24"/>
        </w:rPr>
        <w:t>2</w:t>
      </w:r>
      <w:r>
        <w:rPr>
          <w:rFonts w:hint="eastAsia" w:cs="仿宋"/>
          <w:szCs w:val="24"/>
        </w:rPr>
        <w:t>%、3</w:t>
      </w:r>
      <w:r>
        <w:rPr>
          <w:rFonts w:cs="仿宋"/>
          <w:szCs w:val="24"/>
        </w:rPr>
        <w:t>2</w:t>
      </w:r>
      <w:r>
        <w:rPr>
          <w:rFonts w:hint="eastAsia" w:cs="仿宋"/>
          <w:szCs w:val="24"/>
        </w:rPr>
        <w:t>%、30%。在此基础上设定14个二级指标（项目立项、绩效目标、资金投入、资金管理、组织实施、产出数量、产出质量、产出时效、产出成本、</w:t>
      </w:r>
      <w:r>
        <w:rPr>
          <w:rFonts w:hint="eastAsia" w:cs="仿宋"/>
          <w:szCs w:val="24"/>
          <w:lang w:val="en-US" w:eastAsia="zh-CN"/>
        </w:rPr>
        <w:t>经济效益、</w:t>
      </w:r>
      <w:r>
        <w:rPr>
          <w:rFonts w:hint="eastAsia" w:cs="仿宋"/>
          <w:szCs w:val="24"/>
        </w:rPr>
        <w:t>社会效益、生态效益、可持续性、满意度），设2</w:t>
      </w:r>
      <w:r>
        <w:rPr>
          <w:rFonts w:cs="仿宋"/>
          <w:szCs w:val="24"/>
        </w:rPr>
        <w:t>5</w:t>
      </w:r>
      <w:r>
        <w:rPr>
          <w:rFonts w:hint="eastAsia" w:cs="仿宋"/>
          <w:szCs w:val="24"/>
        </w:rPr>
        <w:t>个三级指标</w:t>
      </w:r>
      <w:bookmarkStart w:id="30" w:name="_Hlk143856496"/>
      <w:r>
        <w:rPr>
          <w:rFonts w:hint="eastAsia" w:cs="仿宋"/>
          <w:szCs w:val="24"/>
        </w:rPr>
        <w:t>（详见后附“</w:t>
      </w:r>
      <w:r>
        <w:rPr>
          <w:rFonts w:cs="仿宋"/>
          <w:szCs w:val="24"/>
        </w:rPr>
        <w:t>寻甸县湿地公园清淤改造项目支出绩效评价指标体系及评分表</w:t>
      </w:r>
      <w:r>
        <w:rPr>
          <w:rFonts w:hint="eastAsia" w:cs="仿宋"/>
          <w:szCs w:val="24"/>
        </w:rPr>
        <w:t>”）</w:t>
      </w:r>
      <w:bookmarkEnd w:id="30"/>
      <w:r>
        <w:rPr>
          <w:rFonts w:hint="eastAsia" w:cs="仿宋"/>
          <w:szCs w:val="24"/>
        </w:rPr>
        <w:t>。</w:t>
      </w:r>
    </w:p>
    <w:p>
      <w:pPr>
        <w:ind w:firstLine="480"/>
        <w:rPr>
          <w:rFonts w:cs="仿宋"/>
          <w:szCs w:val="24"/>
        </w:rPr>
      </w:pPr>
      <w:r>
        <w:rPr>
          <w:rFonts w:hint="eastAsia" w:cs="仿宋"/>
          <w:szCs w:val="24"/>
        </w:rPr>
        <w:t>2.评价标准</w:t>
      </w:r>
    </w:p>
    <w:p>
      <w:pPr>
        <w:ind w:firstLine="480"/>
        <w:rPr>
          <w:rFonts w:cs="仿宋"/>
          <w:szCs w:val="24"/>
        </w:rPr>
      </w:pPr>
      <w:r>
        <w:rPr>
          <w:rFonts w:hint="eastAsia" w:cs="仿宋"/>
          <w:szCs w:val="24"/>
        </w:rPr>
        <w:t>(1)项目支出评价得分满分为100分。</w:t>
      </w:r>
    </w:p>
    <w:p>
      <w:pPr>
        <w:ind w:firstLine="480"/>
        <w:rPr>
          <w:rFonts w:cs="仿宋"/>
          <w:szCs w:val="24"/>
        </w:rPr>
      </w:pPr>
      <w:r>
        <w:rPr>
          <w:rFonts w:hint="eastAsia" w:cs="仿宋"/>
          <w:szCs w:val="24"/>
        </w:rPr>
        <w:t>(2)由审计评价组根据评价情况，对各单项指标分别进行独立打分。</w:t>
      </w:r>
    </w:p>
    <w:p>
      <w:pPr>
        <w:ind w:firstLine="480"/>
        <w:rPr>
          <w:rFonts w:cs="仿宋"/>
          <w:szCs w:val="24"/>
        </w:rPr>
      </w:pPr>
      <w:r>
        <w:rPr>
          <w:rFonts w:hint="eastAsia" w:cs="仿宋"/>
          <w:szCs w:val="24"/>
        </w:rPr>
        <w:t>(3)总评价分为各单项指标得分总和。</w:t>
      </w:r>
    </w:p>
    <w:p>
      <w:pPr>
        <w:ind w:firstLine="480"/>
        <w:rPr>
          <w:rFonts w:cs="仿宋"/>
          <w:szCs w:val="24"/>
        </w:rPr>
      </w:pPr>
      <w:r>
        <w:rPr>
          <w:rFonts w:hint="eastAsia" w:cs="仿宋"/>
          <w:szCs w:val="24"/>
        </w:rPr>
        <w:t>(4)评价结果：根据最终得分情况将评价结果分为四个等级：优（得分≥90分）；良（80分≤得分＜90分）；中（60≤得分＜80分）；差（得分＜60分）。</w:t>
      </w:r>
    </w:p>
    <w:p>
      <w:pPr>
        <w:ind w:firstLine="480"/>
        <w:rPr>
          <w:rFonts w:cs="仿宋"/>
          <w:szCs w:val="24"/>
        </w:rPr>
      </w:pPr>
      <w:bookmarkStart w:id="31" w:name="_Toc7874"/>
      <w:bookmarkStart w:id="32" w:name="_Toc25624"/>
      <w:r>
        <w:rPr>
          <w:rFonts w:hint="eastAsia" w:cs="仿宋"/>
          <w:szCs w:val="24"/>
        </w:rPr>
        <w:t>3.数据来源</w:t>
      </w:r>
      <w:bookmarkEnd w:id="31"/>
      <w:bookmarkEnd w:id="32"/>
    </w:p>
    <w:p>
      <w:pPr>
        <w:ind w:firstLine="480"/>
        <w:rPr>
          <w:rFonts w:cs="仿宋"/>
          <w:color w:val="FF0000"/>
          <w:szCs w:val="24"/>
        </w:rPr>
      </w:pPr>
      <w:r>
        <w:rPr>
          <w:rFonts w:hint="eastAsia" w:cs="仿宋"/>
          <w:szCs w:val="24"/>
        </w:rPr>
        <w:t>绩效评价数据由城市管理局提供。</w:t>
      </w:r>
    </w:p>
    <w:bookmarkEnd w:id="29"/>
    <w:p>
      <w:pPr>
        <w:ind w:firstLine="480"/>
        <w:rPr>
          <w:rFonts w:ascii="黑体" w:hAnsi="黑体" w:eastAsia="黑体" w:cs="黑体"/>
          <w:szCs w:val="24"/>
        </w:rPr>
      </w:pPr>
      <w:bookmarkStart w:id="33" w:name="_Toc502134862"/>
      <w:r>
        <w:rPr>
          <w:rFonts w:hint="eastAsia" w:ascii="黑体" w:hAnsi="黑体" w:eastAsia="黑体" w:cs="黑体"/>
          <w:szCs w:val="24"/>
        </w:rPr>
        <w:t>四、</w:t>
      </w:r>
      <w:bookmarkEnd w:id="33"/>
      <w:r>
        <w:rPr>
          <w:rFonts w:hint="eastAsia" w:ascii="黑体" w:hAnsi="黑体" w:eastAsia="黑体" w:cs="黑体"/>
          <w:szCs w:val="24"/>
        </w:rPr>
        <w:t>综合评价情况及评价结论</w:t>
      </w:r>
    </w:p>
    <w:p>
      <w:pPr>
        <w:ind w:firstLine="480"/>
        <w:rPr>
          <w:rFonts w:cs="仿宋"/>
          <w:szCs w:val="24"/>
        </w:rPr>
      </w:pPr>
      <w:bookmarkStart w:id="34" w:name="_Toc498009781"/>
      <w:r>
        <w:rPr>
          <w:rFonts w:hint="eastAsia" w:cs="仿宋"/>
          <w:szCs w:val="24"/>
        </w:rPr>
        <w:t>城市管理局202</w:t>
      </w:r>
      <w:r>
        <w:rPr>
          <w:rFonts w:cs="仿宋"/>
          <w:szCs w:val="24"/>
        </w:rPr>
        <w:t>2</w:t>
      </w:r>
      <w:r>
        <w:rPr>
          <w:rFonts w:hint="eastAsia" w:cs="仿宋"/>
          <w:szCs w:val="24"/>
        </w:rPr>
        <w:t>年湿地公园清淤改造项目支出绩效评价综合评分</w:t>
      </w:r>
      <w:r>
        <w:rPr>
          <w:rFonts w:cs="仿宋"/>
          <w:szCs w:val="24"/>
        </w:rPr>
        <w:t>80.39</w:t>
      </w:r>
      <w:r>
        <w:rPr>
          <w:rFonts w:hint="eastAsia" w:cs="仿宋"/>
          <w:szCs w:val="24"/>
        </w:rPr>
        <w:t>分，评价等级“良”（详见后附“</w:t>
      </w:r>
      <w:r>
        <w:rPr>
          <w:rFonts w:cs="仿宋"/>
          <w:szCs w:val="24"/>
        </w:rPr>
        <w:t>寻甸县</w:t>
      </w:r>
      <w:bookmarkStart w:id="35" w:name="_Hlk143949498"/>
      <w:r>
        <w:rPr>
          <w:rFonts w:cs="仿宋"/>
          <w:szCs w:val="24"/>
        </w:rPr>
        <w:t>湿地公园清淤改造</w:t>
      </w:r>
      <w:bookmarkEnd w:id="35"/>
      <w:r>
        <w:rPr>
          <w:rFonts w:cs="仿宋"/>
          <w:szCs w:val="24"/>
        </w:rPr>
        <w:t>项目支出绩效评价指标体系及评分表</w:t>
      </w:r>
      <w:r>
        <w:rPr>
          <w:rFonts w:hint="eastAsia" w:cs="仿宋"/>
          <w:szCs w:val="24"/>
        </w:rPr>
        <w:t>”）。</w:t>
      </w:r>
    </w:p>
    <w:p>
      <w:pPr>
        <w:ind w:firstLine="480"/>
        <w:rPr>
          <w:rFonts w:ascii="仿宋_GB2312" w:eastAsia="仿宋_GB2312" w:cs="仿宋"/>
          <w:szCs w:val="24"/>
        </w:rPr>
      </w:pPr>
      <w:r>
        <w:rPr>
          <w:rFonts w:hint="eastAsia" w:cs="仿宋"/>
          <w:szCs w:val="24"/>
        </w:rPr>
        <w:t>综合评价结论：</w:t>
      </w:r>
      <w:bookmarkStart w:id="36" w:name="_Toc502134864"/>
      <w:r>
        <w:rPr>
          <w:rFonts w:hint="eastAsia" w:cs="仿宋"/>
          <w:szCs w:val="24"/>
        </w:rPr>
        <w:t>202</w:t>
      </w:r>
      <w:r>
        <w:rPr>
          <w:rFonts w:cs="仿宋"/>
          <w:szCs w:val="24"/>
        </w:rPr>
        <w:t>2</w:t>
      </w:r>
      <w:r>
        <w:rPr>
          <w:rFonts w:hint="eastAsia" w:cs="仿宋"/>
          <w:szCs w:val="24"/>
        </w:rPr>
        <w:t>年湿地公园清淤改造项目已实施完成，项目实施取得了良好的产出和效益，改善了居民生活环境，营造了良好的城市形象及卫生环境，但项目建设总成本超预算资金1</w:t>
      </w:r>
      <w:r>
        <w:rPr>
          <w:rFonts w:cs="仿宋"/>
          <w:szCs w:val="24"/>
        </w:rPr>
        <w:t>3.67%</w:t>
      </w:r>
      <w:r>
        <w:rPr>
          <w:rFonts w:hint="eastAsia" w:cs="仿宋"/>
          <w:szCs w:val="24"/>
        </w:rPr>
        <w:t>，主要是实际工程量超预期导致投资成本超预算金额。</w:t>
      </w:r>
    </w:p>
    <w:bookmarkEnd w:id="34"/>
    <w:bookmarkEnd w:id="36"/>
    <w:p>
      <w:pPr>
        <w:ind w:firstLine="480"/>
        <w:rPr>
          <w:rFonts w:ascii="黑体" w:hAnsi="黑体" w:eastAsia="黑体" w:cs="黑体"/>
          <w:szCs w:val="24"/>
        </w:rPr>
      </w:pPr>
      <w:bookmarkStart w:id="37" w:name="_Toc498009783"/>
      <w:bookmarkStart w:id="38" w:name="_Toc502134866"/>
      <w:r>
        <w:rPr>
          <w:rFonts w:hint="eastAsia" w:ascii="黑体" w:hAnsi="黑体" w:eastAsia="黑体" w:cs="黑体"/>
          <w:szCs w:val="24"/>
        </w:rPr>
        <w:t>五、绩效评价情况分析</w:t>
      </w:r>
      <w:bookmarkEnd w:id="37"/>
      <w:bookmarkEnd w:id="38"/>
    </w:p>
    <w:p>
      <w:pPr>
        <w:ind w:firstLine="480"/>
        <w:rPr>
          <w:rFonts w:ascii="楷体" w:hAnsi="楷体" w:eastAsia="楷体" w:cs="楷体"/>
          <w:szCs w:val="24"/>
        </w:rPr>
      </w:pPr>
      <w:bookmarkStart w:id="39" w:name="_Toc498009784"/>
      <w:bookmarkStart w:id="40" w:name="_Toc502134867"/>
      <w:r>
        <w:rPr>
          <w:rFonts w:hint="eastAsia" w:ascii="楷体" w:hAnsi="楷体" w:eastAsia="楷体" w:cs="楷体"/>
          <w:szCs w:val="24"/>
        </w:rPr>
        <w:t>(一)项目决策分析</w:t>
      </w:r>
      <w:bookmarkEnd w:id="39"/>
      <w:bookmarkEnd w:id="40"/>
    </w:p>
    <w:p>
      <w:pPr>
        <w:ind w:firstLine="480"/>
        <w:rPr>
          <w:rFonts w:cs="仿宋"/>
          <w:szCs w:val="24"/>
        </w:rPr>
      </w:pPr>
      <w:r>
        <w:rPr>
          <w:rFonts w:hint="eastAsia" w:cs="仿宋"/>
          <w:szCs w:val="24"/>
        </w:rPr>
        <w:t>项目决策满分1</w:t>
      </w:r>
      <w:r>
        <w:rPr>
          <w:rFonts w:cs="仿宋"/>
          <w:szCs w:val="24"/>
        </w:rPr>
        <w:t>6</w:t>
      </w:r>
      <w:r>
        <w:rPr>
          <w:rFonts w:hint="eastAsia" w:cs="仿宋"/>
          <w:szCs w:val="24"/>
        </w:rPr>
        <w:t>分，评价综合评分1</w:t>
      </w:r>
      <w:r>
        <w:rPr>
          <w:rFonts w:cs="仿宋"/>
          <w:szCs w:val="24"/>
        </w:rPr>
        <w:t>1</w:t>
      </w:r>
      <w:r>
        <w:rPr>
          <w:rFonts w:hint="eastAsia" w:cs="仿宋"/>
          <w:szCs w:val="24"/>
        </w:rPr>
        <w:t>分（占该项满分值的</w:t>
      </w:r>
      <w:r>
        <w:rPr>
          <w:rFonts w:cs="仿宋"/>
          <w:szCs w:val="24"/>
        </w:rPr>
        <w:t>68.75</w:t>
      </w:r>
      <w:r>
        <w:rPr>
          <w:rFonts w:hint="eastAsia" w:cs="仿宋"/>
          <w:szCs w:val="24"/>
        </w:rPr>
        <w:t>%），具体情况如下：</w:t>
      </w:r>
      <w:bookmarkStart w:id="41" w:name="_Toc502134868"/>
    </w:p>
    <w:p>
      <w:pPr>
        <w:ind w:firstLine="480"/>
        <w:rPr>
          <w:rFonts w:cs="仿宋"/>
          <w:szCs w:val="24"/>
        </w:rPr>
      </w:pPr>
      <w:r>
        <w:rPr>
          <w:rFonts w:hint="eastAsia" w:cs="仿宋"/>
          <w:szCs w:val="24"/>
        </w:rPr>
        <w:t>1.项目立项依据充分，符合国家法律法规、国民经济发展规划、行业发展规划和相关政策要求，与《寻甸县“十四五”城市管理规划》及部门职能职责等相匹配，属于公共财政支持范围，未与相关部门同类项目或部门内部相关项目重复。城市管理局获取《关于寻甸县生态文明示范创建项目立项的批复》（寻发改投资〔</w:t>
      </w:r>
      <w:r>
        <w:rPr>
          <w:rFonts w:cs="仿宋"/>
          <w:szCs w:val="24"/>
        </w:rPr>
        <w:t>2022</w:t>
      </w:r>
      <w:r>
        <w:rPr>
          <w:rFonts w:hint="eastAsia" w:cs="仿宋"/>
          <w:szCs w:val="24"/>
        </w:rPr>
        <w:t>〕</w:t>
      </w:r>
      <w:r>
        <w:rPr>
          <w:rFonts w:cs="仿宋"/>
          <w:szCs w:val="24"/>
        </w:rPr>
        <w:t>2号文件）</w:t>
      </w:r>
      <w:r>
        <w:rPr>
          <w:rFonts w:hint="eastAsia" w:cs="仿宋"/>
          <w:szCs w:val="24"/>
        </w:rPr>
        <w:t>等项目立项程序资料，并按照政府采购管理规定通过竞争性比选，最终确定</w:t>
      </w:r>
      <w:bookmarkStart w:id="42" w:name="_Hlk143954211"/>
      <w:r>
        <w:rPr>
          <w:rFonts w:hint="eastAsia" w:cs="仿宋"/>
          <w:szCs w:val="24"/>
        </w:rPr>
        <w:t>云南恒庆建设有限公司</w:t>
      </w:r>
      <w:bookmarkEnd w:id="42"/>
      <w:r>
        <w:rPr>
          <w:rFonts w:hint="eastAsia" w:cs="仿宋"/>
          <w:szCs w:val="24"/>
        </w:rPr>
        <w:t>为“202</w:t>
      </w:r>
      <w:r>
        <w:rPr>
          <w:rFonts w:cs="仿宋"/>
          <w:szCs w:val="24"/>
        </w:rPr>
        <w:t>2</w:t>
      </w:r>
      <w:r>
        <w:rPr>
          <w:rFonts w:hint="eastAsia" w:cs="仿宋"/>
          <w:szCs w:val="24"/>
        </w:rPr>
        <w:t>年湿地公园清淤改造项目”的具体实施单位，项目立项程序基本规范，但未报批《寻甸县湿地公园清淤改造项目施工图图册》。</w:t>
      </w:r>
    </w:p>
    <w:p>
      <w:pPr>
        <w:ind w:firstLine="480"/>
        <w:rPr>
          <w:rFonts w:cs="仿宋"/>
          <w:szCs w:val="24"/>
        </w:rPr>
      </w:pPr>
      <w:r>
        <w:rPr>
          <w:rFonts w:hint="eastAsia" w:cs="仿宋"/>
          <w:szCs w:val="24"/>
        </w:rPr>
        <w:t>2.项目所设定的绩效目标与实际工作内容具有相关性，与预算确定的项目投资额或资金量相匹配，符合客观实际、国家相关法律法规、国民经济发展规划和党委政府决策等，但项目所设定的年度目标未清晰项目实施内容及具体的工作数量。《绩效目标申报表》未将绩效目标细化分解为具体的工作任务，未通过清晰、可衡量的指标及指标值予以体现，未设定最能体现项目绩效目标实现程度和项目实施部门职能履职情况的关键的、核心的绩效指标。</w:t>
      </w:r>
    </w:p>
    <w:p>
      <w:pPr>
        <w:pStyle w:val="4"/>
        <w:spacing w:after="0"/>
        <w:ind w:firstLine="480"/>
        <w:rPr>
          <w:rFonts w:cs="仿宋"/>
          <w:szCs w:val="24"/>
        </w:rPr>
      </w:pPr>
      <w:r>
        <w:rPr>
          <w:rFonts w:hint="eastAsia" w:cs="仿宋"/>
          <w:szCs w:val="24"/>
        </w:rPr>
        <w:t>3.项目支出预算依据基本充分、合理，与项目内容相匹配，确定的项目投资额或资金量与工作任务相匹配，预算资金分配依据充分，资金分配额度合理，与项目单位或地方实际相适应。</w:t>
      </w:r>
    </w:p>
    <w:p>
      <w:pPr>
        <w:ind w:firstLine="480"/>
        <w:rPr>
          <w:rFonts w:ascii="楷体" w:hAnsi="楷体" w:eastAsia="楷体" w:cs="楷体"/>
          <w:szCs w:val="24"/>
        </w:rPr>
      </w:pPr>
      <w:r>
        <w:rPr>
          <w:rFonts w:hint="eastAsia" w:ascii="楷体" w:hAnsi="楷体" w:eastAsia="楷体" w:cs="楷体"/>
          <w:szCs w:val="24"/>
        </w:rPr>
        <w:t>(二</w:t>
      </w:r>
      <w:bookmarkStart w:id="43" w:name="_Toc498009785"/>
      <w:r>
        <w:rPr>
          <w:rFonts w:hint="eastAsia" w:ascii="楷体" w:hAnsi="楷体" w:eastAsia="楷体" w:cs="楷体"/>
          <w:szCs w:val="24"/>
        </w:rPr>
        <w:t>)项目过程管理情况分析</w:t>
      </w:r>
      <w:bookmarkEnd w:id="41"/>
      <w:bookmarkEnd w:id="43"/>
    </w:p>
    <w:p>
      <w:pPr>
        <w:ind w:firstLine="480"/>
        <w:rPr>
          <w:rFonts w:cs="仿宋"/>
          <w:szCs w:val="24"/>
        </w:rPr>
      </w:pPr>
      <w:r>
        <w:rPr>
          <w:rFonts w:hint="eastAsia" w:cs="仿宋"/>
          <w:szCs w:val="24"/>
        </w:rPr>
        <w:t>项目过程管理满分2</w:t>
      </w:r>
      <w:r>
        <w:rPr>
          <w:rFonts w:cs="仿宋"/>
          <w:szCs w:val="24"/>
        </w:rPr>
        <w:t>2</w:t>
      </w:r>
      <w:r>
        <w:rPr>
          <w:rFonts w:hint="eastAsia" w:cs="仿宋"/>
          <w:szCs w:val="24"/>
        </w:rPr>
        <w:t>分，评价综合评分1</w:t>
      </w:r>
      <w:r>
        <w:rPr>
          <w:rFonts w:cs="仿宋"/>
          <w:szCs w:val="24"/>
        </w:rPr>
        <w:t>5.98</w:t>
      </w:r>
      <w:r>
        <w:rPr>
          <w:rFonts w:hint="eastAsia" w:cs="仿宋"/>
          <w:szCs w:val="24"/>
        </w:rPr>
        <w:t>分（占该项满分值的</w:t>
      </w:r>
      <w:r>
        <w:rPr>
          <w:rFonts w:cs="仿宋"/>
          <w:szCs w:val="24"/>
        </w:rPr>
        <w:t>72.64</w:t>
      </w:r>
      <w:r>
        <w:rPr>
          <w:rFonts w:hint="eastAsia" w:cs="仿宋"/>
          <w:szCs w:val="24"/>
        </w:rPr>
        <w:t>%），具体情况如下：</w:t>
      </w:r>
      <w:bookmarkStart w:id="44" w:name="_Toc502134869"/>
      <w:bookmarkStart w:id="45" w:name="_Toc498009786"/>
    </w:p>
    <w:p>
      <w:pPr>
        <w:ind w:firstLine="480"/>
        <w:rPr>
          <w:rFonts w:cs="仿宋"/>
          <w:szCs w:val="24"/>
        </w:rPr>
      </w:pPr>
      <w:r>
        <w:rPr>
          <w:rFonts w:hint="eastAsia" w:cs="仿宋"/>
          <w:szCs w:val="24"/>
        </w:rPr>
        <w:t>1.202</w:t>
      </w:r>
      <w:r>
        <w:rPr>
          <w:rFonts w:cs="仿宋"/>
          <w:szCs w:val="24"/>
        </w:rPr>
        <w:t>2</w:t>
      </w:r>
      <w:r>
        <w:rPr>
          <w:rFonts w:hint="eastAsia" w:cs="仿宋"/>
          <w:szCs w:val="24"/>
        </w:rPr>
        <w:t>年项目预算资金</w:t>
      </w:r>
      <w:r>
        <w:rPr>
          <w:rFonts w:cs="仿宋"/>
          <w:szCs w:val="24"/>
        </w:rPr>
        <w:t>2</w:t>
      </w:r>
      <w:r>
        <w:rPr>
          <w:rFonts w:hint="eastAsia" w:cs="仿宋"/>
          <w:szCs w:val="24"/>
        </w:rPr>
        <w:t>,</w:t>
      </w:r>
      <w:r>
        <w:rPr>
          <w:rFonts w:cs="仿宋"/>
          <w:szCs w:val="24"/>
        </w:rPr>
        <w:t>0</w:t>
      </w:r>
      <w:r>
        <w:rPr>
          <w:rFonts w:hint="eastAsia" w:cs="仿宋"/>
          <w:szCs w:val="24"/>
        </w:rPr>
        <w:t>00,000.00元，根据项目支出台账，202</w:t>
      </w:r>
      <w:r>
        <w:rPr>
          <w:rFonts w:cs="仿宋"/>
          <w:szCs w:val="24"/>
        </w:rPr>
        <w:t>2</w:t>
      </w:r>
      <w:r>
        <w:rPr>
          <w:rFonts w:hint="eastAsia" w:cs="仿宋"/>
          <w:szCs w:val="24"/>
        </w:rPr>
        <w:t>年湿地公园清淤改造项目实际到位资金</w:t>
      </w:r>
      <w:bookmarkStart w:id="46" w:name="_Hlk143953278"/>
      <w:r>
        <w:rPr>
          <w:rFonts w:cs="仿宋"/>
          <w:szCs w:val="24"/>
        </w:rPr>
        <w:t>1,590,942.25</w:t>
      </w:r>
      <w:bookmarkEnd w:id="46"/>
      <w:r>
        <w:rPr>
          <w:rFonts w:cs="仿宋"/>
          <w:szCs w:val="24"/>
        </w:rPr>
        <w:t>元，资金到位率79.55%。</w:t>
      </w:r>
      <w:r>
        <w:rPr>
          <w:rFonts w:hint="eastAsia" w:cs="仿宋"/>
          <w:szCs w:val="24"/>
        </w:rPr>
        <w:t>。</w:t>
      </w:r>
    </w:p>
    <w:p>
      <w:pPr>
        <w:ind w:firstLine="480"/>
        <w:rPr>
          <w:rFonts w:cs="仿宋"/>
          <w:szCs w:val="24"/>
        </w:rPr>
      </w:pPr>
      <w:r>
        <w:rPr>
          <w:rFonts w:hint="eastAsia" w:cs="仿宋"/>
          <w:szCs w:val="24"/>
        </w:rPr>
        <w:t>2.202</w:t>
      </w:r>
      <w:r>
        <w:rPr>
          <w:rFonts w:cs="仿宋"/>
          <w:szCs w:val="24"/>
        </w:rPr>
        <w:t>2</w:t>
      </w:r>
      <w:r>
        <w:rPr>
          <w:rFonts w:hint="eastAsia" w:cs="仿宋"/>
          <w:szCs w:val="24"/>
        </w:rPr>
        <w:t>年项目预算收入</w:t>
      </w:r>
      <w:r>
        <w:rPr>
          <w:rFonts w:cs="仿宋"/>
          <w:szCs w:val="24"/>
        </w:rPr>
        <w:t>1,590,942.25元</w:t>
      </w:r>
      <w:r>
        <w:rPr>
          <w:rFonts w:hint="eastAsia" w:cs="仿宋"/>
          <w:szCs w:val="24"/>
        </w:rPr>
        <w:t>，根据项目支出台账，截至202</w:t>
      </w:r>
      <w:r>
        <w:rPr>
          <w:rFonts w:cs="仿宋"/>
          <w:szCs w:val="24"/>
        </w:rPr>
        <w:t>2</w:t>
      </w:r>
      <w:r>
        <w:rPr>
          <w:rFonts w:hint="eastAsia" w:cs="仿宋"/>
          <w:szCs w:val="24"/>
        </w:rPr>
        <w:t>年12月31日，共计支付相关费用</w:t>
      </w:r>
      <w:r>
        <w:rPr>
          <w:rFonts w:cs="仿宋"/>
          <w:szCs w:val="24"/>
        </w:rPr>
        <w:t>1,590,942.25</w:t>
      </w:r>
      <w:r>
        <w:rPr>
          <w:rFonts w:hint="eastAsia" w:cs="仿宋"/>
          <w:szCs w:val="24"/>
        </w:rPr>
        <w:t>元，预算执行率为100%。</w:t>
      </w:r>
    </w:p>
    <w:p>
      <w:pPr>
        <w:ind w:firstLine="480"/>
        <w:rPr>
          <w:rFonts w:cs="仿宋"/>
          <w:szCs w:val="24"/>
        </w:rPr>
      </w:pPr>
      <w:r>
        <w:rPr>
          <w:rFonts w:hint="eastAsia" w:cs="仿宋"/>
          <w:szCs w:val="24"/>
        </w:rPr>
        <w:t>3.项目预算资金使用基本符合国家财经法规和财务管理制度以及有关专项资金管理办法的规定和预算批复的用途，资金的拨付审批程序和手续完整，未发现截留、挤占、挪用、虚列支出等情况，但抽查发现项目资金支付存在原始凭证交接工作脱节、资金支付无银行支付凭证、资本性支出费用化等情况。</w:t>
      </w:r>
    </w:p>
    <w:p>
      <w:pPr>
        <w:ind w:firstLine="480"/>
        <w:rPr>
          <w:rFonts w:cs="仿宋"/>
          <w:szCs w:val="24"/>
        </w:rPr>
      </w:pPr>
      <w:r>
        <w:rPr>
          <w:rFonts w:hint="eastAsia" w:cs="仿宋"/>
          <w:szCs w:val="24"/>
        </w:rPr>
        <w:t>4.项目财务管理执行《寻甸县城市管理局财务管理制度》、《寻甸回族彝族自治县城市管理局会计、出纳职能职责管理规定》等有关规定，内控制度基本健全。</w:t>
      </w:r>
    </w:p>
    <w:p>
      <w:pPr>
        <w:ind w:firstLine="480"/>
        <w:rPr>
          <w:rFonts w:cs="仿宋"/>
          <w:szCs w:val="24"/>
        </w:rPr>
      </w:pPr>
      <w:r>
        <w:rPr>
          <w:rFonts w:hint="eastAsia" w:cs="仿宋"/>
          <w:szCs w:val="24"/>
        </w:rPr>
        <w:t>5.项目在业务管理方面执行国家有关法律法规，相关管理制度基本能够得到有效的执行，政府采购程序基本合法合规，但检查发现，存在项目绩效目标管理不到位、建安投资超概算等情况。</w:t>
      </w:r>
    </w:p>
    <w:p>
      <w:pPr>
        <w:ind w:firstLine="480"/>
        <w:rPr>
          <w:rFonts w:ascii="楷体" w:hAnsi="楷体" w:eastAsia="楷体" w:cs="楷体"/>
          <w:szCs w:val="24"/>
        </w:rPr>
      </w:pPr>
      <w:r>
        <w:rPr>
          <w:rFonts w:hint="eastAsia" w:ascii="楷体" w:hAnsi="楷体" w:eastAsia="楷体" w:cs="楷体"/>
          <w:szCs w:val="24"/>
        </w:rPr>
        <w:t>(三)项目产出情况分析</w:t>
      </w:r>
    </w:p>
    <w:p>
      <w:pPr>
        <w:ind w:firstLine="480"/>
        <w:rPr>
          <w:rFonts w:cs="仿宋"/>
          <w:szCs w:val="24"/>
        </w:rPr>
      </w:pPr>
      <w:r>
        <w:rPr>
          <w:rFonts w:hint="eastAsia" w:cs="仿宋"/>
          <w:szCs w:val="24"/>
        </w:rPr>
        <w:t>项目产出满分3</w:t>
      </w:r>
      <w:r>
        <w:rPr>
          <w:rFonts w:cs="仿宋"/>
          <w:szCs w:val="24"/>
        </w:rPr>
        <w:t>2</w:t>
      </w:r>
      <w:r>
        <w:rPr>
          <w:rFonts w:hint="eastAsia" w:cs="仿宋"/>
          <w:szCs w:val="24"/>
        </w:rPr>
        <w:t>分，评价综合评分</w:t>
      </w:r>
      <w:r>
        <w:rPr>
          <w:rFonts w:cs="仿宋"/>
          <w:szCs w:val="24"/>
        </w:rPr>
        <w:t>29</w:t>
      </w:r>
      <w:r>
        <w:rPr>
          <w:rFonts w:hint="eastAsia" w:cs="仿宋"/>
          <w:szCs w:val="24"/>
        </w:rPr>
        <w:t>分（占该项满分值的</w:t>
      </w:r>
      <w:r>
        <w:rPr>
          <w:rFonts w:cs="仿宋"/>
          <w:szCs w:val="24"/>
        </w:rPr>
        <w:t>90.63</w:t>
      </w:r>
      <w:r>
        <w:rPr>
          <w:rFonts w:hint="eastAsia" w:cs="仿宋"/>
          <w:szCs w:val="24"/>
        </w:rPr>
        <w:t>%），具体情况如下：</w:t>
      </w:r>
    </w:p>
    <w:p>
      <w:pPr>
        <w:ind w:firstLine="480"/>
        <w:rPr>
          <w:rFonts w:cs="仿宋"/>
          <w:szCs w:val="24"/>
        </w:rPr>
      </w:pPr>
      <w:r>
        <w:rPr>
          <w:rFonts w:hint="eastAsia" w:cs="仿宋"/>
          <w:szCs w:val="24"/>
        </w:rPr>
        <w:t>202</w:t>
      </w:r>
      <w:r>
        <w:rPr>
          <w:rFonts w:cs="仿宋"/>
          <w:szCs w:val="24"/>
        </w:rPr>
        <w:t>2</w:t>
      </w:r>
      <w:r>
        <w:rPr>
          <w:rFonts w:hint="eastAsia" w:cs="仿宋"/>
          <w:szCs w:val="24"/>
        </w:rPr>
        <w:t>年度，城市管理局为主管部门、</w:t>
      </w:r>
      <w:bookmarkStart w:id="47" w:name="_Hlk143955045"/>
      <w:r>
        <w:rPr>
          <w:rFonts w:hint="eastAsia" w:cs="仿宋"/>
          <w:szCs w:val="24"/>
        </w:rPr>
        <w:t>云南恒庆建设有限公司</w:t>
      </w:r>
      <w:bookmarkEnd w:id="47"/>
      <w:r>
        <w:rPr>
          <w:rFonts w:hint="eastAsia" w:cs="仿宋"/>
          <w:szCs w:val="24"/>
        </w:rPr>
        <w:t>为项目具体实施单位，在设计工期9</w:t>
      </w:r>
      <w:r>
        <w:rPr>
          <w:rFonts w:cs="仿宋"/>
          <w:szCs w:val="24"/>
        </w:rPr>
        <w:t>0</w:t>
      </w:r>
      <w:r>
        <w:rPr>
          <w:rFonts w:hint="eastAsia" w:cs="仿宋"/>
          <w:szCs w:val="24"/>
        </w:rPr>
        <w:t>天内及时完成汇龙湿地公园</w:t>
      </w:r>
      <w:r>
        <w:rPr>
          <w:rFonts w:cs="仿宋"/>
          <w:szCs w:val="24"/>
        </w:rPr>
        <w:t>19485平方米水体清淤治理</w:t>
      </w:r>
      <w:r>
        <w:rPr>
          <w:rFonts w:hint="eastAsia" w:cs="仿宋"/>
          <w:szCs w:val="24"/>
        </w:rPr>
        <w:t>工程</w:t>
      </w:r>
      <w:r>
        <w:rPr>
          <w:rFonts w:cs="仿宋"/>
          <w:szCs w:val="24"/>
        </w:rPr>
        <w:t>，清除过度生长的挺水植物和淤积泥沙，</w:t>
      </w:r>
      <w:r>
        <w:rPr>
          <w:rFonts w:hint="eastAsia" w:cs="仿宋"/>
          <w:szCs w:val="24"/>
        </w:rPr>
        <w:t>共计清理</w:t>
      </w:r>
      <w:r>
        <w:rPr>
          <w:rFonts w:cs="仿宋"/>
          <w:szCs w:val="24"/>
        </w:rPr>
        <w:t>淤积泥沙、杂物4.37万</w:t>
      </w:r>
      <w:r>
        <w:rPr>
          <w:rFonts w:hint="eastAsia" w:cs="仿宋"/>
          <w:szCs w:val="24"/>
        </w:rPr>
        <w:t>余</w:t>
      </w:r>
      <w:r>
        <w:rPr>
          <w:rFonts w:cs="仿宋"/>
          <w:szCs w:val="24"/>
        </w:rPr>
        <w:t>立方米，并对</w:t>
      </w:r>
      <w:r>
        <w:rPr>
          <w:rFonts w:hint="eastAsia" w:cs="仿宋"/>
          <w:szCs w:val="24"/>
        </w:rPr>
        <w:t>拦沙坝等</w:t>
      </w:r>
      <w:r>
        <w:rPr>
          <w:rFonts w:cs="仿宋"/>
          <w:szCs w:val="24"/>
        </w:rPr>
        <w:t>河道配套设施进行改造修复</w:t>
      </w:r>
      <w:r>
        <w:rPr>
          <w:rFonts w:hint="eastAsia" w:cs="仿宋"/>
          <w:szCs w:val="24"/>
        </w:rPr>
        <w:t>，并于</w:t>
      </w:r>
      <w:r>
        <w:rPr>
          <w:rFonts w:cs="仿宋"/>
          <w:szCs w:val="24"/>
        </w:rPr>
        <w:t>2022年12月6日经项目验收小组验收，</w:t>
      </w:r>
      <w:r>
        <w:rPr>
          <w:rFonts w:hint="eastAsia" w:cs="仿宋"/>
          <w:szCs w:val="24"/>
        </w:rPr>
        <w:t>项目</w:t>
      </w:r>
      <w:r>
        <w:rPr>
          <w:rFonts w:cs="仿宋"/>
          <w:szCs w:val="24"/>
        </w:rPr>
        <w:t>工程质量合格，同意验收。</w:t>
      </w:r>
    </w:p>
    <w:p>
      <w:pPr>
        <w:ind w:firstLine="480"/>
        <w:rPr>
          <w:rFonts w:cs="仿宋"/>
          <w:szCs w:val="24"/>
        </w:rPr>
      </w:pPr>
      <w:bookmarkStart w:id="48" w:name="_Hlk145494052"/>
      <w:r>
        <w:rPr>
          <w:rFonts w:hint="eastAsia" w:cs="仿宋"/>
          <w:szCs w:val="24"/>
        </w:rPr>
        <w:t>项目建设总成本约为</w:t>
      </w:r>
      <w:r>
        <w:rPr>
          <w:rFonts w:cs="仿宋"/>
          <w:szCs w:val="24"/>
        </w:rPr>
        <w:t>2,273,376.02元</w:t>
      </w:r>
      <w:r>
        <w:rPr>
          <w:rFonts w:hint="eastAsia" w:cs="仿宋"/>
          <w:szCs w:val="24"/>
        </w:rPr>
        <w:t>：</w:t>
      </w:r>
    </w:p>
    <w:p>
      <w:pPr>
        <w:ind w:firstLine="480"/>
        <w:rPr>
          <w:rFonts w:cs="仿宋"/>
          <w:szCs w:val="24"/>
        </w:rPr>
      </w:pPr>
      <w:r>
        <w:rPr>
          <w:rFonts w:cs="仿宋"/>
          <w:szCs w:val="24"/>
        </w:rPr>
        <w:t>1.</w:t>
      </w:r>
      <w:r>
        <w:rPr>
          <w:rFonts w:hint="eastAsia" w:cs="仿宋"/>
          <w:szCs w:val="24"/>
        </w:rPr>
        <w:t>建筑安装成本：</w:t>
      </w:r>
      <w:bookmarkStart w:id="49" w:name="_Hlk145493484"/>
      <w:r>
        <w:rPr>
          <w:rFonts w:hint="eastAsia" w:cs="仿宋"/>
          <w:szCs w:val="24"/>
        </w:rPr>
        <w:t>项目工程施工合同价为1</w:t>
      </w:r>
      <w:r>
        <w:rPr>
          <w:rFonts w:cs="仿宋"/>
          <w:szCs w:val="24"/>
        </w:rPr>
        <w:t>,988,677.81</w:t>
      </w:r>
      <w:r>
        <w:rPr>
          <w:rFonts w:hint="eastAsia" w:cs="仿宋"/>
          <w:szCs w:val="24"/>
        </w:rPr>
        <w:t>元</w:t>
      </w:r>
      <w:bookmarkEnd w:id="49"/>
      <w:r>
        <w:rPr>
          <w:rFonts w:hint="eastAsia" w:cs="仿宋"/>
          <w:szCs w:val="24"/>
        </w:rPr>
        <w:t>、施工单位编报《寻甸县湿地公园清淤改造项目工程竣工结算书》的工程结算金额为2</w:t>
      </w:r>
      <w:r>
        <w:rPr>
          <w:rFonts w:cs="仿宋"/>
          <w:szCs w:val="24"/>
        </w:rPr>
        <w:t>,254,399.58</w:t>
      </w:r>
      <w:r>
        <w:rPr>
          <w:rFonts w:hint="eastAsia" w:cs="仿宋"/>
          <w:szCs w:val="24"/>
        </w:rPr>
        <w:t>元、</w:t>
      </w:r>
      <w:bookmarkStart w:id="50" w:name="_Hlk145492324"/>
      <w:r>
        <w:rPr>
          <w:rFonts w:hint="eastAsia" w:cs="仿宋"/>
          <w:szCs w:val="24"/>
        </w:rPr>
        <w:t>云南鼎泰工程建设咨询有限公司</w:t>
      </w:r>
      <w:bookmarkEnd w:id="50"/>
      <w:r>
        <w:rPr>
          <w:rFonts w:hint="eastAsia" w:cs="仿宋"/>
          <w:szCs w:val="24"/>
        </w:rPr>
        <w:t>《审核报告》（云鼎价</w:t>
      </w:r>
      <w:r>
        <w:rPr>
          <w:rFonts w:cs="仿宋"/>
          <w:szCs w:val="24"/>
        </w:rPr>
        <w:t>2022-102）审核金额2,184,691.85元</w:t>
      </w:r>
      <w:r>
        <w:rPr>
          <w:rFonts w:hint="eastAsia" w:cs="仿宋"/>
          <w:szCs w:val="24"/>
        </w:rPr>
        <w:t>。</w:t>
      </w:r>
    </w:p>
    <w:p>
      <w:pPr>
        <w:ind w:firstLine="480"/>
        <w:rPr>
          <w:rFonts w:cs="仿宋"/>
          <w:szCs w:val="24"/>
        </w:rPr>
      </w:pPr>
      <w:r>
        <w:rPr>
          <w:rFonts w:cs="仿宋"/>
          <w:szCs w:val="24"/>
        </w:rPr>
        <w:t>2.</w:t>
      </w:r>
      <w:r>
        <w:rPr>
          <w:rFonts w:hint="eastAsia" w:cs="仿宋"/>
          <w:szCs w:val="24"/>
        </w:rPr>
        <w:t>技术服务成本：《建设工程设计合同》合同金额</w:t>
      </w:r>
      <w:r>
        <w:rPr>
          <w:rFonts w:cs="仿宋"/>
          <w:szCs w:val="24"/>
        </w:rPr>
        <w:t>50,000.00元</w:t>
      </w:r>
      <w:r>
        <w:rPr>
          <w:rFonts w:hint="eastAsia" w:cs="仿宋"/>
          <w:szCs w:val="24"/>
        </w:rPr>
        <w:t>，《建设工程监理合同》合同金额</w:t>
      </w:r>
      <w:r>
        <w:rPr>
          <w:rFonts w:cs="仿宋"/>
          <w:szCs w:val="24"/>
        </w:rPr>
        <w:t>29,830.17元</w:t>
      </w:r>
      <w:r>
        <w:rPr>
          <w:rFonts w:hint="eastAsia" w:cs="仿宋"/>
          <w:szCs w:val="24"/>
        </w:rPr>
        <w:t>，《建设工程造价合同》（合同金额：比率合同）</w:t>
      </w:r>
      <w:r>
        <w:rPr>
          <w:rFonts w:cs="仿宋"/>
          <w:szCs w:val="24"/>
        </w:rPr>
        <w:t>约8,854.00元</w:t>
      </w:r>
      <w:r>
        <w:rPr>
          <w:rFonts w:hint="eastAsia" w:cs="仿宋"/>
          <w:szCs w:val="24"/>
        </w:rPr>
        <w:t>。</w:t>
      </w:r>
    </w:p>
    <w:p>
      <w:pPr>
        <w:ind w:firstLine="480"/>
        <w:rPr>
          <w:rFonts w:cs="仿宋"/>
          <w:szCs w:val="24"/>
        </w:rPr>
      </w:pPr>
      <w:r>
        <w:rPr>
          <w:rFonts w:hint="eastAsia" w:cs="仿宋"/>
          <w:szCs w:val="24"/>
        </w:rPr>
        <w:t>上述1、2</w:t>
      </w:r>
      <w:r>
        <w:rPr>
          <w:rFonts w:cs="仿宋"/>
          <w:szCs w:val="24"/>
        </w:rPr>
        <w:t>分析</w:t>
      </w:r>
      <w:r>
        <w:rPr>
          <w:rFonts w:hint="eastAsia" w:cs="仿宋"/>
          <w:szCs w:val="24"/>
        </w:rPr>
        <w:t>，</w:t>
      </w:r>
      <w:bookmarkStart w:id="51" w:name="_Hlk145493579"/>
      <w:r>
        <w:rPr>
          <w:rFonts w:hint="eastAsia" w:cs="仿宋"/>
          <w:szCs w:val="24"/>
        </w:rPr>
        <w:t>项目</w:t>
      </w:r>
      <w:r>
        <w:rPr>
          <w:rFonts w:cs="仿宋"/>
          <w:szCs w:val="24"/>
        </w:rPr>
        <w:t>投资</w:t>
      </w:r>
      <w:r>
        <w:rPr>
          <w:rFonts w:hint="eastAsia" w:cs="仿宋"/>
          <w:szCs w:val="24"/>
        </w:rPr>
        <w:t>总成本</w:t>
      </w:r>
      <w:r>
        <w:rPr>
          <w:rFonts w:cs="仿宋"/>
          <w:szCs w:val="24"/>
        </w:rPr>
        <w:t>为2,273,376.02元</w:t>
      </w:r>
      <w:bookmarkEnd w:id="51"/>
      <w:r>
        <w:rPr>
          <w:rFonts w:cs="仿宋"/>
          <w:szCs w:val="24"/>
        </w:rPr>
        <w:t>，</w:t>
      </w:r>
      <w:r>
        <w:rPr>
          <w:rFonts w:hint="eastAsia" w:cs="仿宋"/>
          <w:szCs w:val="24"/>
        </w:rPr>
        <w:t>超</w:t>
      </w:r>
      <w:r>
        <w:rPr>
          <w:rFonts w:cs="仿宋"/>
          <w:szCs w:val="24"/>
        </w:rPr>
        <w:t>项目预算273,376.02元</w:t>
      </w:r>
      <w:r>
        <w:rPr>
          <w:rFonts w:hint="eastAsia" w:cs="仿宋"/>
          <w:szCs w:val="24"/>
        </w:rPr>
        <w:t>，</w:t>
      </w:r>
      <w:r>
        <w:rPr>
          <w:rFonts w:cs="仿宋"/>
          <w:szCs w:val="24"/>
        </w:rPr>
        <w:t>成本节约率-13.67%</w:t>
      </w:r>
      <w:r>
        <w:rPr>
          <w:rFonts w:hint="eastAsia" w:cs="仿宋"/>
          <w:szCs w:val="24"/>
        </w:rPr>
        <w:t>，</w:t>
      </w:r>
      <w:bookmarkStart w:id="52" w:name="_Hlk148609757"/>
      <w:r>
        <w:rPr>
          <w:rFonts w:hint="eastAsia" w:cs="仿宋"/>
          <w:szCs w:val="24"/>
        </w:rPr>
        <w:t>主要是实际工程量超预期导致投资成本超预算金额</w:t>
      </w:r>
      <w:bookmarkEnd w:id="52"/>
      <w:r>
        <w:rPr>
          <w:rFonts w:hint="eastAsia" w:cs="仿宋"/>
          <w:szCs w:val="24"/>
        </w:rPr>
        <w:t>。</w:t>
      </w:r>
      <w:bookmarkEnd w:id="48"/>
    </w:p>
    <w:p>
      <w:pPr>
        <w:ind w:firstLine="480"/>
        <w:rPr>
          <w:rFonts w:ascii="楷体" w:hAnsi="楷体" w:eastAsia="楷体" w:cs="楷体"/>
          <w:szCs w:val="24"/>
        </w:rPr>
      </w:pPr>
      <w:r>
        <w:rPr>
          <w:rFonts w:hint="eastAsia" w:ascii="楷体" w:hAnsi="楷体" w:eastAsia="楷体" w:cs="楷体"/>
          <w:szCs w:val="24"/>
        </w:rPr>
        <w:t>(四)项目绩效情况分析</w:t>
      </w:r>
      <w:bookmarkEnd w:id="44"/>
      <w:bookmarkEnd w:id="45"/>
      <w:bookmarkStart w:id="53" w:name="_Toc498009787"/>
      <w:bookmarkStart w:id="54" w:name="_Toc502134870"/>
    </w:p>
    <w:p>
      <w:pPr>
        <w:ind w:firstLine="480"/>
        <w:rPr>
          <w:rFonts w:cs="仿宋"/>
          <w:szCs w:val="24"/>
        </w:rPr>
      </w:pPr>
      <w:r>
        <w:rPr>
          <w:rFonts w:hint="eastAsia" w:cs="仿宋"/>
          <w:szCs w:val="24"/>
        </w:rPr>
        <w:t>项目绩效指标满分30分，评价综合评分2</w:t>
      </w:r>
      <w:r>
        <w:rPr>
          <w:rFonts w:cs="仿宋"/>
          <w:szCs w:val="24"/>
        </w:rPr>
        <w:t>4.41</w:t>
      </w:r>
      <w:r>
        <w:rPr>
          <w:rFonts w:hint="eastAsia" w:cs="仿宋"/>
          <w:szCs w:val="24"/>
        </w:rPr>
        <w:t>分（占该项满分值的</w:t>
      </w:r>
      <w:r>
        <w:rPr>
          <w:rFonts w:cs="仿宋"/>
          <w:szCs w:val="24"/>
        </w:rPr>
        <w:t>81.37</w:t>
      </w:r>
      <w:r>
        <w:rPr>
          <w:rFonts w:hint="eastAsia" w:cs="仿宋"/>
          <w:szCs w:val="24"/>
        </w:rPr>
        <w:t>%），具体情况如下：</w:t>
      </w:r>
    </w:p>
    <w:bookmarkEnd w:id="53"/>
    <w:bookmarkEnd w:id="54"/>
    <w:p>
      <w:pPr>
        <w:ind w:firstLine="480"/>
      </w:pPr>
      <w:bookmarkStart w:id="55" w:name="_Toc498009788"/>
      <w:bookmarkStart w:id="56" w:name="_Toc502134871"/>
      <w:r>
        <w:rPr>
          <w:rFonts w:hint="eastAsia"/>
        </w:rPr>
        <w:t>通过项目的实施，对汇龙湿地公园多年淤积堵塞的水体进行清淤改造，保护县城生态环境，促进县城可持续发展，使公园环境更加干净整洁、景观更加亮丽迷人、氛围更加舒适温馨，增强了人民群众的幸福感和获得感，实现了良好的社会效益和生态效益。</w:t>
      </w:r>
    </w:p>
    <w:p>
      <w:pPr>
        <w:ind w:firstLine="480"/>
      </w:pPr>
      <w:r>
        <w:rPr>
          <w:rFonts w:hint="eastAsia"/>
        </w:rPr>
        <w:t>1</w:t>
      </w:r>
      <w:r>
        <w:t>.</w:t>
      </w:r>
      <w:r>
        <w:rPr>
          <w:rFonts w:hint="eastAsia"/>
        </w:rPr>
        <w:t>项目工程施工合同价为</w:t>
      </w:r>
      <w:r>
        <w:t>1,988,677.81元，云南鼎泰工程建设咨询有限公司《审核报告》（云鼎价2022-102）审核金额2,184,691.85元</w:t>
      </w:r>
      <w:r>
        <w:rPr>
          <w:rFonts w:hint="eastAsia"/>
        </w:rPr>
        <w:t>,建安工程费用偏差率为</w:t>
      </w:r>
      <w:r>
        <w:t>9.86%</w:t>
      </w:r>
      <w:r>
        <w:rPr>
          <w:rFonts w:hint="eastAsia"/>
        </w:rPr>
        <w:t>；项目批复预算总投资为</w:t>
      </w:r>
      <w:r>
        <w:t>2,000,000.00元，</w:t>
      </w:r>
      <w:r>
        <w:rPr>
          <w:rFonts w:hint="eastAsia"/>
        </w:rPr>
        <w:t>项目投资总成本为</w:t>
      </w:r>
      <w:r>
        <w:t>2,273,376.02元</w:t>
      </w:r>
      <w:r>
        <w:rPr>
          <w:rFonts w:hint="eastAsia"/>
        </w:rPr>
        <w:t>，</w:t>
      </w:r>
      <w:r>
        <w:t>建设投资偏差率</w:t>
      </w:r>
      <w:r>
        <w:rPr>
          <w:rFonts w:hint="eastAsia"/>
        </w:rPr>
        <w:t>为</w:t>
      </w:r>
      <w:r>
        <w:t>13.67%</w:t>
      </w:r>
      <w:r>
        <w:rPr>
          <w:rFonts w:hint="eastAsia"/>
        </w:rPr>
        <w:t>。</w:t>
      </w:r>
    </w:p>
    <w:p>
      <w:pPr>
        <w:ind w:firstLine="480"/>
      </w:pPr>
      <w:r>
        <w:rPr>
          <w:rFonts w:hint="eastAsia"/>
        </w:rPr>
        <w:t>2</w:t>
      </w:r>
      <w:r>
        <w:t>.</w:t>
      </w:r>
      <w:r>
        <w:rPr>
          <w:rFonts w:hint="eastAsia"/>
        </w:rPr>
        <w:t>项目在施工过程中规范施工程序，安全措施得力，未发生安全事故，建设完成后对社会公众完全开放，供其休息、休闲，同时城市管理局也加大安全管护、湿地保护等方面的宣传工作，问卷调查显示有超半数的受访者具有湿地保护意识。</w:t>
      </w:r>
    </w:p>
    <w:p>
      <w:pPr>
        <w:ind w:firstLine="480"/>
      </w:pPr>
      <w:r>
        <w:rPr>
          <w:rFonts w:hint="eastAsia"/>
        </w:rPr>
        <w:t>3</w:t>
      </w:r>
      <w:r>
        <w:t>.</w:t>
      </w:r>
      <w:r>
        <w:rPr>
          <w:rFonts w:hint="eastAsia"/>
        </w:rPr>
        <w:t>汇龙湿地绿化面积已达到园林城市的绿化标准，出水口及下游水质检测均达标，但现场勘查发现，存在部分树木枯死的情况，如：湿地公园下游清淤处灌木已枯死未及时补植。</w:t>
      </w:r>
    </w:p>
    <w:p>
      <w:pPr>
        <w:ind w:firstLine="480"/>
      </w:pPr>
      <w:r>
        <w:rPr>
          <w:rFonts w:hint="eastAsia"/>
        </w:rPr>
        <w:t>通过对20份社会公众或服务对象满意度调查问卷统计分析，服务对象对城市管理局</w:t>
      </w:r>
      <w:r>
        <w:rPr>
          <w:rFonts w:hint="eastAsia" w:cs="仿宋"/>
          <w:szCs w:val="24"/>
        </w:rPr>
        <w:t>202</w:t>
      </w:r>
      <w:r>
        <w:rPr>
          <w:rFonts w:cs="仿宋"/>
          <w:szCs w:val="24"/>
        </w:rPr>
        <w:t>2</w:t>
      </w:r>
      <w:r>
        <w:rPr>
          <w:rFonts w:hint="eastAsia" w:cs="仿宋"/>
          <w:szCs w:val="24"/>
        </w:rPr>
        <w:t>年湿地公园清淤改造</w:t>
      </w:r>
      <w:r>
        <w:rPr>
          <w:rFonts w:hint="eastAsia"/>
        </w:rPr>
        <w:t>项目开展情况比较满意，综合满意度为</w:t>
      </w:r>
      <w:r>
        <w:t>86.14%</w:t>
      </w:r>
      <w:r>
        <w:rPr>
          <w:rFonts w:hint="eastAsia"/>
        </w:rPr>
        <w:t>。</w:t>
      </w:r>
    </w:p>
    <w:p>
      <w:pPr>
        <w:ind w:firstLine="480"/>
        <w:rPr>
          <w:rFonts w:ascii="黑体" w:hAnsi="黑体" w:eastAsia="黑体" w:cs="黑体"/>
          <w:szCs w:val="24"/>
        </w:rPr>
      </w:pPr>
      <w:r>
        <w:rPr>
          <w:rFonts w:hint="eastAsia" w:ascii="黑体" w:hAnsi="黑体" w:eastAsia="黑体" w:cs="黑体"/>
          <w:szCs w:val="24"/>
        </w:rPr>
        <w:t>六、主要经验及做法</w:t>
      </w:r>
      <w:bookmarkEnd w:id="55"/>
      <w:bookmarkEnd w:id="56"/>
    </w:p>
    <w:p>
      <w:pPr>
        <w:ind w:firstLine="480"/>
        <w:rPr>
          <w:rFonts w:ascii="仿宋_GB2312" w:eastAsia="仿宋_GB2312" w:cs="仿宋"/>
          <w:szCs w:val="24"/>
        </w:rPr>
      </w:pPr>
      <w:bookmarkStart w:id="57" w:name="_Toc502134872"/>
      <w:bookmarkStart w:id="58" w:name="_Toc498009789"/>
      <w:r>
        <w:rPr>
          <w:rFonts w:hint="eastAsia" w:cs="仿宋"/>
          <w:szCs w:val="24"/>
        </w:rPr>
        <w:t>在项目实施过程中注重对施工质量进行规范的全过程监督管理，根据监理、造价、审计核准的工程进度支付费用。在预算资金总额内，通过公开招投标，优选具备条件的企业承担寻甸县湿地公园清淤改造项目工程建设，按程序优选符合条件的监理、造价、审计等技术中介进行全过程监督，对中标企业施工质量进行全过程监督，确保良好的工程质量。</w:t>
      </w:r>
    </w:p>
    <w:p>
      <w:pPr>
        <w:ind w:firstLine="480"/>
        <w:rPr>
          <w:rFonts w:ascii="黑体" w:hAnsi="黑体" w:eastAsia="黑体" w:cs="黑体"/>
          <w:szCs w:val="24"/>
        </w:rPr>
      </w:pPr>
      <w:r>
        <w:rPr>
          <w:rFonts w:hint="eastAsia" w:ascii="黑体" w:hAnsi="黑体" w:eastAsia="黑体" w:cs="黑体"/>
          <w:szCs w:val="24"/>
        </w:rPr>
        <w:t>七、存在的主要问题</w:t>
      </w:r>
      <w:bookmarkEnd w:id="57"/>
      <w:bookmarkEnd w:id="58"/>
    </w:p>
    <w:p>
      <w:pPr>
        <w:ind w:firstLine="480"/>
        <w:rPr>
          <w:rFonts w:ascii="楷体" w:hAnsi="楷体" w:eastAsia="楷体" w:cs="楷体"/>
          <w:bCs/>
          <w:szCs w:val="24"/>
        </w:rPr>
      </w:pPr>
      <w:bookmarkStart w:id="59" w:name="_Toc500364179"/>
      <w:bookmarkStart w:id="60" w:name="_Toc500849310"/>
      <w:bookmarkStart w:id="61" w:name="_Toc502134873"/>
      <w:bookmarkStart w:id="62" w:name="_Toc500440025"/>
      <w:bookmarkStart w:id="63" w:name="_Toc500202563"/>
      <w:bookmarkStart w:id="64" w:name="_Toc500589022"/>
      <w:r>
        <w:rPr>
          <w:rFonts w:ascii="楷体" w:hAnsi="楷体" w:eastAsia="楷体" w:cs="楷体"/>
          <w:bCs/>
          <w:szCs w:val="24"/>
        </w:rPr>
        <w:t>(一)</w:t>
      </w:r>
      <w:r>
        <w:rPr>
          <w:rFonts w:hint="eastAsia" w:ascii="楷体" w:hAnsi="楷体" w:eastAsia="楷体" w:cs="楷体"/>
          <w:bCs/>
          <w:szCs w:val="24"/>
        </w:rPr>
        <w:t>项目绩效</w:t>
      </w:r>
      <w:r>
        <w:rPr>
          <w:rFonts w:ascii="楷体" w:hAnsi="楷体" w:eastAsia="楷体" w:cs="楷体"/>
          <w:bCs/>
          <w:szCs w:val="24"/>
        </w:rPr>
        <w:t>目标管理不到位</w:t>
      </w:r>
    </w:p>
    <w:p>
      <w:pPr>
        <w:ind w:firstLine="480"/>
        <w:rPr>
          <w:rFonts w:cs="仿宋"/>
          <w:szCs w:val="24"/>
        </w:rPr>
      </w:pPr>
      <w:r>
        <w:rPr>
          <w:rFonts w:cs="仿宋"/>
          <w:szCs w:val="24"/>
        </w:rPr>
        <w:t>城市管理局</w:t>
      </w:r>
      <w:r>
        <w:rPr>
          <w:rFonts w:hint="eastAsia" w:cs="仿宋"/>
          <w:szCs w:val="24"/>
        </w:rPr>
        <w:t>预算申报</w:t>
      </w:r>
      <w:r>
        <w:rPr>
          <w:rFonts w:cs="仿宋"/>
          <w:szCs w:val="24"/>
        </w:rPr>
        <w:t>的《寻甸县城管局湿地公园清淤改造项目绩效目标申报表》</w:t>
      </w:r>
      <w:r>
        <w:rPr>
          <w:rFonts w:hint="eastAsia" w:cs="仿宋"/>
          <w:szCs w:val="24"/>
        </w:rPr>
        <w:t>填列不完整、不规范，</w:t>
      </w:r>
      <w:r>
        <w:rPr>
          <w:rFonts w:cs="仿宋"/>
          <w:szCs w:val="24"/>
        </w:rPr>
        <w:t>项目所设定的年度目标未清晰项目实施内容及具体的工作数量，设定的绩效指标未将项目的绩效目标细化分解为具体的工作任务，所设定的项目绩效指标指标值不符合项目实际（如：工程质量指标设定为“工程质量合格率≥90%”，是否意味着允许有10%的工程量可以不合格）</w:t>
      </w:r>
      <w:r>
        <w:rPr>
          <w:rFonts w:hint="eastAsia" w:cs="仿宋"/>
          <w:szCs w:val="24"/>
        </w:rPr>
        <w:t>；</w:t>
      </w:r>
      <w:r>
        <w:rPr>
          <w:rFonts w:cs="仿宋"/>
          <w:szCs w:val="24"/>
        </w:rPr>
        <w:t>未设定最能体现总体目标实现程度的关键性、最具代表性的绩效指标及指标值，绩</w:t>
      </w:r>
      <w:r>
        <w:rPr>
          <w:rFonts w:hint="eastAsia" w:cs="仿宋"/>
          <w:szCs w:val="24"/>
        </w:rPr>
        <w:t>效指标设定不全面、不充分，如：未设定时效指标、产出成本指标、经济效益指标、生态效益指标、可持续性指标等，且设定的数量指标不全面（未根据具体工程量全面细化数量指标、仅设定</w:t>
      </w:r>
      <w:r>
        <w:rPr>
          <w:rFonts w:cs="仿宋"/>
          <w:szCs w:val="24"/>
        </w:rPr>
        <w:t>1个数量指标为“公园水体治理≥19485平方米”），社会效益指标设定两个定性指标为“排水及景观优化程度=显著”、“对生态环境保护的促进作用=显著”，未遵循定量为主、定性为辅，定量与定性相结合的原则设置绩效指标。</w:t>
      </w:r>
    </w:p>
    <w:p>
      <w:pPr>
        <w:ind w:firstLine="480"/>
        <w:rPr>
          <w:rFonts w:cs="仿宋"/>
          <w:szCs w:val="24"/>
        </w:rPr>
      </w:pPr>
      <w:r>
        <w:rPr>
          <w:rFonts w:hint="eastAsia" w:cs="仿宋"/>
          <w:szCs w:val="24"/>
        </w:rPr>
        <w:t>上述情况不符合《中华人民共和国预算法》第三十二条“……各部门、各单位应当按照……以及绩效目标管理等预算编制规定，……编制本部门、本单位预算草案。”、《中共中央、国务院关于全面实施预算绩效管理的意见》（中发〔</w:t>
      </w:r>
      <w:r>
        <w:rPr>
          <w:rFonts w:cs="仿宋"/>
          <w:szCs w:val="24"/>
        </w:rPr>
        <w:t>2018〕34号）第四条第（七）项“强化绩效目标管理。各地区各部门编制预算时要……全面设置部门和单位整体绩效目标、政策及项目绩效目标。绩效目标不仅要包括产出、成本，还要包括经济效益、社会效益、生态效益、可持续影响和服务对象满意度等绩效指标。……。”</w:t>
      </w:r>
      <w:r>
        <w:rPr>
          <w:rFonts w:hint="eastAsia" w:cs="仿宋"/>
          <w:szCs w:val="24"/>
        </w:rPr>
        <w:t>和《云南省省级财政预算绩效目标管理暂行办法》（云财预〔</w:t>
      </w:r>
      <w:r>
        <w:rPr>
          <w:rFonts w:cs="仿宋"/>
          <w:szCs w:val="24"/>
        </w:rPr>
        <w:t>2015〕344号）第十二条“绩效指标是绩效目标的细化和量化，主要包括产出指标、效果指标和效率指标等。绩效指标应符合相关性、重要性、可比性、系统性、经济性要求。每一类型的绩效指标应有具体、细化、量化的绩效指标内容与之对应。”</w:t>
      </w:r>
      <w:r>
        <w:rPr>
          <w:rFonts w:hint="eastAsia" w:cs="仿宋"/>
          <w:szCs w:val="24"/>
        </w:rPr>
        <w:t>的规定。</w:t>
      </w:r>
    </w:p>
    <w:p>
      <w:pPr>
        <w:ind w:firstLine="480"/>
        <w:rPr>
          <w:rFonts w:ascii="楷体" w:hAnsi="楷体" w:eastAsia="楷体" w:cs="楷体"/>
          <w:bCs/>
          <w:szCs w:val="24"/>
        </w:rPr>
      </w:pPr>
      <w:r>
        <w:rPr>
          <w:rFonts w:hint="eastAsia" w:ascii="楷体" w:hAnsi="楷体" w:eastAsia="楷体" w:cs="楷体"/>
          <w:bCs/>
          <w:szCs w:val="24"/>
        </w:rPr>
        <w:t>(二</w:t>
      </w:r>
      <w:r>
        <w:rPr>
          <w:rFonts w:ascii="楷体" w:hAnsi="楷体" w:eastAsia="楷体" w:cs="楷体"/>
          <w:bCs/>
          <w:szCs w:val="24"/>
        </w:rPr>
        <w:t>)</w:t>
      </w:r>
      <w:bookmarkStart w:id="65" w:name="_Hlk145488852"/>
      <w:r>
        <w:rPr>
          <w:rFonts w:hint="eastAsia" w:ascii="楷体" w:hAnsi="楷体" w:eastAsia="楷体" w:cs="楷体"/>
          <w:bCs/>
          <w:szCs w:val="24"/>
        </w:rPr>
        <w:t>项目竣工程序执行不完整</w:t>
      </w:r>
      <w:bookmarkEnd w:id="65"/>
    </w:p>
    <w:p>
      <w:pPr>
        <w:ind w:firstLine="480"/>
        <w:rPr>
          <w:rFonts w:cs="仿宋"/>
          <w:szCs w:val="24"/>
        </w:rPr>
      </w:pPr>
      <w:r>
        <w:rPr>
          <w:rFonts w:hint="eastAsia" w:cs="仿宋"/>
          <w:szCs w:val="24"/>
        </w:rPr>
        <w:t>项目已于2</w:t>
      </w:r>
      <w:r>
        <w:rPr>
          <w:rFonts w:cs="仿宋"/>
          <w:szCs w:val="24"/>
        </w:rPr>
        <w:t>022</w:t>
      </w:r>
      <w:r>
        <w:rPr>
          <w:rFonts w:hint="eastAsia" w:cs="仿宋"/>
          <w:szCs w:val="24"/>
        </w:rPr>
        <w:t>年1</w:t>
      </w:r>
      <w:r>
        <w:rPr>
          <w:rFonts w:cs="仿宋"/>
          <w:szCs w:val="24"/>
        </w:rPr>
        <w:t>2</w:t>
      </w:r>
      <w:r>
        <w:rPr>
          <w:rFonts w:hint="eastAsia" w:cs="仿宋"/>
          <w:szCs w:val="24"/>
        </w:rPr>
        <w:t>月完工并验收，但至绩效评价现场截止日，城市管理局尚未执行基本建设项目竣工财务决算审计程序，不符合</w:t>
      </w:r>
      <w:bookmarkStart w:id="66" w:name="_Hlk145488983"/>
      <w:r>
        <w:rPr>
          <w:rFonts w:hint="eastAsia" w:cs="仿宋"/>
          <w:szCs w:val="24"/>
        </w:rPr>
        <w:t>《基本建设项目竣工财务决算管理暂行办法》（财建〔</w:t>
      </w:r>
      <w:r>
        <w:rPr>
          <w:rFonts w:cs="仿宋"/>
          <w:szCs w:val="24"/>
        </w:rPr>
        <w:t>2016〕503号）</w:t>
      </w:r>
      <w:bookmarkEnd w:id="66"/>
      <w:r>
        <w:rPr>
          <w:rFonts w:cs="仿宋"/>
          <w:szCs w:val="24"/>
        </w:rPr>
        <w:t>第二条“基本建设项目（以下简称项目）完工可投入使用或者试运行合格后，应当在3个月内编报竣工财务决算，……。”、第十三条“财政部门和项目主管部门对项目竣工财务决算实行先审核、后批复的办法，……。”的规定。</w:t>
      </w:r>
    </w:p>
    <w:p>
      <w:pPr>
        <w:ind w:firstLine="480"/>
        <w:rPr>
          <w:rFonts w:ascii="楷体" w:hAnsi="楷体" w:eastAsia="楷体" w:cs="楷体"/>
          <w:bCs/>
          <w:szCs w:val="24"/>
        </w:rPr>
      </w:pPr>
      <w:r>
        <w:rPr>
          <w:rFonts w:hint="eastAsia" w:ascii="楷体" w:hAnsi="楷体" w:eastAsia="楷体" w:cs="楷体"/>
          <w:bCs/>
          <w:szCs w:val="24"/>
        </w:rPr>
        <w:t>(三)</w:t>
      </w:r>
      <w:bookmarkStart w:id="67" w:name="_Hlk145488876"/>
      <w:r>
        <w:rPr>
          <w:rFonts w:hint="eastAsia" w:ascii="楷体" w:hAnsi="楷体" w:eastAsia="楷体" w:cs="楷体"/>
          <w:bCs/>
          <w:szCs w:val="24"/>
        </w:rPr>
        <w:t>资本性支出费用化</w:t>
      </w:r>
      <w:bookmarkEnd w:id="67"/>
    </w:p>
    <w:p>
      <w:pPr>
        <w:ind w:firstLine="480"/>
        <w:rPr>
          <w:rFonts w:cs="仿宋"/>
          <w:szCs w:val="24"/>
        </w:rPr>
      </w:pPr>
      <w:r>
        <w:rPr>
          <w:rFonts w:cs="仿宋"/>
          <w:szCs w:val="24"/>
        </w:rPr>
        <w:t>检查发现，城管局湿地公园清淤改造项目财务核算不规范，</w:t>
      </w:r>
      <w:r>
        <w:rPr>
          <w:rFonts w:hint="eastAsia" w:cs="仿宋"/>
          <w:szCs w:val="24"/>
        </w:rPr>
        <w:t>资本性支出未作为“公共基础设施”管理和核算，</w:t>
      </w:r>
      <w:r>
        <w:rPr>
          <w:rFonts w:cs="仿宋"/>
          <w:szCs w:val="24"/>
        </w:rPr>
        <w:t>如：2022年12月第36号凭证“湿地公园清淤工程”</w:t>
      </w:r>
      <w:bookmarkStart w:id="68" w:name="_Hlk143959074"/>
      <w:r>
        <w:rPr>
          <w:rFonts w:cs="仿宋"/>
          <w:szCs w:val="24"/>
        </w:rPr>
        <w:t>1,590,942.25</w:t>
      </w:r>
      <w:bookmarkEnd w:id="68"/>
      <w:r>
        <w:rPr>
          <w:rFonts w:cs="仿宋"/>
          <w:szCs w:val="24"/>
        </w:rPr>
        <w:t>元，财务会计账记“业务活动费用-商品和服务费”</w:t>
      </w:r>
      <w:r>
        <w:rPr>
          <w:rFonts w:hint="eastAsia" w:cs="仿宋"/>
          <w:szCs w:val="24"/>
        </w:rPr>
        <w:t>、预算会计核算为“行政支出/项目支出”</w:t>
      </w:r>
      <w:r>
        <w:rPr>
          <w:rFonts w:cs="仿宋"/>
          <w:szCs w:val="24"/>
        </w:rPr>
        <w:t>，</w:t>
      </w:r>
      <w:r>
        <w:rPr>
          <w:rFonts w:hint="eastAsia" w:cs="仿宋"/>
          <w:szCs w:val="24"/>
        </w:rPr>
        <w:t>未</w:t>
      </w:r>
      <w:r>
        <w:rPr>
          <w:rFonts w:cs="仿宋"/>
          <w:szCs w:val="24"/>
        </w:rPr>
        <w:t>核算为“在建工程/建筑安装工程投资”。不符合《政府会计准则制度解释第2号》（财会〔2019〕24号）第八条第（一）项“基本建设项目应当由负责编报基本建设项目预决算的单位（即建设单位）作为会计核算主体。建设单位应当按照《政府会计制度》规定在相关会计科目下分项目对基本建设项目进行明细核算。”</w:t>
      </w:r>
      <w:r>
        <w:rPr>
          <w:rFonts w:hint="eastAsia" w:cs="仿宋"/>
          <w:szCs w:val="24"/>
        </w:rPr>
        <w:t>和</w:t>
      </w:r>
      <w:r>
        <w:rPr>
          <w:rFonts w:cs="仿宋"/>
          <w:szCs w:val="24"/>
        </w:rPr>
        <w:t>《基</w:t>
      </w:r>
      <w:r>
        <w:rPr>
          <w:rFonts w:hint="eastAsia" w:cs="仿宋"/>
          <w:szCs w:val="24"/>
        </w:rPr>
        <w:t>本建设项目建设成本管理规定》（财建〔</w:t>
      </w:r>
      <w:r>
        <w:rPr>
          <w:rFonts w:cs="仿宋"/>
          <w:szCs w:val="24"/>
        </w:rPr>
        <w:t>2016〕504号）第二条“建筑安装工程投资支出是指基本建设项目（以下简称项目）建设单位按照批准的建设内容发生的建筑工程和安装工程的实际成本，其中不包括被安装设备本身的价值，以及按照合同规定支付给施工单位的预付备料款和预付工程款。”的规定。</w:t>
      </w:r>
    </w:p>
    <w:p>
      <w:pPr>
        <w:ind w:firstLine="480"/>
        <w:rPr>
          <w:rFonts w:ascii="楷体" w:hAnsi="楷体" w:eastAsia="楷体" w:cs="楷体"/>
          <w:bCs/>
          <w:szCs w:val="24"/>
        </w:rPr>
      </w:pPr>
      <w:r>
        <w:rPr>
          <w:rFonts w:ascii="楷体" w:hAnsi="楷体" w:eastAsia="楷体" w:cs="楷体"/>
          <w:bCs/>
          <w:szCs w:val="24"/>
        </w:rPr>
        <w:t>(四)</w:t>
      </w:r>
      <w:bookmarkStart w:id="69" w:name="_Hlk145488894"/>
      <w:r>
        <w:rPr>
          <w:rFonts w:ascii="楷体" w:hAnsi="楷体" w:eastAsia="楷体" w:cs="楷体"/>
          <w:bCs/>
          <w:szCs w:val="24"/>
        </w:rPr>
        <w:t>资金支付单据不充分</w:t>
      </w:r>
      <w:bookmarkEnd w:id="69"/>
    </w:p>
    <w:p>
      <w:pPr>
        <w:ind w:firstLine="480"/>
        <w:rPr>
          <w:rFonts w:cs="仿宋"/>
          <w:szCs w:val="24"/>
        </w:rPr>
      </w:pPr>
      <w:r>
        <w:rPr>
          <w:rFonts w:cs="仿宋"/>
          <w:szCs w:val="24"/>
        </w:rPr>
        <w:t>抽查发现，城市管理局存在资金支付原始凭证不充分的情况，如：2022年12月第36号凭证“湿地公园清淤工程”1,590,942.25元，后附原始凭证无资金支付银行支付凭证等必要资料，不符合《中华人民共和国会计法》第十四条“会计凭证包括原始凭证和记账凭证。办理本法第十条所列的经济业务事项，必须填制或者取得原始凭证并及时送交会计机构。会计机构、会计人员必须按照国家统一的会计制度的规定对原始凭证进行审核，对不真实、不合法的原始凭证有权不予接受，并向单位负责人报告；对记载不准确、不完整的原始凭证予以退回，并要求按照国</w:t>
      </w:r>
      <w:r>
        <w:rPr>
          <w:rFonts w:hint="eastAsia" w:cs="仿宋"/>
          <w:szCs w:val="24"/>
        </w:rPr>
        <w:t>家统一的会计制度的规定更正、补充。……。记帐凭证应当根据经过审核的原始凭证及有关资料编制。”的规定。</w:t>
      </w:r>
    </w:p>
    <w:p>
      <w:pPr>
        <w:ind w:firstLine="480"/>
        <w:rPr>
          <w:rFonts w:ascii="楷体" w:hAnsi="楷体" w:eastAsia="楷体" w:cs="楷体"/>
          <w:bCs/>
          <w:szCs w:val="24"/>
        </w:rPr>
      </w:pPr>
      <w:r>
        <w:rPr>
          <w:rFonts w:hint="eastAsia" w:ascii="楷体" w:hAnsi="楷体" w:eastAsia="楷体" w:cs="楷体"/>
          <w:bCs/>
          <w:szCs w:val="24"/>
        </w:rPr>
        <w:t>(五</w:t>
      </w:r>
      <w:r>
        <w:rPr>
          <w:rFonts w:ascii="楷体" w:hAnsi="楷体" w:eastAsia="楷体" w:cs="楷体"/>
          <w:bCs/>
          <w:szCs w:val="24"/>
        </w:rPr>
        <w:t>)</w:t>
      </w:r>
      <w:bookmarkStart w:id="70" w:name="_Hlk145494827"/>
      <w:r>
        <w:rPr>
          <w:rFonts w:hint="eastAsia" w:ascii="楷体" w:hAnsi="楷体" w:eastAsia="楷体" w:cs="楷体"/>
          <w:bCs/>
          <w:szCs w:val="24"/>
        </w:rPr>
        <w:t>项目建设总成本超预算</w:t>
      </w:r>
      <w:bookmarkEnd w:id="70"/>
    </w:p>
    <w:p>
      <w:pPr>
        <w:ind w:firstLine="480"/>
        <w:rPr>
          <w:rFonts w:cs="仿宋"/>
          <w:szCs w:val="24"/>
        </w:rPr>
      </w:pPr>
      <w:r>
        <w:rPr>
          <w:rFonts w:hint="eastAsia" w:cs="仿宋"/>
          <w:szCs w:val="24"/>
        </w:rPr>
        <w:t>截止2</w:t>
      </w:r>
      <w:r>
        <w:rPr>
          <w:rFonts w:cs="仿宋"/>
          <w:szCs w:val="24"/>
        </w:rPr>
        <w:t>022</w:t>
      </w:r>
      <w:r>
        <w:rPr>
          <w:rFonts w:hint="eastAsia" w:cs="仿宋"/>
          <w:szCs w:val="24"/>
        </w:rPr>
        <w:t>年1</w:t>
      </w:r>
      <w:r>
        <w:rPr>
          <w:rFonts w:cs="仿宋"/>
          <w:szCs w:val="24"/>
        </w:rPr>
        <w:t>2</w:t>
      </w:r>
      <w:r>
        <w:rPr>
          <w:rFonts w:hint="eastAsia" w:cs="仿宋"/>
          <w:szCs w:val="24"/>
        </w:rPr>
        <w:t>月3</w:t>
      </w:r>
      <w:r>
        <w:rPr>
          <w:rFonts w:cs="仿宋"/>
          <w:szCs w:val="24"/>
        </w:rPr>
        <w:t>1</w:t>
      </w:r>
      <w:r>
        <w:rPr>
          <w:rFonts w:hint="eastAsia" w:cs="仿宋"/>
          <w:szCs w:val="24"/>
        </w:rPr>
        <w:t>日，项目建设总成本约为</w:t>
      </w:r>
      <w:r>
        <w:rPr>
          <w:rFonts w:cs="仿宋"/>
          <w:szCs w:val="24"/>
        </w:rPr>
        <w:t>2,273,376.02元</w:t>
      </w:r>
      <w:r>
        <w:rPr>
          <w:rFonts w:hint="eastAsia" w:cs="仿宋"/>
          <w:szCs w:val="24"/>
        </w:rPr>
        <w:t>，包括</w:t>
      </w:r>
      <w:r>
        <w:rPr>
          <w:rFonts w:cs="仿宋"/>
          <w:szCs w:val="24"/>
        </w:rPr>
        <w:t>建筑安装成本审核金额2,184,691.85元</w:t>
      </w:r>
      <w:r>
        <w:rPr>
          <w:rFonts w:hint="eastAsia" w:cs="仿宋"/>
          <w:szCs w:val="24"/>
        </w:rPr>
        <w:t>、待摊投资成本8</w:t>
      </w:r>
      <w:r>
        <w:rPr>
          <w:rFonts w:cs="仿宋"/>
          <w:szCs w:val="24"/>
        </w:rPr>
        <w:t>8,684.17</w:t>
      </w:r>
      <w:r>
        <w:rPr>
          <w:rFonts w:hint="eastAsia" w:cs="仿宋"/>
          <w:szCs w:val="24"/>
        </w:rPr>
        <w:t>元（</w:t>
      </w:r>
      <w:r>
        <w:rPr>
          <w:rFonts w:cs="仿宋"/>
          <w:szCs w:val="24"/>
        </w:rPr>
        <w:t>工程设计</w:t>
      </w:r>
      <w:r>
        <w:rPr>
          <w:rFonts w:hint="eastAsia" w:cs="仿宋"/>
          <w:szCs w:val="24"/>
        </w:rPr>
        <w:t>费</w:t>
      </w:r>
      <w:r>
        <w:rPr>
          <w:rFonts w:cs="仿宋"/>
          <w:szCs w:val="24"/>
        </w:rPr>
        <w:t>50,000.00元</w:t>
      </w:r>
      <w:r>
        <w:rPr>
          <w:rFonts w:hint="eastAsia" w:cs="仿宋"/>
          <w:szCs w:val="24"/>
        </w:rPr>
        <w:t>、</w:t>
      </w:r>
      <w:r>
        <w:rPr>
          <w:rFonts w:cs="仿宋"/>
          <w:szCs w:val="24"/>
        </w:rPr>
        <w:t>工程监理</w:t>
      </w:r>
      <w:r>
        <w:rPr>
          <w:rFonts w:hint="eastAsia" w:cs="仿宋"/>
          <w:szCs w:val="24"/>
        </w:rPr>
        <w:t>费</w:t>
      </w:r>
      <w:r>
        <w:rPr>
          <w:rFonts w:cs="仿宋"/>
          <w:szCs w:val="24"/>
        </w:rPr>
        <w:t>29,830.17元</w:t>
      </w:r>
      <w:r>
        <w:rPr>
          <w:rFonts w:hint="eastAsia" w:cs="仿宋"/>
          <w:szCs w:val="24"/>
        </w:rPr>
        <w:t>、</w:t>
      </w:r>
      <w:r>
        <w:rPr>
          <w:rFonts w:cs="仿宋"/>
          <w:szCs w:val="24"/>
        </w:rPr>
        <w:t>工程造价</w:t>
      </w:r>
      <w:r>
        <w:rPr>
          <w:rFonts w:hint="eastAsia" w:cs="仿宋"/>
          <w:szCs w:val="24"/>
        </w:rPr>
        <w:t>审核费</w:t>
      </w:r>
      <w:r>
        <w:rPr>
          <w:rFonts w:cs="仿宋"/>
          <w:szCs w:val="24"/>
        </w:rPr>
        <w:t>约8,854.00元</w:t>
      </w:r>
      <w:r>
        <w:rPr>
          <w:rFonts w:hint="eastAsia" w:cs="仿宋"/>
          <w:szCs w:val="24"/>
        </w:rPr>
        <w:t>）</w:t>
      </w:r>
      <w:r>
        <w:rPr>
          <w:rFonts w:cs="仿宋"/>
          <w:szCs w:val="24"/>
        </w:rPr>
        <w:t>。超项目</w:t>
      </w:r>
      <w:r>
        <w:rPr>
          <w:rFonts w:hint="eastAsia" w:cs="仿宋"/>
          <w:szCs w:val="24"/>
        </w:rPr>
        <w:t>建设预算资金</w:t>
      </w:r>
      <w:r>
        <w:rPr>
          <w:rFonts w:cs="仿宋"/>
          <w:szCs w:val="24"/>
        </w:rPr>
        <w:t>273,376.02元，</w:t>
      </w:r>
      <w:r>
        <w:rPr>
          <w:rFonts w:hint="eastAsia" w:cs="仿宋"/>
          <w:szCs w:val="24"/>
        </w:rPr>
        <w:t>超概</w:t>
      </w:r>
      <w:r>
        <w:rPr>
          <w:rFonts w:cs="仿宋"/>
          <w:szCs w:val="24"/>
        </w:rPr>
        <w:t>率13.67%。</w:t>
      </w:r>
      <w:r>
        <w:rPr>
          <w:rFonts w:hint="eastAsia" w:cs="仿宋"/>
          <w:szCs w:val="24"/>
        </w:rPr>
        <w:t>不符合《国务院关于固定资产投资项目试行资本金制度的通知》（国发〔199</w:t>
      </w:r>
      <w:r>
        <w:rPr>
          <w:rFonts w:cs="仿宋"/>
          <w:szCs w:val="24"/>
        </w:rPr>
        <w:t>6〕35</w:t>
      </w:r>
      <w:r>
        <w:rPr>
          <w:rFonts w:hint="eastAsia" w:cs="仿宋"/>
          <w:szCs w:val="24"/>
        </w:rPr>
        <w:t>号）“八、……对投资项目概算要实行静态控制、动态管理。凡实际动态概算超过原批准动态概算的，投资项目资本金应按本通知规定的比例，以经批准调整后的概算为基数，相应进行调整，并按照国家有关规定，确定各出资方应增加的资本金。实际动态概算超过原批准动态概算</w:t>
      </w:r>
      <w:r>
        <w:rPr>
          <w:rFonts w:cs="仿宋"/>
          <w:szCs w:val="24"/>
        </w:rPr>
        <w:t>10%的，其概算调整须报原概算审批单位批准。”</w:t>
      </w:r>
      <w:r>
        <w:rPr>
          <w:rFonts w:hint="eastAsia" w:cs="仿宋"/>
          <w:szCs w:val="24"/>
        </w:rPr>
        <w:t>的规定。</w:t>
      </w:r>
    </w:p>
    <w:bookmarkEnd w:id="59"/>
    <w:bookmarkEnd w:id="60"/>
    <w:bookmarkEnd w:id="61"/>
    <w:bookmarkEnd w:id="62"/>
    <w:bookmarkEnd w:id="63"/>
    <w:bookmarkEnd w:id="64"/>
    <w:p>
      <w:pPr>
        <w:ind w:firstLine="480"/>
        <w:rPr>
          <w:rFonts w:ascii="黑体" w:hAnsi="黑体" w:eastAsia="黑体" w:cs="黑体"/>
          <w:szCs w:val="24"/>
        </w:rPr>
      </w:pPr>
      <w:bookmarkStart w:id="71" w:name="_Toc498009790"/>
      <w:bookmarkStart w:id="72" w:name="_Toc502134879"/>
      <w:r>
        <w:rPr>
          <w:rFonts w:hint="eastAsia" w:ascii="黑体" w:hAnsi="黑体" w:eastAsia="黑体" w:cs="黑体"/>
          <w:szCs w:val="24"/>
        </w:rPr>
        <w:t>八、建议</w:t>
      </w:r>
      <w:bookmarkEnd w:id="71"/>
      <w:bookmarkEnd w:id="72"/>
      <w:bookmarkStart w:id="73" w:name="_Toc500589028"/>
      <w:bookmarkStart w:id="74" w:name="_Toc500364185"/>
      <w:bookmarkStart w:id="75" w:name="_Toc500202569"/>
      <w:bookmarkStart w:id="76" w:name="_Toc500849317"/>
      <w:bookmarkStart w:id="77" w:name="_Toc500440031"/>
      <w:bookmarkStart w:id="78" w:name="_Toc502134880"/>
      <w:bookmarkStart w:id="79" w:name="_Toc498009791"/>
    </w:p>
    <w:bookmarkEnd w:id="73"/>
    <w:bookmarkEnd w:id="74"/>
    <w:bookmarkEnd w:id="75"/>
    <w:bookmarkEnd w:id="76"/>
    <w:bookmarkEnd w:id="77"/>
    <w:bookmarkEnd w:id="78"/>
    <w:p>
      <w:pPr>
        <w:ind w:firstLine="480"/>
        <w:rPr>
          <w:rFonts w:ascii="楷体" w:hAnsi="楷体" w:eastAsia="楷体" w:cs="仿宋"/>
          <w:szCs w:val="24"/>
        </w:rPr>
      </w:pPr>
      <w:bookmarkStart w:id="80" w:name="_Hlk143876661"/>
      <w:r>
        <w:rPr>
          <w:rFonts w:hint="eastAsia" w:ascii="楷体" w:hAnsi="楷体" w:eastAsia="楷体" w:cs="仿宋"/>
          <w:szCs w:val="24"/>
        </w:rPr>
        <w:t>(一)加强绩效评价结果应用</w:t>
      </w:r>
    </w:p>
    <w:p>
      <w:pPr>
        <w:ind w:firstLine="480"/>
        <w:rPr>
          <w:rFonts w:cs="仿宋"/>
          <w:szCs w:val="24"/>
        </w:rPr>
      </w:pPr>
      <w:r>
        <w:rPr>
          <w:rFonts w:hint="eastAsia" w:cs="仿宋"/>
          <w:szCs w:val="24"/>
        </w:rPr>
        <w:t>按照《中华人民共和国预算法》等法律法规的规定，在预算绩效审核、审批、监督检查时，切实将绩效评价结果作为下一年度预算安排及相关责任落实的依据之一。同时根据《中共中央、国务院关于全面实施预算绩效管理的意见》（中发〔</w:t>
      </w:r>
      <w:r>
        <w:rPr>
          <w:rFonts w:cs="仿宋"/>
          <w:szCs w:val="24"/>
        </w:rPr>
        <w:t>2018〕34号）第八条第（十八）项“……各级政府要将预算绩效结果纳入政府绩效和干部政绩考核体系，作为领导干部选拔任用、公务员考核的重要参考。……。”的规定，将绩效评价结果作为单位及单位相关负责人评优、评先、晋升、考核考评的必要依据之一。切实贯彻执行“预算编制有目标、预算执行有监控、预算完成有评价、评</w:t>
      </w:r>
      <w:r>
        <w:rPr>
          <w:rFonts w:hint="eastAsia" w:cs="仿宋"/>
          <w:szCs w:val="24"/>
        </w:rPr>
        <w:t>价结果有反馈、反馈结果有应用”和“谁用钱谁负责，用钱必问效，无效要问责”的预算绩效管理原则。</w:t>
      </w:r>
    </w:p>
    <w:p>
      <w:pPr>
        <w:ind w:firstLine="480"/>
        <w:rPr>
          <w:rFonts w:ascii="楷体" w:hAnsi="楷体" w:eastAsia="楷体" w:cs="仿宋"/>
          <w:szCs w:val="24"/>
        </w:rPr>
      </w:pPr>
      <w:r>
        <w:rPr>
          <w:rFonts w:ascii="楷体" w:hAnsi="楷体" w:eastAsia="楷体" w:cs="仿宋"/>
          <w:szCs w:val="24"/>
        </w:rPr>
        <w:t>(二)强化绩效目标管理主体责任</w:t>
      </w:r>
    </w:p>
    <w:p>
      <w:pPr>
        <w:ind w:firstLine="480"/>
        <w:rPr>
          <w:rFonts w:cs="仿宋"/>
          <w:szCs w:val="24"/>
        </w:rPr>
      </w:pPr>
      <w:r>
        <w:rPr>
          <w:rFonts w:hint="eastAsia" w:cs="仿宋"/>
          <w:szCs w:val="24"/>
        </w:rPr>
        <w:t>各部门、各单位在编制年度绩效目标时，应切实履行绩效目标管理主体责任，结合部门中长期规划、部门职能职责及年度的主要工作任务，梳理完善部门总体绩效目标和年度绩效目标，根据绩效目标确定具体的绩效指标，并设定清晰明确、规范完整、充分全面、最能体现总体目标实现程度的关键性、最具代表性、最能直接反映产出和效益的核心指标并明确具体指标值。</w:t>
      </w:r>
    </w:p>
    <w:p>
      <w:pPr>
        <w:ind w:firstLine="480"/>
        <w:rPr>
          <w:rFonts w:ascii="楷体" w:hAnsi="楷体" w:eastAsia="楷体" w:cs="仿宋"/>
          <w:szCs w:val="24"/>
        </w:rPr>
      </w:pPr>
      <w:r>
        <w:rPr>
          <w:rFonts w:ascii="楷体" w:hAnsi="楷体" w:eastAsia="楷体" w:cs="仿宋"/>
          <w:szCs w:val="24"/>
        </w:rPr>
        <w:t>(</w:t>
      </w:r>
      <w:r>
        <w:rPr>
          <w:rFonts w:hint="eastAsia" w:ascii="楷体" w:hAnsi="楷体" w:eastAsia="楷体" w:cs="仿宋"/>
          <w:szCs w:val="24"/>
        </w:rPr>
        <w:t>三</w:t>
      </w:r>
      <w:r>
        <w:rPr>
          <w:rFonts w:ascii="楷体" w:hAnsi="楷体" w:eastAsia="楷体" w:cs="仿宋"/>
          <w:szCs w:val="24"/>
        </w:rPr>
        <w:t>)加强学习，提高认识</w:t>
      </w:r>
    </w:p>
    <w:p>
      <w:pPr>
        <w:ind w:firstLine="480"/>
      </w:pPr>
      <w:r>
        <w:rPr>
          <w:rFonts w:hint="eastAsia" w:cs="仿宋"/>
          <w:szCs w:val="24"/>
        </w:rPr>
        <w:t>认真学习并严格按照《中华人民共和国预算法》、《中华人民共和国会计法》、《政府会计制度》、《政府会计准则》及运用指南和解释等系列法律法规，规范资金使用合规性和会计核算准确性。对项目具体实施单位资金使用、管理等情况进行有效的日常财务监控检查，保障项目资金合法合规使用，保证项目资金安全和专款专用。</w:t>
      </w:r>
      <w:bookmarkEnd w:id="79"/>
      <w:bookmarkEnd w:id="80"/>
    </w:p>
    <w:p>
      <w:pPr>
        <w:ind w:firstLine="480"/>
        <w:rPr>
          <w:rFonts w:ascii="楷体" w:hAnsi="楷体" w:eastAsia="楷体" w:cs="仿宋"/>
          <w:szCs w:val="24"/>
        </w:rPr>
      </w:pPr>
      <w:r>
        <w:rPr>
          <w:rFonts w:hint="eastAsia" w:ascii="楷体" w:hAnsi="楷体" w:eastAsia="楷体" w:cs="仿宋"/>
          <w:szCs w:val="24"/>
        </w:rPr>
        <w:t>(四</w:t>
      </w:r>
      <w:r>
        <w:rPr>
          <w:rFonts w:ascii="楷体" w:hAnsi="楷体" w:eastAsia="楷体" w:cs="仿宋"/>
          <w:szCs w:val="24"/>
        </w:rPr>
        <w:t>)</w:t>
      </w:r>
      <w:r>
        <w:rPr>
          <w:rFonts w:hint="eastAsia" w:ascii="楷体" w:hAnsi="楷体" w:eastAsia="楷体" w:cs="仿宋"/>
          <w:szCs w:val="24"/>
        </w:rPr>
        <w:t>加强项目管理和核算</w:t>
      </w:r>
    </w:p>
    <w:p>
      <w:pPr>
        <w:ind w:firstLine="480"/>
        <w:rPr>
          <w:rFonts w:cs="仿宋"/>
          <w:szCs w:val="24"/>
        </w:rPr>
      </w:pPr>
      <w:r>
        <w:rPr>
          <w:rFonts w:hint="eastAsia" w:cs="仿宋"/>
          <w:szCs w:val="24"/>
        </w:rPr>
        <w:t>1</w:t>
      </w:r>
      <w:r>
        <w:rPr>
          <w:rFonts w:cs="仿宋"/>
          <w:szCs w:val="24"/>
        </w:rPr>
        <w:t>.</w:t>
      </w:r>
      <w:r>
        <w:rPr>
          <w:rFonts w:hint="eastAsia" w:cs="仿宋"/>
          <w:szCs w:val="24"/>
        </w:rPr>
        <w:t>针对“项目竣工程序执行不完整”的问题，建议城市管理局按照《基本建设项目竣工财务决算管理暂行办法》（财建〔</w:t>
      </w:r>
      <w:r>
        <w:rPr>
          <w:rFonts w:cs="仿宋"/>
          <w:szCs w:val="24"/>
        </w:rPr>
        <w:t>2016〕503号）</w:t>
      </w:r>
      <w:r>
        <w:rPr>
          <w:rFonts w:hint="eastAsia" w:cs="仿宋"/>
          <w:szCs w:val="24"/>
        </w:rPr>
        <w:t>等相关规定及时补充执行财务竣工决算审计程序。</w:t>
      </w:r>
    </w:p>
    <w:p>
      <w:pPr>
        <w:ind w:firstLine="480"/>
        <w:rPr>
          <w:rFonts w:cs="仿宋"/>
          <w:szCs w:val="24"/>
        </w:rPr>
      </w:pPr>
      <w:r>
        <w:rPr>
          <w:rFonts w:hint="eastAsia" w:cs="仿宋"/>
          <w:szCs w:val="24"/>
        </w:rPr>
        <w:t>2</w:t>
      </w:r>
      <w:r>
        <w:rPr>
          <w:rFonts w:cs="仿宋"/>
          <w:szCs w:val="24"/>
        </w:rPr>
        <w:t>.</w:t>
      </w:r>
      <w:r>
        <w:rPr>
          <w:rFonts w:hint="eastAsia" w:cs="仿宋"/>
          <w:szCs w:val="24"/>
        </w:rPr>
        <w:t>针对“资本性支出费用化”、“资金支付单据不充分”的问题，建议城市管理局分别进行账务调整和补充原始单据。</w:t>
      </w:r>
    </w:p>
    <w:p>
      <w:pPr>
        <w:ind w:firstLine="480"/>
        <w:rPr>
          <w:rFonts w:cs="仿宋"/>
          <w:szCs w:val="24"/>
        </w:rPr>
      </w:pPr>
      <w:r>
        <w:rPr>
          <w:rFonts w:hint="eastAsia" w:cs="仿宋"/>
          <w:szCs w:val="24"/>
        </w:rPr>
        <w:t>3</w:t>
      </w:r>
      <w:r>
        <w:rPr>
          <w:rFonts w:cs="仿宋"/>
          <w:szCs w:val="24"/>
        </w:rPr>
        <w:t>.</w:t>
      </w:r>
      <w:r>
        <w:rPr>
          <w:rFonts w:hint="eastAsia" w:cs="仿宋"/>
          <w:szCs w:val="24"/>
        </w:rPr>
        <w:t>针对“项目建设总成本超预算”的问题，建议城市管理局严格控制建设成本，保持预（概）算执行严肃性，严肃财经纪律，对设计变更增加的工程量重新报批。</w:t>
      </w:r>
    </w:p>
    <w:p>
      <w:pPr>
        <w:ind w:firstLine="480"/>
        <w:rPr>
          <w:rFonts w:cs="仿宋"/>
          <w:szCs w:val="24"/>
        </w:rPr>
      </w:pPr>
    </w:p>
    <w:p>
      <w:pPr>
        <w:ind w:firstLine="480"/>
        <w:rPr>
          <w:rFonts w:cs="仿宋"/>
          <w:szCs w:val="24"/>
        </w:rPr>
      </w:pPr>
    </w:p>
    <w:p>
      <w:pPr>
        <w:ind w:firstLine="480"/>
        <w:rPr>
          <w:rFonts w:cs="仿宋"/>
        </w:rPr>
      </w:pPr>
      <w:r>
        <w:rPr>
          <w:rFonts w:hint="eastAsia" w:cs="仿宋"/>
          <w:szCs w:val="24"/>
        </w:rPr>
        <w:t>附件：寻甸县湿地公园清淤改造项目支出绩效评价指标体系及评分表</w:t>
      </w:r>
    </w:p>
    <w:p>
      <w:pPr>
        <w:ind w:firstLine="424" w:firstLineChars="177"/>
        <w:rPr>
          <w:rFonts w:cs="仿宋"/>
        </w:rPr>
      </w:pPr>
      <w:r>
        <w:rPr>
          <w:rFonts w:hint="eastAsia" w:cs="仿宋"/>
        </w:rPr>
        <w:t xml:space="preserve">                </w:t>
      </w:r>
    </w:p>
    <w:p>
      <w:pPr>
        <w:ind w:firstLine="424" w:firstLineChars="177"/>
        <w:rPr>
          <w:rFonts w:cs="仿宋"/>
        </w:rPr>
      </w:pPr>
    </w:p>
    <w:p>
      <w:pPr>
        <w:ind w:firstLine="424" w:firstLineChars="177"/>
        <w:rPr>
          <w:rFonts w:cs="仿宋"/>
        </w:rPr>
      </w:pPr>
    </w:p>
    <w:p>
      <w:pPr>
        <w:ind w:firstLine="424" w:firstLineChars="177"/>
        <w:rPr>
          <w:rFonts w:cs="仿宋"/>
        </w:rPr>
      </w:pPr>
      <w:r>
        <w:rPr>
          <w:rFonts w:hint="eastAsia" w:cs="仿宋"/>
        </w:rPr>
        <w:t xml:space="preserve">           </w:t>
      </w:r>
    </w:p>
    <w:p>
      <w:pPr>
        <w:ind w:firstLine="0" w:firstLineChars="0"/>
        <w:rPr>
          <w:rFonts w:cs="仿宋"/>
          <w:szCs w:val="24"/>
        </w:rPr>
      </w:pPr>
      <w:r>
        <w:rPr>
          <w:rFonts w:hint="eastAsia" w:cs="仿宋"/>
          <w:szCs w:val="24"/>
        </w:rPr>
        <w:t>云南京健会计师事务所（普通合伙）        中国注册会计师：</w:t>
      </w:r>
    </w:p>
    <w:p>
      <w:pPr>
        <w:ind w:firstLine="0" w:firstLineChars="0"/>
        <w:rPr>
          <w:rFonts w:cs="仿宋"/>
          <w:szCs w:val="24"/>
        </w:rPr>
      </w:pPr>
      <w:bookmarkStart w:id="81" w:name="_GoBack"/>
      <w:bookmarkEnd w:id="81"/>
    </w:p>
    <w:p>
      <w:pPr>
        <w:ind w:firstLine="0" w:firstLineChars="0"/>
        <w:rPr>
          <w:rFonts w:cs="仿宋"/>
          <w:szCs w:val="24"/>
        </w:rPr>
      </w:pPr>
    </w:p>
    <w:p>
      <w:pPr>
        <w:ind w:firstLine="1440" w:firstLineChars="600"/>
        <w:rPr>
          <w:rFonts w:cs="仿宋"/>
          <w:szCs w:val="24"/>
        </w:rPr>
      </w:pPr>
      <w:r>
        <w:rPr>
          <w:rFonts w:hint="eastAsia" w:cs="仿宋"/>
          <w:szCs w:val="24"/>
        </w:rPr>
        <w:t>中国•昆明                   中国注册会计师：</w:t>
      </w:r>
    </w:p>
    <w:p>
      <w:pPr>
        <w:pStyle w:val="4"/>
        <w:ind w:firstLine="480"/>
      </w:pPr>
    </w:p>
    <w:p>
      <w:pPr>
        <w:ind w:firstLine="480"/>
        <w:rPr>
          <w:rFonts w:ascii="仿宋_GB2312" w:hAnsi="仿宋_GB2312" w:eastAsia="仿宋_GB2312" w:cs="仿宋_GB2312"/>
          <w:highlight w:val="yellow"/>
        </w:rPr>
      </w:pPr>
      <w:r>
        <w:rPr>
          <w:rFonts w:hint="eastAsia" w:cs="仿宋"/>
          <w:szCs w:val="24"/>
        </w:rPr>
        <w:t xml:space="preserve">                           二〇二三年九月二十七日</w:t>
      </w:r>
    </w:p>
    <w:sectPr>
      <w:footerReference r:id="rId12" w:type="default"/>
      <w:pgSz w:w="11906" w:h="16838"/>
      <w:pgMar w:top="1440" w:right="1803" w:bottom="1440" w:left="1803" w:header="1077" w:footer="992" w:gutter="0"/>
      <w:pgBorders>
        <w:top w:val="single" w:color="auto" w:sz="4" w:space="1"/>
        <w:bottom w:val="single" w:color="auto" w:sz="4" w:space="1"/>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distribute"/>
      <w:rPr>
        <w:rFonts w:ascii="宋体" w:hAnsi="宋体" w:eastAsia="宋体" w:cs="宋体"/>
        <w:szCs w:val="21"/>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0288;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MlddoAAAAJAQAADwAAAAAAAAABACAAAAAiAAAAZHJzL2Rvd25yZXYueG1s&#10;UEsBAhQAFAAAAAgAh07iQE6geIovAgAAUwQAAA4AAAAAAAAAAQAgAAAAKQEAAGRycy9lMm9Eb2Mu&#10;eG1sUEsFBgAAAAAGAAYAWQEAAMoFA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1312;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CnNspj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a:gsLst>
                          <a:gs pos="0">
                            <a:srgbClr val="FBFB11"/>
                          </a:gs>
                          <a:gs pos="100000">
                            <a:srgbClr val="838309"/>
                          </a:gs>
                        </a:gsLst>
                        <a:lin scaled="0"/>
                      </a:grad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color="#FBFB11" filled="t" stroked="f" coordsize="21600,21600" o:gfxdata="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3tamNAAAAAFAQAADwAAAAAAAAABACAAAAAiAAAAZHJzL2Rvd25yZXYueG1sUEsBAhQA&#10;FAAAAAgAh07iQDPt6wFsAgAA7AQAAA4AAAAAAAAAAQAgAAAAHwEAAGRycy9lMm9Eb2MueG1sUEsF&#10;BgAAAAAGAAYAWQEAAP0FAAAAAA==&#10;">
              <v:fill type="gradient" on="t" color2="#838309" angle="90" focus="100%" focussize="0,0" rotate="t">
                <o:fill type="gradientUnscaled" v:ext="backwardCompatible"/>
              </v:fill>
              <v:stroke on="f" weight="0.5pt"/>
              <v:imagedata o:title=""/>
              <o:lock v:ext="edit" aspectratio="f"/>
              <v:textbox inset="0mm,0mm,0mm,0mm" style="mso-fit-shape-to-text:t;">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12</w:t>
                    </w:r>
                    <w:r>
                      <w:t xml:space="preserve"> 页</w:t>
                    </w:r>
                  </w:p>
                </w:txbxContent>
              </v:textbox>
            </v:shape>
          </w:pict>
        </mc:Fallback>
      </mc:AlternateContent>
    </w:r>
    <w:r>
      <w:rPr>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 w:val="18"/>
        <w:szCs w:val="18"/>
      </w:rPr>
      <mc:AlternateContent>
        <mc:Choice Requires="wps">
          <w:drawing>
            <wp:anchor distT="0" distB="0" distL="114300" distR="114300" simplePos="0" relativeHeight="251662336"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2336;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ABWAd4MAIAAFM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3360"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3360;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BhtChnxAEAAIkDAAAOAAAAAAAAAAEAIAAAACYBAABkcnMvZTJv&#10;RG9jLnhtbFBLBQYAAAAABgAGAFkBAABcBQAA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12</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12</w:t>
                    </w:r>
                    <w:r>
                      <w:t>页</w:t>
                    </w:r>
                  </w:p>
                </w:txbxContent>
              </v:textbox>
            </v:shape>
          </w:pict>
        </mc:Fallback>
      </mc:AlternateContent>
    </w:r>
    <w:r>
      <w:rPr>
        <w:sz w:val="18"/>
        <w:szCs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 w:val="18"/>
        <w:szCs w:val="18"/>
      </w:rPr>
      <mc:AlternateContent>
        <mc:Choice Requires="wps">
          <w:drawing>
            <wp:anchor distT="0" distB="0" distL="114300" distR="114300" simplePos="0" relativeHeight="251668480"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8480;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zJXXaAAAACQEAAA8AAAAAAAAAAQAgAAAAIgAAAGRycy9kb3ducmV2Lnht&#10;bFBLAQIUABQAAAAIAIdO4kBLv97iMAIAAFUEAAAOAAAAAAAAAAEAIAAAACkBAABkcnMvZTJvRG9j&#10;LnhtbFBLBQYAAAAABgAGAFkBAADL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9504"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13" name="文本框 13"/>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9504;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vkbS1wAAAAkBAAAPAAAAAAAAAAEAIAAAACIAAABkcnMvZG93bnJl&#10;di54bWxQSwECFAAUAAAACACHTuJAIamQ/cUBAACLAwAADgAAAAAAAAABACAAAAAmAQAAZHJzL2Uy&#10;b0RvYy54bWxQSwUGAAAAAAYABgBZAQAAXQUAA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ind w:firstLine="0" w:firstLineChars="0"/>
      <w:jc w:val="right"/>
      <w:rPr>
        <w:rFonts w:ascii="隶书" w:eastAsia="隶书"/>
      </w:rPr>
    </w:pPr>
    <w:r>
      <w:rPr>
        <w:rFonts w:hint="eastAsia" w:ascii="隶书" w:eastAsia="隶书"/>
        <w:sz w:val="21"/>
        <w:szCs w:val="21"/>
      </w:rPr>
      <w:t>云南京健会计师事务所（普通合伙）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TFhZjMxNmRiNmQ0MjdkN2EwMzk1OTU3ZGNmNDkifQ=="/>
  </w:docVars>
  <w:rsids>
    <w:rsidRoot w:val="00AE6716"/>
    <w:rsid w:val="00005169"/>
    <w:rsid w:val="00015509"/>
    <w:rsid w:val="00024B3C"/>
    <w:rsid w:val="00080B48"/>
    <w:rsid w:val="00085DE0"/>
    <w:rsid w:val="000D1D34"/>
    <w:rsid w:val="000E2072"/>
    <w:rsid w:val="001239EA"/>
    <w:rsid w:val="00134E77"/>
    <w:rsid w:val="001B0A62"/>
    <w:rsid w:val="001B282D"/>
    <w:rsid w:val="001E2E61"/>
    <w:rsid w:val="001E5BB7"/>
    <w:rsid w:val="00214176"/>
    <w:rsid w:val="002415BB"/>
    <w:rsid w:val="002715D8"/>
    <w:rsid w:val="00275F57"/>
    <w:rsid w:val="002C2048"/>
    <w:rsid w:val="002C5761"/>
    <w:rsid w:val="002F42E5"/>
    <w:rsid w:val="003135A6"/>
    <w:rsid w:val="00326965"/>
    <w:rsid w:val="003712D1"/>
    <w:rsid w:val="00374C05"/>
    <w:rsid w:val="003756BB"/>
    <w:rsid w:val="003856E2"/>
    <w:rsid w:val="003935FA"/>
    <w:rsid w:val="003A1E68"/>
    <w:rsid w:val="003A2646"/>
    <w:rsid w:val="003A27F7"/>
    <w:rsid w:val="003C273F"/>
    <w:rsid w:val="00403F6D"/>
    <w:rsid w:val="0041620C"/>
    <w:rsid w:val="00422D75"/>
    <w:rsid w:val="00431574"/>
    <w:rsid w:val="004329B0"/>
    <w:rsid w:val="004A457C"/>
    <w:rsid w:val="004D6964"/>
    <w:rsid w:val="00511D5C"/>
    <w:rsid w:val="00571DF9"/>
    <w:rsid w:val="00586C37"/>
    <w:rsid w:val="005927C2"/>
    <w:rsid w:val="005B2093"/>
    <w:rsid w:val="005C573E"/>
    <w:rsid w:val="005E6414"/>
    <w:rsid w:val="00611E60"/>
    <w:rsid w:val="006149C5"/>
    <w:rsid w:val="0066613F"/>
    <w:rsid w:val="006703CD"/>
    <w:rsid w:val="0068706F"/>
    <w:rsid w:val="006B193F"/>
    <w:rsid w:val="006B4261"/>
    <w:rsid w:val="006C5BA8"/>
    <w:rsid w:val="006C798D"/>
    <w:rsid w:val="006E5D1A"/>
    <w:rsid w:val="00736883"/>
    <w:rsid w:val="007650D6"/>
    <w:rsid w:val="00770054"/>
    <w:rsid w:val="0077314F"/>
    <w:rsid w:val="00781DFF"/>
    <w:rsid w:val="007926C2"/>
    <w:rsid w:val="007B2524"/>
    <w:rsid w:val="007D06F9"/>
    <w:rsid w:val="007F143F"/>
    <w:rsid w:val="008071AD"/>
    <w:rsid w:val="008445D5"/>
    <w:rsid w:val="00854DF0"/>
    <w:rsid w:val="00861AF7"/>
    <w:rsid w:val="00864C20"/>
    <w:rsid w:val="008B0C94"/>
    <w:rsid w:val="008D6685"/>
    <w:rsid w:val="00913BC2"/>
    <w:rsid w:val="00932AF3"/>
    <w:rsid w:val="00932D0E"/>
    <w:rsid w:val="009444DF"/>
    <w:rsid w:val="0095146C"/>
    <w:rsid w:val="009850B8"/>
    <w:rsid w:val="009B15DF"/>
    <w:rsid w:val="009C0BE2"/>
    <w:rsid w:val="00A006DC"/>
    <w:rsid w:val="00A007BA"/>
    <w:rsid w:val="00A13752"/>
    <w:rsid w:val="00A1491F"/>
    <w:rsid w:val="00A4267B"/>
    <w:rsid w:val="00A46FBA"/>
    <w:rsid w:val="00A53BC4"/>
    <w:rsid w:val="00A65A75"/>
    <w:rsid w:val="00A975BA"/>
    <w:rsid w:val="00A978AE"/>
    <w:rsid w:val="00AC33F7"/>
    <w:rsid w:val="00AC45E9"/>
    <w:rsid w:val="00AE6716"/>
    <w:rsid w:val="00AE7FDF"/>
    <w:rsid w:val="00B01956"/>
    <w:rsid w:val="00B02BFE"/>
    <w:rsid w:val="00B22112"/>
    <w:rsid w:val="00B35908"/>
    <w:rsid w:val="00B7097B"/>
    <w:rsid w:val="00B709E3"/>
    <w:rsid w:val="00B95EE7"/>
    <w:rsid w:val="00BA7A3B"/>
    <w:rsid w:val="00BC4075"/>
    <w:rsid w:val="00BD2F72"/>
    <w:rsid w:val="00BF04C3"/>
    <w:rsid w:val="00C0124B"/>
    <w:rsid w:val="00C14398"/>
    <w:rsid w:val="00C36906"/>
    <w:rsid w:val="00C3762A"/>
    <w:rsid w:val="00C45671"/>
    <w:rsid w:val="00C56F4D"/>
    <w:rsid w:val="00C91185"/>
    <w:rsid w:val="00C956F9"/>
    <w:rsid w:val="00CB40C0"/>
    <w:rsid w:val="00CC6E0F"/>
    <w:rsid w:val="00D0619B"/>
    <w:rsid w:val="00D10B47"/>
    <w:rsid w:val="00D10C8C"/>
    <w:rsid w:val="00D13A52"/>
    <w:rsid w:val="00D13B52"/>
    <w:rsid w:val="00D161F4"/>
    <w:rsid w:val="00D1717B"/>
    <w:rsid w:val="00D27FD0"/>
    <w:rsid w:val="00DB458C"/>
    <w:rsid w:val="00DB612D"/>
    <w:rsid w:val="00DD64BC"/>
    <w:rsid w:val="00DE4675"/>
    <w:rsid w:val="00DE7A9A"/>
    <w:rsid w:val="00E11096"/>
    <w:rsid w:val="00E42ADD"/>
    <w:rsid w:val="00E526BF"/>
    <w:rsid w:val="00E8619D"/>
    <w:rsid w:val="00EB637E"/>
    <w:rsid w:val="00EC0F7D"/>
    <w:rsid w:val="00EC490D"/>
    <w:rsid w:val="00F048D4"/>
    <w:rsid w:val="00F1335B"/>
    <w:rsid w:val="00F66CE9"/>
    <w:rsid w:val="00F87DA6"/>
    <w:rsid w:val="00FA36BD"/>
    <w:rsid w:val="00FB1D37"/>
    <w:rsid w:val="00FB218F"/>
    <w:rsid w:val="00FE4897"/>
    <w:rsid w:val="00FF2222"/>
    <w:rsid w:val="00FF2FFE"/>
    <w:rsid w:val="010C6983"/>
    <w:rsid w:val="012C7DC0"/>
    <w:rsid w:val="012F3B23"/>
    <w:rsid w:val="01432CF3"/>
    <w:rsid w:val="01436F9F"/>
    <w:rsid w:val="01880A19"/>
    <w:rsid w:val="018C388B"/>
    <w:rsid w:val="01B65C30"/>
    <w:rsid w:val="01C64855"/>
    <w:rsid w:val="01E26F97"/>
    <w:rsid w:val="02151E80"/>
    <w:rsid w:val="022E0963"/>
    <w:rsid w:val="0257031E"/>
    <w:rsid w:val="02684EB4"/>
    <w:rsid w:val="026D72F2"/>
    <w:rsid w:val="02A02758"/>
    <w:rsid w:val="02A3463C"/>
    <w:rsid w:val="02A70805"/>
    <w:rsid w:val="02BC2BBA"/>
    <w:rsid w:val="02EA73E1"/>
    <w:rsid w:val="0307577D"/>
    <w:rsid w:val="03BD28D6"/>
    <w:rsid w:val="045C346D"/>
    <w:rsid w:val="048A2A24"/>
    <w:rsid w:val="049401D8"/>
    <w:rsid w:val="04AC5FBE"/>
    <w:rsid w:val="04E77027"/>
    <w:rsid w:val="05145211"/>
    <w:rsid w:val="0521507F"/>
    <w:rsid w:val="055C6AE7"/>
    <w:rsid w:val="05634866"/>
    <w:rsid w:val="057F1E81"/>
    <w:rsid w:val="05FB5DC4"/>
    <w:rsid w:val="06186903"/>
    <w:rsid w:val="062A6E20"/>
    <w:rsid w:val="06404308"/>
    <w:rsid w:val="06790629"/>
    <w:rsid w:val="06A96071"/>
    <w:rsid w:val="06BD18CD"/>
    <w:rsid w:val="06DD1B0A"/>
    <w:rsid w:val="06DE5211"/>
    <w:rsid w:val="070077AC"/>
    <w:rsid w:val="07014EC2"/>
    <w:rsid w:val="074C6A10"/>
    <w:rsid w:val="075C167D"/>
    <w:rsid w:val="07D475CA"/>
    <w:rsid w:val="07F53CEB"/>
    <w:rsid w:val="080C5426"/>
    <w:rsid w:val="081D15C4"/>
    <w:rsid w:val="08281E83"/>
    <w:rsid w:val="08310243"/>
    <w:rsid w:val="08932548"/>
    <w:rsid w:val="08BE1A5F"/>
    <w:rsid w:val="08E46646"/>
    <w:rsid w:val="095F41FF"/>
    <w:rsid w:val="09734E97"/>
    <w:rsid w:val="09790F31"/>
    <w:rsid w:val="097C2206"/>
    <w:rsid w:val="09811723"/>
    <w:rsid w:val="09943BCA"/>
    <w:rsid w:val="09BE3873"/>
    <w:rsid w:val="09D850BF"/>
    <w:rsid w:val="0A177A6F"/>
    <w:rsid w:val="0A9F4057"/>
    <w:rsid w:val="0ABE7C42"/>
    <w:rsid w:val="0AD41505"/>
    <w:rsid w:val="0B114150"/>
    <w:rsid w:val="0B2B5475"/>
    <w:rsid w:val="0B316DB7"/>
    <w:rsid w:val="0B45384A"/>
    <w:rsid w:val="0BFF1C88"/>
    <w:rsid w:val="0C016446"/>
    <w:rsid w:val="0C1D7C13"/>
    <w:rsid w:val="0C230B9E"/>
    <w:rsid w:val="0C45114E"/>
    <w:rsid w:val="0C4F19D8"/>
    <w:rsid w:val="0CC071D9"/>
    <w:rsid w:val="0CD226F8"/>
    <w:rsid w:val="0CD33493"/>
    <w:rsid w:val="0CED7F3F"/>
    <w:rsid w:val="0D404B56"/>
    <w:rsid w:val="0D4940A8"/>
    <w:rsid w:val="0D654235"/>
    <w:rsid w:val="0D831253"/>
    <w:rsid w:val="0DBA5E70"/>
    <w:rsid w:val="0DCA5DE1"/>
    <w:rsid w:val="0DE47989"/>
    <w:rsid w:val="0DFA4270"/>
    <w:rsid w:val="0E4873B8"/>
    <w:rsid w:val="0E62232C"/>
    <w:rsid w:val="0E69015E"/>
    <w:rsid w:val="0E6C554A"/>
    <w:rsid w:val="0E732050"/>
    <w:rsid w:val="0EA96822"/>
    <w:rsid w:val="0ECC0884"/>
    <w:rsid w:val="0F201299"/>
    <w:rsid w:val="0F3026BC"/>
    <w:rsid w:val="0F4F24AB"/>
    <w:rsid w:val="0F6F0C3D"/>
    <w:rsid w:val="0FA554CA"/>
    <w:rsid w:val="102D258D"/>
    <w:rsid w:val="106C2346"/>
    <w:rsid w:val="106C7654"/>
    <w:rsid w:val="10762E0B"/>
    <w:rsid w:val="10A3523B"/>
    <w:rsid w:val="10A41CED"/>
    <w:rsid w:val="10AD2C55"/>
    <w:rsid w:val="10C43B87"/>
    <w:rsid w:val="11041BAB"/>
    <w:rsid w:val="110B1D5E"/>
    <w:rsid w:val="111D6972"/>
    <w:rsid w:val="11352493"/>
    <w:rsid w:val="11365128"/>
    <w:rsid w:val="1150050C"/>
    <w:rsid w:val="11686341"/>
    <w:rsid w:val="11CA17ED"/>
    <w:rsid w:val="11DA58D8"/>
    <w:rsid w:val="11E920D6"/>
    <w:rsid w:val="120A0F69"/>
    <w:rsid w:val="1225668C"/>
    <w:rsid w:val="122660D5"/>
    <w:rsid w:val="12320C01"/>
    <w:rsid w:val="1256332B"/>
    <w:rsid w:val="1283031A"/>
    <w:rsid w:val="128565DB"/>
    <w:rsid w:val="12DB208F"/>
    <w:rsid w:val="12ED67D7"/>
    <w:rsid w:val="12FC68FF"/>
    <w:rsid w:val="130C2193"/>
    <w:rsid w:val="130E3903"/>
    <w:rsid w:val="13166809"/>
    <w:rsid w:val="132922C3"/>
    <w:rsid w:val="13544641"/>
    <w:rsid w:val="13943B2C"/>
    <w:rsid w:val="13D5523A"/>
    <w:rsid w:val="13D656DB"/>
    <w:rsid w:val="13D7779C"/>
    <w:rsid w:val="13DF48A7"/>
    <w:rsid w:val="144D3492"/>
    <w:rsid w:val="144D747C"/>
    <w:rsid w:val="145A1383"/>
    <w:rsid w:val="14D5415A"/>
    <w:rsid w:val="14D9678B"/>
    <w:rsid w:val="14FC5A91"/>
    <w:rsid w:val="15AC577F"/>
    <w:rsid w:val="15DD16B3"/>
    <w:rsid w:val="15EE2E40"/>
    <w:rsid w:val="16446A3C"/>
    <w:rsid w:val="16523EA2"/>
    <w:rsid w:val="16DD2D5E"/>
    <w:rsid w:val="16E01397"/>
    <w:rsid w:val="16EA3483"/>
    <w:rsid w:val="174C1CD5"/>
    <w:rsid w:val="1752026A"/>
    <w:rsid w:val="175A563C"/>
    <w:rsid w:val="179C442C"/>
    <w:rsid w:val="17D26242"/>
    <w:rsid w:val="186561F9"/>
    <w:rsid w:val="18736211"/>
    <w:rsid w:val="18772165"/>
    <w:rsid w:val="18B6616D"/>
    <w:rsid w:val="18E933C9"/>
    <w:rsid w:val="18FD2189"/>
    <w:rsid w:val="19250992"/>
    <w:rsid w:val="19BA7F53"/>
    <w:rsid w:val="19BE25D1"/>
    <w:rsid w:val="19EB2EA3"/>
    <w:rsid w:val="1A032ECE"/>
    <w:rsid w:val="1A04423D"/>
    <w:rsid w:val="1A17016E"/>
    <w:rsid w:val="1A1F29A8"/>
    <w:rsid w:val="1A3C7AF1"/>
    <w:rsid w:val="1A3D12CC"/>
    <w:rsid w:val="1A545436"/>
    <w:rsid w:val="1A6C6495"/>
    <w:rsid w:val="1AE02712"/>
    <w:rsid w:val="1AE80A5A"/>
    <w:rsid w:val="1AEA56AB"/>
    <w:rsid w:val="1AF104DA"/>
    <w:rsid w:val="1B045886"/>
    <w:rsid w:val="1B082591"/>
    <w:rsid w:val="1B3E28E5"/>
    <w:rsid w:val="1B552716"/>
    <w:rsid w:val="1B6D5FA5"/>
    <w:rsid w:val="1B6F0F2D"/>
    <w:rsid w:val="1B79551A"/>
    <w:rsid w:val="1BA928F0"/>
    <w:rsid w:val="1C2D714A"/>
    <w:rsid w:val="1C6D0C27"/>
    <w:rsid w:val="1C6D274D"/>
    <w:rsid w:val="1C7707CD"/>
    <w:rsid w:val="1C906637"/>
    <w:rsid w:val="1CC9627E"/>
    <w:rsid w:val="1CD55A4A"/>
    <w:rsid w:val="1D0F7A8E"/>
    <w:rsid w:val="1D1B0AD1"/>
    <w:rsid w:val="1D221FDC"/>
    <w:rsid w:val="1D2F1285"/>
    <w:rsid w:val="1D3941A5"/>
    <w:rsid w:val="1D4C7ED3"/>
    <w:rsid w:val="1D7736C9"/>
    <w:rsid w:val="1D831AE5"/>
    <w:rsid w:val="1D8D6A3B"/>
    <w:rsid w:val="1D904FA5"/>
    <w:rsid w:val="1DC03EC1"/>
    <w:rsid w:val="1DD14027"/>
    <w:rsid w:val="1DE925A7"/>
    <w:rsid w:val="1E010BC0"/>
    <w:rsid w:val="1E2C4E59"/>
    <w:rsid w:val="1EB01ACB"/>
    <w:rsid w:val="1ED05892"/>
    <w:rsid w:val="1ED53D73"/>
    <w:rsid w:val="1EE8779D"/>
    <w:rsid w:val="1F4164DF"/>
    <w:rsid w:val="1F591721"/>
    <w:rsid w:val="1F6F6360"/>
    <w:rsid w:val="1F8B1E2F"/>
    <w:rsid w:val="1F91086F"/>
    <w:rsid w:val="1FE2356A"/>
    <w:rsid w:val="200244D1"/>
    <w:rsid w:val="201E59ED"/>
    <w:rsid w:val="2025021C"/>
    <w:rsid w:val="20356024"/>
    <w:rsid w:val="20536DBE"/>
    <w:rsid w:val="20694D65"/>
    <w:rsid w:val="20A14E27"/>
    <w:rsid w:val="20D30E0A"/>
    <w:rsid w:val="20D60287"/>
    <w:rsid w:val="20FC17FA"/>
    <w:rsid w:val="2114179F"/>
    <w:rsid w:val="21197B5A"/>
    <w:rsid w:val="216A2D40"/>
    <w:rsid w:val="21B96FEE"/>
    <w:rsid w:val="21C127EB"/>
    <w:rsid w:val="21CB0D2F"/>
    <w:rsid w:val="21E17F5C"/>
    <w:rsid w:val="21E23314"/>
    <w:rsid w:val="21EC0A72"/>
    <w:rsid w:val="21EF780B"/>
    <w:rsid w:val="221055AD"/>
    <w:rsid w:val="223F479F"/>
    <w:rsid w:val="223F5AC1"/>
    <w:rsid w:val="22583D0D"/>
    <w:rsid w:val="225F634C"/>
    <w:rsid w:val="229064AC"/>
    <w:rsid w:val="22C67807"/>
    <w:rsid w:val="22C92735"/>
    <w:rsid w:val="22CB5EF7"/>
    <w:rsid w:val="22E86417"/>
    <w:rsid w:val="230C5D84"/>
    <w:rsid w:val="231435FF"/>
    <w:rsid w:val="2325225E"/>
    <w:rsid w:val="23950F27"/>
    <w:rsid w:val="23B177E1"/>
    <w:rsid w:val="24211347"/>
    <w:rsid w:val="24310DD4"/>
    <w:rsid w:val="246D2625"/>
    <w:rsid w:val="248C6DDD"/>
    <w:rsid w:val="24900048"/>
    <w:rsid w:val="24BB522A"/>
    <w:rsid w:val="24F37529"/>
    <w:rsid w:val="24FF72D3"/>
    <w:rsid w:val="250F2C31"/>
    <w:rsid w:val="251E0472"/>
    <w:rsid w:val="2520642A"/>
    <w:rsid w:val="25286AA1"/>
    <w:rsid w:val="252B25EC"/>
    <w:rsid w:val="25364DC1"/>
    <w:rsid w:val="253C3631"/>
    <w:rsid w:val="25462E4B"/>
    <w:rsid w:val="258309B4"/>
    <w:rsid w:val="25862011"/>
    <w:rsid w:val="258C0E52"/>
    <w:rsid w:val="260D7D0C"/>
    <w:rsid w:val="261A1FEA"/>
    <w:rsid w:val="261C3DE4"/>
    <w:rsid w:val="263A71E2"/>
    <w:rsid w:val="26690FCD"/>
    <w:rsid w:val="26963F27"/>
    <w:rsid w:val="269B1693"/>
    <w:rsid w:val="26DF0CD6"/>
    <w:rsid w:val="26ED48AE"/>
    <w:rsid w:val="271B4099"/>
    <w:rsid w:val="272C1382"/>
    <w:rsid w:val="278F4F46"/>
    <w:rsid w:val="27A01740"/>
    <w:rsid w:val="27C416DF"/>
    <w:rsid w:val="27EF7121"/>
    <w:rsid w:val="28192057"/>
    <w:rsid w:val="281D28B1"/>
    <w:rsid w:val="283519AE"/>
    <w:rsid w:val="283C3A8D"/>
    <w:rsid w:val="2884724B"/>
    <w:rsid w:val="28870583"/>
    <w:rsid w:val="28D97FCA"/>
    <w:rsid w:val="28E7113E"/>
    <w:rsid w:val="291B5803"/>
    <w:rsid w:val="292F68A9"/>
    <w:rsid w:val="294D2F40"/>
    <w:rsid w:val="29733142"/>
    <w:rsid w:val="29A033E8"/>
    <w:rsid w:val="29BC365E"/>
    <w:rsid w:val="2A1C5137"/>
    <w:rsid w:val="2A3E70CF"/>
    <w:rsid w:val="2A6B5300"/>
    <w:rsid w:val="2A871926"/>
    <w:rsid w:val="2AC250CD"/>
    <w:rsid w:val="2B3602D5"/>
    <w:rsid w:val="2B4E7485"/>
    <w:rsid w:val="2B80177F"/>
    <w:rsid w:val="2B90159F"/>
    <w:rsid w:val="2B993748"/>
    <w:rsid w:val="2BAE482F"/>
    <w:rsid w:val="2BBE1DE2"/>
    <w:rsid w:val="2BE36683"/>
    <w:rsid w:val="2BE90021"/>
    <w:rsid w:val="2C706F8B"/>
    <w:rsid w:val="2C9B3A25"/>
    <w:rsid w:val="2CC24680"/>
    <w:rsid w:val="2DA362F7"/>
    <w:rsid w:val="2DC42BAC"/>
    <w:rsid w:val="2DDB1185"/>
    <w:rsid w:val="2DDE1315"/>
    <w:rsid w:val="2E70008E"/>
    <w:rsid w:val="2E795570"/>
    <w:rsid w:val="2EB4177E"/>
    <w:rsid w:val="2F32229C"/>
    <w:rsid w:val="2F474DB3"/>
    <w:rsid w:val="30065DDB"/>
    <w:rsid w:val="308D7FA8"/>
    <w:rsid w:val="30B1378E"/>
    <w:rsid w:val="30F14E48"/>
    <w:rsid w:val="30F25A6D"/>
    <w:rsid w:val="31202692"/>
    <w:rsid w:val="31202FD3"/>
    <w:rsid w:val="312A5619"/>
    <w:rsid w:val="31A23AE0"/>
    <w:rsid w:val="31C37AEC"/>
    <w:rsid w:val="32145CC4"/>
    <w:rsid w:val="32350A5C"/>
    <w:rsid w:val="32477ABF"/>
    <w:rsid w:val="325970B3"/>
    <w:rsid w:val="32CC0E3B"/>
    <w:rsid w:val="32DF1CBC"/>
    <w:rsid w:val="32E84C40"/>
    <w:rsid w:val="33656E24"/>
    <w:rsid w:val="33816DA8"/>
    <w:rsid w:val="33F469AE"/>
    <w:rsid w:val="340B3A91"/>
    <w:rsid w:val="34214870"/>
    <w:rsid w:val="345A637A"/>
    <w:rsid w:val="348D4052"/>
    <w:rsid w:val="34960E51"/>
    <w:rsid w:val="34B93037"/>
    <w:rsid w:val="34C2659C"/>
    <w:rsid w:val="34ED24C6"/>
    <w:rsid w:val="350911FE"/>
    <w:rsid w:val="35212153"/>
    <w:rsid w:val="3544533E"/>
    <w:rsid w:val="354C0B93"/>
    <w:rsid w:val="355B423F"/>
    <w:rsid w:val="357D6768"/>
    <w:rsid w:val="35BF3B38"/>
    <w:rsid w:val="35E23F6E"/>
    <w:rsid w:val="35EC067D"/>
    <w:rsid w:val="36215071"/>
    <w:rsid w:val="36314683"/>
    <w:rsid w:val="36472C7B"/>
    <w:rsid w:val="36753A20"/>
    <w:rsid w:val="36B0540D"/>
    <w:rsid w:val="36B326B4"/>
    <w:rsid w:val="36C17BFE"/>
    <w:rsid w:val="36CE2123"/>
    <w:rsid w:val="36D60122"/>
    <w:rsid w:val="36D9255D"/>
    <w:rsid w:val="37290822"/>
    <w:rsid w:val="373206A1"/>
    <w:rsid w:val="378E3DE6"/>
    <w:rsid w:val="37A32806"/>
    <w:rsid w:val="37D751E2"/>
    <w:rsid w:val="380B1DFE"/>
    <w:rsid w:val="38276F53"/>
    <w:rsid w:val="382E6775"/>
    <w:rsid w:val="385852A1"/>
    <w:rsid w:val="386F48E8"/>
    <w:rsid w:val="38A16914"/>
    <w:rsid w:val="38A718AB"/>
    <w:rsid w:val="38D91E08"/>
    <w:rsid w:val="38E0103A"/>
    <w:rsid w:val="38E063FB"/>
    <w:rsid w:val="38F230E0"/>
    <w:rsid w:val="393C79BC"/>
    <w:rsid w:val="3971570C"/>
    <w:rsid w:val="39945652"/>
    <w:rsid w:val="39B234B0"/>
    <w:rsid w:val="39CC0DE9"/>
    <w:rsid w:val="3A056E55"/>
    <w:rsid w:val="3A5860F9"/>
    <w:rsid w:val="3A896034"/>
    <w:rsid w:val="3A9F1F4F"/>
    <w:rsid w:val="3AA23B34"/>
    <w:rsid w:val="3AB45EB9"/>
    <w:rsid w:val="3AD018DF"/>
    <w:rsid w:val="3B013692"/>
    <w:rsid w:val="3B1667F3"/>
    <w:rsid w:val="3B3358B7"/>
    <w:rsid w:val="3B493B46"/>
    <w:rsid w:val="3B55625B"/>
    <w:rsid w:val="3B597FFC"/>
    <w:rsid w:val="3B660AEC"/>
    <w:rsid w:val="3B760DD2"/>
    <w:rsid w:val="3B86620D"/>
    <w:rsid w:val="3BB421DB"/>
    <w:rsid w:val="3BE552CD"/>
    <w:rsid w:val="3BF2764E"/>
    <w:rsid w:val="3C021C37"/>
    <w:rsid w:val="3C0540D6"/>
    <w:rsid w:val="3C24092A"/>
    <w:rsid w:val="3C693243"/>
    <w:rsid w:val="3C976231"/>
    <w:rsid w:val="3C9B25CD"/>
    <w:rsid w:val="3CAA0274"/>
    <w:rsid w:val="3D1746DC"/>
    <w:rsid w:val="3D237BE8"/>
    <w:rsid w:val="3D2C4D79"/>
    <w:rsid w:val="3D366EF4"/>
    <w:rsid w:val="3D4142F0"/>
    <w:rsid w:val="3D511084"/>
    <w:rsid w:val="3D642282"/>
    <w:rsid w:val="3D6F1615"/>
    <w:rsid w:val="3D7B5779"/>
    <w:rsid w:val="3D8A5584"/>
    <w:rsid w:val="3D9B2911"/>
    <w:rsid w:val="3D9C39EF"/>
    <w:rsid w:val="3DA235BF"/>
    <w:rsid w:val="3DB15E99"/>
    <w:rsid w:val="3DB46368"/>
    <w:rsid w:val="3DD8680E"/>
    <w:rsid w:val="3DFD5343"/>
    <w:rsid w:val="3E3062DB"/>
    <w:rsid w:val="3E850F52"/>
    <w:rsid w:val="3E9B2E8A"/>
    <w:rsid w:val="3E9F6A9D"/>
    <w:rsid w:val="3F1672F1"/>
    <w:rsid w:val="3F231079"/>
    <w:rsid w:val="3F4B41E0"/>
    <w:rsid w:val="3F592467"/>
    <w:rsid w:val="3F5D0E23"/>
    <w:rsid w:val="3F8245EF"/>
    <w:rsid w:val="3F8B2040"/>
    <w:rsid w:val="3F913ED2"/>
    <w:rsid w:val="3FAC1725"/>
    <w:rsid w:val="3FAD78C2"/>
    <w:rsid w:val="3FF47E41"/>
    <w:rsid w:val="400F00BB"/>
    <w:rsid w:val="405C3701"/>
    <w:rsid w:val="40615229"/>
    <w:rsid w:val="40733563"/>
    <w:rsid w:val="40B10190"/>
    <w:rsid w:val="40B74800"/>
    <w:rsid w:val="411613DD"/>
    <w:rsid w:val="41516E1E"/>
    <w:rsid w:val="416027A0"/>
    <w:rsid w:val="416E5398"/>
    <w:rsid w:val="418862CD"/>
    <w:rsid w:val="41A449A2"/>
    <w:rsid w:val="421B2713"/>
    <w:rsid w:val="42284FC8"/>
    <w:rsid w:val="42770C8F"/>
    <w:rsid w:val="429B2E0A"/>
    <w:rsid w:val="42AA5444"/>
    <w:rsid w:val="42F5056C"/>
    <w:rsid w:val="42FB7CE0"/>
    <w:rsid w:val="431112AD"/>
    <w:rsid w:val="43232F1C"/>
    <w:rsid w:val="433663BD"/>
    <w:rsid w:val="43561DE5"/>
    <w:rsid w:val="435E21EF"/>
    <w:rsid w:val="436B4467"/>
    <w:rsid w:val="43D9345F"/>
    <w:rsid w:val="440138B3"/>
    <w:rsid w:val="44154208"/>
    <w:rsid w:val="44394D1C"/>
    <w:rsid w:val="44406011"/>
    <w:rsid w:val="445451F2"/>
    <w:rsid w:val="44620BD2"/>
    <w:rsid w:val="446D7633"/>
    <w:rsid w:val="4488315B"/>
    <w:rsid w:val="4493471C"/>
    <w:rsid w:val="449C2C79"/>
    <w:rsid w:val="44B00229"/>
    <w:rsid w:val="44BE2144"/>
    <w:rsid w:val="44DF23A8"/>
    <w:rsid w:val="450736B6"/>
    <w:rsid w:val="45341CE2"/>
    <w:rsid w:val="45532B45"/>
    <w:rsid w:val="45621D42"/>
    <w:rsid w:val="45630290"/>
    <w:rsid w:val="45934454"/>
    <w:rsid w:val="4595257E"/>
    <w:rsid w:val="459D705A"/>
    <w:rsid w:val="45C42CBF"/>
    <w:rsid w:val="45DA2707"/>
    <w:rsid w:val="460E2404"/>
    <w:rsid w:val="46162C84"/>
    <w:rsid w:val="462E0F20"/>
    <w:rsid w:val="465F798A"/>
    <w:rsid w:val="46AC1B1A"/>
    <w:rsid w:val="46B80FA9"/>
    <w:rsid w:val="46CD7454"/>
    <w:rsid w:val="46FD0BBA"/>
    <w:rsid w:val="473D6FFA"/>
    <w:rsid w:val="47620B5A"/>
    <w:rsid w:val="476A374A"/>
    <w:rsid w:val="47C33349"/>
    <w:rsid w:val="47E54BDD"/>
    <w:rsid w:val="47E62852"/>
    <w:rsid w:val="4809270E"/>
    <w:rsid w:val="48155FBD"/>
    <w:rsid w:val="484F1501"/>
    <w:rsid w:val="48616542"/>
    <w:rsid w:val="487C4B5B"/>
    <w:rsid w:val="488B3ADA"/>
    <w:rsid w:val="489578D5"/>
    <w:rsid w:val="48C756C4"/>
    <w:rsid w:val="48F347C2"/>
    <w:rsid w:val="48F40872"/>
    <w:rsid w:val="490910CB"/>
    <w:rsid w:val="49466876"/>
    <w:rsid w:val="49672FCD"/>
    <w:rsid w:val="497D1E37"/>
    <w:rsid w:val="49A21D84"/>
    <w:rsid w:val="49C079A0"/>
    <w:rsid w:val="49E56842"/>
    <w:rsid w:val="4A202CB3"/>
    <w:rsid w:val="4A4C0BBD"/>
    <w:rsid w:val="4A741CD0"/>
    <w:rsid w:val="4AB169D3"/>
    <w:rsid w:val="4AE523B5"/>
    <w:rsid w:val="4AFF1CE5"/>
    <w:rsid w:val="4AFF2850"/>
    <w:rsid w:val="4B0B4086"/>
    <w:rsid w:val="4B2C2C5C"/>
    <w:rsid w:val="4B3948BD"/>
    <w:rsid w:val="4B542445"/>
    <w:rsid w:val="4B8633C6"/>
    <w:rsid w:val="4B9708CF"/>
    <w:rsid w:val="4BAE6978"/>
    <w:rsid w:val="4BF85767"/>
    <w:rsid w:val="4C4609B9"/>
    <w:rsid w:val="4C6B50F5"/>
    <w:rsid w:val="4C7613FB"/>
    <w:rsid w:val="4C9A610C"/>
    <w:rsid w:val="4CAB4A57"/>
    <w:rsid w:val="4CAF036C"/>
    <w:rsid w:val="4CB545C0"/>
    <w:rsid w:val="4CBB7439"/>
    <w:rsid w:val="4CBE1C08"/>
    <w:rsid w:val="4CFA12DC"/>
    <w:rsid w:val="4D317C9E"/>
    <w:rsid w:val="4D356131"/>
    <w:rsid w:val="4D521D49"/>
    <w:rsid w:val="4D5F31CA"/>
    <w:rsid w:val="4D635CDE"/>
    <w:rsid w:val="4D647E46"/>
    <w:rsid w:val="4D6B2FF6"/>
    <w:rsid w:val="4D7C15EC"/>
    <w:rsid w:val="4DA21BCB"/>
    <w:rsid w:val="4DA31278"/>
    <w:rsid w:val="4E022AED"/>
    <w:rsid w:val="4E0F5AA6"/>
    <w:rsid w:val="4E7B47FF"/>
    <w:rsid w:val="4E800E7B"/>
    <w:rsid w:val="4EC57FA6"/>
    <w:rsid w:val="4EDD2F85"/>
    <w:rsid w:val="4EE759E0"/>
    <w:rsid w:val="4EFB1785"/>
    <w:rsid w:val="4EFC0E40"/>
    <w:rsid w:val="4F073576"/>
    <w:rsid w:val="4F32383F"/>
    <w:rsid w:val="4F4201F9"/>
    <w:rsid w:val="4F596DC1"/>
    <w:rsid w:val="4F5B18B4"/>
    <w:rsid w:val="4F746E17"/>
    <w:rsid w:val="4F7E527E"/>
    <w:rsid w:val="4F9948BE"/>
    <w:rsid w:val="4F9A7281"/>
    <w:rsid w:val="4FAE6D31"/>
    <w:rsid w:val="4FB16A86"/>
    <w:rsid w:val="50114985"/>
    <w:rsid w:val="50173009"/>
    <w:rsid w:val="504B0595"/>
    <w:rsid w:val="508470D2"/>
    <w:rsid w:val="50CC2E3A"/>
    <w:rsid w:val="50E37FBB"/>
    <w:rsid w:val="516C1EC9"/>
    <w:rsid w:val="518F192B"/>
    <w:rsid w:val="51A35549"/>
    <w:rsid w:val="51C96CF8"/>
    <w:rsid w:val="51E16B22"/>
    <w:rsid w:val="51E71584"/>
    <w:rsid w:val="520134A4"/>
    <w:rsid w:val="52417CD3"/>
    <w:rsid w:val="525A2598"/>
    <w:rsid w:val="528D2D69"/>
    <w:rsid w:val="52A72CB9"/>
    <w:rsid w:val="52C645C7"/>
    <w:rsid w:val="5308234F"/>
    <w:rsid w:val="531A7701"/>
    <w:rsid w:val="533A7773"/>
    <w:rsid w:val="535A4036"/>
    <w:rsid w:val="535E0C0C"/>
    <w:rsid w:val="536F55E2"/>
    <w:rsid w:val="539A7C35"/>
    <w:rsid w:val="53EE2B63"/>
    <w:rsid w:val="541259A4"/>
    <w:rsid w:val="54221113"/>
    <w:rsid w:val="543625D7"/>
    <w:rsid w:val="54410718"/>
    <w:rsid w:val="5506526C"/>
    <w:rsid w:val="55497B99"/>
    <w:rsid w:val="556F44BF"/>
    <w:rsid w:val="557E0DC2"/>
    <w:rsid w:val="55981C1E"/>
    <w:rsid w:val="559E43DB"/>
    <w:rsid w:val="55CC0E83"/>
    <w:rsid w:val="5615080D"/>
    <w:rsid w:val="561574B3"/>
    <w:rsid w:val="56250D86"/>
    <w:rsid w:val="566A5330"/>
    <w:rsid w:val="567F26ED"/>
    <w:rsid w:val="568024C8"/>
    <w:rsid w:val="568F79BF"/>
    <w:rsid w:val="56A33FC4"/>
    <w:rsid w:val="56A763F2"/>
    <w:rsid w:val="56BE663C"/>
    <w:rsid w:val="56CD2153"/>
    <w:rsid w:val="56E75D17"/>
    <w:rsid w:val="56F312B5"/>
    <w:rsid w:val="56F74C0E"/>
    <w:rsid w:val="572B04F0"/>
    <w:rsid w:val="572B4176"/>
    <w:rsid w:val="57664E51"/>
    <w:rsid w:val="577603E3"/>
    <w:rsid w:val="5789602C"/>
    <w:rsid w:val="57D9376A"/>
    <w:rsid w:val="580649F2"/>
    <w:rsid w:val="58226B70"/>
    <w:rsid w:val="58230A94"/>
    <w:rsid w:val="58351BA6"/>
    <w:rsid w:val="584F5D9B"/>
    <w:rsid w:val="58795EFF"/>
    <w:rsid w:val="58835B9A"/>
    <w:rsid w:val="58B22CF9"/>
    <w:rsid w:val="58B840B1"/>
    <w:rsid w:val="58C67791"/>
    <w:rsid w:val="58F23A2C"/>
    <w:rsid w:val="58F33BD7"/>
    <w:rsid w:val="595950A7"/>
    <w:rsid w:val="5983654E"/>
    <w:rsid w:val="599B6043"/>
    <w:rsid w:val="59AB446D"/>
    <w:rsid w:val="5A1437A3"/>
    <w:rsid w:val="5A1F2A6A"/>
    <w:rsid w:val="5A321CCA"/>
    <w:rsid w:val="5A4031BD"/>
    <w:rsid w:val="5A742FCA"/>
    <w:rsid w:val="5A7557BC"/>
    <w:rsid w:val="5A7E34D5"/>
    <w:rsid w:val="5A801F1C"/>
    <w:rsid w:val="5AAB0EAB"/>
    <w:rsid w:val="5AC64458"/>
    <w:rsid w:val="5AD56AE1"/>
    <w:rsid w:val="5AF42D65"/>
    <w:rsid w:val="5AF96C92"/>
    <w:rsid w:val="5B6B2916"/>
    <w:rsid w:val="5B721AD3"/>
    <w:rsid w:val="5BA5390B"/>
    <w:rsid w:val="5BAF49EA"/>
    <w:rsid w:val="5BCF2B45"/>
    <w:rsid w:val="5BDC583E"/>
    <w:rsid w:val="5BDD7D44"/>
    <w:rsid w:val="5C2D62B3"/>
    <w:rsid w:val="5C331F55"/>
    <w:rsid w:val="5C37747F"/>
    <w:rsid w:val="5C3978AE"/>
    <w:rsid w:val="5C661078"/>
    <w:rsid w:val="5C7A4320"/>
    <w:rsid w:val="5C9167F0"/>
    <w:rsid w:val="5C930CB2"/>
    <w:rsid w:val="5CAE6718"/>
    <w:rsid w:val="5CED33FE"/>
    <w:rsid w:val="5CFE4B36"/>
    <w:rsid w:val="5D152663"/>
    <w:rsid w:val="5D250AE8"/>
    <w:rsid w:val="5D810B69"/>
    <w:rsid w:val="5D8562D6"/>
    <w:rsid w:val="5DA67B5E"/>
    <w:rsid w:val="5DB26B1C"/>
    <w:rsid w:val="5DC77A74"/>
    <w:rsid w:val="5DD80BA4"/>
    <w:rsid w:val="5DE65906"/>
    <w:rsid w:val="5DF10DD6"/>
    <w:rsid w:val="5E107A6E"/>
    <w:rsid w:val="5E240474"/>
    <w:rsid w:val="5E4A08B0"/>
    <w:rsid w:val="5E552402"/>
    <w:rsid w:val="5E581806"/>
    <w:rsid w:val="5EA954DA"/>
    <w:rsid w:val="5EF60C22"/>
    <w:rsid w:val="5F165F74"/>
    <w:rsid w:val="5F3E22C2"/>
    <w:rsid w:val="5F474EA9"/>
    <w:rsid w:val="5F8F3F9D"/>
    <w:rsid w:val="5FC33A72"/>
    <w:rsid w:val="5FE44BCC"/>
    <w:rsid w:val="5FFA3215"/>
    <w:rsid w:val="601278AE"/>
    <w:rsid w:val="602074C3"/>
    <w:rsid w:val="60342152"/>
    <w:rsid w:val="607F216A"/>
    <w:rsid w:val="609D0C9B"/>
    <w:rsid w:val="60D3361E"/>
    <w:rsid w:val="60F942D1"/>
    <w:rsid w:val="612912AD"/>
    <w:rsid w:val="613220FF"/>
    <w:rsid w:val="61446D7C"/>
    <w:rsid w:val="614B06AC"/>
    <w:rsid w:val="617C14DD"/>
    <w:rsid w:val="61B844A8"/>
    <w:rsid w:val="61D62E95"/>
    <w:rsid w:val="61D8581E"/>
    <w:rsid w:val="61FF2F13"/>
    <w:rsid w:val="622218C3"/>
    <w:rsid w:val="6222364C"/>
    <w:rsid w:val="6239511B"/>
    <w:rsid w:val="62473027"/>
    <w:rsid w:val="62641F1A"/>
    <w:rsid w:val="627B7180"/>
    <w:rsid w:val="6308246A"/>
    <w:rsid w:val="6308767C"/>
    <w:rsid w:val="63287634"/>
    <w:rsid w:val="63396070"/>
    <w:rsid w:val="634867D2"/>
    <w:rsid w:val="63525AAC"/>
    <w:rsid w:val="63531E3F"/>
    <w:rsid w:val="639768D2"/>
    <w:rsid w:val="63C05149"/>
    <w:rsid w:val="63F95E7B"/>
    <w:rsid w:val="64047A76"/>
    <w:rsid w:val="64107C83"/>
    <w:rsid w:val="641761B2"/>
    <w:rsid w:val="6429437B"/>
    <w:rsid w:val="648A2DED"/>
    <w:rsid w:val="64AA5921"/>
    <w:rsid w:val="64E965E9"/>
    <w:rsid w:val="64F613A1"/>
    <w:rsid w:val="64FB67B9"/>
    <w:rsid w:val="650F0297"/>
    <w:rsid w:val="65311AE8"/>
    <w:rsid w:val="65372FB5"/>
    <w:rsid w:val="6579788B"/>
    <w:rsid w:val="65A56F80"/>
    <w:rsid w:val="65CD5AEB"/>
    <w:rsid w:val="65D200C7"/>
    <w:rsid w:val="65D31262"/>
    <w:rsid w:val="65DE71F4"/>
    <w:rsid w:val="65E7615B"/>
    <w:rsid w:val="66067D88"/>
    <w:rsid w:val="662F3C78"/>
    <w:rsid w:val="66807846"/>
    <w:rsid w:val="66953C5B"/>
    <w:rsid w:val="669B2A9B"/>
    <w:rsid w:val="669F55F1"/>
    <w:rsid w:val="67157EB9"/>
    <w:rsid w:val="673B62F2"/>
    <w:rsid w:val="674F16A7"/>
    <w:rsid w:val="67906BAE"/>
    <w:rsid w:val="679D3EE7"/>
    <w:rsid w:val="67D36A56"/>
    <w:rsid w:val="67D56B92"/>
    <w:rsid w:val="67E036E9"/>
    <w:rsid w:val="67E5573D"/>
    <w:rsid w:val="683E687F"/>
    <w:rsid w:val="68430FB9"/>
    <w:rsid w:val="68C61A50"/>
    <w:rsid w:val="68E311B2"/>
    <w:rsid w:val="68FF3ACA"/>
    <w:rsid w:val="6900055E"/>
    <w:rsid w:val="690A6C79"/>
    <w:rsid w:val="69223AE7"/>
    <w:rsid w:val="69251ED4"/>
    <w:rsid w:val="692A4AFD"/>
    <w:rsid w:val="69326652"/>
    <w:rsid w:val="69347AF7"/>
    <w:rsid w:val="693A50E1"/>
    <w:rsid w:val="696E1979"/>
    <w:rsid w:val="69AA7B28"/>
    <w:rsid w:val="69B14B4E"/>
    <w:rsid w:val="69C175E5"/>
    <w:rsid w:val="69C56D45"/>
    <w:rsid w:val="69F57E4B"/>
    <w:rsid w:val="6A1221A1"/>
    <w:rsid w:val="6A233920"/>
    <w:rsid w:val="6A6366AE"/>
    <w:rsid w:val="6A8B6B18"/>
    <w:rsid w:val="6A9352A2"/>
    <w:rsid w:val="6A9A1577"/>
    <w:rsid w:val="6AA338E6"/>
    <w:rsid w:val="6AC86E77"/>
    <w:rsid w:val="6AF13C0D"/>
    <w:rsid w:val="6B5F4E4D"/>
    <w:rsid w:val="6B654FB0"/>
    <w:rsid w:val="6B6E1CA4"/>
    <w:rsid w:val="6BAF6941"/>
    <w:rsid w:val="6BCC1F13"/>
    <w:rsid w:val="6BD91EBE"/>
    <w:rsid w:val="6BE1101B"/>
    <w:rsid w:val="6C24259C"/>
    <w:rsid w:val="6C3219E1"/>
    <w:rsid w:val="6C5579CA"/>
    <w:rsid w:val="6C72726E"/>
    <w:rsid w:val="6CB44AB8"/>
    <w:rsid w:val="6CD509C5"/>
    <w:rsid w:val="6CE4138B"/>
    <w:rsid w:val="6CFA7874"/>
    <w:rsid w:val="6D514C03"/>
    <w:rsid w:val="6D69125F"/>
    <w:rsid w:val="6DA76031"/>
    <w:rsid w:val="6DA81CE8"/>
    <w:rsid w:val="6DBE17E3"/>
    <w:rsid w:val="6DCC1FAB"/>
    <w:rsid w:val="6DE537AC"/>
    <w:rsid w:val="6E096EF8"/>
    <w:rsid w:val="6E160574"/>
    <w:rsid w:val="6E816BBF"/>
    <w:rsid w:val="6E9134A9"/>
    <w:rsid w:val="6ED5286B"/>
    <w:rsid w:val="6F1A7E1A"/>
    <w:rsid w:val="6F314155"/>
    <w:rsid w:val="6FF85E6E"/>
    <w:rsid w:val="700A48AB"/>
    <w:rsid w:val="70245076"/>
    <w:rsid w:val="704E5507"/>
    <w:rsid w:val="705A51FE"/>
    <w:rsid w:val="70935E14"/>
    <w:rsid w:val="70A4763A"/>
    <w:rsid w:val="70B22023"/>
    <w:rsid w:val="70D45314"/>
    <w:rsid w:val="70DB1C8A"/>
    <w:rsid w:val="717B1403"/>
    <w:rsid w:val="71A147B9"/>
    <w:rsid w:val="71D842FA"/>
    <w:rsid w:val="71E65CC9"/>
    <w:rsid w:val="71F00255"/>
    <w:rsid w:val="721434B7"/>
    <w:rsid w:val="725F33BF"/>
    <w:rsid w:val="72651EB0"/>
    <w:rsid w:val="729C267B"/>
    <w:rsid w:val="72B23E6D"/>
    <w:rsid w:val="72C251F0"/>
    <w:rsid w:val="72D87B33"/>
    <w:rsid w:val="72DD5B9E"/>
    <w:rsid w:val="72F54E01"/>
    <w:rsid w:val="731A2D6E"/>
    <w:rsid w:val="73374395"/>
    <w:rsid w:val="7366202F"/>
    <w:rsid w:val="737A786F"/>
    <w:rsid w:val="73B461E3"/>
    <w:rsid w:val="73B604ED"/>
    <w:rsid w:val="73EE50F4"/>
    <w:rsid w:val="740D3F11"/>
    <w:rsid w:val="741257AC"/>
    <w:rsid w:val="742B1612"/>
    <w:rsid w:val="7441199D"/>
    <w:rsid w:val="74420B02"/>
    <w:rsid w:val="745C550C"/>
    <w:rsid w:val="74A064AE"/>
    <w:rsid w:val="74D46B08"/>
    <w:rsid w:val="74D96958"/>
    <w:rsid w:val="74FE6B71"/>
    <w:rsid w:val="74FE774A"/>
    <w:rsid w:val="75023274"/>
    <w:rsid w:val="75184790"/>
    <w:rsid w:val="75577D7F"/>
    <w:rsid w:val="755D5C19"/>
    <w:rsid w:val="757022FB"/>
    <w:rsid w:val="75A15325"/>
    <w:rsid w:val="75B2473D"/>
    <w:rsid w:val="75C03D91"/>
    <w:rsid w:val="75EF6235"/>
    <w:rsid w:val="75F71F3B"/>
    <w:rsid w:val="763563F5"/>
    <w:rsid w:val="766D57C1"/>
    <w:rsid w:val="76801850"/>
    <w:rsid w:val="769714F7"/>
    <w:rsid w:val="76AC2318"/>
    <w:rsid w:val="76B84969"/>
    <w:rsid w:val="76BC6C30"/>
    <w:rsid w:val="76E17F51"/>
    <w:rsid w:val="76E83D9B"/>
    <w:rsid w:val="76F7624B"/>
    <w:rsid w:val="772571D5"/>
    <w:rsid w:val="7730088B"/>
    <w:rsid w:val="77411D56"/>
    <w:rsid w:val="774839AC"/>
    <w:rsid w:val="77605E1A"/>
    <w:rsid w:val="77742983"/>
    <w:rsid w:val="77800D5D"/>
    <w:rsid w:val="77827BF3"/>
    <w:rsid w:val="778B633D"/>
    <w:rsid w:val="7793327E"/>
    <w:rsid w:val="77C232DA"/>
    <w:rsid w:val="77D973E1"/>
    <w:rsid w:val="77EA3464"/>
    <w:rsid w:val="78021C7B"/>
    <w:rsid w:val="780C1E19"/>
    <w:rsid w:val="786B70AF"/>
    <w:rsid w:val="78760913"/>
    <w:rsid w:val="7881477B"/>
    <w:rsid w:val="788F38A7"/>
    <w:rsid w:val="78A46720"/>
    <w:rsid w:val="78AD0AA4"/>
    <w:rsid w:val="78FD09AB"/>
    <w:rsid w:val="79010BD2"/>
    <w:rsid w:val="79017261"/>
    <w:rsid w:val="79346435"/>
    <w:rsid w:val="796608A4"/>
    <w:rsid w:val="7999176C"/>
    <w:rsid w:val="79AB2DAA"/>
    <w:rsid w:val="79B661E6"/>
    <w:rsid w:val="79CA7D83"/>
    <w:rsid w:val="79F12D18"/>
    <w:rsid w:val="7A461590"/>
    <w:rsid w:val="7A506505"/>
    <w:rsid w:val="7A6822EA"/>
    <w:rsid w:val="7A814BA2"/>
    <w:rsid w:val="7A88510B"/>
    <w:rsid w:val="7A942566"/>
    <w:rsid w:val="7AAC5343"/>
    <w:rsid w:val="7B4D10C0"/>
    <w:rsid w:val="7B5E19E1"/>
    <w:rsid w:val="7B8D502D"/>
    <w:rsid w:val="7BD0668B"/>
    <w:rsid w:val="7BD55037"/>
    <w:rsid w:val="7BEA41E2"/>
    <w:rsid w:val="7C1C27D8"/>
    <w:rsid w:val="7C230E82"/>
    <w:rsid w:val="7C304BF8"/>
    <w:rsid w:val="7C461A40"/>
    <w:rsid w:val="7C5C2009"/>
    <w:rsid w:val="7C655175"/>
    <w:rsid w:val="7C6D71FD"/>
    <w:rsid w:val="7C7E2620"/>
    <w:rsid w:val="7C8243CE"/>
    <w:rsid w:val="7C9902EC"/>
    <w:rsid w:val="7C9B318C"/>
    <w:rsid w:val="7CCE3276"/>
    <w:rsid w:val="7CCE4670"/>
    <w:rsid w:val="7CDD6CC4"/>
    <w:rsid w:val="7D341239"/>
    <w:rsid w:val="7D374E9E"/>
    <w:rsid w:val="7D477545"/>
    <w:rsid w:val="7D617FEB"/>
    <w:rsid w:val="7D6C6C25"/>
    <w:rsid w:val="7D82688C"/>
    <w:rsid w:val="7D936B21"/>
    <w:rsid w:val="7DB41EC3"/>
    <w:rsid w:val="7E141252"/>
    <w:rsid w:val="7E930BA3"/>
    <w:rsid w:val="7E985166"/>
    <w:rsid w:val="7EFE7213"/>
    <w:rsid w:val="7F171BCC"/>
    <w:rsid w:val="7F37013C"/>
    <w:rsid w:val="7F401C7A"/>
    <w:rsid w:val="7F5F1232"/>
    <w:rsid w:val="7F7316D3"/>
    <w:rsid w:val="7F755C75"/>
    <w:rsid w:val="7FA119C3"/>
    <w:rsid w:val="7FA3150B"/>
    <w:rsid w:val="7FC239A0"/>
    <w:rsid w:val="7FEB5D35"/>
    <w:rsid w:val="7FEB6D9F"/>
    <w:rsid w:val="7FF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仿宋" w:hAnsi="仿宋" w:eastAsia="仿宋" w:cstheme="minorBidi"/>
      <w:kern w:val="2"/>
      <w:sz w:val="24"/>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正文文本 字符"/>
    <w:basedOn w:val="8"/>
    <w:link w:val="4"/>
    <w:qFormat/>
    <w:uiPriority w:val="99"/>
    <w:rPr>
      <w:rFonts w:asciiTheme="minorHAnsi" w:hAnsiTheme="minorHAnsi" w:eastAsiaTheme="minorEastAsia" w:cstheme="minorBidi"/>
      <w:kern w:val="2"/>
      <w:sz w:val="21"/>
      <w:szCs w:val="22"/>
    </w:rPr>
  </w:style>
  <w:style w:type="character" w:customStyle="1" w:styleId="10">
    <w:name w:val="标题 1 字符"/>
    <w:basedOn w:val="8"/>
    <w:link w:val="2"/>
    <w:qFormat/>
    <w:uiPriority w:val="0"/>
    <w:rPr>
      <w:rFonts w:asciiTheme="minorHAnsi" w:hAnsiTheme="minorHAnsi" w:eastAsiaTheme="minorEastAsia" w:cstheme="minorBidi"/>
      <w:b/>
      <w:bCs/>
      <w:kern w:val="44"/>
      <w:sz w:val="44"/>
      <w:szCs w:val="44"/>
    </w:rPr>
  </w:style>
  <w:style w:type="paragraph" w:customStyle="1" w:styleId="11">
    <w:name w:val="TOC 标题1"/>
    <w:basedOn w:val="2"/>
    <w:next w:val="1"/>
    <w:semiHidden/>
    <w:unhideWhenUsed/>
    <w:qFormat/>
    <w:uiPriority w:val="39"/>
    <w:pPr>
      <w:outlineLvl w:val="9"/>
    </w:pPr>
    <w:rPr>
      <w:rFonts w:ascii="Times New Roman" w:hAnsi="Times New Roman" w:eastAsia="宋体" w:cs="Times New Roman"/>
    </w:rPr>
  </w:style>
  <w:style w:type="paragraph" w:customStyle="1" w:styleId="12">
    <w:name w:val="TOC 标题11"/>
    <w:basedOn w:val="2"/>
    <w:next w:val="1"/>
    <w:semiHidden/>
    <w:unhideWhenUsed/>
    <w:qFormat/>
    <w:uiPriority w:val="39"/>
    <w:pPr>
      <w:outlineLvl w:val="9"/>
    </w:pPr>
    <w:rPr>
      <w:rFonts w:ascii="Times New Roman" w:hAnsi="Times New Roman" w:eastAsia="宋体" w:cs="Times New Roman"/>
    </w:rPr>
  </w:style>
  <w:style w:type="paragraph" w:styleId="1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1465</Words>
  <Characters>8356</Characters>
  <Lines>69</Lines>
  <Paragraphs>19</Paragraphs>
  <TotalTime>0</TotalTime>
  <ScaleCrop>false</ScaleCrop>
  <LinksUpToDate>false</LinksUpToDate>
  <CharactersWithSpaces>9802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2020-08-18T02:52:00Z</dcterms:created>
  <dc:creator>de'l'l</dc:creator>
  <cp:lastModifiedBy>王淑红</cp:lastModifiedBy>
  <cp:lastPrinted>2022-09-27T01:49:00Z</cp:lastPrinted>
  <dcterms:modified xsi:type="dcterms:W3CDTF">2023-11-09T03:15:22Z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B506A24ED8C34662809ABC4AF233795A_13</vt:lpwstr>
  </property>
</Properties>
</file>