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Cs w:val="24"/>
        </w:rPr>
      </w:pPr>
      <w:r>
        <w:rPr>
          <w:rFonts w:hint="eastAsia" w:ascii="宋体" w:hAnsi="宋体" w:eastAsia="宋体" w:cs="Times New Roman"/>
          <w:szCs w:val="24"/>
        </w:rPr>
        <w:t>寻甸回族彝族自治县城市管理局202</w:t>
      </w:r>
      <w:r>
        <w:rPr>
          <w:rFonts w:ascii="宋体" w:hAnsi="宋体" w:eastAsia="宋体" w:cs="Times New Roman"/>
          <w:szCs w:val="24"/>
        </w:rPr>
        <w:t>2</w:t>
      </w:r>
      <w:r>
        <w:rPr>
          <w:rFonts w:hint="eastAsia" w:ascii="宋体" w:hAnsi="宋体" w:eastAsia="宋体" w:cs="Times New Roman"/>
          <w:szCs w:val="24"/>
        </w:rPr>
        <w:t>年县城公共绿地养护经费项目支出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3"/>
        <w:spacing w:line="600" w:lineRule="exact"/>
        <w:ind w:firstLine="0" w:firstLineChars="0"/>
      </w:pPr>
    </w:p>
    <w:p>
      <w:pPr>
        <w:spacing w:line="600" w:lineRule="exact"/>
        <w:ind w:firstLine="0" w:firstLineChars="0"/>
        <w:jc w:val="center"/>
        <w:rPr>
          <w:rFonts w:ascii="宋体" w:hAnsi="宋体" w:eastAsia="宋体"/>
          <w:szCs w:val="24"/>
        </w:rPr>
      </w:pPr>
    </w:p>
    <w:p>
      <w:pPr>
        <w:spacing w:line="600" w:lineRule="exact"/>
        <w:ind w:firstLine="0" w:firstLineChars="0"/>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项目名称：202</w:t>
      </w:r>
      <w:r>
        <w:rPr>
          <w:rFonts w:ascii="宋体" w:hAnsi="宋体" w:eastAsia="宋体" w:cs="宋体"/>
          <w:sz w:val="30"/>
          <w:szCs w:val="30"/>
        </w:rPr>
        <w:t>2</w:t>
      </w:r>
      <w:r>
        <w:rPr>
          <w:rFonts w:hint="eastAsia" w:ascii="宋体" w:hAnsi="宋体" w:eastAsia="宋体" w:cs="宋体"/>
          <w:sz w:val="30"/>
          <w:szCs w:val="30"/>
        </w:rPr>
        <w:t>年县城公共绿地养护经费项目支出绩效评价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评价单位：寻甸回族彝族自治县城市管理局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spacing w:line="600" w:lineRule="exact"/>
        <w:ind w:firstLine="0" w:firstLineChars="0"/>
        <w:jc w:val="center"/>
        <w:rPr>
          <w:rFonts w:cs="仿宋"/>
          <w:b/>
          <w:sz w:val="28"/>
          <w:szCs w:val="28"/>
        </w:rPr>
      </w:pPr>
    </w:p>
    <w:p>
      <w:pPr>
        <w:ind w:firstLine="562"/>
        <w:jc w:val="center"/>
        <w:rPr>
          <w:rFonts w:cs="仿宋"/>
          <w:b/>
          <w:sz w:val="28"/>
          <w:szCs w:val="28"/>
        </w:rPr>
      </w:pPr>
    </w:p>
    <w:p>
      <w:pPr>
        <w:pStyle w:val="11"/>
        <w:keepNext w:val="0"/>
        <w:keepLines w:val="0"/>
        <w:ind w:firstLine="0" w:firstLineChars="0"/>
        <w:rPr>
          <w:rFonts w:ascii="黑体" w:hAnsi="黑体" w:eastAsia="黑体"/>
          <w:sz w:val="36"/>
          <w:szCs w:val="36"/>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77" w:footer="992" w:gutter="0"/>
          <w:pgBorders>
            <w:top w:val="single" w:color="auto" w:sz="4" w:space="1"/>
            <w:bottom w:val="single" w:color="auto" w:sz="4" w:space="1"/>
          </w:pgBorders>
          <w:pgNumType w:start="1"/>
          <w:cols w:space="425" w:num="1"/>
          <w:docGrid w:type="lines" w:linePitch="312" w:charSpace="0"/>
        </w:sectPr>
      </w:pPr>
    </w:p>
    <w:p>
      <w:pPr>
        <w:ind w:firstLine="0" w:firstLineChars="0"/>
        <w:jc w:val="center"/>
        <w:rPr>
          <w:rFonts w:ascii="黑体" w:hAnsi="黑体" w:eastAsia="黑体" w:cs="黑体"/>
          <w:bCs/>
          <w:szCs w:val="24"/>
        </w:rPr>
      </w:pPr>
      <w:r>
        <w:rPr>
          <w:rFonts w:hint="eastAsia" w:ascii="黑体" w:hAnsi="黑体" w:eastAsia="黑体" w:cs="黑体"/>
          <w:bCs/>
          <w:szCs w:val="24"/>
        </w:rPr>
        <w:t>寻甸回族彝族自治县城市管理局202</w:t>
      </w:r>
      <w:r>
        <w:rPr>
          <w:rFonts w:ascii="黑体" w:hAnsi="黑体" w:eastAsia="黑体" w:cs="黑体"/>
          <w:bCs/>
          <w:szCs w:val="24"/>
        </w:rPr>
        <w:t>2</w:t>
      </w:r>
      <w:r>
        <w:rPr>
          <w:rFonts w:hint="eastAsia" w:ascii="黑体" w:hAnsi="黑体" w:eastAsia="黑体" w:cs="黑体"/>
          <w:bCs/>
          <w:szCs w:val="24"/>
        </w:rPr>
        <w:t>年县城公共绿地养护经费项目支出</w:t>
      </w:r>
    </w:p>
    <w:p>
      <w:pPr>
        <w:ind w:firstLine="640"/>
        <w:jc w:val="center"/>
        <w:rPr>
          <w:rFonts w:ascii="黑体" w:hAnsi="黑体" w:eastAsia="黑体" w:cs="黑体"/>
          <w:bCs/>
          <w:sz w:val="32"/>
          <w:szCs w:val="32"/>
        </w:rPr>
      </w:pPr>
      <w:r>
        <w:rPr>
          <w:rFonts w:hint="eastAsia" w:ascii="黑体" w:hAnsi="黑体" w:eastAsia="黑体" w:cs="黑体"/>
          <w:bCs/>
          <w:sz w:val="32"/>
          <w:szCs w:val="32"/>
        </w:rPr>
        <w:t>绩效评价报告</w:t>
      </w:r>
    </w:p>
    <w:p>
      <w:pPr>
        <w:ind w:firstLine="318" w:firstLineChars="177"/>
        <w:jc w:val="center"/>
        <w:rPr>
          <w:rFonts w:ascii="宋体" w:hAnsi="宋体" w:eastAsia="宋体"/>
          <w:sz w:val="18"/>
          <w:szCs w:val="18"/>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051</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0" w:name="_Hlk143855331"/>
      <w:r>
        <w:rPr>
          <w:rFonts w:hint="eastAsia"/>
        </w:rPr>
        <w:t>《关于全面推进预算绩效管理改革的实施意见》（寻政发〔</w:t>
      </w:r>
      <w:r>
        <w:t>2016〕122号）</w:t>
      </w:r>
      <w:bookmarkEnd w:id="0"/>
      <w:r>
        <w:t>、《关于印发寻甸回族彝族自治县预算绩效管理工作考核办法（试行）的通知》（寻政办发〔2016〕79号）、《关于明确预算绩效管理工作职责的通知》（寻财〔2020〕5号）和</w:t>
      </w:r>
      <w:bookmarkStart w:id="1" w:name="_Hlk143855269"/>
      <w:r>
        <w:t>《关于2022年度部门整体支出、重大项目支出和地方政府债券项目支出绩效再评价的通知》（寻财绩〔2023〕5号）</w:t>
      </w:r>
      <w:bookmarkEnd w:id="1"/>
      <w:r>
        <w:rPr>
          <w:rFonts w:hint="eastAsia"/>
        </w:rPr>
        <w:t>等文件要求，组成审计评价组对寻甸回族彝族自治县城市管理局202</w:t>
      </w:r>
      <w:r>
        <w:t>2</w:t>
      </w:r>
      <w:r>
        <w:rPr>
          <w:rFonts w:hint="eastAsia"/>
        </w:rPr>
        <w:t>年</w:t>
      </w:r>
      <w:bookmarkStart w:id="2" w:name="_Hlk114646579"/>
      <w:r>
        <w:rPr>
          <w:rFonts w:hint="eastAsia"/>
        </w:rPr>
        <w:t>县城公共绿地养护经费</w:t>
      </w:r>
      <w:bookmarkEnd w:id="2"/>
      <w:r>
        <w:rPr>
          <w:rFonts w:hint="eastAsia"/>
        </w:rPr>
        <w:t>（以下简称“项目”）的管理、使用及效益情况进行了绩效评价。寻甸回族彝族自治县城市管理局（以下简称“城市管理局”）对所提供评价资料的真实性、完整性负责。现将绩效评价情况报告如下：</w:t>
      </w:r>
      <w:bookmarkStart w:id="3" w:name="_Toc502134848"/>
    </w:p>
    <w:p>
      <w:pPr>
        <w:pStyle w:val="4"/>
        <w:ind w:firstLine="480"/>
        <w:jc w:val="left"/>
        <w:rPr>
          <w:rFonts w:ascii="黑体" w:hAnsi="黑体" w:eastAsia="黑体" w:cs="黑体"/>
          <w:szCs w:val="24"/>
        </w:rPr>
      </w:pPr>
      <w:r>
        <w:rPr>
          <w:rFonts w:hint="eastAsia" w:ascii="黑体" w:hAnsi="黑体" w:eastAsia="黑体" w:cs="黑体"/>
          <w:szCs w:val="24"/>
        </w:rPr>
        <w:t>一、基本情况</w:t>
      </w:r>
      <w:bookmarkEnd w:id="3"/>
      <w:bookmarkStart w:id="4" w:name="_Toc502134849"/>
    </w:p>
    <w:p>
      <w:pPr>
        <w:pStyle w:val="4"/>
        <w:ind w:firstLine="480"/>
        <w:jc w:val="left"/>
        <w:rPr>
          <w:rFonts w:ascii="楷体" w:hAnsi="楷体" w:eastAsia="楷体" w:cs="楷体"/>
          <w:szCs w:val="24"/>
        </w:rPr>
      </w:pPr>
      <w:bookmarkStart w:id="5" w:name="_Hlk146446416"/>
      <w:r>
        <w:rPr>
          <w:rFonts w:hint="eastAsia" w:ascii="楷体" w:hAnsi="楷体" w:eastAsia="楷体" w:cs="楷体"/>
          <w:szCs w:val="24"/>
        </w:rPr>
        <w:t>(一)项目概况</w:t>
      </w:r>
      <w:bookmarkEnd w:id="4"/>
    </w:p>
    <w:p>
      <w:pPr>
        <w:ind w:firstLine="480"/>
        <w:rPr>
          <w:rFonts w:cs="仿宋"/>
          <w:szCs w:val="24"/>
        </w:rPr>
      </w:pPr>
      <w:r>
        <w:rPr>
          <w:rFonts w:hint="eastAsia" w:cs="仿宋"/>
          <w:szCs w:val="24"/>
        </w:rPr>
        <w:t>1.项目设定背景、目的</w:t>
      </w:r>
    </w:p>
    <w:p>
      <w:pPr>
        <w:ind w:firstLine="480"/>
        <w:rPr>
          <w:rFonts w:cs="仿宋"/>
          <w:szCs w:val="24"/>
        </w:rPr>
      </w:pPr>
      <w:r>
        <w:rPr>
          <w:rFonts w:hint="eastAsia" w:cs="仿宋"/>
          <w:szCs w:val="24"/>
        </w:rPr>
        <w:t>为加强市容环境整治，分区域、分类别、分步骤地推进“治脏”“治乱”“治差”“治堵”“美化”“亮化”“净化”“绿化”等各项工作，使市容环境更加干净整洁、城市景观更加亮丽迷人、出行条件更加舒适便捷、人居环境更加温馨；实施精细化园林绿化管养长效机制体制，提升城市园林绿化品质，巩固“国家卫生县城”、“省级园林县城”建设成果。</w:t>
      </w:r>
    </w:p>
    <w:p>
      <w:pPr>
        <w:ind w:firstLine="480"/>
        <w:rPr>
          <w:rFonts w:cs="仿宋"/>
          <w:color w:val="FF0000"/>
          <w:szCs w:val="24"/>
        </w:rPr>
      </w:pPr>
      <w:r>
        <w:rPr>
          <w:rFonts w:hint="eastAsia" w:cs="仿宋"/>
          <w:szCs w:val="24"/>
        </w:rPr>
        <w:t>2.项目立项依据</w:t>
      </w:r>
    </w:p>
    <w:p>
      <w:pPr>
        <w:ind w:firstLine="480"/>
        <w:rPr>
          <w:rFonts w:cs="仿宋"/>
          <w:szCs w:val="24"/>
        </w:rPr>
      </w:pPr>
      <w:bookmarkStart w:id="6" w:name="_Hlk114838304"/>
      <w:bookmarkStart w:id="7" w:name="_Toc502134850"/>
      <w:r>
        <w:rPr>
          <w:rFonts w:hint="eastAsia" w:cs="仿宋"/>
          <w:szCs w:val="24"/>
        </w:rPr>
        <w:t>(1)</w:t>
      </w:r>
      <w:bookmarkEnd w:id="6"/>
      <w:r>
        <w:rPr>
          <w:rFonts w:hint="eastAsia" w:cs="仿宋"/>
          <w:szCs w:val="24"/>
        </w:rPr>
        <w:t>《国务院城市市容和环境卫生管理条例》；</w:t>
      </w:r>
    </w:p>
    <w:p>
      <w:pPr>
        <w:ind w:firstLine="480"/>
        <w:rPr>
          <w:rFonts w:cs="仿宋"/>
          <w:color w:val="FF0000"/>
          <w:szCs w:val="24"/>
        </w:rPr>
      </w:pPr>
      <w:r>
        <w:rPr>
          <w:rFonts w:cs="仿宋"/>
          <w:szCs w:val="24"/>
        </w:rPr>
        <w:t>(2)</w:t>
      </w:r>
      <w:r>
        <w:rPr>
          <w:rFonts w:hint="eastAsia" w:cs="仿宋"/>
          <w:szCs w:val="24"/>
        </w:rPr>
        <w:t>《昆明市城市市容和环境卫生管理条例》；</w:t>
      </w:r>
    </w:p>
    <w:p>
      <w:pPr>
        <w:ind w:firstLine="480"/>
        <w:rPr>
          <w:rFonts w:cs="仿宋"/>
          <w:szCs w:val="24"/>
        </w:rPr>
      </w:pPr>
      <w:r>
        <w:rPr>
          <w:rFonts w:cs="仿宋"/>
          <w:szCs w:val="24"/>
        </w:rPr>
        <w:t>(3)</w:t>
      </w:r>
      <w:r>
        <w:rPr>
          <w:rFonts w:hint="eastAsia" w:cs="仿宋"/>
          <w:szCs w:val="24"/>
        </w:rPr>
        <w:t>《昆明市人民政府关于加强环境卫生管理工作的实施意见》；</w:t>
      </w:r>
    </w:p>
    <w:p>
      <w:pPr>
        <w:ind w:firstLine="480"/>
        <w:rPr>
          <w:rFonts w:cs="仿宋"/>
          <w:szCs w:val="24"/>
        </w:rPr>
      </w:pPr>
      <w:r>
        <w:rPr>
          <w:rFonts w:cs="仿宋"/>
          <w:szCs w:val="24"/>
        </w:rPr>
        <w:t>(4)</w:t>
      </w:r>
      <w:r>
        <w:rPr>
          <w:rFonts w:hint="eastAsia" w:cs="仿宋"/>
          <w:szCs w:val="24"/>
        </w:rPr>
        <w:t>《2</w:t>
      </w:r>
      <w:r>
        <w:rPr>
          <w:rFonts w:cs="仿宋"/>
          <w:szCs w:val="24"/>
        </w:rPr>
        <w:t>022</w:t>
      </w:r>
      <w:r>
        <w:rPr>
          <w:rFonts w:hint="eastAsia" w:cs="仿宋"/>
          <w:szCs w:val="24"/>
        </w:rPr>
        <w:t>年昆明市园林绿化建设管理工作方案》；</w:t>
      </w:r>
    </w:p>
    <w:p>
      <w:pPr>
        <w:ind w:firstLine="480"/>
        <w:rPr>
          <w:rFonts w:cs="仿宋"/>
          <w:szCs w:val="24"/>
        </w:rPr>
      </w:pPr>
      <w:r>
        <w:rPr>
          <w:rFonts w:cs="仿宋"/>
          <w:szCs w:val="24"/>
        </w:rPr>
        <w:t>(5)</w:t>
      </w:r>
      <w:r>
        <w:rPr>
          <w:rFonts w:hint="eastAsia" w:cs="仿宋"/>
          <w:szCs w:val="24"/>
        </w:rPr>
        <w:t>《寻甸回族彝族自治县关于进一步完善环卫体制机制的实施意见（试行）》。</w:t>
      </w:r>
      <w:bookmarkEnd w:id="5"/>
    </w:p>
    <w:p>
      <w:pPr>
        <w:ind w:firstLine="480"/>
        <w:rPr>
          <w:rFonts w:ascii="楷体" w:hAnsi="楷体" w:eastAsia="楷体" w:cs="楷体"/>
          <w:szCs w:val="24"/>
        </w:rPr>
      </w:pPr>
      <w:r>
        <w:rPr>
          <w:rFonts w:hint="eastAsia" w:ascii="楷体" w:hAnsi="楷体" w:eastAsia="楷体" w:cs="楷体"/>
          <w:szCs w:val="24"/>
        </w:rPr>
        <w:t>(二)</w:t>
      </w:r>
      <w:bookmarkStart w:id="8" w:name="_Hlk146447174"/>
      <w:r>
        <w:rPr>
          <w:rFonts w:hint="eastAsia" w:ascii="楷体" w:hAnsi="楷体" w:eastAsia="楷体" w:cs="楷体"/>
          <w:szCs w:val="24"/>
        </w:rPr>
        <w:t>项目资金安排情况</w:t>
      </w:r>
      <w:bookmarkEnd w:id="7"/>
      <w:bookmarkEnd w:id="8"/>
    </w:p>
    <w:p>
      <w:pPr>
        <w:ind w:firstLine="480"/>
        <w:rPr>
          <w:rFonts w:cs="仿宋"/>
          <w:szCs w:val="24"/>
        </w:rPr>
      </w:pPr>
      <w:bookmarkStart w:id="9" w:name="_Toc502134851"/>
      <w:r>
        <w:rPr>
          <w:rFonts w:hint="eastAsia" w:cs="仿宋"/>
          <w:szCs w:val="24"/>
        </w:rPr>
        <w:t>根据《寻甸回族彝族自治县财政局关于批复202</w:t>
      </w:r>
      <w:r>
        <w:rPr>
          <w:rFonts w:cs="仿宋"/>
          <w:szCs w:val="24"/>
        </w:rPr>
        <w:t>2</w:t>
      </w:r>
      <w:r>
        <w:rPr>
          <w:rFonts w:hint="eastAsia" w:cs="仿宋"/>
          <w:szCs w:val="24"/>
        </w:rPr>
        <w:t>年部门预算的通知》（寻财预〔202</w:t>
      </w:r>
      <w:r>
        <w:rPr>
          <w:rFonts w:cs="仿宋"/>
          <w:szCs w:val="24"/>
        </w:rPr>
        <w:t>2</w:t>
      </w:r>
      <w:r>
        <w:rPr>
          <w:rFonts w:hint="eastAsia" w:cs="仿宋"/>
          <w:szCs w:val="24"/>
        </w:rPr>
        <w:t>〕1号）、《重点领域财政项目文本公开-县城市管理局202</w:t>
      </w:r>
      <w:r>
        <w:rPr>
          <w:rFonts w:cs="仿宋"/>
          <w:szCs w:val="24"/>
        </w:rPr>
        <w:t>2</w:t>
      </w:r>
      <w:r>
        <w:rPr>
          <w:rFonts w:hint="eastAsia" w:cs="仿宋"/>
          <w:szCs w:val="24"/>
        </w:rPr>
        <w:t>年县城公共绿地养护项目》，项目预算资金为1,200,000.00元，无预算调整。根据项目支出台账，截至202</w:t>
      </w:r>
      <w:r>
        <w:rPr>
          <w:rFonts w:cs="仿宋"/>
          <w:szCs w:val="24"/>
        </w:rPr>
        <w:t>2</w:t>
      </w:r>
      <w:r>
        <w:rPr>
          <w:rFonts w:hint="eastAsia" w:cs="仿宋"/>
          <w:szCs w:val="24"/>
        </w:rPr>
        <w:t>年12月31日，共计支付相关费用</w:t>
      </w:r>
      <w:r>
        <w:rPr>
          <w:rFonts w:cs="仿宋"/>
          <w:szCs w:val="24"/>
        </w:rPr>
        <w:t>886,487.25元，</w:t>
      </w:r>
      <w:r>
        <w:rPr>
          <w:rFonts w:hint="eastAsia" w:cs="仿宋"/>
          <w:szCs w:val="24"/>
        </w:rPr>
        <w:t>结余资金</w:t>
      </w:r>
      <w:r>
        <w:rPr>
          <w:rFonts w:cs="仿宋"/>
          <w:szCs w:val="24"/>
        </w:rPr>
        <w:t>结转</w:t>
      </w:r>
      <w:r>
        <w:rPr>
          <w:rFonts w:hint="eastAsia" w:cs="仿宋"/>
          <w:szCs w:val="24"/>
        </w:rPr>
        <w:t>至</w:t>
      </w:r>
      <w:r>
        <w:rPr>
          <w:rFonts w:cs="仿宋"/>
          <w:szCs w:val="24"/>
        </w:rPr>
        <w:t>2023年</w:t>
      </w:r>
      <w:r>
        <w:rPr>
          <w:rFonts w:hint="eastAsia" w:cs="仿宋"/>
          <w:szCs w:val="24"/>
        </w:rPr>
        <w:t>。</w:t>
      </w:r>
    </w:p>
    <w:p>
      <w:pPr>
        <w:ind w:firstLine="480"/>
        <w:rPr>
          <w:rFonts w:ascii="楷体" w:hAnsi="楷体" w:eastAsia="楷体" w:cs="楷体"/>
          <w:szCs w:val="24"/>
        </w:rPr>
      </w:pPr>
      <w:bookmarkStart w:id="10" w:name="_Hlk146446528"/>
      <w:r>
        <w:rPr>
          <w:rFonts w:hint="eastAsia" w:ascii="楷体" w:hAnsi="楷体" w:eastAsia="楷体" w:cs="楷体"/>
          <w:szCs w:val="24"/>
        </w:rPr>
        <w:t>(三)项目实施内容</w:t>
      </w:r>
      <w:bookmarkEnd w:id="9"/>
    </w:p>
    <w:p>
      <w:pPr>
        <w:ind w:firstLine="480"/>
        <w:rPr>
          <w:rFonts w:cs="仿宋"/>
          <w:szCs w:val="24"/>
        </w:rPr>
      </w:pPr>
      <w:bookmarkStart w:id="11" w:name="_Toc502134852"/>
      <w:r>
        <w:rPr>
          <w:rFonts w:hint="eastAsia" w:cs="仿宋"/>
          <w:szCs w:val="24"/>
        </w:rPr>
        <w:t>根据《昆明市城市绿地养护质量标准》，对寻甸县城</w:t>
      </w:r>
      <w:r>
        <w:rPr>
          <w:rFonts w:cs="仿宋"/>
          <w:szCs w:val="24"/>
        </w:rPr>
        <w:t>67.53万平方米公共绿地进行管养，避免绿地缺损，提升园林绿化景观效果</w:t>
      </w:r>
      <w:r>
        <w:rPr>
          <w:rFonts w:hint="eastAsia" w:cs="仿宋"/>
          <w:szCs w:val="24"/>
        </w:rPr>
        <w:t>，包括城区道路附属绿地、公园绿地、小游园、休闲广场绿化养护及保洁服务，公共绿地病虫害防治，抗旱保苗，中跟除草，清除绿化带、河滨公园垃圾、行道树枯木，绿化植物景观造型修建，绿化补植补造，植物防寒防冻等具体实施内容。</w:t>
      </w:r>
    </w:p>
    <w:p>
      <w:pPr>
        <w:ind w:firstLine="480"/>
        <w:rPr>
          <w:rFonts w:cs="仿宋"/>
          <w:szCs w:val="24"/>
        </w:rPr>
      </w:pPr>
      <w:r>
        <w:rPr>
          <w:rFonts w:hint="eastAsia" w:cs="仿宋"/>
          <w:szCs w:val="24"/>
        </w:rPr>
        <w:t>按照政府采购管理规定，通过公开招投标的方式确定</w:t>
      </w:r>
      <w:bookmarkStart w:id="12" w:name="_Hlk143854507"/>
      <w:r>
        <w:rPr>
          <w:rFonts w:hint="eastAsia" w:cs="仿宋"/>
          <w:szCs w:val="24"/>
        </w:rPr>
        <w:t>寻甸滨南城市服务有限公司</w:t>
      </w:r>
      <w:bookmarkEnd w:id="12"/>
      <w:r>
        <w:rPr>
          <w:rFonts w:hint="eastAsia" w:cs="仿宋"/>
          <w:szCs w:val="24"/>
        </w:rPr>
        <w:t>为寻甸县县城公共绿地养护专项经费项目的具体实施单位。</w:t>
      </w:r>
      <w:bookmarkEnd w:id="10"/>
    </w:p>
    <w:p>
      <w:pPr>
        <w:ind w:firstLine="480"/>
        <w:rPr>
          <w:rFonts w:ascii="楷体" w:hAnsi="楷体" w:eastAsia="楷体" w:cs="楷体"/>
          <w:szCs w:val="24"/>
        </w:rPr>
      </w:pPr>
      <w:bookmarkStart w:id="13" w:name="_Hlk146446621"/>
      <w:r>
        <w:rPr>
          <w:rFonts w:hint="eastAsia" w:ascii="楷体" w:hAnsi="楷体" w:eastAsia="楷体" w:cs="楷体"/>
          <w:szCs w:val="24"/>
        </w:rPr>
        <w:t>(四)项目绩效目标设定情况</w:t>
      </w:r>
      <w:bookmarkEnd w:id="11"/>
    </w:p>
    <w:p>
      <w:pPr>
        <w:ind w:firstLine="480"/>
        <w:rPr>
          <w:rFonts w:cs="仿宋"/>
          <w:szCs w:val="24"/>
        </w:rPr>
      </w:pPr>
      <w:r>
        <w:rPr>
          <w:rFonts w:hint="eastAsia" w:cs="仿宋"/>
          <w:szCs w:val="24"/>
        </w:rPr>
        <w:t>城市管理局根据上述项目实施内容，设定了项目总体目标和年度目标。</w:t>
      </w:r>
    </w:p>
    <w:p>
      <w:pPr>
        <w:ind w:firstLine="480"/>
        <w:rPr>
          <w:rFonts w:cs="仿宋"/>
          <w:szCs w:val="24"/>
        </w:rPr>
      </w:pPr>
      <w:r>
        <w:rPr>
          <w:rFonts w:hint="eastAsia" w:cs="仿宋"/>
          <w:szCs w:val="24"/>
        </w:rPr>
        <w:t>总体目标：提高园林绿化管养质量，避免绿地缺损，实施精细化园林绿化管养长效机制体制，提升城市园林绿化品质，巩固“国家卫生县城”、“省级园林县城”建设成果。</w:t>
      </w:r>
    </w:p>
    <w:p>
      <w:pPr>
        <w:ind w:firstLine="480"/>
        <w:rPr>
          <w:rFonts w:cs="仿宋"/>
          <w:szCs w:val="24"/>
        </w:rPr>
      </w:pPr>
      <w:r>
        <w:rPr>
          <w:rFonts w:hint="eastAsia" w:cs="仿宋"/>
          <w:szCs w:val="24"/>
        </w:rPr>
        <w:t>年度目标：优选具备条件的企业承担寻甸县城园林绿化管养服务工作，对公园绿地和道路附属绿地共计约67.53万平方米进行管养，健全监督考核机制，</w:t>
      </w:r>
      <w:bookmarkStart w:id="14" w:name="_Hlk143858168"/>
      <w:r>
        <w:rPr>
          <w:rFonts w:hint="eastAsia" w:cs="仿宋"/>
          <w:szCs w:val="24"/>
        </w:rPr>
        <w:t>按照《昆明市城市绿化养护管理考核标准》</w:t>
      </w:r>
      <w:bookmarkEnd w:id="14"/>
      <w:r>
        <w:rPr>
          <w:rFonts w:hint="eastAsia" w:cs="仿宋"/>
          <w:szCs w:val="24"/>
        </w:rPr>
        <w:t>对中标企业的管养工作进行考核奖惩，确保良好的管养服务质量。</w:t>
      </w:r>
    </w:p>
    <w:p>
      <w:pPr>
        <w:spacing w:after="312" w:afterLines="100"/>
        <w:ind w:firstLine="480"/>
      </w:pPr>
      <w:r>
        <w:rPr>
          <w:rFonts w:hint="eastAsia" w:cs="仿宋"/>
          <w:szCs w:val="24"/>
        </w:rPr>
        <w:t>根据上述项目年度目标，城市管理局申报的年度预算绩效指标及指标值的具体情况如下：</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86"/>
        <w:gridCol w:w="1628"/>
        <w:gridCol w:w="3358"/>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绩效指标</w:t>
            </w:r>
          </w:p>
        </w:tc>
        <w:tc>
          <w:tcPr>
            <w:tcW w:w="638"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一级指标</w:t>
            </w: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956"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数量指标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城市道路附属绿地</w:t>
            </w:r>
          </w:p>
        </w:tc>
        <w:tc>
          <w:tcPr>
            <w:tcW w:w="1050" w:type="pct"/>
            <w:tcBorders>
              <w:tl2br w:val="nil"/>
              <w:tr2bl w:val="nil"/>
            </w:tcBorders>
            <w:shd w:val="clear" w:color="auto" w:fill="auto"/>
            <w:vAlign w:val="center"/>
          </w:tcPr>
          <w:p>
            <w:pPr>
              <w:widowControl/>
              <w:ind w:firstLine="0" w:firstLineChars="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≥212654平方米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85"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公园绿地</w:t>
            </w:r>
          </w:p>
        </w:tc>
        <w:tc>
          <w:tcPr>
            <w:tcW w:w="1050" w:type="pct"/>
            <w:tcBorders>
              <w:tl2br w:val="nil"/>
              <w:tr2bl w:val="nil"/>
            </w:tcBorders>
            <w:shd w:val="clear" w:color="auto" w:fill="auto"/>
            <w:vAlign w:val="center"/>
          </w:tcPr>
          <w:p>
            <w:pPr>
              <w:widowControl/>
              <w:ind w:firstLine="0" w:firstLineChars="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≥453479平方米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质量指标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保障绿化成活率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绿化种植成活率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shd w:val="clear" w:color="auto" w:fill="auto"/>
            <w:vAlign w:val="center"/>
          </w:tcPr>
          <w:p>
            <w:pPr>
              <w:widowControl/>
              <w:ind w:firstLine="420"/>
              <w:jc w:val="center"/>
              <w:rPr>
                <w:rFonts w:asciiTheme="minorEastAsia" w:hAnsiTheme="minorEastAsia" w:eastAsiaTheme="minorEastAsia" w:cstheme="minorEastAsia"/>
                <w:color w:val="000000"/>
                <w:kern w:val="0"/>
                <w:sz w:val="21"/>
                <w:szCs w:val="21"/>
              </w:rPr>
            </w:pPr>
          </w:p>
        </w:tc>
        <w:tc>
          <w:tcPr>
            <w:tcW w:w="956" w:type="pct"/>
            <w:vMerge w:val="continue"/>
            <w:tcBorders>
              <w:tl2br w:val="nil"/>
              <w:tr2bl w:val="nil"/>
            </w:tcBorders>
            <w:shd w:val="clear" w:color="auto" w:fill="auto"/>
            <w:vAlign w:val="center"/>
          </w:tcPr>
          <w:p>
            <w:pPr>
              <w:widowControl/>
              <w:ind w:firstLine="420"/>
              <w:jc w:val="center"/>
              <w:rPr>
                <w:rFonts w:asciiTheme="minorEastAsia" w:hAnsiTheme="minorEastAsia" w:eastAsiaTheme="minorEastAsia" w:cstheme="minorEastAsia"/>
                <w:color w:val="000000"/>
                <w:kern w:val="0"/>
                <w:sz w:val="21"/>
                <w:szCs w:val="21"/>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绿化修剪及防寒防冻处理覆盖率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shd w:val="clear" w:color="auto" w:fill="auto"/>
            <w:vAlign w:val="center"/>
          </w:tcPr>
          <w:p>
            <w:pPr>
              <w:widowControl/>
              <w:ind w:firstLine="420"/>
              <w:jc w:val="center"/>
              <w:rPr>
                <w:rFonts w:asciiTheme="minorEastAsia" w:hAnsiTheme="minorEastAsia" w:eastAsiaTheme="minorEastAsia" w:cstheme="minorEastAsia"/>
                <w:color w:val="000000"/>
                <w:kern w:val="0"/>
                <w:sz w:val="21"/>
                <w:szCs w:val="21"/>
              </w:rPr>
            </w:pPr>
          </w:p>
        </w:tc>
        <w:tc>
          <w:tcPr>
            <w:tcW w:w="956" w:type="pct"/>
            <w:vMerge w:val="continue"/>
            <w:tcBorders>
              <w:tl2br w:val="nil"/>
              <w:tr2bl w:val="nil"/>
            </w:tcBorders>
            <w:shd w:val="clear" w:color="auto" w:fill="auto"/>
            <w:vAlign w:val="center"/>
          </w:tcPr>
          <w:p>
            <w:pPr>
              <w:widowControl/>
              <w:ind w:firstLine="420"/>
              <w:jc w:val="center"/>
              <w:rPr>
                <w:rFonts w:asciiTheme="minorEastAsia" w:hAnsiTheme="minorEastAsia" w:eastAsiaTheme="minorEastAsia" w:cstheme="minorEastAsia"/>
                <w:color w:val="000000"/>
                <w:kern w:val="0"/>
                <w:sz w:val="21"/>
                <w:szCs w:val="21"/>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绿化区域清洁覆盖率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restart"/>
            <w:tcBorders>
              <w:tl2br w:val="nil"/>
              <w:tr2bl w:val="nil"/>
            </w:tcBorders>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956" w:type="pct"/>
            <w:tcBorders>
              <w:tl2br w:val="nil"/>
              <w:tr2bl w:val="nil"/>
            </w:tcBorders>
            <w:shd w:val="clear" w:color="auto" w:fill="auto"/>
            <w:vAlign w:val="center"/>
          </w:tcPr>
          <w:p>
            <w:pPr>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社会效益指标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公园免费开放率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restart"/>
            <w:tcBorders>
              <w:tl2br w:val="nil"/>
              <w:tr2bl w:val="nil"/>
            </w:tcBorders>
            <w:shd w:val="clear" w:color="auto" w:fill="auto"/>
            <w:vAlign w:val="center"/>
          </w:tcPr>
          <w:p>
            <w:pPr>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生态效益指标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区域绿化覆盖率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区域绿地率</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人均公园绿地面积</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可持续影响</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公共绿地养护对县城可持续发展作用</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作用明显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vAlign w:val="center"/>
          </w:tcPr>
          <w:p>
            <w:pPr>
              <w:widowControl/>
              <w:ind w:firstLine="420"/>
              <w:jc w:val="center"/>
              <w:rPr>
                <w:rFonts w:asciiTheme="minorEastAsia" w:hAnsiTheme="minorEastAsia" w:eastAsiaTheme="minorEastAsia" w:cstheme="minorEastAsia"/>
                <w:color w:val="000000"/>
                <w:kern w:val="0"/>
                <w:sz w:val="21"/>
                <w:szCs w:val="21"/>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服务对象满意度</w:t>
            </w:r>
          </w:p>
        </w:tc>
        <w:tc>
          <w:tcPr>
            <w:tcW w:w="1050"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bookmarkEnd w:id="13"/>
    </w:tbl>
    <w:p>
      <w:pPr>
        <w:ind w:firstLine="480"/>
      </w:pPr>
      <w:r>
        <w:rPr>
          <w:rFonts w:hint="eastAsia"/>
        </w:rPr>
        <w:t>根据城市管理局提供的绩效目标申报表，申报表填列基本规范完整，未通过清晰、可衡量的指标及指标值予以体现，设定了最能体现项目绩效目标实现程度和项目实施部门职能履职情况的关键的、核心的绩效指标，但个别效益指标设定不完整且绩效指标性质划分不清。</w:t>
      </w:r>
    </w:p>
    <w:p>
      <w:pPr>
        <w:ind w:firstLine="480"/>
      </w:pPr>
      <w:r>
        <w:rPr>
          <w:rFonts w:hint="eastAsia"/>
        </w:rPr>
        <w:t>根据上述情况，评价组基本遵循预算批复适用原则，除调整个别</w:t>
      </w:r>
      <w:r>
        <w:t>效益指标及指标值外，基本采用预算批复的绩效指标及指标值，个性指标及指标值设计明细如下：</w:t>
      </w:r>
    </w:p>
    <w:tbl>
      <w:tblPr>
        <w:tblStyle w:val="7"/>
        <w:tblW w:w="8355" w:type="dxa"/>
        <w:tblInd w:w="0" w:type="dxa"/>
        <w:tblLayout w:type="fixed"/>
        <w:tblCellMar>
          <w:top w:w="0" w:type="dxa"/>
          <w:left w:w="0" w:type="dxa"/>
          <w:bottom w:w="0" w:type="dxa"/>
          <w:right w:w="0" w:type="dxa"/>
        </w:tblCellMar>
      </w:tblPr>
      <w:tblGrid>
        <w:gridCol w:w="1065"/>
        <w:gridCol w:w="1128"/>
        <w:gridCol w:w="2220"/>
        <w:gridCol w:w="2832"/>
        <w:gridCol w:w="1110"/>
      </w:tblGrid>
      <w:tr>
        <w:tblPrEx>
          <w:tblCellMar>
            <w:top w:w="0" w:type="dxa"/>
            <w:left w:w="0" w:type="dxa"/>
            <w:bottom w:w="0" w:type="dxa"/>
            <w:right w:w="0" w:type="dxa"/>
          </w:tblCellMar>
        </w:tblPrEx>
        <w:trPr>
          <w:cantSplit/>
          <w:trHeight w:val="463" w:hRule="exact"/>
        </w:trPr>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21"/>
                <w:szCs w:val="21"/>
              </w:rPr>
            </w:pPr>
            <w:r>
              <w:rPr>
                <w:rFonts w:hint="eastAsia" w:ascii="宋体" w:hAnsi="宋体" w:eastAsia="宋体" w:cs="宋体"/>
                <w:sz w:val="18"/>
                <w:szCs w:val="18"/>
              </w:rPr>
              <w:t>绩</w:t>
            </w:r>
            <w:r>
              <w:rPr>
                <w:rFonts w:hint="eastAsia" w:ascii="宋体" w:hAnsi="宋体" w:eastAsia="宋体" w:cs="宋体"/>
                <w:color w:val="000000"/>
                <w:kern w:val="0"/>
                <w:sz w:val="18"/>
                <w:szCs w:val="18"/>
              </w:rPr>
              <w:t>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21"/>
                <w:szCs w:val="21"/>
              </w:rPr>
            </w:pPr>
            <w:r>
              <w:rPr>
                <w:rFonts w:hint="eastAsia" w:ascii="宋体" w:hAnsi="宋体" w:eastAsia="宋体" w:cs="宋体"/>
                <w:sz w:val="18"/>
                <w:szCs w:val="18"/>
              </w:rPr>
              <w:t>一级指标</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21"/>
                <w:szCs w:val="21"/>
              </w:rPr>
            </w:pPr>
            <w:r>
              <w:rPr>
                <w:rFonts w:hint="eastAsia" w:ascii="宋体" w:hAnsi="宋体" w:eastAsia="宋体" w:cs="宋体"/>
                <w:sz w:val="18"/>
                <w:szCs w:val="18"/>
              </w:rPr>
              <w:t>二级指标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21"/>
                <w:szCs w:val="21"/>
              </w:rPr>
            </w:pPr>
            <w:r>
              <w:rPr>
                <w:rFonts w:hint="eastAsia" w:ascii="宋体" w:hAnsi="宋体" w:eastAsia="宋体" w:cs="宋体"/>
                <w:sz w:val="18"/>
                <w:szCs w:val="18"/>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21"/>
                <w:szCs w:val="21"/>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39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0" w:firstLineChars="0"/>
              <w:jc w:val="center"/>
              <w:rPr>
                <w:rFonts w:ascii="宋体" w:hAnsi="宋体" w:eastAsia="宋体" w:cs="宋体"/>
                <w:sz w:val="21"/>
                <w:szCs w:val="21"/>
              </w:rPr>
            </w:pPr>
            <w:r>
              <w:rPr>
                <w:rFonts w:hint="eastAsia" w:ascii="宋体" w:hAnsi="宋体" w:eastAsia="宋体" w:cs="宋体"/>
                <w:sz w:val="18"/>
                <w:szCs w:val="18"/>
              </w:rPr>
              <w:t>效益指标</w:t>
            </w: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社会效益指标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绿化区域清洁养护率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421"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公共绿地园林免费开放率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38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人居环境改善程度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较大改善</w:t>
            </w:r>
          </w:p>
        </w:tc>
      </w:tr>
      <w:tr>
        <w:tblPrEx>
          <w:tblCellMar>
            <w:top w:w="0" w:type="dxa"/>
            <w:left w:w="0" w:type="dxa"/>
            <w:bottom w:w="0" w:type="dxa"/>
            <w:right w:w="0" w:type="dxa"/>
          </w:tblCellMar>
        </w:tblPrEx>
        <w:trPr>
          <w:cantSplit/>
          <w:trHeight w:val="40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绿化覆盖率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≥30%</w:t>
            </w:r>
          </w:p>
        </w:tc>
      </w:tr>
      <w:tr>
        <w:tblPrEx>
          <w:tblCellMar>
            <w:top w:w="0" w:type="dxa"/>
            <w:left w:w="0" w:type="dxa"/>
            <w:bottom w:w="0" w:type="dxa"/>
            <w:right w:w="0" w:type="dxa"/>
          </w:tblCellMar>
        </w:tblPrEx>
        <w:trPr>
          <w:cantSplit/>
          <w:trHeight w:val="382"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绿化种植成活率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435"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CellMar>
            <w:top w:w="0" w:type="dxa"/>
            <w:left w:w="0" w:type="dxa"/>
            <w:bottom w:w="0" w:type="dxa"/>
            <w:right w:w="0" w:type="dxa"/>
          </w:tblCellMar>
        </w:tblPrEx>
        <w:trPr>
          <w:cantSplit/>
          <w:trHeight w:val="454" w:hRule="exact"/>
        </w:trPr>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1128"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after="240"/>
              <w:ind w:firstLine="420"/>
              <w:jc w:val="center"/>
              <w:rPr>
                <w:rFonts w:ascii="宋体" w:hAnsi="宋体" w:eastAsia="宋体" w:cs="宋体"/>
                <w:sz w:val="21"/>
                <w:szCs w:val="21"/>
              </w:rPr>
            </w:pP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社会公众或服务对象满意度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15" w:name="_Toc502134853"/>
      <w:r>
        <w:rPr>
          <w:rFonts w:hint="eastAsia" w:ascii="楷体" w:hAnsi="楷体" w:eastAsia="楷体" w:cs="楷体"/>
          <w:szCs w:val="24"/>
        </w:rPr>
        <w:t>(五)组织管理情况</w:t>
      </w:r>
      <w:bookmarkEnd w:id="15"/>
    </w:p>
    <w:p>
      <w:pPr>
        <w:ind w:firstLine="480"/>
      </w:pPr>
      <w:r>
        <w:rPr>
          <w:rFonts w:hint="eastAsia"/>
        </w:rPr>
        <w:t>1.项目实施主体。项目以城市管理局为主管部门，寻甸滨南城市服务有限公司为具体实施单位，编写实施方案，组织实施，确保项目任务的完成。</w:t>
      </w:r>
    </w:p>
    <w:p>
      <w:pPr>
        <w:ind w:firstLine="480"/>
      </w:pPr>
      <w:r>
        <w:rPr>
          <w:rFonts w:hint="eastAsia"/>
        </w:rPr>
        <w:t>2.保障措施。一是以项目管理办法保障项目的申报范围、安排导向和实施方式；二是以绩效考核的方式发挥资金效益；三是以预算明细的方式保障资金安排的科学规范，城市管理局建立预算管理制度，规范管理项目。</w:t>
      </w:r>
    </w:p>
    <w:p>
      <w:pPr>
        <w:ind w:firstLine="480"/>
      </w:pPr>
      <w:r>
        <w:rPr>
          <w:rFonts w:hint="eastAsia"/>
        </w:rPr>
        <w:t>3.资金安排程序。由涉及到的相关处室进行项目经费的测算，测算完后及时将所需资金报城市管理局，城市管理局领导成员班子通过会议讨论决定最终项目经费。</w:t>
      </w:r>
    </w:p>
    <w:p>
      <w:pPr>
        <w:ind w:firstLine="480"/>
      </w:pPr>
      <w:r>
        <w:rPr>
          <w:rFonts w:hint="eastAsia"/>
        </w:rPr>
        <w:t>4.</w:t>
      </w:r>
      <w:bookmarkStart w:id="16" w:name="_Hlk146449449"/>
      <w:r>
        <w:rPr>
          <w:rFonts w:hint="eastAsia"/>
        </w:rPr>
        <w:t>资金安排标准或依据</w:t>
      </w:r>
      <w:bookmarkEnd w:id="16"/>
      <w:r>
        <w:rPr>
          <w:rFonts w:hint="eastAsia"/>
        </w:rPr>
        <w:t>。《寻甸县城环卫绿化管护服务承包合同》并参照202</w:t>
      </w:r>
      <w:r>
        <w:t>1</w:t>
      </w:r>
      <w:r>
        <w:rPr>
          <w:rFonts w:hint="eastAsia"/>
        </w:rPr>
        <w:t>年项目决算情况。</w:t>
      </w:r>
    </w:p>
    <w:p>
      <w:pPr>
        <w:ind w:firstLine="480"/>
      </w:pPr>
      <w:r>
        <w:rPr>
          <w:rFonts w:hint="eastAsia"/>
        </w:rPr>
        <w:t>5.财务管理。城市管理局制定了《寻甸县城市管理局财务管理制度》等财务管理制度。规定了严格的审批制度。加强专项资金管理，严格执行财务管理制度，切实提高财政资金的使用效率。资金管理及核算主要执行《政府会计制度》等。</w:t>
      </w:r>
    </w:p>
    <w:p>
      <w:pPr>
        <w:ind w:firstLine="480"/>
        <w:rPr>
          <w:rFonts w:ascii="黑体" w:hAnsi="黑体" w:eastAsia="黑体" w:cs="黑体"/>
          <w:szCs w:val="24"/>
        </w:rPr>
      </w:pPr>
      <w:bookmarkStart w:id="17" w:name="_Toc502134854"/>
      <w:r>
        <w:rPr>
          <w:rFonts w:hint="eastAsia" w:ascii="黑体" w:hAnsi="黑体" w:eastAsia="黑体" w:cs="黑体"/>
          <w:szCs w:val="24"/>
        </w:rPr>
        <w:t>二、绩效自评情况</w:t>
      </w:r>
      <w:bookmarkEnd w:id="17"/>
    </w:p>
    <w:p>
      <w:pPr>
        <w:ind w:firstLine="480"/>
        <w:rPr>
          <w:rFonts w:ascii="楷体" w:hAnsi="楷体" w:eastAsia="楷体" w:cs="楷体"/>
          <w:szCs w:val="24"/>
        </w:rPr>
      </w:pPr>
      <w:bookmarkStart w:id="18" w:name="_Toc498009772"/>
      <w:bookmarkStart w:id="19" w:name="_Toc502134855"/>
      <w:r>
        <w:rPr>
          <w:rFonts w:hint="eastAsia" w:ascii="楷体" w:hAnsi="楷体" w:eastAsia="楷体" w:cs="楷体"/>
          <w:szCs w:val="24"/>
        </w:rPr>
        <w:t>(一)绩效自评概述</w:t>
      </w:r>
      <w:bookmarkEnd w:id="18"/>
      <w:bookmarkEnd w:id="19"/>
    </w:p>
    <w:p>
      <w:pPr>
        <w:ind w:firstLine="480"/>
      </w:pPr>
      <w:bookmarkStart w:id="20" w:name="_Toc502134856"/>
      <w:bookmarkStart w:id="21" w:name="_Toc498009773"/>
      <w:r>
        <w:rPr>
          <w:rFonts w:hint="eastAsia"/>
        </w:rPr>
        <w:t>根据</w:t>
      </w:r>
      <w:bookmarkStart w:id="22" w:name="_Hlk143869243"/>
      <w:r>
        <w:rPr>
          <w:rFonts w:hint="eastAsia"/>
        </w:rPr>
        <w:t>《寻甸县财政局关于印发</w:t>
      </w:r>
      <w:r>
        <w:t>&lt;寻甸县本级部门预算绩效自评管理暂行办法&gt;的通知》（寻财绩</w:t>
      </w:r>
      <w:r>
        <w:rPr>
          <w:rFonts w:hint="eastAsia"/>
        </w:rPr>
        <w:t>〔2018〕</w:t>
      </w:r>
      <w:r>
        <w:t>9号）</w:t>
      </w:r>
      <w:bookmarkEnd w:id="22"/>
      <w:r>
        <w:rPr>
          <w:rFonts w:hint="eastAsia"/>
        </w:rPr>
        <w:t>等文件的规定，城市管理局成立了202</w:t>
      </w:r>
      <w:r>
        <w:t>2</w:t>
      </w:r>
      <w:r>
        <w:rPr>
          <w:rFonts w:hint="eastAsia"/>
        </w:rPr>
        <w:t>年县城公共绿地养护专项经费支出绩效自评小组，并于202</w:t>
      </w:r>
      <w:r>
        <w:t>3</w:t>
      </w:r>
      <w:r>
        <w:rPr>
          <w:rFonts w:hint="eastAsia"/>
        </w:rPr>
        <w:t>年5月形成了《寻甸回族彝族自治县城市管理局202</w:t>
      </w:r>
      <w:r>
        <w:t>2</w:t>
      </w:r>
      <w:r>
        <w:rPr>
          <w:rFonts w:hint="eastAsia"/>
        </w:rPr>
        <w:t>年县城公共绿地养护专项经费支出绩效自评报告》。</w:t>
      </w:r>
    </w:p>
    <w:p>
      <w:pPr>
        <w:ind w:firstLine="480"/>
        <w:rPr>
          <w:rFonts w:ascii="楷体" w:hAnsi="楷体" w:eastAsia="楷体" w:cs="楷体"/>
          <w:szCs w:val="24"/>
        </w:rPr>
      </w:pPr>
      <w:r>
        <w:rPr>
          <w:rFonts w:hint="eastAsia" w:ascii="楷体" w:hAnsi="楷体" w:eastAsia="楷体" w:cs="楷体"/>
          <w:szCs w:val="24"/>
        </w:rPr>
        <w:t>(二)绩效自评结论</w:t>
      </w:r>
      <w:bookmarkEnd w:id="20"/>
      <w:bookmarkEnd w:id="21"/>
    </w:p>
    <w:p>
      <w:pPr>
        <w:ind w:firstLine="480"/>
        <w:rPr>
          <w:rFonts w:cs="仿宋"/>
          <w:szCs w:val="24"/>
        </w:rPr>
      </w:pPr>
      <w:r>
        <w:rPr>
          <w:rFonts w:hint="eastAsia" w:cs="仿宋"/>
          <w:szCs w:val="24"/>
        </w:rPr>
        <w:t>根据城市管理局提供的《2</w:t>
      </w:r>
      <w:r>
        <w:rPr>
          <w:rFonts w:cs="仿宋"/>
          <w:szCs w:val="24"/>
        </w:rPr>
        <w:t>022</w:t>
      </w:r>
      <w:r>
        <w:rPr>
          <w:rFonts w:hint="eastAsia" w:cs="仿宋"/>
          <w:szCs w:val="24"/>
        </w:rPr>
        <w:t>年县城公共绿地养护专项经费支出绩效自评报告》，城市管理局202</w:t>
      </w:r>
      <w:r>
        <w:rPr>
          <w:rFonts w:cs="仿宋"/>
          <w:szCs w:val="24"/>
        </w:rPr>
        <w:t>2</w:t>
      </w:r>
      <w:r>
        <w:rPr>
          <w:rFonts w:hint="eastAsia" w:cs="仿宋"/>
          <w:szCs w:val="24"/>
        </w:rPr>
        <w:t>年县城公共绿地养护项目的决策、管理、绩效情况自评综合得分为97.22分，自评等级为“优”。</w:t>
      </w:r>
    </w:p>
    <w:p>
      <w:pPr>
        <w:ind w:firstLine="480"/>
        <w:rPr>
          <w:rFonts w:ascii="黑体" w:hAnsi="黑体" w:eastAsia="黑体" w:cs="黑体"/>
          <w:szCs w:val="24"/>
        </w:rPr>
      </w:pPr>
      <w:bookmarkStart w:id="23" w:name="_Toc502134857"/>
      <w:r>
        <w:rPr>
          <w:rFonts w:hint="eastAsia" w:ascii="黑体" w:hAnsi="黑体" w:eastAsia="黑体" w:cs="黑体"/>
          <w:szCs w:val="24"/>
        </w:rPr>
        <w:t>三、绩效评价组织情况</w:t>
      </w:r>
      <w:bookmarkEnd w:id="23"/>
    </w:p>
    <w:p>
      <w:pPr>
        <w:ind w:firstLine="480"/>
        <w:rPr>
          <w:rFonts w:ascii="楷体" w:hAnsi="楷体" w:eastAsia="楷体" w:cs="楷体"/>
          <w:szCs w:val="24"/>
        </w:rPr>
      </w:pPr>
      <w:bookmarkStart w:id="24" w:name="_Toc502134858"/>
      <w:r>
        <w:rPr>
          <w:rFonts w:hint="eastAsia" w:ascii="楷体" w:hAnsi="楷体" w:eastAsia="楷体" w:cs="楷体"/>
          <w:szCs w:val="24"/>
        </w:rPr>
        <w:t>(一)绩效评价依据</w:t>
      </w:r>
      <w:bookmarkEnd w:id="24"/>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25"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25"/>
      <w:r>
        <w:rPr>
          <w:rFonts w:hint="eastAsia" w:cs="仿宋"/>
          <w:szCs w:val="24"/>
        </w:rPr>
        <w:t>。</w:t>
      </w:r>
    </w:p>
    <w:p>
      <w:pPr>
        <w:ind w:firstLine="480"/>
        <w:rPr>
          <w:rFonts w:ascii="楷体" w:hAnsi="楷体" w:eastAsia="楷体" w:cs="楷体"/>
          <w:szCs w:val="24"/>
        </w:rPr>
      </w:pPr>
      <w:bookmarkStart w:id="26" w:name="_Toc502134859"/>
      <w:r>
        <w:rPr>
          <w:rFonts w:hint="eastAsia" w:ascii="楷体" w:hAnsi="楷体" w:eastAsia="楷体" w:cs="楷体"/>
          <w:szCs w:val="24"/>
        </w:rPr>
        <w:t>(二)绩效评价方法</w:t>
      </w:r>
      <w:bookmarkEnd w:id="26"/>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202</w:t>
      </w:r>
      <w:r>
        <w:rPr>
          <w:rFonts w:cs="仿宋"/>
          <w:szCs w:val="24"/>
        </w:rPr>
        <w:t>2</w:t>
      </w:r>
      <w:r>
        <w:rPr>
          <w:rFonts w:hint="eastAsia" w:cs="仿宋"/>
          <w:szCs w:val="24"/>
        </w:rPr>
        <w:t>年公共绿地养护专项经费项目相关档案资料进行查阅，结合现场核实情况和资金到位使用及结余情况的分析，进行数据分析和取证。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27" w:name="_Toc502134860"/>
      <w:r>
        <w:rPr>
          <w:rFonts w:hint="eastAsia" w:ascii="楷体" w:hAnsi="楷体" w:eastAsia="楷体" w:cs="楷体"/>
          <w:szCs w:val="24"/>
        </w:rPr>
        <w:t>(三)绩效评价指标体系</w:t>
      </w:r>
      <w:bookmarkEnd w:id="27"/>
    </w:p>
    <w:p>
      <w:pPr>
        <w:ind w:firstLine="480"/>
        <w:rPr>
          <w:rFonts w:cs="仿宋"/>
          <w:szCs w:val="24"/>
        </w:rPr>
      </w:pPr>
      <w:r>
        <w:rPr>
          <w:rFonts w:hint="eastAsia" w:cs="仿宋"/>
          <w:szCs w:val="24"/>
        </w:rPr>
        <w:t>1.绩效评价指标</w:t>
      </w:r>
    </w:p>
    <w:p>
      <w:pPr>
        <w:ind w:firstLine="480"/>
        <w:rPr>
          <w:rFonts w:cs="仿宋"/>
          <w:szCs w:val="24"/>
        </w:rPr>
      </w:pPr>
      <w:bookmarkStart w:id="28"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cs="仿宋"/>
          <w:szCs w:val="24"/>
        </w:rPr>
        <w:t>2</w:t>
      </w:r>
      <w:r>
        <w:rPr>
          <w:rFonts w:hint="eastAsia" w:cs="仿宋"/>
          <w:szCs w:val="24"/>
        </w:rPr>
        <w:t>%、3</w:t>
      </w:r>
      <w:r>
        <w:rPr>
          <w:rFonts w:cs="仿宋"/>
          <w:szCs w:val="24"/>
        </w:rPr>
        <w:t>2</w:t>
      </w:r>
      <w:r>
        <w:rPr>
          <w:rFonts w:hint="eastAsia" w:cs="仿宋"/>
          <w:szCs w:val="24"/>
        </w:rPr>
        <w:t>%、30%。在此基础上设定14个二级指标（项目立项、绩效目标、绩效指标、资金投入、资金管理、组织实施、产出数量、产出质量、产出时效、产出成本、社会效益、生态效益、可持续性、满意度），设22个三级指标</w:t>
      </w:r>
      <w:bookmarkStart w:id="29" w:name="_Hlk143856496"/>
      <w:r>
        <w:rPr>
          <w:rFonts w:hint="eastAsia" w:cs="仿宋"/>
          <w:szCs w:val="24"/>
        </w:rPr>
        <w:t>（详见后附“</w:t>
      </w:r>
      <w:r>
        <w:rPr>
          <w:rFonts w:cs="仿宋"/>
          <w:szCs w:val="24"/>
        </w:rPr>
        <w:t>寻甸县城公共绿地养护经费项目支出绩效评价指标体系及评分表</w:t>
      </w:r>
      <w:r>
        <w:rPr>
          <w:rFonts w:hint="eastAsia" w:cs="仿宋"/>
          <w:szCs w:val="24"/>
        </w:rPr>
        <w:t>”）</w:t>
      </w:r>
      <w:bookmarkEnd w:id="29"/>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30" w:name="_Toc25624"/>
      <w:bookmarkStart w:id="31" w:name="_Toc7874"/>
      <w:r>
        <w:rPr>
          <w:rFonts w:hint="eastAsia" w:cs="仿宋"/>
          <w:szCs w:val="24"/>
        </w:rPr>
        <w:t>3.数据来源</w:t>
      </w:r>
      <w:bookmarkEnd w:id="30"/>
      <w:bookmarkEnd w:id="31"/>
    </w:p>
    <w:p>
      <w:pPr>
        <w:ind w:firstLine="480"/>
        <w:rPr>
          <w:rFonts w:cs="仿宋"/>
          <w:color w:val="FF0000"/>
          <w:szCs w:val="24"/>
        </w:rPr>
      </w:pPr>
      <w:r>
        <w:rPr>
          <w:rFonts w:hint="eastAsia" w:cs="仿宋"/>
          <w:szCs w:val="24"/>
        </w:rPr>
        <w:t>绩效评价数据由城市管理局提供。</w:t>
      </w:r>
    </w:p>
    <w:bookmarkEnd w:id="28"/>
    <w:p>
      <w:pPr>
        <w:ind w:firstLine="480"/>
        <w:rPr>
          <w:rFonts w:ascii="黑体" w:hAnsi="黑体" w:eastAsia="黑体" w:cs="黑体"/>
          <w:szCs w:val="24"/>
        </w:rPr>
      </w:pPr>
      <w:bookmarkStart w:id="32" w:name="_Toc502134862"/>
      <w:r>
        <w:rPr>
          <w:rFonts w:hint="eastAsia" w:ascii="黑体" w:hAnsi="黑体" w:eastAsia="黑体" w:cs="黑体"/>
          <w:szCs w:val="24"/>
        </w:rPr>
        <w:t>四、</w:t>
      </w:r>
      <w:bookmarkEnd w:id="32"/>
      <w:r>
        <w:rPr>
          <w:rFonts w:hint="eastAsia" w:ascii="黑体" w:hAnsi="黑体" w:eastAsia="黑体" w:cs="黑体"/>
          <w:szCs w:val="24"/>
        </w:rPr>
        <w:t>综合评价情况及评价结论</w:t>
      </w:r>
    </w:p>
    <w:p>
      <w:pPr>
        <w:ind w:firstLine="480"/>
        <w:rPr>
          <w:rFonts w:cs="仿宋"/>
          <w:szCs w:val="24"/>
        </w:rPr>
      </w:pPr>
      <w:bookmarkStart w:id="33" w:name="_Toc498009781"/>
      <w:r>
        <w:rPr>
          <w:rFonts w:hint="eastAsia" w:cs="仿宋"/>
          <w:szCs w:val="24"/>
        </w:rPr>
        <w:t>城市管理局202</w:t>
      </w:r>
      <w:r>
        <w:rPr>
          <w:rFonts w:cs="仿宋"/>
          <w:szCs w:val="24"/>
        </w:rPr>
        <w:t>2</w:t>
      </w:r>
      <w:r>
        <w:rPr>
          <w:rFonts w:hint="eastAsia" w:cs="仿宋"/>
          <w:szCs w:val="24"/>
        </w:rPr>
        <w:t>年县城公共绿地养护项目绩效评价综合评分</w:t>
      </w:r>
      <w:r>
        <w:rPr>
          <w:rFonts w:cs="仿宋"/>
          <w:szCs w:val="24"/>
        </w:rPr>
        <w:t>91.42</w:t>
      </w:r>
      <w:r>
        <w:rPr>
          <w:rFonts w:hint="eastAsia" w:cs="仿宋"/>
          <w:szCs w:val="24"/>
        </w:rPr>
        <w:t>分，评价等级“优”（详见后附“寻甸县城公共绿地养护经费项目支出绩效评价指标体系及评分表”）。</w:t>
      </w:r>
    </w:p>
    <w:p>
      <w:pPr>
        <w:ind w:firstLine="480"/>
        <w:rPr>
          <w:rFonts w:ascii="仿宋_GB2312" w:eastAsia="仿宋_GB2312" w:cs="仿宋"/>
          <w:szCs w:val="24"/>
        </w:rPr>
      </w:pPr>
      <w:r>
        <w:rPr>
          <w:rFonts w:hint="eastAsia" w:cs="仿宋"/>
          <w:szCs w:val="24"/>
        </w:rPr>
        <w:t>综合评价结论：</w:t>
      </w:r>
      <w:bookmarkStart w:id="34" w:name="_Toc502134864"/>
      <w:r>
        <w:rPr>
          <w:rFonts w:hint="eastAsia" w:cs="仿宋"/>
          <w:szCs w:val="24"/>
        </w:rPr>
        <w:t>202</w:t>
      </w:r>
      <w:r>
        <w:rPr>
          <w:rFonts w:cs="仿宋"/>
          <w:szCs w:val="24"/>
        </w:rPr>
        <w:t>2</w:t>
      </w:r>
      <w:r>
        <w:rPr>
          <w:rFonts w:hint="eastAsia" w:cs="仿宋"/>
          <w:szCs w:val="24"/>
        </w:rPr>
        <w:t>年县城公共绿地养护专项经费项目已实施完成，项目实施取得的产出和效益显著，改善了居民生活环境，营造了良好的城市形象及卫生环境。</w:t>
      </w:r>
    </w:p>
    <w:bookmarkEnd w:id="33"/>
    <w:bookmarkEnd w:id="34"/>
    <w:p>
      <w:pPr>
        <w:ind w:firstLine="480"/>
        <w:rPr>
          <w:rFonts w:ascii="黑体" w:hAnsi="黑体" w:eastAsia="黑体" w:cs="黑体"/>
          <w:szCs w:val="24"/>
        </w:rPr>
      </w:pPr>
      <w:bookmarkStart w:id="35" w:name="_Toc498009783"/>
      <w:bookmarkStart w:id="36" w:name="_Toc502134866"/>
      <w:r>
        <w:rPr>
          <w:rFonts w:hint="eastAsia" w:ascii="黑体" w:hAnsi="黑体" w:eastAsia="黑体" w:cs="黑体"/>
          <w:szCs w:val="24"/>
        </w:rPr>
        <w:t>五、绩效评价情况分析</w:t>
      </w:r>
      <w:bookmarkEnd w:id="35"/>
      <w:bookmarkEnd w:id="36"/>
    </w:p>
    <w:p>
      <w:pPr>
        <w:ind w:firstLine="480"/>
        <w:rPr>
          <w:rFonts w:ascii="楷体" w:hAnsi="楷体" w:eastAsia="楷体" w:cs="楷体"/>
          <w:szCs w:val="24"/>
        </w:rPr>
      </w:pPr>
      <w:bookmarkStart w:id="37" w:name="_Toc498009784"/>
      <w:bookmarkStart w:id="38" w:name="_Toc502134867"/>
      <w:r>
        <w:rPr>
          <w:rFonts w:hint="eastAsia" w:ascii="楷体" w:hAnsi="楷体" w:eastAsia="楷体" w:cs="楷体"/>
          <w:szCs w:val="24"/>
        </w:rPr>
        <w:t>(一)项目决策分析</w:t>
      </w:r>
      <w:bookmarkEnd w:id="37"/>
      <w:bookmarkEnd w:id="38"/>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分，评价综合评分1</w:t>
      </w:r>
      <w:r>
        <w:rPr>
          <w:rFonts w:cs="仿宋"/>
          <w:szCs w:val="24"/>
        </w:rPr>
        <w:t>5</w:t>
      </w:r>
      <w:r>
        <w:rPr>
          <w:rFonts w:hint="eastAsia" w:cs="仿宋"/>
          <w:szCs w:val="24"/>
        </w:rPr>
        <w:t>分（占该项满分值的</w:t>
      </w:r>
      <w:r>
        <w:rPr>
          <w:rFonts w:cs="仿宋"/>
          <w:szCs w:val="24"/>
        </w:rPr>
        <w:t>93.75</w:t>
      </w:r>
      <w:r>
        <w:rPr>
          <w:rFonts w:hint="eastAsia" w:cs="仿宋"/>
          <w:szCs w:val="24"/>
        </w:rPr>
        <w:t>%），具体情况如下：</w:t>
      </w:r>
      <w:bookmarkStart w:id="39" w:name="_Toc502134868"/>
    </w:p>
    <w:p>
      <w:pPr>
        <w:ind w:firstLine="480"/>
        <w:rPr>
          <w:rFonts w:cs="仿宋"/>
          <w:szCs w:val="24"/>
        </w:rPr>
      </w:pPr>
      <w:r>
        <w:rPr>
          <w:rFonts w:hint="eastAsia" w:cs="仿宋"/>
          <w:szCs w:val="24"/>
        </w:rPr>
        <w:t>1.项目立项依据充分，符合国家法律法规、国民经济发展规划、行业发展规划和相关政策要求，与《寻甸县“十四五”城市管理规划》及部门职能职责等相匹配，属于公共财政支持范围，未与相关部门同类项目或部门内部相关项目重复。城市管理局按照政府采购管理规定通过公开招投标，最终确定寻甸滨南城市服务有限公司为“202</w:t>
      </w:r>
      <w:r>
        <w:rPr>
          <w:rFonts w:cs="仿宋"/>
          <w:szCs w:val="24"/>
        </w:rPr>
        <w:t>2</w:t>
      </w:r>
      <w:r>
        <w:rPr>
          <w:rFonts w:hint="eastAsia" w:cs="仿宋"/>
          <w:szCs w:val="24"/>
        </w:rPr>
        <w:t>年县城公共绿地养护”项目的具体实施单位，项目立项程序规范。</w:t>
      </w:r>
    </w:p>
    <w:p>
      <w:pPr>
        <w:ind w:firstLine="480"/>
        <w:rPr>
          <w:rFonts w:cs="仿宋"/>
          <w:szCs w:val="24"/>
        </w:rPr>
      </w:pPr>
      <w:r>
        <w:rPr>
          <w:rFonts w:hint="eastAsia" w:cs="仿宋"/>
          <w:szCs w:val="24"/>
        </w:rPr>
        <w:t>2.项目所设定的绩效目标与实际工作内容具有相关性，与预算确定的项目投资额或资金量相匹配，符合客观实际、国家相关法律法规、国民经济发展规划和党委政府决策等，根据城市管理局提供的《绩效目标申报表》，基本将绩效目标细化分解为具体的工作任务，基本通过清晰、可衡量的指标及指标值予以体现，设定了最能体现项目绩效目标实现程度和项目实施部门职能履职情况的关键的、核心的绩效指标，但个别效益指标设定不完整且绩效指标性质划分不清。</w:t>
      </w:r>
    </w:p>
    <w:p>
      <w:pPr>
        <w:pStyle w:val="4"/>
        <w:spacing w:after="0"/>
        <w:ind w:firstLine="480"/>
        <w:rPr>
          <w:rFonts w:cs="仿宋"/>
          <w:szCs w:val="24"/>
        </w:rPr>
      </w:pPr>
      <w:r>
        <w:rPr>
          <w:rFonts w:hint="eastAsia" w:cs="仿宋"/>
          <w:szCs w:val="24"/>
        </w:rPr>
        <w:t>3.项目支出预算依据基本充分、合理，与项目内容相匹配，确定的项目投资额或资金量与工作任务相匹配，预算资金分配依据充分，资金分配额度合理，与项目单位或地方实际相适应。</w:t>
      </w:r>
    </w:p>
    <w:p>
      <w:pPr>
        <w:ind w:firstLine="480"/>
        <w:rPr>
          <w:rFonts w:ascii="楷体" w:hAnsi="楷体" w:eastAsia="楷体" w:cs="楷体"/>
          <w:szCs w:val="24"/>
        </w:rPr>
      </w:pPr>
      <w:r>
        <w:rPr>
          <w:rFonts w:hint="eastAsia" w:ascii="楷体" w:hAnsi="楷体" w:eastAsia="楷体" w:cs="楷体"/>
          <w:szCs w:val="24"/>
        </w:rPr>
        <w:t>(二</w:t>
      </w:r>
      <w:bookmarkStart w:id="40" w:name="_Toc498009785"/>
      <w:r>
        <w:rPr>
          <w:rFonts w:hint="eastAsia" w:ascii="楷体" w:hAnsi="楷体" w:eastAsia="楷体" w:cs="楷体"/>
          <w:szCs w:val="24"/>
        </w:rPr>
        <w:t>)项目过程管理情况分析</w:t>
      </w:r>
      <w:bookmarkEnd w:id="39"/>
      <w:bookmarkEnd w:id="40"/>
    </w:p>
    <w:p>
      <w:pPr>
        <w:ind w:firstLine="480"/>
        <w:rPr>
          <w:rFonts w:cs="仿宋"/>
          <w:szCs w:val="24"/>
        </w:rPr>
      </w:pPr>
      <w:r>
        <w:rPr>
          <w:rFonts w:hint="eastAsia" w:cs="仿宋"/>
          <w:szCs w:val="24"/>
        </w:rPr>
        <w:t>项目过程管理满分2</w:t>
      </w:r>
      <w:r>
        <w:rPr>
          <w:rFonts w:cs="仿宋"/>
          <w:szCs w:val="24"/>
        </w:rPr>
        <w:t>2</w:t>
      </w:r>
      <w:r>
        <w:rPr>
          <w:rFonts w:hint="eastAsia" w:cs="仿宋"/>
          <w:szCs w:val="24"/>
        </w:rPr>
        <w:t>分，评价综合评分1</w:t>
      </w:r>
      <w:r>
        <w:rPr>
          <w:rFonts w:cs="仿宋"/>
          <w:szCs w:val="24"/>
        </w:rPr>
        <w:t>8.35</w:t>
      </w:r>
      <w:r>
        <w:rPr>
          <w:rFonts w:hint="eastAsia" w:cs="仿宋"/>
          <w:szCs w:val="24"/>
        </w:rPr>
        <w:t>分（占该项满分值的</w:t>
      </w:r>
      <w:r>
        <w:rPr>
          <w:rFonts w:cs="仿宋"/>
          <w:szCs w:val="24"/>
        </w:rPr>
        <w:t>83.41</w:t>
      </w:r>
      <w:r>
        <w:rPr>
          <w:rFonts w:hint="eastAsia" w:cs="仿宋"/>
          <w:szCs w:val="24"/>
        </w:rPr>
        <w:t>%），具体情况如下：</w:t>
      </w:r>
      <w:bookmarkStart w:id="41" w:name="_Toc502134869"/>
      <w:bookmarkStart w:id="42" w:name="_Toc498009786"/>
    </w:p>
    <w:p>
      <w:pPr>
        <w:ind w:firstLine="480"/>
        <w:rPr>
          <w:rFonts w:cs="仿宋"/>
          <w:szCs w:val="24"/>
        </w:rPr>
      </w:pPr>
      <w:r>
        <w:rPr>
          <w:rFonts w:hint="eastAsia" w:cs="仿宋"/>
          <w:szCs w:val="24"/>
        </w:rPr>
        <w:t>1.202</w:t>
      </w:r>
      <w:r>
        <w:rPr>
          <w:rFonts w:cs="仿宋"/>
          <w:szCs w:val="24"/>
        </w:rPr>
        <w:t>2</w:t>
      </w:r>
      <w:r>
        <w:rPr>
          <w:rFonts w:hint="eastAsia" w:cs="仿宋"/>
          <w:szCs w:val="24"/>
        </w:rPr>
        <w:t>年项目预算资金1,200,000.00元，根据项目支出台账，202</w:t>
      </w:r>
      <w:r>
        <w:rPr>
          <w:rFonts w:cs="仿宋"/>
          <w:szCs w:val="24"/>
        </w:rPr>
        <w:t>2</w:t>
      </w:r>
      <w:r>
        <w:rPr>
          <w:rFonts w:hint="eastAsia" w:cs="仿宋"/>
          <w:szCs w:val="24"/>
        </w:rPr>
        <w:t>年县城公共绿地养护项目实际到位资金</w:t>
      </w:r>
      <w:bookmarkStart w:id="43" w:name="_Hlk143856959"/>
      <w:r>
        <w:rPr>
          <w:rFonts w:cs="仿宋"/>
          <w:szCs w:val="24"/>
        </w:rPr>
        <w:t>886,487.25元</w:t>
      </w:r>
      <w:bookmarkEnd w:id="43"/>
      <w:r>
        <w:rPr>
          <w:rFonts w:cs="仿宋"/>
          <w:szCs w:val="24"/>
        </w:rPr>
        <w:t>，资金到位率73.87%</w:t>
      </w:r>
      <w:r>
        <w:rPr>
          <w:rFonts w:hint="eastAsia" w:cs="仿宋"/>
          <w:szCs w:val="24"/>
        </w:rPr>
        <w:t>。</w:t>
      </w:r>
    </w:p>
    <w:p>
      <w:pPr>
        <w:ind w:firstLine="480"/>
        <w:rPr>
          <w:rFonts w:cs="仿宋"/>
          <w:szCs w:val="24"/>
        </w:rPr>
      </w:pPr>
      <w:r>
        <w:rPr>
          <w:rFonts w:hint="eastAsia" w:cs="仿宋"/>
          <w:szCs w:val="24"/>
        </w:rPr>
        <w:t>2.202</w:t>
      </w:r>
      <w:r>
        <w:rPr>
          <w:rFonts w:cs="仿宋"/>
          <w:szCs w:val="24"/>
        </w:rPr>
        <w:t>2</w:t>
      </w:r>
      <w:r>
        <w:rPr>
          <w:rFonts w:hint="eastAsia" w:cs="仿宋"/>
          <w:szCs w:val="24"/>
        </w:rPr>
        <w:t>年项目预算收入</w:t>
      </w:r>
      <w:r>
        <w:rPr>
          <w:rFonts w:cs="仿宋"/>
          <w:szCs w:val="24"/>
        </w:rPr>
        <w:t>886,487.25元</w:t>
      </w:r>
      <w:r>
        <w:rPr>
          <w:rFonts w:hint="eastAsia" w:cs="仿宋"/>
          <w:szCs w:val="24"/>
        </w:rPr>
        <w:t>，根据项目支出台账，截至202</w:t>
      </w:r>
      <w:r>
        <w:rPr>
          <w:rFonts w:cs="仿宋"/>
          <w:szCs w:val="24"/>
        </w:rPr>
        <w:t>2</w:t>
      </w:r>
      <w:r>
        <w:rPr>
          <w:rFonts w:hint="eastAsia" w:cs="仿宋"/>
          <w:szCs w:val="24"/>
        </w:rPr>
        <w:t>年12月31日，共计支付相关费用</w:t>
      </w:r>
      <w:r>
        <w:rPr>
          <w:rFonts w:cs="仿宋"/>
          <w:szCs w:val="24"/>
        </w:rPr>
        <w:t>886,487.25</w:t>
      </w:r>
      <w:r>
        <w:rPr>
          <w:rFonts w:hint="eastAsia" w:cs="仿宋"/>
          <w:szCs w:val="24"/>
        </w:rPr>
        <w:t>元，预算执行率为100%。</w:t>
      </w:r>
    </w:p>
    <w:p>
      <w:pPr>
        <w:ind w:firstLine="480"/>
        <w:rPr>
          <w:rFonts w:cs="仿宋"/>
          <w:szCs w:val="24"/>
        </w:rPr>
      </w:pPr>
      <w:r>
        <w:rPr>
          <w:rFonts w:hint="eastAsia" w:cs="仿宋"/>
          <w:szCs w:val="24"/>
        </w:rPr>
        <w:t>3.项目预算资金使用基本符合预算批复的用途，未发现截留、挤占、挪用、虚列支出等情况，但抽查发现项目资金支付存在原始凭证交接工作脱节、资金支付无银行支付凭证的情况。</w:t>
      </w:r>
    </w:p>
    <w:p>
      <w:pPr>
        <w:ind w:firstLine="480"/>
        <w:rPr>
          <w:rFonts w:cs="仿宋"/>
          <w:szCs w:val="24"/>
        </w:rPr>
      </w:pPr>
      <w:r>
        <w:rPr>
          <w:rFonts w:hint="eastAsia" w:cs="仿宋"/>
          <w:szCs w:val="24"/>
        </w:rPr>
        <w:t>4.项目财务管理执行《寻甸县城市管理局财务管理制度》、《寻甸回族彝族自治县城市管理局会计、出纳职能职责管理规定》等有关规定，内控制度基本健全。</w:t>
      </w:r>
    </w:p>
    <w:p>
      <w:pPr>
        <w:ind w:firstLine="480"/>
        <w:rPr>
          <w:rFonts w:cs="仿宋"/>
          <w:szCs w:val="24"/>
        </w:rPr>
      </w:pPr>
      <w:r>
        <w:rPr>
          <w:rFonts w:hint="eastAsia" w:cs="仿宋"/>
          <w:szCs w:val="24"/>
        </w:rPr>
        <w:t>5.项目在业务管理方面执行国家有关法律法规，相关管理制度基本能够得到有效的执行，项目合同管理基本规范，政府采购程序基本合法合规，但抽查发现，存在部分资金使用未严格按照《寻甸县城市管理局财务管理制度》执行，存在项目资料管理分散未及时归档、资金支付原始凭证不充分的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2</w:t>
      </w:r>
      <w:r>
        <w:rPr>
          <w:rFonts w:hint="eastAsia" w:cs="仿宋"/>
          <w:szCs w:val="24"/>
        </w:rPr>
        <w:t>分，评价综合评分</w:t>
      </w:r>
      <w:r>
        <w:rPr>
          <w:rFonts w:cs="仿宋"/>
          <w:szCs w:val="24"/>
        </w:rPr>
        <w:t>30.86</w:t>
      </w:r>
      <w:r>
        <w:rPr>
          <w:rFonts w:hint="eastAsia" w:cs="仿宋"/>
          <w:szCs w:val="24"/>
        </w:rPr>
        <w:t>分（占该项满分值的96.</w:t>
      </w:r>
      <w:r>
        <w:rPr>
          <w:rFonts w:cs="仿宋"/>
          <w:szCs w:val="24"/>
        </w:rPr>
        <w:t>4</w:t>
      </w:r>
      <w:r>
        <w:rPr>
          <w:rFonts w:hint="eastAsia" w:cs="仿宋"/>
          <w:szCs w:val="24"/>
        </w:rPr>
        <w:t>4%），具体情况如下：</w:t>
      </w:r>
    </w:p>
    <w:p>
      <w:pPr>
        <w:ind w:firstLine="480"/>
        <w:rPr>
          <w:rFonts w:cs="仿宋"/>
          <w:szCs w:val="24"/>
        </w:rPr>
      </w:pPr>
      <w:r>
        <w:rPr>
          <w:rFonts w:hint="eastAsia" w:cs="仿宋"/>
          <w:szCs w:val="24"/>
        </w:rPr>
        <w:t>202</w:t>
      </w:r>
      <w:r>
        <w:rPr>
          <w:rFonts w:cs="仿宋"/>
          <w:szCs w:val="24"/>
        </w:rPr>
        <w:t>2</w:t>
      </w:r>
      <w:r>
        <w:rPr>
          <w:rFonts w:hint="eastAsia" w:cs="仿宋"/>
          <w:szCs w:val="24"/>
        </w:rPr>
        <w:t>年度，城市管理局为主管部门、寻甸滨南城市服务有限公司为项目具体实施单位，共计及时完成县城公共绿地面积67.53万平方米的养护工作，比较圆满地完成了城区道路附属绿地、公园绿地、小游园、休闲广场绿化养护及保洁服务，包括公共绿地病虫害防治，抗旱保苗，中跟除草，清除绿化带、河滨公园垃圾、行道树枯木，绿化植物景观造型修建，绿化补植补造，植物防寒防冻等养护工作。</w:t>
      </w:r>
      <w:bookmarkStart w:id="44" w:name="_Hlk143861666"/>
      <w:r>
        <w:rPr>
          <w:rFonts w:hint="eastAsia" w:cs="仿宋"/>
          <w:szCs w:val="24"/>
        </w:rPr>
        <w:t>采取“日常巡查、不定期检查”的方式对县城公共绿地养护专项情况进行检查，并纳入当月考核兑现</w:t>
      </w:r>
      <w:bookmarkEnd w:id="44"/>
      <w:r>
        <w:rPr>
          <w:rFonts w:hint="eastAsia" w:cs="仿宋"/>
          <w:szCs w:val="24"/>
        </w:rPr>
        <w:t>，作为年度履约服务质量考评依据，城市管理局按照《昆明市城市绿化养护管理考核标准》对202</w:t>
      </w:r>
      <w:r>
        <w:rPr>
          <w:rFonts w:cs="仿宋"/>
          <w:szCs w:val="24"/>
        </w:rPr>
        <w:t>2</w:t>
      </w:r>
      <w:r>
        <w:rPr>
          <w:rFonts w:hint="eastAsia" w:cs="仿宋"/>
          <w:szCs w:val="24"/>
        </w:rPr>
        <w:t>年公共绿地养护考核平均得分9</w:t>
      </w:r>
      <w:r>
        <w:rPr>
          <w:rFonts w:cs="仿宋"/>
          <w:szCs w:val="24"/>
        </w:rPr>
        <w:t>5.43</w:t>
      </w:r>
      <w:r>
        <w:rPr>
          <w:rFonts w:hint="eastAsia" w:cs="仿宋"/>
          <w:szCs w:val="24"/>
        </w:rPr>
        <w:t>分。但我们在现场踏勘中发现部分公园绿化区域出现叶片发黄，行道树、绿化植被管理不到位，存在个别绿地秃斑的情况。</w:t>
      </w:r>
    </w:p>
    <w:p>
      <w:pPr>
        <w:ind w:firstLine="480"/>
        <w:rPr>
          <w:rFonts w:ascii="楷体" w:hAnsi="楷体" w:eastAsia="楷体" w:cs="楷体"/>
          <w:szCs w:val="24"/>
        </w:rPr>
      </w:pPr>
      <w:r>
        <w:rPr>
          <w:rFonts w:hint="eastAsia" w:ascii="楷体" w:hAnsi="楷体" w:eastAsia="楷体" w:cs="楷体"/>
          <w:szCs w:val="24"/>
        </w:rPr>
        <w:t>(四)项目绩效情况分析</w:t>
      </w:r>
      <w:bookmarkEnd w:id="41"/>
      <w:bookmarkEnd w:id="42"/>
      <w:bookmarkStart w:id="45" w:name="_Toc498009787"/>
      <w:bookmarkStart w:id="46" w:name="_Toc502134870"/>
    </w:p>
    <w:p>
      <w:pPr>
        <w:ind w:firstLine="480"/>
        <w:rPr>
          <w:rFonts w:cs="仿宋"/>
          <w:szCs w:val="24"/>
        </w:rPr>
      </w:pPr>
      <w:r>
        <w:rPr>
          <w:rFonts w:hint="eastAsia" w:cs="仿宋"/>
          <w:szCs w:val="24"/>
        </w:rPr>
        <w:t>项目绩效指标满分30分，评价综合评分2</w:t>
      </w:r>
      <w:r>
        <w:rPr>
          <w:rFonts w:cs="仿宋"/>
          <w:szCs w:val="24"/>
        </w:rPr>
        <w:t>7.21</w:t>
      </w:r>
      <w:r>
        <w:rPr>
          <w:rFonts w:hint="eastAsia" w:cs="仿宋"/>
          <w:szCs w:val="24"/>
        </w:rPr>
        <w:t>分（占该项满分值的</w:t>
      </w:r>
      <w:r>
        <w:rPr>
          <w:rFonts w:cs="仿宋"/>
          <w:szCs w:val="24"/>
        </w:rPr>
        <w:t>90.70</w:t>
      </w:r>
      <w:r>
        <w:rPr>
          <w:rFonts w:hint="eastAsia" w:cs="仿宋"/>
          <w:szCs w:val="24"/>
        </w:rPr>
        <w:t>%），具体情况如下：</w:t>
      </w:r>
    </w:p>
    <w:bookmarkEnd w:id="45"/>
    <w:bookmarkEnd w:id="46"/>
    <w:p>
      <w:pPr>
        <w:ind w:firstLine="480"/>
      </w:pPr>
      <w:bookmarkStart w:id="47" w:name="_Toc498009788"/>
      <w:bookmarkStart w:id="48" w:name="_Toc502134871"/>
      <w:r>
        <w:rPr>
          <w:rFonts w:hint="eastAsia"/>
        </w:rPr>
        <w:t>通过项目的实施，确保县城园林绿化管养除草施肥、修剪整形、病虫害防治以及抗旱浇灌等工作有效开展，促进绿化植物健康生长，提升园林绿化景观效果，改善了县城人民居住质量；通过绿化管养项目预算投资和有效的绩效监控，保障了县城19个公园及小游园、37条道路附属绿地65.17万㎡公共绿地管养的基本需求，对提升绿化管养质量、城市绿化覆盖、行道树养护、改善人居环境、树立良好的城市形象起到了良好的促进作用。通过健全监督考核机制，对中标企业的管养工作进行考核奖惩，督促指导企业认真做好绿化植物的锄草施肥、修剪整形、病虫害防治以及抗旱浇灌等方面的工作，年度园林绿化管养服务达到了项目合同作业标准，实现了良好的社会效益和生态效益。</w:t>
      </w:r>
    </w:p>
    <w:p>
      <w:pPr>
        <w:ind w:firstLine="480"/>
      </w:pPr>
      <w:r>
        <w:rPr>
          <w:rFonts w:hint="eastAsia"/>
        </w:rPr>
        <w:t>通过对20份社会公众或服务对象满意度调查问卷统计分析，服务对象对城市管理局县城公共绿地养护专项经费项目开展情况基本满意。</w:t>
      </w:r>
    </w:p>
    <w:p>
      <w:pPr>
        <w:ind w:firstLine="480"/>
        <w:rPr>
          <w:rFonts w:ascii="黑体" w:hAnsi="黑体" w:eastAsia="黑体" w:cs="黑体"/>
          <w:szCs w:val="24"/>
        </w:rPr>
      </w:pPr>
      <w:r>
        <w:rPr>
          <w:rFonts w:hint="eastAsia" w:ascii="黑体" w:hAnsi="黑体" w:eastAsia="黑体" w:cs="黑体"/>
          <w:szCs w:val="24"/>
        </w:rPr>
        <w:t>六、主要经验及做法</w:t>
      </w:r>
      <w:bookmarkEnd w:id="47"/>
      <w:bookmarkEnd w:id="48"/>
    </w:p>
    <w:p>
      <w:pPr>
        <w:ind w:firstLine="480"/>
        <w:rPr>
          <w:rFonts w:ascii="仿宋_GB2312" w:eastAsia="仿宋_GB2312" w:cs="仿宋"/>
          <w:szCs w:val="24"/>
        </w:rPr>
      </w:pPr>
      <w:bookmarkStart w:id="49" w:name="_Toc502134872"/>
      <w:bookmarkStart w:id="50" w:name="_Toc498009789"/>
      <w:r>
        <w:rPr>
          <w:rFonts w:hint="eastAsia" w:cs="仿宋"/>
          <w:szCs w:val="24"/>
        </w:rPr>
        <w:t>注重项目质量控制，在项目实施过程中注重对服务方的服务质量进行考核评价，根据考核结果支付服务费用。在预算资金总额内，采用政府购买服务的方式，通过公开招投标，优选具备条件的企业承担寻甸县城园林绿化管养服务工作。健全监督考核机制，采取“日常巡查、不定期检查”的方式对县城公共绿地养护专项情况进行检查，按照《昆明市城市绿化养护管理考评标准》对中标企业的管养工作进行考核奖惩，确保良好的管养服务质量。</w:t>
      </w:r>
    </w:p>
    <w:p>
      <w:pPr>
        <w:ind w:firstLine="480"/>
        <w:rPr>
          <w:rFonts w:ascii="黑体" w:hAnsi="黑体" w:eastAsia="黑体" w:cs="黑体"/>
          <w:szCs w:val="24"/>
        </w:rPr>
      </w:pPr>
      <w:r>
        <w:rPr>
          <w:rFonts w:hint="eastAsia" w:ascii="黑体" w:hAnsi="黑体" w:eastAsia="黑体" w:cs="黑体"/>
          <w:szCs w:val="24"/>
        </w:rPr>
        <w:t>七、存在的主要问题</w:t>
      </w:r>
      <w:bookmarkEnd w:id="49"/>
      <w:bookmarkEnd w:id="50"/>
    </w:p>
    <w:p>
      <w:pPr>
        <w:ind w:firstLine="480"/>
        <w:rPr>
          <w:rFonts w:ascii="楷体" w:hAnsi="楷体" w:eastAsia="楷体" w:cs="楷体"/>
          <w:bCs/>
          <w:szCs w:val="24"/>
        </w:rPr>
      </w:pPr>
      <w:bookmarkStart w:id="51" w:name="_Toc500440025"/>
      <w:bookmarkStart w:id="52" w:name="_Toc500202563"/>
      <w:bookmarkStart w:id="53" w:name="_Toc500364179"/>
      <w:bookmarkStart w:id="54" w:name="_Toc500849310"/>
      <w:bookmarkStart w:id="55" w:name="_Toc500589022"/>
      <w:bookmarkStart w:id="56" w:name="_Toc502134873"/>
      <w:r>
        <w:rPr>
          <w:rFonts w:hint="eastAsia" w:ascii="楷体" w:hAnsi="楷体" w:eastAsia="楷体" w:cs="楷体"/>
          <w:bCs/>
          <w:szCs w:val="24"/>
        </w:rPr>
        <w:t>(一)</w:t>
      </w:r>
      <w:bookmarkStart w:id="57" w:name="_Hlk143876335"/>
      <w:r>
        <w:rPr>
          <w:rFonts w:hint="eastAsia" w:ascii="楷体" w:hAnsi="楷体" w:eastAsia="楷体" w:cs="楷体"/>
          <w:bCs/>
          <w:szCs w:val="24"/>
        </w:rPr>
        <w:t>资金支付单据不充分</w:t>
      </w:r>
      <w:bookmarkEnd w:id="57"/>
    </w:p>
    <w:p>
      <w:pPr>
        <w:ind w:firstLine="480"/>
        <w:rPr>
          <w:rFonts w:cs="仿宋"/>
          <w:szCs w:val="24"/>
        </w:rPr>
      </w:pPr>
      <w:bookmarkStart w:id="58" w:name="_Hlk143876381"/>
      <w:r>
        <w:rPr>
          <w:rFonts w:hint="eastAsia" w:cs="仿宋"/>
          <w:szCs w:val="24"/>
        </w:rPr>
        <w:t>抽查发现，城市管理局存在资金支付原始凭证不充分的情况，如</w:t>
      </w:r>
      <w:bookmarkEnd w:id="58"/>
      <w:r>
        <w:rPr>
          <w:rFonts w:cs="仿宋"/>
          <w:szCs w:val="24"/>
        </w:rPr>
        <w:t>2022年9月记账7号凭证“7月绿化管护费”94,000.43元，</w:t>
      </w:r>
      <w:bookmarkStart w:id="59" w:name="_Hlk143876546"/>
      <w:r>
        <w:rPr>
          <w:rFonts w:cs="仿宋"/>
          <w:szCs w:val="24"/>
        </w:rPr>
        <w:t>后附原始凭证无</w:t>
      </w:r>
      <w:r>
        <w:rPr>
          <w:rFonts w:hint="eastAsia" w:cs="仿宋"/>
          <w:szCs w:val="24"/>
        </w:rPr>
        <w:t>资金支付银行凭证</w:t>
      </w:r>
      <w:r>
        <w:rPr>
          <w:rFonts w:cs="仿宋"/>
          <w:szCs w:val="24"/>
        </w:rPr>
        <w:t>等必要资料</w:t>
      </w:r>
      <w:r>
        <w:rPr>
          <w:rFonts w:hint="eastAsia" w:cs="仿宋"/>
          <w:szCs w:val="24"/>
        </w:rPr>
        <w:t>，</w:t>
      </w:r>
      <w:r>
        <w:rPr>
          <w:rFonts w:cs="仿宋"/>
          <w:szCs w:val="24"/>
        </w:rPr>
        <w:t>不符合《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w:t>
      </w:r>
      <w:r>
        <w:rPr>
          <w:rFonts w:hint="eastAsia" w:cs="仿宋"/>
          <w:szCs w:val="24"/>
        </w:rPr>
        <w:t>；对记载不准确、不完整的原始凭证予以退回，并要求按照国家统一的会计制度的规定更正、补充。……。记帐凭证应当根据经过审核的原始凭证及有关资料编制。”的规定。</w:t>
      </w:r>
      <w:bookmarkEnd w:id="59"/>
    </w:p>
    <w:bookmarkEnd w:id="51"/>
    <w:bookmarkEnd w:id="52"/>
    <w:bookmarkEnd w:id="53"/>
    <w:bookmarkEnd w:id="54"/>
    <w:bookmarkEnd w:id="55"/>
    <w:bookmarkEnd w:id="56"/>
    <w:p>
      <w:pPr>
        <w:ind w:firstLine="480"/>
        <w:rPr>
          <w:rFonts w:ascii="黑体" w:hAnsi="黑体" w:eastAsia="黑体" w:cs="黑体"/>
          <w:szCs w:val="24"/>
        </w:rPr>
      </w:pPr>
      <w:bookmarkStart w:id="60" w:name="_Toc498009790"/>
      <w:bookmarkStart w:id="61" w:name="_Toc502134879"/>
      <w:r>
        <w:rPr>
          <w:rFonts w:hint="eastAsia" w:ascii="黑体" w:hAnsi="黑体" w:eastAsia="黑体" w:cs="黑体"/>
          <w:szCs w:val="24"/>
        </w:rPr>
        <w:t>八、建议</w:t>
      </w:r>
      <w:bookmarkEnd w:id="60"/>
      <w:bookmarkEnd w:id="61"/>
      <w:bookmarkStart w:id="62" w:name="_Toc500849317"/>
      <w:bookmarkStart w:id="63" w:name="_Toc502134880"/>
      <w:bookmarkStart w:id="64" w:name="_Toc500202569"/>
      <w:bookmarkStart w:id="65" w:name="_Toc500364185"/>
      <w:bookmarkStart w:id="66" w:name="_Toc500589028"/>
      <w:bookmarkStart w:id="67" w:name="_Toc500440031"/>
      <w:bookmarkStart w:id="68" w:name="_Toc498009791"/>
    </w:p>
    <w:bookmarkEnd w:id="62"/>
    <w:bookmarkEnd w:id="63"/>
    <w:bookmarkEnd w:id="64"/>
    <w:bookmarkEnd w:id="65"/>
    <w:bookmarkEnd w:id="66"/>
    <w:bookmarkEnd w:id="67"/>
    <w:p>
      <w:pPr>
        <w:ind w:firstLine="480"/>
        <w:rPr>
          <w:rFonts w:ascii="楷体" w:hAnsi="楷体" w:eastAsia="楷体" w:cs="仿宋"/>
          <w:szCs w:val="24"/>
        </w:rPr>
      </w:pPr>
      <w:bookmarkStart w:id="69"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二</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68"/>
      <w:bookmarkEnd w:id="69"/>
    </w:p>
    <w:p>
      <w:pPr>
        <w:ind w:firstLine="480"/>
        <w:rPr>
          <w:rFonts w:cs="仿宋"/>
          <w:szCs w:val="24"/>
        </w:rPr>
      </w:pPr>
    </w:p>
    <w:p>
      <w:pPr>
        <w:ind w:firstLine="480"/>
        <w:rPr>
          <w:rFonts w:cs="仿宋"/>
        </w:rPr>
      </w:pPr>
      <w:r>
        <w:rPr>
          <w:rFonts w:hint="eastAsia" w:cs="仿宋"/>
          <w:szCs w:val="24"/>
        </w:rPr>
        <w:t>附件：寻甸回族彝族自治县城市管理局202</w:t>
      </w:r>
      <w:r>
        <w:rPr>
          <w:rFonts w:cs="仿宋"/>
          <w:szCs w:val="24"/>
        </w:rPr>
        <w:t>2</w:t>
      </w:r>
      <w:r>
        <w:rPr>
          <w:rFonts w:hint="eastAsia" w:cs="仿宋"/>
          <w:szCs w:val="24"/>
        </w:rPr>
        <w:t>年县城公共绿地养护专项经费项目支出绩效评价指标体系及评分表</w:t>
      </w:r>
    </w:p>
    <w:p>
      <w:pPr>
        <w:ind w:firstLine="480"/>
        <w:rPr>
          <w:rFonts w:cs="仿宋"/>
          <w:szCs w:val="24"/>
        </w:rPr>
      </w:pPr>
    </w:p>
    <w:p>
      <w:pPr>
        <w:ind w:firstLine="480"/>
        <w:rPr>
          <w:rFonts w:cs="仿宋"/>
          <w:szCs w:val="24"/>
        </w:rPr>
      </w:pPr>
      <w:bookmarkStart w:id="70" w:name="_GoBack"/>
      <w:bookmarkEnd w:id="70"/>
    </w:p>
    <w:p>
      <w:pPr>
        <w:ind w:firstLine="480"/>
        <w:rPr>
          <w:rFonts w:cs="仿宋"/>
          <w:szCs w:val="24"/>
        </w:rPr>
      </w:pPr>
    </w:p>
    <w:p>
      <w:pPr>
        <w:ind w:firstLine="480"/>
        <w:rPr>
          <w:rFonts w:cs="仿宋"/>
          <w:szCs w:val="24"/>
        </w:rPr>
      </w:pPr>
      <w:r>
        <w:rPr>
          <w:rFonts w:hint="eastAsia" w:cs="仿宋"/>
          <w:szCs w:val="24"/>
        </w:rPr>
        <w:t xml:space="preserve">                           </w:t>
      </w:r>
    </w:p>
    <w:p>
      <w:pPr>
        <w:ind w:firstLine="0" w:firstLineChars="0"/>
        <w:rPr>
          <w:rFonts w:cs="仿宋"/>
          <w:szCs w:val="24"/>
        </w:rPr>
      </w:pPr>
      <w:r>
        <w:rPr>
          <w:rFonts w:hint="eastAsia" w:cs="仿宋"/>
          <w:szCs w:val="24"/>
        </w:rPr>
        <w:t>云南京健会计师事务所（普通合伙）        中国注册会计师：</w:t>
      </w:r>
    </w:p>
    <w:p>
      <w:pPr>
        <w:ind w:firstLine="5040" w:firstLineChars="2100"/>
        <w:rPr>
          <w:rFonts w:cs="仿宋"/>
          <w:szCs w:val="24"/>
        </w:rPr>
      </w:pPr>
    </w:p>
    <w:p>
      <w:pPr>
        <w:ind w:firstLine="5040" w:firstLineChars="2100"/>
        <w:rPr>
          <w:rFonts w:cs="仿宋"/>
          <w:szCs w:val="24"/>
        </w:rPr>
      </w:pPr>
    </w:p>
    <w:p>
      <w:pPr>
        <w:ind w:firstLine="1200" w:firstLineChars="5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二〇二三年九月二十七日</w:t>
      </w:r>
    </w:p>
    <w:sectPr>
      <w:footerReference r:id="rId11" w:type="default"/>
      <w:pgSz w:w="11906" w:h="16838"/>
      <w:pgMar w:top="1440" w:right="1803" w:bottom="1440" w:left="1803" w:header="1020" w:footer="992" w:gutter="0"/>
      <w:pgBorders>
        <w:top w:val="single" w:color="auto" w:sz="4" w:space="1"/>
        <w:bottom w:val="single" w:color="auto" w:sz="4" w:space="1"/>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distribute"/>
      <w:rPr>
        <w:rFonts w:ascii="宋体" w:hAnsi="宋体" w:eastAsia="宋体" w:cs="宋体"/>
        <w:szCs w:val="21"/>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MlddoAAAAJAQAADwAAAAAAAAABACAAAAAiAAAAZHJzL2Rvd25yZXYueG1s&#10;UEsBAhQAFAAAAAgAh07iQE6geIovAgAAUwQAAA4AAAAAAAAAAQAgAAAAKQEAAGRycy9lMm9Eb2Mu&#10;eG1sUEsFBgAAAAAGAAYAWQEAAMoFA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1312;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CnNspj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9</w:t>
                    </w:r>
                    <w:r>
                      <w:t>页</w:t>
                    </w: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2336;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BWAd4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3360;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htChn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rPr>
        <w:rFonts w:ascii="隶书" w:eastAsia="隶书"/>
        <w:sz w:val="21"/>
        <w:szCs w:val="21"/>
      </w:rPr>
    </w:pPr>
    <w:r>
      <w:rPr>
        <w:rFonts w:hint="eastAsia" w:ascii="隶书" w:eastAsia="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15509"/>
    <w:rsid w:val="00024B3C"/>
    <w:rsid w:val="000A5F28"/>
    <w:rsid w:val="000D1D34"/>
    <w:rsid w:val="000E2072"/>
    <w:rsid w:val="000F3900"/>
    <w:rsid w:val="001239EA"/>
    <w:rsid w:val="001A6F17"/>
    <w:rsid w:val="001B0A62"/>
    <w:rsid w:val="001E531F"/>
    <w:rsid w:val="001E5BB7"/>
    <w:rsid w:val="00214176"/>
    <w:rsid w:val="002415BB"/>
    <w:rsid w:val="002715D8"/>
    <w:rsid w:val="00275F57"/>
    <w:rsid w:val="002C2048"/>
    <w:rsid w:val="002E6145"/>
    <w:rsid w:val="002F42E5"/>
    <w:rsid w:val="00370D57"/>
    <w:rsid w:val="003712D1"/>
    <w:rsid w:val="00374C05"/>
    <w:rsid w:val="003935FA"/>
    <w:rsid w:val="003A1E68"/>
    <w:rsid w:val="003A2646"/>
    <w:rsid w:val="003A27F7"/>
    <w:rsid w:val="003C273F"/>
    <w:rsid w:val="003D4214"/>
    <w:rsid w:val="003D4925"/>
    <w:rsid w:val="00422D75"/>
    <w:rsid w:val="00431574"/>
    <w:rsid w:val="004329B0"/>
    <w:rsid w:val="00496EB2"/>
    <w:rsid w:val="004A457C"/>
    <w:rsid w:val="004D23FD"/>
    <w:rsid w:val="004D6964"/>
    <w:rsid w:val="00511D5C"/>
    <w:rsid w:val="00514EE6"/>
    <w:rsid w:val="00535B87"/>
    <w:rsid w:val="00571DF9"/>
    <w:rsid w:val="00586C37"/>
    <w:rsid w:val="005C573E"/>
    <w:rsid w:val="005E6414"/>
    <w:rsid w:val="00611E60"/>
    <w:rsid w:val="006149C5"/>
    <w:rsid w:val="00660567"/>
    <w:rsid w:val="0066613F"/>
    <w:rsid w:val="006703CD"/>
    <w:rsid w:val="0068706F"/>
    <w:rsid w:val="006B193F"/>
    <w:rsid w:val="006B4261"/>
    <w:rsid w:val="006C5BA8"/>
    <w:rsid w:val="006C798D"/>
    <w:rsid w:val="006E5D1A"/>
    <w:rsid w:val="006F40FD"/>
    <w:rsid w:val="00754A4A"/>
    <w:rsid w:val="0077314F"/>
    <w:rsid w:val="007926C2"/>
    <w:rsid w:val="007B2524"/>
    <w:rsid w:val="007D06F9"/>
    <w:rsid w:val="007E3680"/>
    <w:rsid w:val="008071AD"/>
    <w:rsid w:val="008445D5"/>
    <w:rsid w:val="00861AF7"/>
    <w:rsid w:val="00864C20"/>
    <w:rsid w:val="008758D4"/>
    <w:rsid w:val="008B0C94"/>
    <w:rsid w:val="008D6685"/>
    <w:rsid w:val="008F605A"/>
    <w:rsid w:val="00913BC2"/>
    <w:rsid w:val="00913D9D"/>
    <w:rsid w:val="00932D0E"/>
    <w:rsid w:val="009444DF"/>
    <w:rsid w:val="00946B34"/>
    <w:rsid w:val="009850B8"/>
    <w:rsid w:val="009B15DF"/>
    <w:rsid w:val="00A03A36"/>
    <w:rsid w:val="00A13752"/>
    <w:rsid w:val="00A4267B"/>
    <w:rsid w:val="00A46FBA"/>
    <w:rsid w:val="00A53BC4"/>
    <w:rsid w:val="00A975BA"/>
    <w:rsid w:val="00A978AE"/>
    <w:rsid w:val="00AE6716"/>
    <w:rsid w:val="00AE7FDF"/>
    <w:rsid w:val="00B01956"/>
    <w:rsid w:val="00B22112"/>
    <w:rsid w:val="00B709E3"/>
    <w:rsid w:val="00B82FB0"/>
    <w:rsid w:val="00B95EE7"/>
    <w:rsid w:val="00BA7A3B"/>
    <w:rsid w:val="00BC4075"/>
    <w:rsid w:val="00BD2F72"/>
    <w:rsid w:val="00BF04C3"/>
    <w:rsid w:val="00BF6340"/>
    <w:rsid w:val="00C36906"/>
    <w:rsid w:val="00C3762A"/>
    <w:rsid w:val="00C413D1"/>
    <w:rsid w:val="00C56F4D"/>
    <w:rsid w:val="00C91185"/>
    <w:rsid w:val="00D10B47"/>
    <w:rsid w:val="00D10C8C"/>
    <w:rsid w:val="00D161F4"/>
    <w:rsid w:val="00D1717B"/>
    <w:rsid w:val="00DB458C"/>
    <w:rsid w:val="00DB612D"/>
    <w:rsid w:val="00DE7A9A"/>
    <w:rsid w:val="00E42ADD"/>
    <w:rsid w:val="00E5225A"/>
    <w:rsid w:val="00E8619D"/>
    <w:rsid w:val="00EB637E"/>
    <w:rsid w:val="00EC490D"/>
    <w:rsid w:val="00F048D4"/>
    <w:rsid w:val="00F67974"/>
    <w:rsid w:val="00FB1D37"/>
    <w:rsid w:val="00FB218F"/>
    <w:rsid w:val="00FE4897"/>
    <w:rsid w:val="00FF2222"/>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C6AE7"/>
    <w:rsid w:val="05634866"/>
    <w:rsid w:val="057F1E81"/>
    <w:rsid w:val="05FB5DC4"/>
    <w:rsid w:val="06186903"/>
    <w:rsid w:val="06223E93"/>
    <w:rsid w:val="062A6E20"/>
    <w:rsid w:val="06404308"/>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3EC2D62"/>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0E059A"/>
    <w:rsid w:val="186561F9"/>
    <w:rsid w:val="18736211"/>
    <w:rsid w:val="18772165"/>
    <w:rsid w:val="18B6616D"/>
    <w:rsid w:val="18E933C9"/>
    <w:rsid w:val="18FD2189"/>
    <w:rsid w:val="19250992"/>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215071"/>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1F1377E"/>
    <w:rsid w:val="721434B7"/>
    <w:rsid w:val="725F33BF"/>
    <w:rsid w:val="72651EB0"/>
    <w:rsid w:val="729C267B"/>
    <w:rsid w:val="72A032B4"/>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15EE4"/>
    <w:rsid w:val="7E930BA3"/>
    <w:rsid w:val="7E985166"/>
    <w:rsid w:val="7EAA35F1"/>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1052</Words>
  <Characters>6000</Characters>
  <Lines>50</Lines>
  <Paragraphs>14</Paragraphs>
  <TotalTime>0</TotalTime>
  <ScaleCrop>false</ScaleCrop>
  <LinksUpToDate>false</LinksUpToDate>
  <CharactersWithSpaces>7038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2022-09-27T01:49:00Z</cp:lastPrinted>
  <dcterms:modified xsi:type="dcterms:W3CDTF">2023-11-09T03:16:54Z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462967812C1E474C94D3CB0B61D37F3B_13</vt:lpwstr>
  </property>
</Properties>
</file>