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tLeast"/>
        <w:ind w:firstLine="0" w:firstLineChars="0"/>
        <w:jc w:val="center"/>
        <w:rPr>
          <w:rFonts w:cs="仿宋"/>
          <w:b/>
          <w:sz w:val="36"/>
          <w:szCs w:val="36"/>
        </w:rPr>
      </w:pPr>
    </w:p>
    <w:p>
      <w:pPr>
        <w:pStyle w:val="2"/>
        <w:spacing w:line="600" w:lineRule="atLeast"/>
        <w:ind w:firstLine="0" w:firstLineChars="0"/>
      </w:pPr>
    </w:p>
    <w:p>
      <w:pPr>
        <w:spacing w:line="600" w:lineRule="exact"/>
        <w:ind w:firstLine="0" w:firstLineChars="0"/>
        <w:jc w:val="center"/>
        <w:outlineLvl w:val="0"/>
        <w:rPr>
          <w:rFonts w:ascii="宋体" w:hAnsi="宋体" w:eastAsia="宋体" w:cs="Times New Roman"/>
          <w:sz w:val="21"/>
          <w:szCs w:val="21"/>
        </w:rPr>
      </w:pPr>
      <w:r>
        <w:rPr>
          <w:rFonts w:hint="eastAsia" w:ascii="宋体" w:hAnsi="宋体" w:eastAsia="宋体" w:cs="Times New Roman"/>
          <w:sz w:val="21"/>
          <w:szCs w:val="21"/>
        </w:rPr>
        <w:t>寻甸回族彝族自治县应急管理局</w:t>
      </w:r>
      <w:r>
        <w:rPr>
          <w:rFonts w:ascii="宋体" w:hAnsi="宋体" w:eastAsia="宋体" w:cs="Times New Roman"/>
          <w:sz w:val="21"/>
          <w:szCs w:val="21"/>
        </w:rPr>
        <w:t>2022年</w:t>
      </w:r>
      <w:bookmarkStart w:id="0" w:name="_Hlk145321617"/>
      <w:r>
        <w:rPr>
          <w:rFonts w:ascii="宋体" w:hAnsi="宋体" w:eastAsia="宋体" w:cs="Times New Roman"/>
          <w:sz w:val="21"/>
          <w:szCs w:val="21"/>
        </w:rPr>
        <w:t>非煤矿山安全生产信息化平台建设</w:t>
      </w:r>
      <w:bookmarkEnd w:id="0"/>
      <w:r>
        <w:rPr>
          <w:rFonts w:ascii="宋体" w:hAnsi="宋体" w:eastAsia="宋体" w:cs="Times New Roman"/>
          <w:sz w:val="21"/>
          <w:szCs w:val="21"/>
        </w:rPr>
        <w:t>项目支出</w:t>
      </w:r>
    </w:p>
    <w:p>
      <w:pPr>
        <w:spacing w:line="600" w:lineRule="exact"/>
        <w:ind w:firstLine="0" w:firstLineChars="0"/>
        <w:jc w:val="center"/>
        <w:outlineLvl w:val="0"/>
        <w:rPr>
          <w:rFonts w:ascii="宋体" w:hAnsi="宋体" w:eastAsia="宋体" w:cs="宋体"/>
          <w:sz w:val="36"/>
          <w:szCs w:val="36"/>
        </w:rPr>
      </w:pPr>
      <w:r>
        <w:rPr>
          <w:rFonts w:hint="eastAsia" w:ascii="宋体" w:hAnsi="宋体" w:eastAsia="宋体" w:cs="宋体"/>
          <w:sz w:val="36"/>
          <w:szCs w:val="36"/>
        </w:rPr>
        <w:t>绩效评价报告</w:t>
      </w:r>
    </w:p>
    <w:p>
      <w:pPr>
        <w:spacing w:line="600" w:lineRule="exact"/>
        <w:ind w:firstLine="0" w:firstLineChars="0"/>
        <w:jc w:val="center"/>
        <w:rPr>
          <w:rFonts w:ascii="仿宋_GB2312" w:hAnsi="仿宋_GB2312" w:eastAsia="仿宋_GB2312" w:cs="仿宋_GB2312"/>
          <w:sz w:val="32"/>
          <w:szCs w:val="32"/>
        </w:rPr>
      </w:pPr>
    </w:p>
    <w:p>
      <w:pPr>
        <w:pStyle w:val="3"/>
        <w:ind w:firstLine="883"/>
      </w:pPr>
    </w:p>
    <w:p>
      <w:pPr>
        <w:ind w:firstLine="480"/>
      </w:pPr>
    </w:p>
    <w:p>
      <w:pPr>
        <w:pStyle w:val="3"/>
        <w:ind w:firstLine="883"/>
      </w:pPr>
    </w:p>
    <w:p>
      <w:pPr>
        <w:ind w:firstLine="480"/>
      </w:pPr>
    </w:p>
    <w:p>
      <w:pPr>
        <w:pStyle w:val="3"/>
        <w:ind w:firstLine="883"/>
      </w:pPr>
    </w:p>
    <w:p>
      <w:pPr>
        <w:pStyle w:val="2"/>
        <w:spacing w:line="600" w:lineRule="exact"/>
        <w:ind w:firstLine="0" w:firstLineChars="0"/>
      </w:pPr>
    </w:p>
    <w:p>
      <w:pPr>
        <w:spacing w:line="600" w:lineRule="exact"/>
        <w:ind w:left="1500" w:hanging="1500" w:hangingChars="500"/>
        <w:jc w:val="left"/>
        <w:outlineLvl w:val="0"/>
        <w:rPr>
          <w:rFonts w:ascii="宋体" w:hAnsi="宋体" w:eastAsia="宋体" w:cs="宋体"/>
          <w:sz w:val="28"/>
          <w:szCs w:val="28"/>
        </w:rPr>
      </w:pPr>
      <w:r>
        <w:rPr>
          <w:rFonts w:hint="eastAsia" w:ascii="宋体" w:hAnsi="宋体" w:eastAsia="宋体" w:cs="宋体"/>
          <w:sz w:val="30"/>
          <w:szCs w:val="30"/>
        </w:rPr>
        <w:t>项目名称：</w:t>
      </w:r>
      <w:r>
        <w:rPr>
          <w:rFonts w:hint="eastAsia" w:ascii="宋体" w:hAnsi="宋体" w:eastAsia="宋体" w:cs="宋体"/>
          <w:sz w:val="28"/>
          <w:szCs w:val="28"/>
        </w:rPr>
        <w:t>非煤矿山安全生产信息化平台建设项目支出绩效评价</w:t>
      </w:r>
    </w:p>
    <w:p>
      <w:pPr>
        <w:spacing w:line="600" w:lineRule="exact"/>
        <w:ind w:firstLine="0" w:firstLineChars="0"/>
        <w:jc w:val="left"/>
        <w:outlineLvl w:val="0"/>
        <w:rPr>
          <w:rFonts w:ascii="宋体" w:hAnsi="宋体" w:eastAsia="宋体" w:cs="宋体"/>
          <w:sz w:val="30"/>
          <w:szCs w:val="30"/>
        </w:rPr>
      </w:pPr>
      <w:r>
        <w:rPr>
          <w:rFonts w:hint="eastAsia" w:ascii="宋体" w:hAnsi="宋体" w:eastAsia="宋体" w:cs="宋体"/>
          <w:sz w:val="30"/>
          <w:szCs w:val="30"/>
        </w:rPr>
        <w:t>评价单位：寻甸回族彝族自治县应急管理局</w:t>
      </w:r>
    </w:p>
    <w:p>
      <w:pPr>
        <w:spacing w:line="600" w:lineRule="exact"/>
        <w:ind w:firstLine="0" w:firstLineChars="0"/>
        <w:jc w:val="left"/>
        <w:outlineLvl w:val="0"/>
        <w:rPr>
          <w:rFonts w:ascii="宋体" w:hAnsi="宋体" w:eastAsia="宋体" w:cs="宋体"/>
          <w:sz w:val="30"/>
          <w:szCs w:val="30"/>
        </w:rPr>
      </w:pPr>
      <w:r>
        <w:rPr>
          <w:rFonts w:hint="eastAsia" w:ascii="宋体" w:hAnsi="宋体" w:eastAsia="宋体" w:cs="宋体"/>
          <w:sz w:val="30"/>
          <w:szCs w:val="30"/>
        </w:rPr>
        <w:t>委托部门：寻甸回族彝族自治县财政局</w:t>
      </w:r>
    </w:p>
    <w:p>
      <w:pPr>
        <w:spacing w:line="600" w:lineRule="exact"/>
        <w:ind w:firstLine="0" w:firstLineChars="0"/>
        <w:jc w:val="left"/>
        <w:rPr>
          <w:rFonts w:ascii="宋体" w:hAnsi="宋体" w:eastAsia="宋体" w:cs="宋体"/>
          <w:b/>
          <w:sz w:val="30"/>
          <w:szCs w:val="30"/>
        </w:rPr>
      </w:pPr>
      <w:r>
        <w:rPr>
          <w:rFonts w:hint="eastAsia" w:ascii="宋体" w:hAnsi="宋体" w:eastAsia="宋体" w:cs="宋体"/>
          <w:sz w:val="30"/>
          <w:szCs w:val="30"/>
        </w:rPr>
        <w:t>评价机构：云南京健会计师事务所（普通合伙）</w:t>
      </w:r>
    </w:p>
    <w:p>
      <w:pPr>
        <w:ind w:firstLine="0" w:firstLineChars="0"/>
        <w:jc w:val="center"/>
        <w:rPr>
          <w:rFonts w:ascii="黑体" w:hAnsi="黑体" w:eastAsia="黑体" w:cs="黑体"/>
          <w:bCs/>
          <w:sz w:val="21"/>
          <w:szCs w:val="21"/>
        </w:rPr>
      </w:pPr>
    </w:p>
    <w:p>
      <w:pPr>
        <w:ind w:firstLine="0" w:firstLineChars="0"/>
        <w:jc w:val="center"/>
        <w:rPr>
          <w:rFonts w:ascii="黑体" w:hAnsi="黑体" w:eastAsia="黑体" w:cs="黑体"/>
          <w:bCs/>
          <w:sz w:val="21"/>
          <w:szCs w:val="21"/>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3" w:bottom="1440" w:left="1803" w:header="1077" w:footer="992" w:gutter="0"/>
          <w:pgNumType w:start="1"/>
          <w:cols w:space="425" w:num="1"/>
          <w:docGrid w:type="lines" w:linePitch="312" w:charSpace="0"/>
        </w:sectPr>
      </w:pPr>
    </w:p>
    <w:p>
      <w:pPr>
        <w:ind w:firstLine="0" w:firstLineChars="0"/>
        <w:jc w:val="center"/>
        <w:rPr>
          <w:rFonts w:ascii="黑体" w:hAnsi="黑体" w:eastAsia="黑体" w:cs="黑体"/>
          <w:bCs/>
          <w:sz w:val="21"/>
          <w:szCs w:val="21"/>
        </w:rPr>
      </w:pPr>
      <w:r>
        <w:rPr>
          <w:rFonts w:hint="eastAsia" w:ascii="黑体" w:hAnsi="黑体" w:eastAsia="黑体" w:cs="黑体"/>
          <w:bCs/>
          <w:sz w:val="21"/>
          <w:szCs w:val="21"/>
        </w:rPr>
        <w:t>寻甸回族彝族自治县应急管理局202</w:t>
      </w:r>
      <w:r>
        <w:rPr>
          <w:rFonts w:ascii="黑体" w:hAnsi="黑体" w:eastAsia="黑体" w:cs="黑体"/>
          <w:bCs/>
          <w:sz w:val="21"/>
          <w:szCs w:val="21"/>
        </w:rPr>
        <w:t>2</w:t>
      </w:r>
      <w:r>
        <w:rPr>
          <w:rFonts w:hint="eastAsia" w:ascii="黑体" w:hAnsi="黑体" w:eastAsia="黑体" w:cs="黑体"/>
          <w:bCs/>
          <w:sz w:val="21"/>
          <w:szCs w:val="21"/>
        </w:rPr>
        <w:t>年非煤矿山安全生产信息化平台建设项目支出</w:t>
      </w:r>
    </w:p>
    <w:p>
      <w:pPr>
        <w:spacing w:line="240" w:lineRule="auto"/>
        <w:ind w:firstLine="0" w:firstLineChars="0"/>
        <w:jc w:val="center"/>
        <w:rPr>
          <w:rFonts w:ascii="黑体" w:hAnsi="黑体" w:eastAsia="黑体" w:cs="黑体"/>
          <w:bCs/>
          <w:sz w:val="32"/>
          <w:szCs w:val="32"/>
        </w:rPr>
      </w:pPr>
      <w:r>
        <w:rPr>
          <w:rFonts w:hint="eastAsia" w:ascii="黑体" w:hAnsi="黑体" w:eastAsia="黑体" w:cs="黑体"/>
          <w:bCs/>
          <w:sz w:val="32"/>
          <w:szCs w:val="32"/>
        </w:rPr>
        <w:t>绩效评价报告</w:t>
      </w:r>
    </w:p>
    <w:p>
      <w:pPr>
        <w:spacing w:line="240" w:lineRule="auto"/>
        <w:ind w:firstLine="0" w:firstLineChars="0"/>
        <w:jc w:val="center"/>
        <w:rPr>
          <w:rFonts w:ascii="宋体" w:hAnsi="宋体" w:eastAsia="宋体"/>
          <w:sz w:val="18"/>
          <w:szCs w:val="18"/>
        </w:rPr>
      </w:pPr>
      <w:r>
        <w:rPr>
          <w:rFonts w:hint="eastAsia" w:ascii="宋体" w:hAnsi="宋体" w:eastAsia="宋体"/>
          <w:sz w:val="18"/>
          <w:szCs w:val="18"/>
        </w:rPr>
        <w:t>云京健专审字（202</w:t>
      </w:r>
      <w:r>
        <w:rPr>
          <w:rFonts w:ascii="宋体" w:hAnsi="宋体" w:eastAsia="宋体"/>
          <w:sz w:val="18"/>
          <w:szCs w:val="18"/>
        </w:rPr>
        <w:t>3</w:t>
      </w:r>
      <w:r>
        <w:rPr>
          <w:rFonts w:hint="eastAsia" w:ascii="宋体" w:hAnsi="宋体" w:eastAsia="宋体"/>
          <w:sz w:val="18"/>
          <w:szCs w:val="18"/>
        </w:rPr>
        <w:t>）第</w:t>
      </w:r>
      <w:r>
        <w:rPr>
          <w:rFonts w:hint="eastAsia" w:ascii="宋体" w:hAnsi="宋体" w:eastAsia="宋体"/>
          <w:sz w:val="18"/>
          <w:szCs w:val="18"/>
          <w:lang w:val="en-US" w:eastAsia="zh-CN"/>
        </w:rPr>
        <w:t>068</w:t>
      </w:r>
      <w:r>
        <w:rPr>
          <w:rFonts w:hint="eastAsia" w:ascii="宋体" w:hAnsi="宋体" w:eastAsia="宋体"/>
          <w:sz w:val="18"/>
          <w:szCs w:val="18"/>
        </w:rPr>
        <w:t>号</w:t>
      </w:r>
    </w:p>
    <w:p>
      <w:pPr>
        <w:ind w:firstLine="0" w:firstLineChars="0"/>
        <w:rPr>
          <w:rFonts w:ascii="宋体" w:hAnsi="宋体" w:eastAsia="宋体" w:cs="宋体"/>
          <w:b/>
          <w:szCs w:val="24"/>
        </w:rPr>
      </w:pPr>
      <w:r>
        <w:rPr>
          <w:rFonts w:hint="eastAsia" w:ascii="宋体" w:hAnsi="宋体" w:eastAsia="宋体" w:cs="宋体"/>
          <w:b/>
          <w:szCs w:val="24"/>
        </w:rPr>
        <w:t>寻甸回族彝族自治县财政局：</w:t>
      </w:r>
    </w:p>
    <w:p>
      <w:pPr>
        <w:ind w:firstLine="480"/>
      </w:pPr>
      <w:r>
        <w:rPr>
          <w:rFonts w:hint="eastAsia"/>
        </w:rPr>
        <w:t>我们接受委托，根据</w:t>
      </w:r>
      <w:bookmarkStart w:id="1" w:name="_Hlk143855331"/>
      <w:r>
        <w:rPr>
          <w:rFonts w:hint="eastAsia"/>
        </w:rPr>
        <w:t>《关于全面推进预算绩效管理改革的实施意见》（寻政发〔</w:t>
      </w:r>
      <w:r>
        <w:t>2016〕122号）</w:t>
      </w:r>
      <w:bookmarkEnd w:id="1"/>
      <w:r>
        <w:t>、《关于印发寻甸回族彝族自治县预算绩效管理工作考核办法（试行）的通知》（寻政办发〔2016〕79号）、《关于明确预算绩效管理工作职责的通知》（寻财〔2020〕5号）和</w:t>
      </w:r>
      <w:bookmarkStart w:id="2" w:name="_Hlk143855269"/>
      <w:r>
        <w:t>《关于2022年度部门整体支出、重大项目支出和地方政府债券项目支出绩效再评价的通知》（寻财绩〔2023〕5号）</w:t>
      </w:r>
      <w:bookmarkEnd w:id="2"/>
      <w:r>
        <w:rPr>
          <w:rFonts w:hint="eastAsia"/>
        </w:rPr>
        <w:t>等文件要求，组成审计评价组对寻甸回族彝族自治县应急管理局</w:t>
      </w:r>
      <w:bookmarkStart w:id="3" w:name="_Hlk145337523"/>
      <w:r>
        <w:rPr>
          <w:rFonts w:hint="eastAsia"/>
        </w:rPr>
        <w:t>202</w:t>
      </w:r>
      <w:r>
        <w:t>2</w:t>
      </w:r>
      <w:r>
        <w:rPr>
          <w:rFonts w:hint="eastAsia"/>
        </w:rPr>
        <w:t>年</w:t>
      </w:r>
      <w:bookmarkStart w:id="4" w:name="_Hlk144974620"/>
      <w:r>
        <w:rPr>
          <w:rFonts w:hint="eastAsia"/>
        </w:rPr>
        <w:t>非煤矿山安全生产信息化平台建设项目</w:t>
      </w:r>
      <w:bookmarkEnd w:id="3"/>
      <w:bookmarkEnd w:id="4"/>
      <w:r>
        <w:rPr>
          <w:rFonts w:hint="eastAsia"/>
        </w:rPr>
        <w:t>资金（以下简称“项目”）的管理、使用及效益情况进行了绩效评价。寻甸回族彝族自治县应急管理局（以下简称“应急管理局”）对所提供评价资料的真实性、完整性负责。现将绩效评价情况报告如下：</w:t>
      </w:r>
      <w:bookmarkStart w:id="5" w:name="_Toc502134848"/>
    </w:p>
    <w:p>
      <w:pPr>
        <w:ind w:firstLine="482"/>
        <w:rPr>
          <w:rFonts w:ascii="黑体" w:hAnsi="黑体" w:eastAsia="黑体" w:cs="黑体"/>
          <w:b/>
          <w:bCs/>
          <w:szCs w:val="24"/>
        </w:rPr>
      </w:pPr>
      <w:r>
        <w:rPr>
          <w:rFonts w:hint="eastAsia" w:ascii="黑体" w:hAnsi="黑体" w:eastAsia="黑体" w:cs="黑体"/>
          <w:b/>
          <w:bCs/>
          <w:szCs w:val="24"/>
        </w:rPr>
        <w:t>一、基本情况</w:t>
      </w:r>
      <w:bookmarkEnd w:id="5"/>
      <w:bookmarkStart w:id="6" w:name="_Toc502134849"/>
    </w:p>
    <w:p>
      <w:pPr>
        <w:ind w:firstLine="480"/>
        <w:rPr>
          <w:rFonts w:ascii="楷体" w:hAnsi="楷体" w:eastAsia="楷体" w:cs="楷体"/>
          <w:szCs w:val="24"/>
        </w:rPr>
      </w:pPr>
      <w:r>
        <w:rPr>
          <w:rFonts w:hint="eastAsia" w:ascii="楷体" w:hAnsi="楷体" w:eastAsia="楷体" w:cs="楷体"/>
          <w:szCs w:val="24"/>
        </w:rPr>
        <w:t>(一)项目概况</w:t>
      </w:r>
      <w:bookmarkEnd w:id="6"/>
    </w:p>
    <w:p>
      <w:pPr>
        <w:ind w:firstLine="480"/>
        <w:rPr>
          <w:rFonts w:cs="仿宋"/>
          <w:szCs w:val="24"/>
        </w:rPr>
      </w:pPr>
      <w:r>
        <w:rPr>
          <w:rFonts w:hint="eastAsia" w:cs="仿宋"/>
          <w:szCs w:val="24"/>
        </w:rPr>
        <w:t>1.项目设定背景、目的</w:t>
      </w:r>
    </w:p>
    <w:p>
      <w:pPr>
        <w:ind w:firstLine="480"/>
        <w:rPr>
          <w:rFonts w:cs="仿宋"/>
          <w:szCs w:val="24"/>
        </w:rPr>
      </w:pPr>
      <w:r>
        <w:rPr>
          <w:rFonts w:hint="eastAsia" w:cs="仿宋"/>
          <w:szCs w:val="24"/>
        </w:rPr>
        <w:t>以习近平新时代中国特色社会主义思想为指导，全面贯彻党的十九大和十九届二中、三中、四中、五中全会精神，深入贯彻落实习近平总书记关于安全生产、应急管理工作的重要论述，按照党中央、国务院和省委、省政府、市委、市政府决策部署以及国家信息化建设工程规划，</w:t>
      </w:r>
      <w:bookmarkStart w:id="7" w:name="_Hlk145344274"/>
      <w:r>
        <w:rPr>
          <w:rFonts w:hint="eastAsia" w:cs="仿宋"/>
          <w:szCs w:val="24"/>
        </w:rPr>
        <w:t>切实规范非煤矿山安全生产经营行为，全面提升全县非煤矿山安全生产水平，实现非煤矿山企业生产安全、科学、规范、环保。为提升全县非煤矿山安全监管信息化水平</w:t>
      </w:r>
      <w:bookmarkStart w:id="8" w:name="_Hlk145363261"/>
      <w:r>
        <w:rPr>
          <w:rFonts w:hint="eastAsia" w:cs="仿宋"/>
          <w:szCs w:val="24"/>
        </w:rPr>
        <w:t>，规范非煤矿山税费征管，实现非煤矿山安全生产和税收征管深度融合，有效提高资源利用效率，确保安全生产和税收足额入库，具体目的为：</w:t>
      </w:r>
    </w:p>
    <w:p>
      <w:pPr>
        <w:ind w:firstLine="480"/>
        <w:rPr>
          <w:rFonts w:cs="仿宋"/>
          <w:szCs w:val="24"/>
        </w:rPr>
      </w:pPr>
      <w:r>
        <w:rPr>
          <w:rFonts w:hint="eastAsia" w:cs="仿宋"/>
          <w:szCs w:val="24"/>
        </w:rPr>
        <w:t>(</w:t>
      </w:r>
      <w:r>
        <w:rPr>
          <w:rFonts w:cs="仿宋"/>
          <w:szCs w:val="24"/>
        </w:rPr>
        <w:t>1)</w:t>
      </w:r>
      <w:r>
        <w:rPr>
          <w:rFonts w:hint="eastAsia" w:cs="仿宋"/>
          <w:szCs w:val="24"/>
        </w:rPr>
        <w:t>找准全县非煤矿山企业安全监管工作中的重点难点，以强化安全监管措施、实现企业本质安全为出发点，整合资源，实行整体规划、严格标准、统一实施，强化监管和规范税收管理并重，促进全县非煤矿山行业规范、健康、可持续发展。</w:t>
      </w:r>
    </w:p>
    <w:p>
      <w:pPr>
        <w:ind w:firstLine="480"/>
        <w:rPr>
          <w:rFonts w:cs="仿宋"/>
          <w:szCs w:val="24"/>
        </w:rPr>
      </w:pPr>
      <w:r>
        <w:rPr>
          <w:rFonts w:cs="仿宋"/>
          <w:szCs w:val="24"/>
        </w:rPr>
        <w:t>(2)</w:t>
      </w:r>
      <w:r>
        <w:rPr>
          <w:rFonts w:hint="eastAsia" w:cs="仿宋"/>
          <w:szCs w:val="24"/>
        </w:rPr>
        <w:t>强化税收征管，有效遏制跑冒滴漏现象，</w:t>
      </w:r>
      <w:bookmarkEnd w:id="8"/>
      <w:r>
        <w:rPr>
          <w:rFonts w:hint="eastAsia" w:cs="仿宋"/>
          <w:szCs w:val="24"/>
        </w:rPr>
        <w:t>实现全天候、无死角监管，精准掌握企业经营状况。全方位、全过程的实时监管非煤矿山开采运输、纳税、矿山地质灾害监测、应急救援等多个环节工作情况，及时有效纠正处理企业的违章、违规问题和安全隐患，有效防范非煤矿山超层越界开采行为，有效在源头治理非煤矿山运输车辆超限、超载的问题，有效解决运输车辆运输过程不覆盖，砂、石逸散污染环境的问题。</w:t>
      </w:r>
      <w:bookmarkEnd w:id="7"/>
    </w:p>
    <w:p>
      <w:pPr>
        <w:ind w:firstLine="480"/>
        <w:rPr>
          <w:rFonts w:cs="仿宋"/>
          <w:color w:val="FF0000"/>
          <w:szCs w:val="24"/>
        </w:rPr>
      </w:pPr>
      <w:r>
        <w:rPr>
          <w:rFonts w:hint="eastAsia" w:cs="仿宋"/>
          <w:szCs w:val="24"/>
        </w:rPr>
        <w:t>2.项目立项依据</w:t>
      </w:r>
    </w:p>
    <w:p>
      <w:pPr>
        <w:ind w:firstLine="480"/>
        <w:rPr>
          <w:rFonts w:cs="仿宋"/>
          <w:szCs w:val="24"/>
        </w:rPr>
      </w:pPr>
      <w:bookmarkStart w:id="9" w:name="_Toc502134850"/>
      <w:r>
        <w:rPr>
          <w:rFonts w:cs="仿宋"/>
          <w:szCs w:val="24"/>
        </w:rPr>
        <w:t>(1)《中华人民共和国安全生产法》</w:t>
      </w:r>
      <w:r>
        <w:rPr>
          <w:rFonts w:hint="eastAsia" w:cs="仿宋"/>
          <w:szCs w:val="24"/>
        </w:rPr>
        <w:t>；</w:t>
      </w:r>
    </w:p>
    <w:p>
      <w:pPr>
        <w:ind w:firstLine="480"/>
        <w:rPr>
          <w:rFonts w:cs="仿宋"/>
          <w:szCs w:val="24"/>
        </w:rPr>
      </w:pPr>
      <w:r>
        <w:rPr>
          <w:rFonts w:cs="仿宋"/>
          <w:szCs w:val="24"/>
        </w:rPr>
        <w:t>(2)《中华人民共和国税收征收管理法》</w:t>
      </w:r>
      <w:r>
        <w:rPr>
          <w:rFonts w:hint="eastAsia" w:cs="仿宋"/>
          <w:szCs w:val="24"/>
        </w:rPr>
        <w:t>；</w:t>
      </w:r>
    </w:p>
    <w:p>
      <w:pPr>
        <w:ind w:firstLine="480"/>
        <w:rPr>
          <w:rFonts w:cs="仿宋"/>
          <w:szCs w:val="24"/>
        </w:rPr>
      </w:pPr>
      <w:r>
        <w:rPr>
          <w:rFonts w:cs="仿宋"/>
          <w:szCs w:val="24"/>
        </w:rPr>
        <w:t>(3)《云南省税收征管保障办法》</w:t>
      </w:r>
      <w:r>
        <w:rPr>
          <w:rFonts w:hint="eastAsia" w:cs="仿宋"/>
          <w:szCs w:val="24"/>
        </w:rPr>
        <w:t>；</w:t>
      </w:r>
    </w:p>
    <w:p>
      <w:pPr>
        <w:ind w:firstLine="480"/>
        <w:rPr>
          <w:rFonts w:cs="仿宋"/>
          <w:szCs w:val="24"/>
        </w:rPr>
      </w:pPr>
      <w:r>
        <w:rPr>
          <w:rFonts w:cs="仿宋"/>
          <w:szCs w:val="24"/>
        </w:rPr>
        <w:t>(4)</w:t>
      </w:r>
      <w:r>
        <w:rPr>
          <w:rFonts w:hint="eastAsia" w:cs="仿宋"/>
          <w:szCs w:val="24"/>
        </w:rPr>
        <w:t>《</w:t>
      </w:r>
      <w:bookmarkStart w:id="10" w:name="_Hlk145345041"/>
      <w:r>
        <w:rPr>
          <w:rFonts w:hint="eastAsia" w:cs="仿宋"/>
          <w:szCs w:val="24"/>
        </w:rPr>
        <w:t>寻甸回族彝族自治县“十四五”安全生产发展规划</w:t>
      </w:r>
      <w:bookmarkEnd w:id="10"/>
      <w:r>
        <w:rPr>
          <w:rFonts w:hint="eastAsia" w:cs="仿宋"/>
          <w:szCs w:val="24"/>
        </w:rPr>
        <w:t>》；</w:t>
      </w:r>
    </w:p>
    <w:p>
      <w:pPr>
        <w:ind w:firstLine="480"/>
        <w:rPr>
          <w:rFonts w:cs="仿宋"/>
          <w:szCs w:val="24"/>
        </w:rPr>
      </w:pPr>
      <w:r>
        <w:rPr>
          <w:rFonts w:cs="仿宋"/>
          <w:szCs w:val="24"/>
        </w:rPr>
        <w:t>(5)</w:t>
      </w:r>
      <w:r>
        <w:rPr>
          <w:rFonts w:hint="eastAsia" w:cs="仿宋"/>
          <w:szCs w:val="24"/>
        </w:rPr>
        <w:t>《寻甸县非煤矿山安全生产信息化平台建设实施方案》（送审稿）。</w:t>
      </w:r>
    </w:p>
    <w:p>
      <w:pPr>
        <w:ind w:firstLine="480"/>
        <w:rPr>
          <w:rFonts w:ascii="楷体" w:hAnsi="楷体" w:eastAsia="楷体" w:cs="楷体"/>
          <w:szCs w:val="24"/>
        </w:rPr>
      </w:pPr>
      <w:bookmarkStart w:id="11" w:name="_Hlk145346845"/>
      <w:r>
        <w:rPr>
          <w:rFonts w:hint="eastAsia" w:ascii="楷体" w:hAnsi="楷体" w:eastAsia="楷体" w:cs="楷体"/>
          <w:szCs w:val="24"/>
        </w:rPr>
        <w:t>(二)项目资金安排情况</w:t>
      </w:r>
      <w:bookmarkEnd w:id="9"/>
    </w:p>
    <w:p>
      <w:pPr>
        <w:ind w:firstLine="472"/>
        <w:rPr>
          <w:rFonts w:cs="仿宋"/>
          <w:spacing w:val="-2"/>
          <w:szCs w:val="24"/>
        </w:rPr>
      </w:pPr>
      <w:bookmarkStart w:id="12" w:name="_Toc502134851"/>
      <w:r>
        <w:rPr>
          <w:rFonts w:hint="eastAsia" w:cs="仿宋"/>
          <w:spacing w:val="-2"/>
          <w:szCs w:val="24"/>
        </w:rPr>
        <w:t>1</w:t>
      </w:r>
      <w:r>
        <w:rPr>
          <w:rFonts w:cs="仿宋"/>
          <w:spacing w:val="-2"/>
          <w:szCs w:val="24"/>
        </w:rPr>
        <w:t>.</w:t>
      </w:r>
      <w:r>
        <w:rPr>
          <w:rFonts w:hint="eastAsia" w:cs="仿宋"/>
          <w:spacing w:val="-2"/>
          <w:szCs w:val="24"/>
        </w:rPr>
        <w:t>建设运行费用概算</w:t>
      </w:r>
      <w:bookmarkEnd w:id="11"/>
    </w:p>
    <w:p>
      <w:pPr>
        <w:ind w:firstLine="472"/>
        <w:rPr>
          <w:rFonts w:cs="仿宋"/>
          <w:spacing w:val="-2"/>
          <w:szCs w:val="24"/>
        </w:rPr>
      </w:pPr>
      <w:bookmarkStart w:id="13" w:name="_Hlk145345606"/>
      <w:r>
        <w:rPr>
          <w:rFonts w:cs="仿宋"/>
          <w:spacing w:val="-2"/>
          <w:szCs w:val="24"/>
        </w:rPr>
        <w:t>(1)</w:t>
      </w:r>
      <w:bookmarkEnd w:id="13"/>
      <w:r>
        <w:rPr>
          <w:rFonts w:hint="eastAsia" w:cs="仿宋"/>
          <w:spacing w:val="-2"/>
          <w:szCs w:val="24"/>
        </w:rPr>
        <w:t>据应急管理局提供的《寻甸县非煤矿山安全生产信息化平台建设实施方案》（送审稿），项目建设概算情况如下：</w:t>
      </w:r>
    </w:p>
    <w:p>
      <w:pPr>
        <w:ind w:firstLine="472"/>
        <w:rPr>
          <w:rFonts w:cs="仿宋"/>
          <w:spacing w:val="-2"/>
          <w:szCs w:val="24"/>
        </w:rPr>
      </w:pPr>
      <w:r>
        <w:rPr>
          <w:rFonts w:hint="eastAsia" w:cs="仿宋"/>
          <w:spacing w:val="-2"/>
          <w:szCs w:val="24"/>
        </w:rPr>
        <w:t>①</w:t>
      </w:r>
      <w:r>
        <w:rPr>
          <w:rFonts w:cs="仿宋"/>
          <w:spacing w:val="-2"/>
          <w:szCs w:val="24"/>
        </w:rPr>
        <w:t>建设费用概算。信息化平台建设整个项目概算260万元左右。</w:t>
      </w:r>
    </w:p>
    <w:p>
      <w:pPr>
        <w:ind w:firstLine="472"/>
        <w:rPr>
          <w:rFonts w:cs="仿宋"/>
          <w:spacing w:val="-2"/>
          <w:szCs w:val="24"/>
        </w:rPr>
      </w:pPr>
      <w:r>
        <w:rPr>
          <w:rFonts w:hint="eastAsia" w:cs="仿宋"/>
          <w:spacing w:val="-2"/>
          <w:szCs w:val="24"/>
        </w:rPr>
        <w:t>②</w:t>
      </w:r>
      <w:r>
        <w:rPr>
          <w:rFonts w:cs="仿宋"/>
          <w:spacing w:val="-2"/>
          <w:szCs w:val="24"/>
        </w:rPr>
        <w:t>运行费用概算。平台建成投入使用后，其运行费用按每年130万元预算（含平台管理人员工资）。</w:t>
      </w:r>
    </w:p>
    <w:p>
      <w:pPr>
        <w:ind w:firstLine="472"/>
        <w:rPr>
          <w:rFonts w:cs="仿宋"/>
          <w:spacing w:val="-2"/>
          <w:szCs w:val="24"/>
        </w:rPr>
      </w:pPr>
      <w:r>
        <w:rPr>
          <w:rFonts w:cs="仿宋"/>
          <w:spacing w:val="-2"/>
          <w:szCs w:val="24"/>
        </w:rPr>
        <w:t>(2)</w:t>
      </w:r>
      <w:r>
        <w:rPr>
          <w:rFonts w:hint="eastAsia" w:cs="仿宋"/>
          <w:spacing w:val="-2"/>
          <w:szCs w:val="24"/>
        </w:rPr>
        <w:t>据</w:t>
      </w:r>
      <w:bookmarkStart w:id="14" w:name="_Hlk145345679"/>
      <w:r>
        <w:rPr>
          <w:rFonts w:hint="eastAsia" w:cs="仿宋"/>
          <w:spacing w:val="-2"/>
          <w:szCs w:val="24"/>
        </w:rPr>
        <w:t>应急管理局提供的</w:t>
      </w:r>
      <w:bookmarkEnd w:id="14"/>
      <w:r>
        <w:rPr>
          <w:rFonts w:hint="eastAsia" w:cs="仿宋"/>
          <w:spacing w:val="-2"/>
          <w:szCs w:val="24"/>
        </w:rPr>
        <w:t>《非煤矿山安全生产信息化平台建设预算》，项目预算情况为：项目总预算资金合计</w:t>
      </w:r>
      <w:r>
        <w:rPr>
          <w:rFonts w:cs="仿宋"/>
          <w:spacing w:val="-2"/>
          <w:szCs w:val="24"/>
        </w:rPr>
        <w:t>5,080,000.00元，其中：中心平台建设1套、金额900,000.00元，企业端系统建设25户、金额2,500,000.00元，技术人员15人（按72000元/每人每年计算、包含五险）、金额1,080,000.00元，企业端网络信息费25条（每条10,000.00元）、金额250,000.00元，中心平台网络信息费1条、金额50,000.00元，企业端系统及设备维护费25户（每户10,000.00元）、合计250,000.00元，中心平台维护费1年、金额50,000.00元。</w:t>
      </w:r>
    </w:p>
    <w:p>
      <w:pPr>
        <w:ind w:firstLine="480"/>
        <w:rPr>
          <w:rFonts w:cs="仿宋"/>
          <w:szCs w:val="24"/>
        </w:rPr>
      </w:pPr>
      <w:r>
        <w:rPr>
          <w:rFonts w:cs="仿宋"/>
          <w:szCs w:val="24"/>
        </w:rPr>
        <w:t>(3)据应急管理局提供的《2021年非煤矿山安全生产信息化平台先期建设预算》，</w:t>
      </w:r>
      <w:r>
        <w:rPr>
          <w:rFonts w:hint="eastAsia" w:cs="仿宋"/>
          <w:szCs w:val="24"/>
        </w:rPr>
        <w:t>项目预算情况为：</w:t>
      </w:r>
      <w:r>
        <w:rPr>
          <w:rFonts w:cs="仿宋"/>
          <w:szCs w:val="24"/>
        </w:rPr>
        <w:t>2021年先期建设预算资金合计3,280,000.00元，其中：中心平台建设1套、金额900,000.00元，企业端系统建设10户、金额1,000,000.00元，技术人员15人（按72000元/每人每年计算、包含五险）、金额1,080,000.00元，企业端网络信息费10条（每条10,000.00元）、金额100,000.00元，中心平台网络信息费1条、金额50,000.00元，企业端系统及设备维护费10户（每户10,000.00元）、合计100,000.00元，中心平台维护费1年、金额50,000.00元。</w:t>
      </w:r>
    </w:p>
    <w:p>
      <w:pPr>
        <w:ind w:firstLine="480"/>
        <w:rPr>
          <w:rFonts w:cs="仿宋"/>
          <w:szCs w:val="24"/>
        </w:rPr>
      </w:pPr>
      <w:r>
        <w:rPr>
          <w:rFonts w:hint="eastAsia" w:cs="仿宋"/>
          <w:szCs w:val="24"/>
        </w:rPr>
        <w:t>2</w:t>
      </w:r>
      <w:r>
        <w:rPr>
          <w:rFonts w:cs="仿宋"/>
          <w:szCs w:val="24"/>
        </w:rPr>
        <w:t>.</w:t>
      </w:r>
      <w:r>
        <w:rPr>
          <w:rFonts w:hint="eastAsia" w:cs="仿宋"/>
          <w:szCs w:val="24"/>
        </w:rPr>
        <w:t>项目资金安排</w:t>
      </w:r>
    </w:p>
    <w:p>
      <w:pPr>
        <w:ind w:firstLine="480"/>
        <w:rPr>
          <w:rFonts w:cs="仿宋"/>
          <w:szCs w:val="24"/>
        </w:rPr>
      </w:pPr>
      <w:bookmarkStart w:id="15" w:name="_Hlk145337122"/>
      <w:r>
        <w:rPr>
          <w:rFonts w:cs="仿宋"/>
          <w:szCs w:val="24"/>
        </w:rPr>
        <w:t>《关于追加2021年部门预算的通知》（寻财预〔2021〕18号）</w:t>
      </w:r>
      <w:r>
        <w:rPr>
          <w:rFonts w:hint="eastAsia" w:cs="仿宋"/>
          <w:szCs w:val="24"/>
        </w:rPr>
        <w:t>安排</w:t>
      </w:r>
      <w:r>
        <w:rPr>
          <w:rFonts w:cs="仿宋"/>
          <w:szCs w:val="24"/>
        </w:rPr>
        <w:t>2021年10个非煤矿山安全监控系统建设经费1,000,000.00元、《关于批复2022年部门预算的通知》（寻财预〔2022〕1号）</w:t>
      </w:r>
      <w:r>
        <w:rPr>
          <w:rFonts w:hint="eastAsia" w:cs="仿宋"/>
          <w:szCs w:val="24"/>
        </w:rPr>
        <w:t>安排</w:t>
      </w:r>
      <w:r>
        <w:rPr>
          <w:rFonts w:cs="仿宋"/>
          <w:szCs w:val="24"/>
        </w:rPr>
        <w:t>2022年项目资金2,600,000.00元、《关于下达2022年省级应急管理专项转移支付资金（第一批）的通知》（寻财行〔2022〕75号）</w:t>
      </w:r>
      <w:r>
        <w:rPr>
          <w:rFonts w:hint="eastAsia" w:cs="仿宋"/>
          <w:szCs w:val="24"/>
        </w:rPr>
        <w:t>安排省级应急管理专项转移支付资金（第一批）</w:t>
      </w:r>
      <w:r>
        <w:rPr>
          <w:rFonts w:cs="仿宋"/>
          <w:szCs w:val="24"/>
        </w:rPr>
        <w:t>300,000.00元</w:t>
      </w:r>
      <w:r>
        <w:rPr>
          <w:rFonts w:hint="eastAsia" w:cs="仿宋"/>
          <w:szCs w:val="24"/>
        </w:rPr>
        <w:t>，合计</w:t>
      </w:r>
      <w:r>
        <w:rPr>
          <w:rFonts w:cs="仿宋"/>
          <w:szCs w:val="24"/>
        </w:rPr>
        <w:t>安排项目预算资金3,900,000.00元</w:t>
      </w:r>
      <w:bookmarkEnd w:id="15"/>
      <w:r>
        <w:rPr>
          <w:rFonts w:cs="仿宋"/>
          <w:szCs w:val="24"/>
        </w:rPr>
        <w:t>。</w:t>
      </w:r>
    </w:p>
    <w:p>
      <w:pPr>
        <w:ind w:firstLine="480"/>
        <w:rPr>
          <w:rFonts w:cs="仿宋"/>
          <w:szCs w:val="24"/>
        </w:rPr>
      </w:pPr>
      <w:r>
        <w:rPr>
          <w:rFonts w:cs="仿宋"/>
          <w:szCs w:val="24"/>
        </w:rPr>
        <w:t>根据应急管理局《寻甸县2022年非煤矿山安全生产信息化平台建设专项资金使用情况表》及账面记录，截止2022年12月31日共计支付项目资金2,302,539.10元</w:t>
      </w:r>
      <w:r>
        <w:rPr>
          <w:rFonts w:hint="eastAsia" w:cs="仿宋"/>
          <w:szCs w:val="24"/>
        </w:rPr>
        <w:t>（国库集中支付）</w:t>
      </w:r>
      <w:r>
        <w:rPr>
          <w:rFonts w:cs="仿宋"/>
          <w:szCs w:val="24"/>
        </w:rPr>
        <w:t>，其中：应急指挥中心安全生产监管平台系统及10个非煤矿山前端监控点位建设费1,780,295.00元、安全生产信息化监控系统建设项目软件费用59,000.00元、应急指挥中心房屋改建费90,410.10元、网络服务费80,250.00元、人员招聘服务费17,000.00元、劳务派遣人员费用270,000.00元，值班用床及床上用品5,584.00元。</w:t>
      </w:r>
    </w:p>
    <w:p>
      <w:pPr>
        <w:ind w:firstLine="480"/>
        <w:rPr>
          <w:rFonts w:ascii="楷体" w:hAnsi="楷体" w:eastAsia="楷体" w:cs="楷体"/>
          <w:szCs w:val="24"/>
        </w:rPr>
      </w:pPr>
      <w:r>
        <w:rPr>
          <w:rFonts w:hint="eastAsia" w:ascii="楷体" w:hAnsi="楷体" w:eastAsia="楷体" w:cs="楷体"/>
          <w:szCs w:val="24"/>
        </w:rPr>
        <w:t>(三)项目实施内容</w:t>
      </w:r>
      <w:bookmarkEnd w:id="12"/>
      <w:bookmarkStart w:id="16" w:name="_Toc502134852"/>
    </w:p>
    <w:p>
      <w:pPr>
        <w:ind w:firstLine="480"/>
        <w:rPr>
          <w:rFonts w:cs="仿宋"/>
          <w:szCs w:val="24"/>
        </w:rPr>
      </w:pPr>
      <w:bookmarkStart w:id="17" w:name="_Hlk145345504"/>
      <w:r>
        <w:rPr>
          <w:rFonts w:hint="eastAsia" w:cs="仿宋"/>
          <w:szCs w:val="24"/>
        </w:rPr>
        <w:t>据</w:t>
      </w:r>
      <w:bookmarkStart w:id="18" w:name="_Hlk145345138"/>
      <w:r>
        <w:rPr>
          <w:rFonts w:hint="eastAsia" w:cs="仿宋"/>
          <w:szCs w:val="24"/>
        </w:rPr>
        <w:t>《寻甸县非煤矿山安全生产信息化平台建设实施方案》（送审稿）</w:t>
      </w:r>
      <w:bookmarkEnd w:id="18"/>
      <w:r>
        <w:rPr>
          <w:rFonts w:hint="eastAsia" w:cs="仿宋"/>
          <w:szCs w:val="24"/>
        </w:rPr>
        <w:t>，</w:t>
      </w:r>
      <w:bookmarkEnd w:id="17"/>
      <w:r>
        <w:rPr>
          <w:rFonts w:hint="eastAsia" w:cs="仿宋"/>
          <w:szCs w:val="24"/>
        </w:rPr>
        <w:t>项目实施内容及相关信息如下：</w:t>
      </w:r>
    </w:p>
    <w:p>
      <w:pPr>
        <w:ind w:firstLine="480"/>
        <w:rPr>
          <w:rFonts w:cs="仿宋"/>
          <w:szCs w:val="24"/>
        </w:rPr>
      </w:pPr>
      <w:r>
        <w:rPr>
          <w:rFonts w:hint="eastAsia" w:cs="仿宋"/>
          <w:szCs w:val="24"/>
        </w:rPr>
        <w:t>1</w:t>
      </w:r>
      <w:r>
        <w:rPr>
          <w:rFonts w:cs="仿宋"/>
          <w:szCs w:val="24"/>
        </w:rPr>
        <w:t>.</w:t>
      </w:r>
      <w:r>
        <w:rPr>
          <w:rFonts w:hint="eastAsia" w:cs="仿宋"/>
          <w:szCs w:val="24"/>
        </w:rPr>
        <w:t>建设内容</w:t>
      </w:r>
    </w:p>
    <w:p>
      <w:pPr>
        <w:ind w:firstLine="480"/>
        <w:rPr>
          <w:rFonts w:cs="仿宋"/>
          <w:szCs w:val="24"/>
        </w:rPr>
      </w:pPr>
      <w:r>
        <w:rPr>
          <w:rFonts w:hint="eastAsia" w:cs="仿宋"/>
          <w:szCs w:val="24"/>
        </w:rPr>
        <w:t>建设项目包括非煤矿山税控平台及安全监管系统，项目建设功能包括税控系统、安全监管系统、</w:t>
      </w:r>
      <w:r>
        <w:rPr>
          <w:rFonts w:cs="仿宋"/>
          <w:szCs w:val="24"/>
        </w:rPr>
        <w:t>GIS呈现、语音对讲调度、远程监控自动逃逸</w:t>
      </w:r>
      <w:r>
        <w:rPr>
          <w:rFonts w:hint="eastAsia" w:cs="仿宋"/>
          <w:szCs w:val="24"/>
        </w:rPr>
        <w:t>报</w:t>
      </w:r>
      <w:r>
        <w:rPr>
          <w:rFonts w:cs="仿宋"/>
          <w:szCs w:val="24"/>
        </w:rPr>
        <w:t>警系统、自动过磅、远程操控、会议系统设备等。过磅处建立UPS电力保障、过磅设备、360度云台、枪机、室内、自动抓拍、雷达、自动车牌识别等对企业过磅处全天候自动监测过磅及逃逸</w:t>
      </w:r>
      <w:r>
        <w:rPr>
          <w:rFonts w:hint="eastAsia" w:cs="仿宋"/>
          <w:szCs w:val="24"/>
        </w:rPr>
        <w:t>报</w:t>
      </w:r>
      <w:r>
        <w:rPr>
          <w:rFonts w:cs="仿宋"/>
          <w:szCs w:val="24"/>
        </w:rPr>
        <w:t>警。采场采用从全面到局部的清晰思路建立安全监管，360度云台首先一个视觉完成整个采面进行安全监管，细节部分或局部通过云台变焦、旋转、拉近、放大进行全面监管。通过软件系统功能在中心远程完成台阶、边坡高度测量，自</w:t>
      </w:r>
      <w:r>
        <w:rPr>
          <w:rFonts w:hint="eastAsia" w:cs="仿宋"/>
          <w:szCs w:val="24"/>
        </w:rPr>
        <w:t>动进行采面痕迹跟踪等安全管理。</w:t>
      </w:r>
    </w:p>
    <w:p>
      <w:pPr>
        <w:ind w:firstLine="480"/>
        <w:rPr>
          <w:rFonts w:cs="仿宋"/>
          <w:szCs w:val="24"/>
        </w:rPr>
      </w:pPr>
      <w:r>
        <w:rPr>
          <w:rFonts w:hint="eastAsia" w:cs="仿宋"/>
          <w:szCs w:val="24"/>
        </w:rPr>
        <w:t>2</w:t>
      </w:r>
      <w:r>
        <w:rPr>
          <w:rFonts w:cs="仿宋"/>
          <w:szCs w:val="24"/>
        </w:rPr>
        <w:t>.</w:t>
      </w:r>
      <w:r>
        <w:rPr>
          <w:rFonts w:hint="eastAsia" w:cs="仿宋"/>
          <w:szCs w:val="24"/>
        </w:rPr>
        <w:t>建设步骤</w:t>
      </w:r>
    </w:p>
    <w:p>
      <w:pPr>
        <w:ind w:firstLine="480"/>
        <w:rPr>
          <w:rFonts w:cs="仿宋"/>
          <w:szCs w:val="24"/>
        </w:rPr>
      </w:pPr>
      <w:r>
        <w:rPr>
          <w:rFonts w:hint="eastAsia" w:cs="仿宋"/>
          <w:szCs w:val="24"/>
        </w:rPr>
        <w:t>全县现有非煤矿山企业</w:t>
      </w:r>
      <w:r>
        <w:rPr>
          <w:rFonts w:cs="仿宋"/>
          <w:szCs w:val="24"/>
        </w:rPr>
        <w:t>36座（不含2019、2020年新出让矿权9座）。其中地下矿山2座、露天矿山34座。正常生产、建设矿山17座（含因手续原因停止生产、建设6座）。按照积极稳妥分步推进的原则分批次开展平台建设工作。中心平台及石头山采石场（试点）于2022年2月28日前建成投入使用，其余待预算资金到位后进行建设。</w:t>
      </w:r>
    </w:p>
    <w:p>
      <w:pPr>
        <w:ind w:firstLine="480"/>
        <w:rPr>
          <w:rFonts w:cs="仿宋"/>
          <w:szCs w:val="24"/>
        </w:rPr>
      </w:pPr>
      <w:r>
        <w:rPr>
          <w:rFonts w:hint="eastAsia" w:cs="仿宋"/>
          <w:szCs w:val="24"/>
        </w:rPr>
        <w:t>3</w:t>
      </w:r>
      <w:r>
        <w:rPr>
          <w:rFonts w:cs="仿宋"/>
          <w:szCs w:val="24"/>
        </w:rPr>
        <w:t>.</w:t>
      </w:r>
      <w:r>
        <w:rPr>
          <w:rFonts w:hint="eastAsia" w:cs="仿宋"/>
          <w:szCs w:val="24"/>
        </w:rPr>
        <w:t>建设工期</w:t>
      </w:r>
    </w:p>
    <w:p>
      <w:pPr>
        <w:ind w:firstLine="480"/>
        <w:rPr>
          <w:rFonts w:cs="仿宋"/>
          <w:szCs w:val="24"/>
        </w:rPr>
      </w:pPr>
      <w:r>
        <w:rPr>
          <w:rFonts w:hint="eastAsia" w:cs="仿宋"/>
          <w:szCs w:val="24"/>
        </w:rPr>
        <w:t>(</w:t>
      </w:r>
      <w:r>
        <w:rPr>
          <w:rFonts w:cs="仿宋"/>
          <w:szCs w:val="24"/>
        </w:rPr>
        <w:t>1)</w:t>
      </w:r>
      <w:r>
        <w:rPr>
          <w:rFonts w:hint="eastAsia" w:cs="仿宋"/>
          <w:szCs w:val="24"/>
        </w:rPr>
        <w:t>宣传调研阶段（</w:t>
      </w:r>
      <w:r>
        <w:rPr>
          <w:rFonts w:cs="仿宋"/>
          <w:szCs w:val="24"/>
        </w:rPr>
        <w:t>2021年12月1日至12月15日）</w:t>
      </w:r>
      <w:r>
        <w:rPr>
          <w:rFonts w:hint="eastAsia" w:cs="仿宋"/>
          <w:szCs w:val="24"/>
        </w:rPr>
        <w:t>。</w:t>
      </w:r>
    </w:p>
    <w:p>
      <w:pPr>
        <w:ind w:firstLine="480"/>
        <w:rPr>
          <w:rFonts w:cs="仿宋"/>
          <w:szCs w:val="24"/>
        </w:rPr>
      </w:pPr>
      <w:r>
        <w:rPr>
          <w:rFonts w:hint="eastAsia" w:cs="仿宋"/>
          <w:szCs w:val="24"/>
        </w:rPr>
        <w:t>(</w:t>
      </w:r>
      <w:r>
        <w:rPr>
          <w:rFonts w:cs="仿宋"/>
          <w:szCs w:val="24"/>
        </w:rPr>
        <w:t>2)</w:t>
      </w:r>
      <w:r>
        <w:rPr>
          <w:rFonts w:hint="eastAsia" w:cs="仿宋"/>
          <w:szCs w:val="24"/>
        </w:rPr>
        <w:t>组织实施阶段（</w:t>
      </w:r>
      <w:r>
        <w:rPr>
          <w:rFonts w:cs="仿宋"/>
          <w:szCs w:val="24"/>
        </w:rPr>
        <w:t>2021年12月16日至2022年3月1日）</w:t>
      </w:r>
      <w:r>
        <w:rPr>
          <w:rFonts w:hint="eastAsia" w:cs="仿宋"/>
          <w:szCs w:val="24"/>
        </w:rPr>
        <w:t>：</w:t>
      </w:r>
    </w:p>
    <w:p>
      <w:pPr>
        <w:ind w:firstLine="480"/>
        <w:rPr>
          <w:rFonts w:cs="仿宋"/>
          <w:szCs w:val="24"/>
        </w:rPr>
      </w:pPr>
      <w:r>
        <w:rPr>
          <w:rFonts w:hint="eastAsia" w:ascii="宋体" w:hAnsi="宋体" w:eastAsia="宋体" w:cs="仿宋"/>
          <w:szCs w:val="24"/>
        </w:rPr>
        <w:t>①</w:t>
      </w:r>
      <w:r>
        <w:rPr>
          <w:rFonts w:cs="仿宋"/>
          <w:szCs w:val="24"/>
        </w:rPr>
        <w:t>2021年12月30日前完成项目供应商的确定及实地踏勘和政策宣传工作。</w:t>
      </w:r>
    </w:p>
    <w:p>
      <w:pPr>
        <w:ind w:firstLine="480"/>
        <w:rPr>
          <w:rFonts w:cs="仿宋"/>
          <w:szCs w:val="24"/>
        </w:rPr>
      </w:pPr>
      <w:r>
        <w:rPr>
          <w:rFonts w:hint="eastAsia" w:ascii="宋体" w:hAnsi="宋体" w:eastAsia="宋体" w:cs="仿宋"/>
          <w:szCs w:val="24"/>
        </w:rPr>
        <w:t>②</w:t>
      </w:r>
      <w:r>
        <w:rPr>
          <w:rFonts w:cs="仿宋"/>
          <w:szCs w:val="24"/>
        </w:rPr>
        <w:t>2022年1月30日前完成税收征管准运系统工程建设（监控系统、地磅秤设置、光缆铺设及其附属工程）、监控中心工作人员业务培训、监控中心组建及基本规章制度制定工作。</w:t>
      </w:r>
    </w:p>
    <w:p>
      <w:pPr>
        <w:ind w:firstLine="480"/>
        <w:rPr>
          <w:rFonts w:cs="仿宋"/>
          <w:szCs w:val="24"/>
        </w:rPr>
      </w:pPr>
      <w:r>
        <w:rPr>
          <w:rFonts w:hint="eastAsia" w:ascii="宋体" w:hAnsi="宋体" w:eastAsia="宋体" w:cs="仿宋"/>
          <w:szCs w:val="24"/>
        </w:rPr>
        <w:t>③</w:t>
      </w:r>
      <w:r>
        <w:rPr>
          <w:rFonts w:cs="仿宋"/>
          <w:szCs w:val="24"/>
        </w:rPr>
        <w:t>2022年2月28日前完成税收征管准运系统试运行。</w:t>
      </w:r>
    </w:p>
    <w:p>
      <w:pPr>
        <w:ind w:firstLine="480"/>
        <w:rPr>
          <w:rFonts w:cs="仿宋"/>
          <w:szCs w:val="24"/>
        </w:rPr>
      </w:pPr>
      <w:r>
        <w:rPr>
          <w:rFonts w:hint="eastAsia" w:ascii="宋体" w:hAnsi="宋体" w:eastAsia="宋体" w:cs="仿宋"/>
          <w:szCs w:val="24"/>
        </w:rPr>
        <w:t>④</w:t>
      </w:r>
      <w:r>
        <w:rPr>
          <w:rFonts w:cs="仿宋"/>
          <w:szCs w:val="24"/>
        </w:rPr>
        <w:t>2022年3月1日，平台正式运行。</w:t>
      </w:r>
    </w:p>
    <w:p>
      <w:pPr>
        <w:ind w:firstLine="480"/>
        <w:rPr>
          <w:rFonts w:ascii="楷体" w:hAnsi="楷体" w:eastAsia="楷体" w:cs="楷体"/>
          <w:szCs w:val="24"/>
        </w:rPr>
      </w:pPr>
      <w:r>
        <w:rPr>
          <w:rFonts w:hint="eastAsia" w:ascii="楷体" w:hAnsi="楷体" w:eastAsia="楷体" w:cs="楷体"/>
          <w:szCs w:val="24"/>
        </w:rPr>
        <w:t>(四)项目绩效目标设定情况</w:t>
      </w:r>
      <w:bookmarkEnd w:id="16"/>
    </w:p>
    <w:p>
      <w:pPr>
        <w:ind w:firstLine="480"/>
        <w:rPr>
          <w:rFonts w:cs="仿宋"/>
          <w:szCs w:val="24"/>
        </w:rPr>
      </w:pPr>
      <w:bookmarkStart w:id="19" w:name="_Hlk144996368"/>
      <w:r>
        <w:rPr>
          <w:rFonts w:hint="eastAsia" w:cs="仿宋"/>
          <w:szCs w:val="24"/>
        </w:rPr>
        <w:t>应急管理局根据上述项目实施内容，设定了项目总体目标和年度目标。</w:t>
      </w:r>
    </w:p>
    <w:p>
      <w:pPr>
        <w:ind w:firstLine="480"/>
        <w:rPr>
          <w:rFonts w:cs="仿宋"/>
          <w:szCs w:val="24"/>
        </w:rPr>
      </w:pPr>
      <w:r>
        <w:rPr>
          <w:rFonts w:hint="eastAsia" w:cs="仿宋"/>
          <w:szCs w:val="24"/>
        </w:rPr>
        <w:t>总体目标：</w:t>
      </w:r>
      <w:bookmarkStart w:id="20" w:name="_Hlk144905852"/>
      <w:r>
        <w:rPr>
          <w:rFonts w:hint="eastAsia" w:cs="仿宋"/>
          <w:szCs w:val="24"/>
        </w:rPr>
        <w:t>为提升全县非煤矿山安全监管信息化水平，规范非煤矿山税费征管，实现非煤矿山安全生产和税收整改深度融合，有效提高资源利用效率，确保安全生产和税收足额入库。</w:t>
      </w:r>
      <w:bookmarkEnd w:id="20"/>
    </w:p>
    <w:p>
      <w:pPr>
        <w:ind w:firstLine="480"/>
        <w:rPr>
          <w:rFonts w:cs="仿宋"/>
          <w:szCs w:val="24"/>
        </w:rPr>
      </w:pPr>
      <w:r>
        <w:rPr>
          <w:rFonts w:hint="eastAsia" w:cs="仿宋"/>
          <w:szCs w:val="24"/>
        </w:rPr>
        <w:t>年度目标：找准全县非煤矿山企业安全监管工作中的重点难点，以强化安全监管措施，实现企业本质安全为出发点，整合资源，实行整体规划，严格标准，统一实施，强化监管。</w:t>
      </w:r>
    </w:p>
    <w:p>
      <w:pPr>
        <w:spacing w:after="312" w:afterLines="100"/>
        <w:ind w:firstLine="480"/>
      </w:pPr>
      <w:r>
        <w:rPr>
          <w:rFonts w:hint="eastAsia" w:cs="仿宋"/>
          <w:szCs w:val="24"/>
        </w:rPr>
        <w:t>根据上述项目年度目标，应急管理局申报的年度预算绩效指标及指标值的具体情况如下：</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2"/>
        <w:gridCol w:w="2224"/>
        <w:gridCol w:w="3532"/>
        <w:gridCol w:w="1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94" w:type="pct"/>
            <w:tcBorders>
              <w:tl2br w:val="nil"/>
              <w:tr2bl w:val="nil"/>
            </w:tcBorders>
            <w:shd w:val="clear" w:color="auto" w:fill="auto"/>
            <w:vAlign w:val="center"/>
          </w:tcPr>
          <w:p>
            <w:pPr>
              <w:widowControl/>
              <w:spacing w:line="240" w:lineRule="auto"/>
              <w:ind w:firstLine="0" w:firstLineChars="0"/>
              <w:jc w:val="center"/>
              <w:rPr>
                <w:rFonts w:ascii="宋体" w:hAnsi="宋体" w:eastAsia="宋体" w:cs="宋体"/>
                <w:color w:val="000000"/>
                <w:kern w:val="0"/>
                <w:sz w:val="18"/>
                <w:szCs w:val="18"/>
              </w:rPr>
            </w:pPr>
            <w:bookmarkStart w:id="21" w:name="_Hlk144923174"/>
            <w:r>
              <w:rPr>
                <w:rFonts w:hint="eastAsia" w:ascii="宋体" w:hAnsi="宋体" w:eastAsia="宋体" w:cs="宋体"/>
                <w:color w:val="000000"/>
                <w:kern w:val="0"/>
                <w:sz w:val="18"/>
                <w:szCs w:val="18"/>
              </w:rPr>
              <w:t>一级指标</w:t>
            </w:r>
          </w:p>
        </w:tc>
        <w:tc>
          <w:tcPr>
            <w:tcW w:w="1306" w:type="pct"/>
            <w:tcBorders>
              <w:tl2br w:val="nil"/>
              <w:tr2bl w:val="nil"/>
            </w:tcBorders>
            <w:shd w:val="clear" w:color="auto" w:fill="auto"/>
            <w:vAlign w:val="center"/>
          </w:tcPr>
          <w:p>
            <w:pPr>
              <w:widowControl/>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二级指标</w:t>
            </w:r>
          </w:p>
        </w:tc>
        <w:tc>
          <w:tcPr>
            <w:tcW w:w="2074" w:type="pct"/>
            <w:tcBorders>
              <w:tl2br w:val="nil"/>
              <w:tr2bl w:val="nil"/>
            </w:tcBorders>
            <w:shd w:val="clear" w:color="auto" w:fill="auto"/>
            <w:vAlign w:val="center"/>
          </w:tcPr>
          <w:p>
            <w:pPr>
              <w:widowControl/>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三级指标</w:t>
            </w:r>
          </w:p>
        </w:tc>
        <w:tc>
          <w:tcPr>
            <w:tcW w:w="826" w:type="pct"/>
            <w:tcBorders>
              <w:tl2br w:val="nil"/>
              <w:tr2bl w:val="nil"/>
            </w:tcBorders>
            <w:shd w:val="clear" w:color="auto" w:fill="auto"/>
            <w:vAlign w:val="center"/>
          </w:tcPr>
          <w:p>
            <w:pPr>
              <w:widowControl/>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94" w:type="pct"/>
            <w:vMerge w:val="restart"/>
            <w:tcBorders>
              <w:tl2br w:val="nil"/>
              <w:tr2bl w:val="nil"/>
            </w:tcBorders>
            <w:shd w:val="clear" w:color="auto" w:fill="auto"/>
            <w:vAlign w:val="center"/>
          </w:tcPr>
          <w:p>
            <w:pPr>
              <w:widowControl/>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产出指标</w:t>
            </w:r>
          </w:p>
        </w:tc>
        <w:tc>
          <w:tcPr>
            <w:tcW w:w="1306" w:type="pct"/>
            <w:vMerge w:val="restart"/>
            <w:tcBorders>
              <w:tl2br w:val="nil"/>
              <w:tr2bl w:val="nil"/>
            </w:tcBorders>
            <w:shd w:val="clear" w:color="auto" w:fill="auto"/>
            <w:vAlign w:val="center"/>
          </w:tcPr>
          <w:p>
            <w:pPr>
              <w:widowControl/>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数量指标</w:t>
            </w:r>
          </w:p>
        </w:tc>
        <w:tc>
          <w:tcPr>
            <w:tcW w:w="2074" w:type="pct"/>
            <w:tcBorders>
              <w:tl2br w:val="nil"/>
              <w:tr2bl w:val="nil"/>
            </w:tcBorders>
            <w:shd w:val="clear" w:color="auto" w:fill="auto"/>
            <w:vAlign w:val="center"/>
          </w:tcPr>
          <w:p>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非煤矿山信息化平台企业端建设数</w:t>
            </w:r>
          </w:p>
        </w:tc>
        <w:tc>
          <w:tcPr>
            <w:tcW w:w="826" w:type="pct"/>
            <w:tcBorders>
              <w:tl2br w:val="nil"/>
              <w:tr2bl w:val="nil"/>
            </w:tcBorders>
            <w:shd w:val="clear" w:color="auto" w:fill="auto"/>
            <w:vAlign w:val="center"/>
          </w:tcPr>
          <w:p>
            <w:pPr>
              <w:widowControl/>
              <w:spacing w:line="240" w:lineRule="auto"/>
              <w:ind w:firstLine="360"/>
              <w:rPr>
                <w:rFonts w:ascii="宋体" w:hAnsi="宋体" w:eastAsia="宋体" w:cs="宋体"/>
                <w:color w:val="000000"/>
                <w:kern w:val="0"/>
                <w:sz w:val="18"/>
                <w:szCs w:val="18"/>
              </w:rPr>
            </w:pPr>
            <w:r>
              <w:rPr>
                <w:rFonts w:hint="eastAsia" w:ascii="宋体" w:hAnsi="宋体" w:eastAsia="宋体" w:cs="宋体"/>
                <w:color w:val="000000"/>
                <w:kern w:val="0"/>
                <w:sz w:val="18"/>
                <w:szCs w:val="18"/>
              </w:rPr>
              <w:t>≥20户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94" w:type="pct"/>
            <w:vMerge w:val="continue"/>
            <w:tcBorders>
              <w:tl2br w:val="nil"/>
              <w:tr2bl w:val="nil"/>
            </w:tcBorders>
            <w:shd w:val="clear" w:color="auto" w:fill="auto"/>
            <w:vAlign w:val="center"/>
          </w:tcPr>
          <w:p>
            <w:pPr>
              <w:widowControl/>
              <w:spacing w:line="240" w:lineRule="auto"/>
              <w:ind w:firstLine="0" w:firstLineChars="0"/>
              <w:jc w:val="center"/>
              <w:rPr>
                <w:rFonts w:ascii="宋体" w:hAnsi="宋体" w:eastAsia="宋体" w:cs="宋体"/>
                <w:color w:val="000000"/>
                <w:kern w:val="0"/>
                <w:sz w:val="18"/>
                <w:szCs w:val="18"/>
              </w:rPr>
            </w:pPr>
          </w:p>
        </w:tc>
        <w:tc>
          <w:tcPr>
            <w:tcW w:w="1306" w:type="pct"/>
            <w:vMerge w:val="continue"/>
            <w:tcBorders>
              <w:tl2br w:val="nil"/>
              <w:tr2bl w:val="nil"/>
            </w:tcBorders>
            <w:shd w:val="clear" w:color="auto" w:fill="auto"/>
            <w:vAlign w:val="center"/>
          </w:tcPr>
          <w:p>
            <w:pPr>
              <w:widowControl/>
              <w:spacing w:line="240" w:lineRule="auto"/>
              <w:ind w:firstLine="0" w:firstLineChars="0"/>
              <w:jc w:val="center"/>
              <w:rPr>
                <w:rFonts w:ascii="宋体" w:hAnsi="宋体" w:eastAsia="宋体" w:cs="宋体"/>
                <w:color w:val="000000"/>
                <w:kern w:val="0"/>
                <w:sz w:val="18"/>
                <w:szCs w:val="18"/>
              </w:rPr>
            </w:pPr>
          </w:p>
        </w:tc>
        <w:tc>
          <w:tcPr>
            <w:tcW w:w="2074" w:type="pct"/>
            <w:tcBorders>
              <w:tl2br w:val="nil"/>
              <w:tr2bl w:val="nil"/>
            </w:tcBorders>
            <w:shd w:val="clear" w:color="auto" w:fill="auto"/>
            <w:vAlign w:val="center"/>
          </w:tcPr>
          <w:p>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中心平台建设数</w:t>
            </w:r>
          </w:p>
        </w:tc>
        <w:tc>
          <w:tcPr>
            <w:tcW w:w="826" w:type="pct"/>
            <w:tcBorders>
              <w:tl2br w:val="nil"/>
              <w:tr2bl w:val="nil"/>
            </w:tcBorders>
            <w:shd w:val="clear" w:color="auto" w:fill="auto"/>
            <w:vAlign w:val="center"/>
          </w:tcPr>
          <w:p>
            <w:pPr>
              <w:widowControl/>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94" w:type="pct"/>
            <w:vMerge w:val="continue"/>
            <w:tcBorders>
              <w:tl2br w:val="nil"/>
              <w:tr2bl w:val="nil"/>
            </w:tcBorders>
            <w:shd w:val="clear" w:color="auto" w:fill="auto"/>
            <w:vAlign w:val="center"/>
          </w:tcPr>
          <w:p>
            <w:pPr>
              <w:widowControl/>
              <w:spacing w:line="240" w:lineRule="auto"/>
              <w:ind w:firstLine="0" w:firstLineChars="0"/>
              <w:jc w:val="center"/>
              <w:rPr>
                <w:rFonts w:ascii="宋体" w:hAnsi="宋体" w:eastAsia="宋体" w:cs="宋体"/>
                <w:color w:val="000000"/>
                <w:kern w:val="0"/>
                <w:sz w:val="18"/>
                <w:szCs w:val="18"/>
              </w:rPr>
            </w:pPr>
          </w:p>
        </w:tc>
        <w:tc>
          <w:tcPr>
            <w:tcW w:w="1306" w:type="pct"/>
            <w:tcBorders>
              <w:tl2br w:val="nil"/>
              <w:tr2bl w:val="nil"/>
            </w:tcBorders>
            <w:shd w:val="clear" w:color="auto" w:fill="auto"/>
            <w:vAlign w:val="center"/>
          </w:tcPr>
          <w:p>
            <w:pPr>
              <w:widowControl/>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质量指标</w:t>
            </w:r>
          </w:p>
        </w:tc>
        <w:tc>
          <w:tcPr>
            <w:tcW w:w="2074" w:type="pct"/>
            <w:tcBorders>
              <w:tl2br w:val="nil"/>
              <w:tr2bl w:val="nil"/>
            </w:tcBorders>
            <w:shd w:val="clear" w:color="auto" w:fill="auto"/>
            <w:vAlign w:val="center"/>
          </w:tcPr>
          <w:p>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信息化平台运行故障率</w:t>
            </w:r>
          </w:p>
        </w:tc>
        <w:tc>
          <w:tcPr>
            <w:tcW w:w="826" w:type="pct"/>
            <w:tcBorders>
              <w:tl2br w:val="nil"/>
              <w:tr2bl w:val="nil"/>
            </w:tcBorders>
            <w:shd w:val="clear" w:color="auto" w:fill="auto"/>
            <w:vAlign w:val="center"/>
          </w:tcPr>
          <w:p>
            <w:pPr>
              <w:widowControl/>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94" w:type="pct"/>
            <w:vMerge w:val="continue"/>
            <w:tcBorders>
              <w:tl2br w:val="nil"/>
              <w:tr2bl w:val="nil"/>
            </w:tcBorders>
            <w:shd w:val="clear" w:color="auto" w:fill="auto"/>
            <w:vAlign w:val="center"/>
          </w:tcPr>
          <w:p>
            <w:pPr>
              <w:widowControl/>
              <w:spacing w:line="240" w:lineRule="auto"/>
              <w:ind w:firstLine="0" w:firstLineChars="0"/>
              <w:jc w:val="center"/>
              <w:rPr>
                <w:rFonts w:ascii="宋体" w:hAnsi="宋体" w:eastAsia="宋体" w:cs="宋体"/>
                <w:color w:val="000000"/>
                <w:kern w:val="0"/>
                <w:sz w:val="18"/>
                <w:szCs w:val="18"/>
              </w:rPr>
            </w:pPr>
          </w:p>
        </w:tc>
        <w:tc>
          <w:tcPr>
            <w:tcW w:w="1306" w:type="pct"/>
            <w:tcBorders>
              <w:tl2br w:val="nil"/>
              <w:tr2bl w:val="nil"/>
            </w:tcBorders>
            <w:shd w:val="clear" w:color="auto" w:fill="auto"/>
            <w:vAlign w:val="center"/>
          </w:tcPr>
          <w:p>
            <w:pPr>
              <w:widowControl/>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时效指标</w:t>
            </w:r>
          </w:p>
        </w:tc>
        <w:tc>
          <w:tcPr>
            <w:tcW w:w="2074" w:type="pct"/>
            <w:tcBorders>
              <w:tl2br w:val="nil"/>
              <w:tr2bl w:val="nil"/>
            </w:tcBorders>
            <w:shd w:val="clear" w:color="auto" w:fill="auto"/>
            <w:vAlign w:val="center"/>
          </w:tcPr>
          <w:p>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设备部署及时率</w:t>
            </w:r>
          </w:p>
        </w:tc>
        <w:tc>
          <w:tcPr>
            <w:tcW w:w="826" w:type="pct"/>
            <w:tcBorders>
              <w:tl2br w:val="nil"/>
              <w:tr2bl w:val="nil"/>
            </w:tcBorders>
            <w:shd w:val="clear" w:color="auto" w:fill="auto"/>
            <w:vAlign w:val="center"/>
          </w:tcPr>
          <w:p>
            <w:pPr>
              <w:widowControl/>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94" w:type="pct"/>
            <w:vMerge w:val="restart"/>
            <w:tcBorders>
              <w:tl2br w:val="nil"/>
              <w:tr2bl w:val="nil"/>
            </w:tcBorders>
            <w:shd w:val="clear" w:color="auto" w:fill="auto"/>
            <w:vAlign w:val="center"/>
          </w:tcPr>
          <w:p>
            <w:pPr>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效益指标</w:t>
            </w:r>
          </w:p>
        </w:tc>
        <w:tc>
          <w:tcPr>
            <w:tcW w:w="1306" w:type="pct"/>
            <w:tcBorders>
              <w:tl2br w:val="nil"/>
              <w:tr2bl w:val="nil"/>
            </w:tcBorders>
            <w:shd w:val="clear" w:color="auto" w:fill="auto"/>
            <w:vAlign w:val="center"/>
          </w:tcPr>
          <w:p>
            <w:pPr>
              <w:widowControl/>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经济效益指标</w:t>
            </w:r>
          </w:p>
        </w:tc>
        <w:tc>
          <w:tcPr>
            <w:tcW w:w="2074" w:type="pct"/>
            <w:tcBorders>
              <w:tl2br w:val="nil"/>
              <w:tr2bl w:val="nil"/>
            </w:tcBorders>
            <w:shd w:val="clear" w:color="auto" w:fill="auto"/>
            <w:vAlign w:val="center"/>
          </w:tcPr>
          <w:p>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网络信息费用</w:t>
            </w:r>
          </w:p>
        </w:tc>
        <w:tc>
          <w:tcPr>
            <w:tcW w:w="826" w:type="pct"/>
            <w:tcBorders>
              <w:tl2br w:val="nil"/>
              <w:tr2bl w:val="nil"/>
            </w:tcBorders>
            <w:shd w:val="clear" w:color="auto" w:fill="auto"/>
            <w:vAlign w:val="center"/>
          </w:tcPr>
          <w:p>
            <w:pPr>
              <w:widowControl/>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94" w:type="pct"/>
            <w:vMerge w:val="continue"/>
            <w:tcBorders>
              <w:tl2br w:val="nil"/>
              <w:tr2bl w:val="nil"/>
            </w:tcBorders>
            <w:shd w:val="clear" w:color="auto" w:fill="auto"/>
            <w:vAlign w:val="center"/>
          </w:tcPr>
          <w:p>
            <w:pPr>
              <w:widowControl/>
              <w:spacing w:line="240" w:lineRule="auto"/>
              <w:ind w:firstLine="0" w:firstLineChars="0"/>
              <w:jc w:val="center"/>
              <w:rPr>
                <w:rFonts w:ascii="宋体" w:hAnsi="宋体" w:eastAsia="宋体" w:cs="宋体"/>
                <w:color w:val="000000"/>
                <w:kern w:val="0"/>
                <w:sz w:val="18"/>
                <w:szCs w:val="18"/>
              </w:rPr>
            </w:pPr>
          </w:p>
        </w:tc>
        <w:tc>
          <w:tcPr>
            <w:tcW w:w="1306" w:type="pct"/>
            <w:tcBorders>
              <w:tl2br w:val="nil"/>
              <w:tr2bl w:val="nil"/>
            </w:tcBorders>
            <w:shd w:val="clear" w:color="auto" w:fill="auto"/>
            <w:vAlign w:val="center"/>
          </w:tcPr>
          <w:p>
            <w:pPr>
              <w:widowControl/>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可持续性影响指标</w:t>
            </w:r>
          </w:p>
        </w:tc>
        <w:tc>
          <w:tcPr>
            <w:tcW w:w="2074" w:type="pct"/>
            <w:tcBorders>
              <w:tl2br w:val="nil"/>
              <w:tr2bl w:val="nil"/>
            </w:tcBorders>
            <w:shd w:val="clear" w:color="auto" w:fill="auto"/>
            <w:vAlign w:val="center"/>
          </w:tcPr>
          <w:p>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系统全年正常运行时长</w:t>
            </w:r>
          </w:p>
        </w:tc>
        <w:tc>
          <w:tcPr>
            <w:tcW w:w="826" w:type="pct"/>
            <w:tcBorders>
              <w:tl2br w:val="nil"/>
              <w:tr2bl w:val="nil"/>
            </w:tcBorders>
            <w:shd w:val="clear" w:color="auto" w:fill="auto"/>
            <w:vAlign w:val="center"/>
          </w:tcPr>
          <w:p>
            <w:pPr>
              <w:widowControl/>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≥3000小时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94" w:type="pct"/>
            <w:tcBorders>
              <w:tl2br w:val="nil"/>
              <w:tr2bl w:val="nil"/>
            </w:tcBorders>
            <w:vAlign w:val="center"/>
          </w:tcPr>
          <w:p>
            <w:pPr>
              <w:widowControl/>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满意度指标</w:t>
            </w:r>
          </w:p>
        </w:tc>
        <w:tc>
          <w:tcPr>
            <w:tcW w:w="1306" w:type="pct"/>
            <w:tcBorders>
              <w:tl2br w:val="nil"/>
              <w:tr2bl w:val="nil"/>
            </w:tcBorders>
            <w:shd w:val="clear" w:color="auto" w:fill="auto"/>
            <w:vAlign w:val="center"/>
          </w:tcPr>
          <w:p>
            <w:pPr>
              <w:widowControl/>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服务对象满意度指标</w:t>
            </w:r>
          </w:p>
        </w:tc>
        <w:tc>
          <w:tcPr>
            <w:tcW w:w="2074" w:type="pct"/>
            <w:tcBorders>
              <w:tl2br w:val="nil"/>
              <w:tr2bl w:val="nil"/>
            </w:tcBorders>
            <w:shd w:val="clear" w:color="auto" w:fill="auto"/>
            <w:vAlign w:val="center"/>
          </w:tcPr>
          <w:p>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使用人员满意度</w:t>
            </w:r>
          </w:p>
        </w:tc>
        <w:tc>
          <w:tcPr>
            <w:tcW w:w="826" w:type="pct"/>
            <w:tcBorders>
              <w:tl2br w:val="nil"/>
              <w:tr2bl w:val="nil"/>
            </w:tcBorders>
            <w:shd w:val="clear" w:color="auto" w:fill="auto"/>
            <w:vAlign w:val="center"/>
          </w:tcPr>
          <w:p>
            <w:pPr>
              <w:widowControl/>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≥85%</w:t>
            </w:r>
          </w:p>
        </w:tc>
      </w:tr>
      <w:bookmarkEnd w:id="21"/>
    </w:tbl>
    <w:p>
      <w:pPr>
        <w:ind w:firstLine="480"/>
      </w:pPr>
      <w:r>
        <w:rPr>
          <w:rFonts w:hint="eastAsia"/>
        </w:rPr>
        <w:t>根据应急管理局提供的预算绩效目标申报表，存在申报表</w:t>
      </w:r>
      <w:bookmarkStart w:id="22" w:name="_Hlk144916459"/>
      <w:r>
        <w:rPr>
          <w:rFonts w:hint="eastAsia"/>
        </w:rPr>
        <w:t>填列不规范完整，设定的年度目标未清晰表述在项目总体目标下年度工作内容和数量，未充分、恰当描述项目的主要内容；设定的绩效指标不充分全面，</w:t>
      </w:r>
      <w:bookmarkStart w:id="23" w:name="_Hlk144979236"/>
      <w:r>
        <w:rPr>
          <w:rFonts w:hint="eastAsia"/>
        </w:rPr>
        <w:t>未选取最能体现项目绩效目标实现程度和项目实施部门职能履职情况的关键的、核心的绩效指标；设定的三级指标未通过清晰、可衡量的指标及指标值细化、量化并分解项目总体目标，产出指标性质界定不清晰明确</w:t>
      </w:r>
      <w:bookmarkEnd w:id="23"/>
      <w:r>
        <w:rPr>
          <w:rFonts w:hint="eastAsia"/>
        </w:rPr>
        <w:t>。</w:t>
      </w:r>
      <w:bookmarkEnd w:id="19"/>
      <w:bookmarkEnd w:id="22"/>
    </w:p>
    <w:p>
      <w:pPr>
        <w:ind w:firstLine="480"/>
      </w:pPr>
      <w:r>
        <w:rPr>
          <w:rFonts w:hint="eastAsia"/>
        </w:rPr>
        <w:t>根据上述情况，绩效评价组在与应急管理局充分沟通一致后，根据项目具体实施内容，结合项目设定的背景、目的及依据等，将项目个性指标及指标值设定如下</w:t>
      </w:r>
      <w:r>
        <w:t>：</w:t>
      </w:r>
    </w:p>
    <w:tbl>
      <w:tblPr>
        <w:tblStyle w:val="7"/>
        <w:tblW w:w="8520" w:type="dxa"/>
        <w:tblInd w:w="0" w:type="dxa"/>
        <w:tblLayout w:type="fixed"/>
        <w:tblCellMar>
          <w:top w:w="0" w:type="dxa"/>
          <w:left w:w="0" w:type="dxa"/>
          <w:bottom w:w="0" w:type="dxa"/>
          <w:right w:w="0" w:type="dxa"/>
        </w:tblCellMar>
      </w:tblPr>
      <w:tblGrid>
        <w:gridCol w:w="1128"/>
        <w:gridCol w:w="1933"/>
        <w:gridCol w:w="4325"/>
        <w:gridCol w:w="1134"/>
      </w:tblGrid>
      <w:tr>
        <w:tblPrEx>
          <w:tblCellMar>
            <w:top w:w="0" w:type="dxa"/>
            <w:left w:w="0" w:type="dxa"/>
            <w:bottom w:w="0" w:type="dxa"/>
            <w:right w:w="0" w:type="dxa"/>
          </w:tblCellMar>
        </w:tblPrEx>
        <w:trPr>
          <w:cantSplit/>
          <w:trHeight w:val="272" w:hRule="exact"/>
        </w:trPr>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0" w:firstLineChars="0"/>
              <w:rPr>
                <w:rFonts w:ascii="宋体" w:hAnsi="宋体" w:eastAsia="宋体" w:cs="宋体"/>
                <w:sz w:val="18"/>
                <w:szCs w:val="18"/>
              </w:rPr>
            </w:pPr>
            <w:r>
              <w:rPr>
                <w:rFonts w:hint="eastAsia" w:ascii="宋体" w:hAnsi="宋体" w:eastAsia="宋体" w:cs="宋体"/>
                <w:sz w:val="18"/>
                <w:szCs w:val="18"/>
              </w:rPr>
              <w:t>一级指标</w:t>
            </w: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0" w:firstLineChars="0"/>
              <w:rPr>
                <w:rFonts w:ascii="宋体" w:hAnsi="宋体" w:eastAsia="宋体" w:cs="宋体"/>
                <w:sz w:val="18"/>
                <w:szCs w:val="18"/>
              </w:rPr>
            </w:pPr>
            <w:r>
              <w:rPr>
                <w:rFonts w:hint="eastAsia" w:ascii="宋体" w:hAnsi="宋体" w:eastAsia="宋体" w:cs="宋体"/>
                <w:sz w:val="18"/>
                <w:szCs w:val="18"/>
              </w:rPr>
              <w:t>二级指标</w:t>
            </w:r>
          </w:p>
        </w:tc>
        <w:tc>
          <w:tcPr>
            <w:tcW w:w="4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0" w:firstLineChars="0"/>
              <w:jc w:val="center"/>
              <w:rPr>
                <w:rFonts w:ascii="宋体" w:hAnsi="宋体" w:eastAsia="宋体" w:cs="宋体"/>
                <w:sz w:val="18"/>
                <w:szCs w:val="18"/>
              </w:rPr>
            </w:pPr>
            <w:r>
              <w:rPr>
                <w:rFonts w:hint="eastAsia" w:ascii="宋体" w:hAnsi="宋体" w:eastAsia="宋体" w:cs="宋体"/>
                <w:sz w:val="18"/>
                <w:szCs w:val="18"/>
              </w:rPr>
              <w:t>三级指标</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0" w:firstLineChars="0"/>
              <w:jc w:val="center"/>
              <w:rPr>
                <w:rFonts w:ascii="宋体" w:hAnsi="宋体" w:eastAsia="宋体" w:cs="宋体"/>
                <w:sz w:val="18"/>
                <w:szCs w:val="18"/>
              </w:rPr>
            </w:pPr>
            <w:r>
              <w:rPr>
                <w:rFonts w:hint="eastAsia" w:ascii="宋体" w:hAnsi="宋体" w:eastAsia="宋体" w:cs="宋体"/>
                <w:sz w:val="18"/>
                <w:szCs w:val="18"/>
              </w:rPr>
              <w:t>指标值</w:t>
            </w:r>
          </w:p>
        </w:tc>
      </w:tr>
      <w:tr>
        <w:tblPrEx>
          <w:tblCellMar>
            <w:top w:w="0" w:type="dxa"/>
            <w:left w:w="0" w:type="dxa"/>
            <w:bottom w:w="0" w:type="dxa"/>
            <w:right w:w="0" w:type="dxa"/>
          </w:tblCellMar>
        </w:tblPrEx>
        <w:trPr>
          <w:cantSplit/>
          <w:trHeight w:val="276" w:hRule="exact"/>
        </w:trPr>
        <w:tc>
          <w:tcPr>
            <w:tcW w:w="1128" w:type="dxa"/>
            <w:vMerge w:val="restart"/>
            <w:tcBorders>
              <w:left w:val="single" w:color="000000" w:sz="4" w:space="0"/>
              <w:right w:val="single" w:color="000000" w:sz="4" w:space="0"/>
            </w:tcBorders>
            <w:shd w:val="clear" w:color="auto" w:fill="auto"/>
            <w:noWrap/>
            <w:tcMar>
              <w:top w:w="15" w:type="dxa"/>
              <w:left w:w="15" w:type="dxa"/>
              <w:right w:w="15" w:type="dxa"/>
            </w:tcMar>
            <w:vAlign w:val="center"/>
          </w:tcPr>
          <w:p>
            <w:pPr>
              <w:spacing w:after="240" w:line="240" w:lineRule="auto"/>
              <w:ind w:firstLine="0" w:firstLineChars="0"/>
              <w:jc w:val="center"/>
              <w:rPr>
                <w:rFonts w:ascii="宋体" w:hAnsi="宋体" w:eastAsia="宋体" w:cs="宋体"/>
                <w:sz w:val="18"/>
                <w:szCs w:val="18"/>
              </w:rPr>
            </w:pPr>
            <w:r>
              <w:rPr>
                <w:rFonts w:hint="eastAsia" w:ascii="宋体" w:hAnsi="宋体" w:eastAsia="宋体" w:cs="宋体"/>
                <w:sz w:val="18"/>
                <w:szCs w:val="18"/>
              </w:rPr>
              <w:t>效益指标</w:t>
            </w:r>
          </w:p>
        </w:tc>
        <w:tc>
          <w:tcPr>
            <w:tcW w:w="193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ascii="宋体" w:hAnsi="宋体" w:eastAsia="宋体" w:cs="宋体"/>
                <w:sz w:val="18"/>
                <w:szCs w:val="18"/>
              </w:rPr>
            </w:pPr>
            <w:r>
              <w:rPr>
                <w:rFonts w:hint="eastAsia" w:ascii="宋体" w:hAnsi="宋体" w:eastAsia="宋体" w:cs="宋体"/>
                <w:sz w:val="18"/>
                <w:szCs w:val="18"/>
              </w:rPr>
              <w:t>经济效益指标</w:t>
            </w:r>
          </w:p>
        </w:tc>
        <w:tc>
          <w:tcPr>
            <w:tcW w:w="4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0" w:firstLineChars="0"/>
              <w:jc w:val="left"/>
              <w:rPr>
                <w:rFonts w:ascii="宋体" w:hAnsi="宋体" w:eastAsia="宋体" w:cs="宋体"/>
                <w:sz w:val="18"/>
                <w:szCs w:val="18"/>
              </w:rPr>
            </w:pPr>
            <w:r>
              <w:rPr>
                <w:rFonts w:hint="eastAsia" w:ascii="宋体" w:hAnsi="宋体" w:eastAsia="宋体" w:cs="宋体"/>
                <w:sz w:val="18"/>
                <w:szCs w:val="18"/>
              </w:rPr>
              <w:t>非煤矿山企业税费征收增长率</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0" w:firstLineChars="0"/>
              <w:jc w:val="center"/>
              <w:rPr>
                <w:rFonts w:ascii="宋体" w:hAnsi="宋体" w:eastAsia="宋体" w:cs="宋体"/>
                <w:sz w:val="18"/>
                <w:szCs w:val="18"/>
              </w:rPr>
            </w:pPr>
            <w:r>
              <w:rPr>
                <w:rFonts w:hint="eastAsia" w:ascii="宋体" w:hAnsi="宋体" w:eastAsia="宋体" w:cs="宋体"/>
                <w:sz w:val="18"/>
                <w:szCs w:val="18"/>
              </w:rPr>
              <w:t>≥30%</w:t>
            </w:r>
          </w:p>
        </w:tc>
      </w:tr>
      <w:tr>
        <w:tblPrEx>
          <w:tblCellMar>
            <w:top w:w="0" w:type="dxa"/>
            <w:left w:w="0" w:type="dxa"/>
            <w:bottom w:w="0" w:type="dxa"/>
            <w:right w:w="0" w:type="dxa"/>
          </w:tblCellMar>
        </w:tblPrEx>
        <w:trPr>
          <w:cantSplit/>
          <w:trHeight w:val="280" w:hRule="exact"/>
        </w:trPr>
        <w:tc>
          <w:tcPr>
            <w:tcW w:w="112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spacing w:after="240" w:line="240" w:lineRule="auto"/>
              <w:ind w:firstLine="360"/>
              <w:jc w:val="left"/>
              <w:rPr>
                <w:rFonts w:ascii="宋体" w:hAnsi="宋体" w:eastAsia="宋体" w:cs="宋体"/>
                <w:sz w:val="18"/>
                <w:szCs w:val="18"/>
              </w:rPr>
            </w:pPr>
          </w:p>
        </w:tc>
        <w:tc>
          <w:tcPr>
            <w:tcW w:w="193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360"/>
              <w:jc w:val="center"/>
              <w:rPr>
                <w:rFonts w:ascii="宋体" w:hAnsi="宋体" w:eastAsia="宋体" w:cs="宋体"/>
                <w:sz w:val="18"/>
                <w:szCs w:val="18"/>
              </w:rPr>
            </w:pPr>
          </w:p>
        </w:tc>
        <w:tc>
          <w:tcPr>
            <w:tcW w:w="4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0" w:firstLineChars="0"/>
              <w:jc w:val="left"/>
              <w:rPr>
                <w:rFonts w:ascii="宋体" w:hAnsi="宋体" w:eastAsia="宋体" w:cs="宋体"/>
                <w:sz w:val="18"/>
                <w:szCs w:val="18"/>
              </w:rPr>
            </w:pPr>
            <w:r>
              <w:rPr>
                <w:rFonts w:hint="eastAsia" w:ascii="宋体" w:hAnsi="宋体" w:eastAsia="宋体" w:cs="宋体"/>
                <w:sz w:val="18"/>
                <w:szCs w:val="18"/>
              </w:rPr>
              <w:t>税收跑冒滴漏现象有效遏制率</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0" w:firstLineChars="0"/>
              <w:jc w:val="center"/>
              <w:rPr>
                <w:rFonts w:ascii="宋体" w:hAnsi="宋体" w:eastAsia="宋体" w:cs="宋体"/>
                <w:sz w:val="18"/>
                <w:szCs w:val="18"/>
              </w:rPr>
            </w:pPr>
            <w:r>
              <w:rPr>
                <w:rFonts w:hint="eastAsia" w:ascii="宋体" w:hAnsi="宋体" w:eastAsia="宋体" w:cs="宋体"/>
                <w:sz w:val="18"/>
                <w:szCs w:val="18"/>
              </w:rPr>
              <w:t>100%</w:t>
            </w:r>
          </w:p>
        </w:tc>
      </w:tr>
      <w:tr>
        <w:tblPrEx>
          <w:tblCellMar>
            <w:top w:w="0" w:type="dxa"/>
            <w:left w:w="0" w:type="dxa"/>
            <w:bottom w:w="0" w:type="dxa"/>
            <w:right w:w="0" w:type="dxa"/>
          </w:tblCellMar>
        </w:tblPrEx>
        <w:trPr>
          <w:cantSplit/>
          <w:trHeight w:val="302" w:hRule="exact"/>
        </w:trPr>
        <w:tc>
          <w:tcPr>
            <w:tcW w:w="112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spacing w:after="240" w:line="240" w:lineRule="auto"/>
              <w:ind w:firstLine="360"/>
              <w:jc w:val="left"/>
              <w:rPr>
                <w:rFonts w:ascii="宋体" w:hAnsi="宋体" w:eastAsia="宋体" w:cs="宋体"/>
                <w:sz w:val="18"/>
                <w:szCs w:val="18"/>
              </w:rPr>
            </w:pPr>
          </w:p>
        </w:tc>
        <w:tc>
          <w:tcPr>
            <w:tcW w:w="1933" w:type="dxa"/>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360"/>
              <w:rPr>
                <w:rFonts w:ascii="宋体" w:hAnsi="宋体" w:eastAsia="宋体" w:cs="宋体"/>
                <w:sz w:val="18"/>
                <w:szCs w:val="18"/>
              </w:rPr>
            </w:pPr>
            <w:r>
              <w:rPr>
                <w:rFonts w:hint="eastAsia" w:ascii="宋体" w:hAnsi="宋体" w:eastAsia="宋体" w:cs="宋体"/>
                <w:sz w:val="18"/>
                <w:szCs w:val="18"/>
              </w:rPr>
              <w:t>社会效益指标</w:t>
            </w:r>
          </w:p>
        </w:tc>
        <w:tc>
          <w:tcPr>
            <w:tcW w:w="4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0" w:firstLineChars="0"/>
              <w:jc w:val="left"/>
              <w:rPr>
                <w:rFonts w:ascii="宋体" w:hAnsi="宋体" w:eastAsia="宋体" w:cs="宋体"/>
                <w:sz w:val="18"/>
                <w:szCs w:val="18"/>
              </w:rPr>
            </w:pPr>
            <w:r>
              <w:rPr>
                <w:rFonts w:hint="eastAsia" w:ascii="宋体" w:hAnsi="宋体" w:eastAsia="宋体" w:cs="宋体"/>
                <w:sz w:val="18"/>
                <w:szCs w:val="18"/>
              </w:rPr>
              <w:t>计量监控设备及信息化平台正常运转率</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0" w:firstLineChars="0"/>
              <w:jc w:val="center"/>
              <w:rPr>
                <w:rFonts w:ascii="宋体" w:hAnsi="宋体" w:eastAsia="宋体" w:cs="宋体"/>
                <w:sz w:val="18"/>
                <w:szCs w:val="18"/>
              </w:rPr>
            </w:pPr>
            <w:r>
              <w:rPr>
                <w:rFonts w:hint="eastAsia" w:ascii="宋体" w:hAnsi="宋体" w:eastAsia="宋体" w:cs="宋体"/>
                <w:sz w:val="18"/>
                <w:szCs w:val="18"/>
              </w:rPr>
              <w:t>100%</w:t>
            </w:r>
          </w:p>
        </w:tc>
      </w:tr>
      <w:tr>
        <w:tblPrEx>
          <w:tblCellMar>
            <w:top w:w="0" w:type="dxa"/>
            <w:left w:w="0" w:type="dxa"/>
            <w:bottom w:w="0" w:type="dxa"/>
            <w:right w:w="0" w:type="dxa"/>
          </w:tblCellMar>
        </w:tblPrEx>
        <w:trPr>
          <w:cantSplit/>
          <w:trHeight w:val="278" w:hRule="exact"/>
        </w:trPr>
        <w:tc>
          <w:tcPr>
            <w:tcW w:w="112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spacing w:after="240" w:line="240" w:lineRule="auto"/>
              <w:ind w:firstLine="360"/>
              <w:jc w:val="left"/>
              <w:rPr>
                <w:rFonts w:ascii="宋体" w:hAnsi="宋体" w:eastAsia="宋体" w:cs="宋体"/>
                <w:sz w:val="18"/>
                <w:szCs w:val="18"/>
              </w:rPr>
            </w:pPr>
          </w:p>
        </w:tc>
        <w:tc>
          <w:tcPr>
            <w:tcW w:w="193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360"/>
              <w:jc w:val="center"/>
              <w:rPr>
                <w:rFonts w:ascii="宋体" w:hAnsi="宋体" w:eastAsia="宋体" w:cs="宋体"/>
                <w:sz w:val="18"/>
                <w:szCs w:val="18"/>
              </w:rPr>
            </w:pPr>
          </w:p>
        </w:tc>
        <w:tc>
          <w:tcPr>
            <w:tcW w:w="4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0" w:firstLineChars="0"/>
              <w:jc w:val="left"/>
              <w:rPr>
                <w:rFonts w:ascii="宋体" w:hAnsi="宋体" w:eastAsia="宋体" w:cs="宋体"/>
                <w:sz w:val="18"/>
                <w:szCs w:val="18"/>
              </w:rPr>
            </w:pPr>
            <w:r>
              <w:rPr>
                <w:rFonts w:hint="eastAsia" w:ascii="宋体" w:hAnsi="宋体" w:eastAsia="宋体" w:cs="宋体"/>
                <w:sz w:val="18"/>
                <w:szCs w:val="18"/>
              </w:rPr>
              <w:t>矿区监控覆盖率</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0" w:firstLineChars="0"/>
              <w:jc w:val="center"/>
              <w:rPr>
                <w:rFonts w:ascii="宋体" w:hAnsi="宋体" w:eastAsia="宋体" w:cs="宋体"/>
                <w:sz w:val="18"/>
                <w:szCs w:val="18"/>
              </w:rPr>
            </w:pPr>
            <w:r>
              <w:rPr>
                <w:rFonts w:hint="eastAsia" w:ascii="宋体" w:hAnsi="宋体" w:eastAsia="宋体" w:cs="宋体"/>
                <w:sz w:val="18"/>
                <w:szCs w:val="18"/>
              </w:rPr>
              <w:t>100%</w:t>
            </w:r>
          </w:p>
        </w:tc>
      </w:tr>
      <w:tr>
        <w:tblPrEx>
          <w:tblCellMar>
            <w:top w:w="0" w:type="dxa"/>
            <w:left w:w="0" w:type="dxa"/>
            <w:bottom w:w="0" w:type="dxa"/>
            <w:right w:w="0" w:type="dxa"/>
          </w:tblCellMar>
        </w:tblPrEx>
        <w:trPr>
          <w:cantSplit/>
          <w:trHeight w:val="283" w:hRule="exact"/>
        </w:trPr>
        <w:tc>
          <w:tcPr>
            <w:tcW w:w="112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spacing w:after="240" w:line="240" w:lineRule="auto"/>
              <w:ind w:firstLine="360"/>
              <w:jc w:val="left"/>
              <w:rPr>
                <w:rFonts w:ascii="宋体" w:hAnsi="宋体" w:eastAsia="宋体" w:cs="宋体"/>
                <w:sz w:val="18"/>
                <w:szCs w:val="18"/>
              </w:rPr>
            </w:pPr>
          </w:p>
        </w:tc>
        <w:tc>
          <w:tcPr>
            <w:tcW w:w="193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360"/>
              <w:jc w:val="center"/>
              <w:rPr>
                <w:rFonts w:ascii="宋体" w:hAnsi="宋体" w:eastAsia="宋体" w:cs="宋体"/>
                <w:sz w:val="18"/>
                <w:szCs w:val="18"/>
              </w:rPr>
            </w:pPr>
          </w:p>
        </w:tc>
        <w:tc>
          <w:tcPr>
            <w:tcW w:w="4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0" w:firstLineChars="0"/>
              <w:jc w:val="left"/>
              <w:rPr>
                <w:rFonts w:ascii="宋体" w:hAnsi="宋体" w:eastAsia="宋体" w:cs="宋体"/>
                <w:sz w:val="18"/>
                <w:szCs w:val="18"/>
              </w:rPr>
            </w:pPr>
            <w:r>
              <w:rPr>
                <w:rFonts w:hint="eastAsia" w:ascii="宋体" w:hAnsi="宋体" w:eastAsia="宋体" w:cs="宋体"/>
                <w:sz w:val="18"/>
                <w:szCs w:val="18"/>
              </w:rPr>
              <w:t>平台计量信息处理上报及时率</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0" w:firstLineChars="0"/>
              <w:jc w:val="center"/>
              <w:rPr>
                <w:rFonts w:ascii="宋体" w:hAnsi="宋体" w:eastAsia="宋体" w:cs="宋体"/>
                <w:sz w:val="18"/>
                <w:szCs w:val="18"/>
              </w:rPr>
            </w:pPr>
            <w:r>
              <w:rPr>
                <w:rFonts w:hint="eastAsia" w:ascii="宋体" w:hAnsi="宋体" w:eastAsia="宋体" w:cs="宋体"/>
                <w:sz w:val="18"/>
                <w:szCs w:val="18"/>
              </w:rPr>
              <w:t>100%</w:t>
            </w:r>
          </w:p>
        </w:tc>
      </w:tr>
      <w:tr>
        <w:tblPrEx>
          <w:tblCellMar>
            <w:top w:w="0" w:type="dxa"/>
            <w:left w:w="0" w:type="dxa"/>
            <w:bottom w:w="0" w:type="dxa"/>
            <w:right w:w="0" w:type="dxa"/>
          </w:tblCellMar>
        </w:tblPrEx>
        <w:trPr>
          <w:cantSplit/>
          <w:trHeight w:val="288" w:hRule="exact"/>
        </w:trPr>
        <w:tc>
          <w:tcPr>
            <w:tcW w:w="112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spacing w:after="240" w:line="240" w:lineRule="auto"/>
              <w:ind w:firstLine="360"/>
              <w:jc w:val="left"/>
              <w:rPr>
                <w:rFonts w:ascii="宋体" w:hAnsi="宋体" w:eastAsia="宋体" w:cs="宋体"/>
                <w:sz w:val="18"/>
                <w:szCs w:val="18"/>
              </w:rPr>
            </w:pPr>
          </w:p>
        </w:tc>
        <w:tc>
          <w:tcPr>
            <w:tcW w:w="193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360"/>
              <w:jc w:val="center"/>
              <w:rPr>
                <w:rFonts w:ascii="宋体" w:hAnsi="宋体" w:eastAsia="宋体" w:cs="宋体"/>
                <w:sz w:val="18"/>
                <w:szCs w:val="18"/>
              </w:rPr>
            </w:pPr>
          </w:p>
        </w:tc>
        <w:tc>
          <w:tcPr>
            <w:tcW w:w="4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0" w:firstLineChars="0"/>
              <w:jc w:val="left"/>
              <w:rPr>
                <w:rFonts w:ascii="宋体" w:hAnsi="宋体" w:eastAsia="宋体" w:cs="宋体"/>
                <w:sz w:val="18"/>
                <w:szCs w:val="18"/>
              </w:rPr>
            </w:pPr>
            <w:r>
              <w:rPr>
                <w:rFonts w:hint="eastAsia" w:ascii="宋体" w:hAnsi="宋体" w:eastAsia="宋体" w:cs="宋体"/>
                <w:sz w:val="18"/>
                <w:szCs w:val="18"/>
              </w:rPr>
              <w:t>非煤矿山企业违章、违规问题和安全隐患查处整改率</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0" w:firstLineChars="0"/>
              <w:jc w:val="center"/>
              <w:rPr>
                <w:rFonts w:ascii="宋体" w:hAnsi="宋体" w:eastAsia="宋体" w:cs="宋体"/>
                <w:sz w:val="18"/>
                <w:szCs w:val="18"/>
              </w:rPr>
            </w:pPr>
            <w:r>
              <w:rPr>
                <w:rFonts w:hint="eastAsia" w:ascii="宋体" w:hAnsi="宋体" w:eastAsia="宋体" w:cs="宋体"/>
                <w:sz w:val="18"/>
                <w:szCs w:val="18"/>
              </w:rPr>
              <w:t>100%</w:t>
            </w:r>
          </w:p>
        </w:tc>
      </w:tr>
      <w:tr>
        <w:tblPrEx>
          <w:tblCellMar>
            <w:top w:w="0" w:type="dxa"/>
            <w:left w:w="0" w:type="dxa"/>
            <w:bottom w:w="0" w:type="dxa"/>
            <w:right w:w="0" w:type="dxa"/>
          </w:tblCellMar>
        </w:tblPrEx>
        <w:trPr>
          <w:cantSplit/>
          <w:trHeight w:val="292" w:hRule="exact"/>
        </w:trPr>
        <w:tc>
          <w:tcPr>
            <w:tcW w:w="112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spacing w:after="240" w:line="240" w:lineRule="auto"/>
              <w:ind w:firstLine="360"/>
              <w:jc w:val="left"/>
              <w:rPr>
                <w:rFonts w:ascii="宋体" w:hAnsi="宋体" w:eastAsia="宋体" w:cs="宋体"/>
                <w:sz w:val="18"/>
                <w:szCs w:val="18"/>
              </w:rPr>
            </w:pPr>
          </w:p>
        </w:tc>
        <w:tc>
          <w:tcPr>
            <w:tcW w:w="193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360"/>
              <w:jc w:val="center"/>
              <w:rPr>
                <w:rFonts w:ascii="宋体" w:hAnsi="宋体" w:eastAsia="宋体" w:cs="宋体"/>
                <w:sz w:val="18"/>
                <w:szCs w:val="18"/>
              </w:rPr>
            </w:pPr>
          </w:p>
        </w:tc>
        <w:tc>
          <w:tcPr>
            <w:tcW w:w="4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0" w:firstLineChars="0"/>
              <w:jc w:val="left"/>
              <w:rPr>
                <w:rFonts w:ascii="宋体" w:hAnsi="宋体" w:eastAsia="宋体" w:cs="宋体"/>
                <w:sz w:val="18"/>
                <w:szCs w:val="18"/>
              </w:rPr>
            </w:pPr>
            <w:r>
              <w:rPr>
                <w:rFonts w:hint="eastAsia" w:ascii="宋体" w:hAnsi="宋体" w:eastAsia="宋体" w:cs="宋体"/>
                <w:sz w:val="18"/>
                <w:szCs w:val="18"/>
              </w:rPr>
              <w:t>政府采购执行率</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0" w:firstLineChars="0"/>
              <w:jc w:val="center"/>
              <w:rPr>
                <w:rFonts w:ascii="宋体" w:hAnsi="宋体" w:eastAsia="宋体" w:cs="宋体"/>
                <w:sz w:val="18"/>
                <w:szCs w:val="18"/>
              </w:rPr>
            </w:pPr>
            <w:r>
              <w:rPr>
                <w:rFonts w:hint="eastAsia" w:ascii="宋体" w:hAnsi="宋体" w:eastAsia="宋体" w:cs="宋体"/>
                <w:sz w:val="18"/>
                <w:szCs w:val="18"/>
              </w:rPr>
              <w:t>100%</w:t>
            </w:r>
          </w:p>
        </w:tc>
      </w:tr>
      <w:tr>
        <w:tblPrEx>
          <w:tblCellMar>
            <w:top w:w="0" w:type="dxa"/>
            <w:left w:w="0" w:type="dxa"/>
            <w:bottom w:w="0" w:type="dxa"/>
            <w:right w:w="0" w:type="dxa"/>
          </w:tblCellMar>
        </w:tblPrEx>
        <w:trPr>
          <w:cantSplit/>
          <w:trHeight w:val="282" w:hRule="exact"/>
        </w:trPr>
        <w:tc>
          <w:tcPr>
            <w:tcW w:w="112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spacing w:after="240" w:line="240" w:lineRule="auto"/>
              <w:ind w:firstLine="360"/>
              <w:jc w:val="left"/>
              <w:rPr>
                <w:rFonts w:ascii="宋体" w:hAnsi="宋体" w:eastAsia="宋体" w:cs="宋体"/>
                <w:sz w:val="18"/>
                <w:szCs w:val="18"/>
              </w:rPr>
            </w:pPr>
          </w:p>
        </w:tc>
        <w:tc>
          <w:tcPr>
            <w:tcW w:w="193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360"/>
              <w:jc w:val="center"/>
              <w:rPr>
                <w:rFonts w:ascii="宋体" w:hAnsi="宋体" w:eastAsia="宋体" w:cs="宋体"/>
                <w:sz w:val="18"/>
                <w:szCs w:val="18"/>
              </w:rPr>
            </w:pPr>
          </w:p>
        </w:tc>
        <w:tc>
          <w:tcPr>
            <w:tcW w:w="4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0" w:firstLineChars="0"/>
              <w:jc w:val="left"/>
              <w:rPr>
                <w:rFonts w:ascii="宋体" w:hAnsi="宋体" w:eastAsia="宋体" w:cs="宋体"/>
                <w:sz w:val="18"/>
                <w:szCs w:val="18"/>
              </w:rPr>
            </w:pPr>
            <w:r>
              <w:rPr>
                <w:rFonts w:hint="eastAsia" w:ascii="宋体" w:hAnsi="宋体" w:eastAsia="宋体" w:cs="宋体"/>
                <w:sz w:val="18"/>
                <w:szCs w:val="18"/>
              </w:rPr>
              <w:t>非煤矿山应急事故预警准确率</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0" w:firstLineChars="0"/>
              <w:jc w:val="center"/>
              <w:rPr>
                <w:rFonts w:ascii="宋体" w:hAnsi="宋体" w:eastAsia="宋体" w:cs="宋体"/>
                <w:sz w:val="18"/>
                <w:szCs w:val="18"/>
              </w:rPr>
            </w:pPr>
            <w:r>
              <w:rPr>
                <w:rFonts w:hint="eastAsia" w:ascii="宋体" w:hAnsi="宋体" w:eastAsia="宋体" w:cs="宋体"/>
                <w:sz w:val="18"/>
                <w:szCs w:val="18"/>
              </w:rPr>
              <w:t>100%</w:t>
            </w:r>
          </w:p>
        </w:tc>
      </w:tr>
      <w:tr>
        <w:tblPrEx>
          <w:tblCellMar>
            <w:top w:w="0" w:type="dxa"/>
            <w:left w:w="0" w:type="dxa"/>
            <w:bottom w:w="0" w:type="dxa"/>
            <w:right w:w="0" w:type="dxa"/>
          </w:tblCellMar>
        </w:tblPrEx>
        <w:trPr>
          <w:cantSplit/>
          <w:trHeight w:val="335" w:hRule="exact"/>
        </w:trPr>
        <w:tc>
          <w:tcPr>
            <w:tcW w:w="112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spacing w:after="240" w:line="240" w:lineRule="auto"/>
              <w:ind w:firstLine="360"/>
              <w:jc w:val="left"/>
              <w:rPr>
                <w:rFonts w:ascii="宋体" w:hAnsi="宋体" w:eastAsia="宋体" w:cs="宋体"/>
                <w:sz w:val="18"/>
                <w:szCs w:val="18"/>
              </w:rPr>
            </w:pPr>
          </w:p>
        </w:tc>
        <w:tc>
          <w:tcPr>
            <w:tcW w:w="1933"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ascii="宋体" w:hAnsi="宋体" w:eastAsia="宋体" w:cs="宋体"/>
                <w:sz w:val="18"/>
                <w:szCs w:val="18"/>
              </w:rPr>
            </w:pPr>
            <w:r>
              <w:rPr>
                <w:rFonts w:hint="eastAsia" w:ascii="宋体" w:hAnsi="宋体" w:eastAsia="宋体" w:cs="宋体"/>
                <w:sz w:val="18"/>
                <w:szCs w:val="18"/>
              </w:rPr>
              <w:t>生态效益指标</w:t>
            </w:r>
          </w:p>
        </w:tc>
        <w:tc>
          <w:tcPr>
            <w:tcW w:w="4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0" w:firstLineChars="0"/>
              <w:jc w:val="left"/>
              <w:rPr>
                <w:rFonts w:ascii="宋体" w:hAnsi="宋体" w:eastAsia="宋体" w:cs="宋体"/>
                <w:sz w:val="18"/>
                <w:szCs w:val="18"/>
              </w:rPr>
            </w:pPr>
            <w:r>
              <w:rPr>
                <w:rFonts w:hint="eastAsia" w:ascii="宋体" w:hAnsi="宋体" w:eastAsia="宋体" w:cs="宋体"/>
                <w:sz w:val="18"/>
                <w:szCs w:val="18"/>
              </w:rPr>
              <w:t>矿山地质灾害监测覆盖率</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0" w:firstLineChars="0"/>
              <w:jc w:val="center"/>
              <w:rPr>
                <w:rFonts w:ascii="宋体" w:hAnsi="宋体" w:eastAsia="宋体" w:cs="宋体"/>
                <w:sz w:val="18"/>
                <w:szCs w:val="18"/>
              </w:rPr>
            </w:pPr>
            <w:r>
              <w:rPr>
                <w:rFonts w:hint="eastAsia" w:ascii="宋体" w:hAnsi="宋体" w:eastAsia="宋体" w:cs="宋体"/>
                <w:sz w:val="18"/>
                <w:szCs w:val="18"/>
              </w:rPr>
              <w:t>100%</w:t>
            </w:r>
          </w:p>
        </w:tc>
      </w:tr>
      <w:tr>
        <w:tblPrEx>
          <w:tblCellMar>
            <w:top w:w="0" w:type="dxa"/>
            <w:left w:w="0" w:type="dxa"/>
            <w:bottom w:w="0" w:type="dxa"/>
            <w:right w:w="0" w:type="dxa"/>
          </w:tblCellMar>
        </w:tblPrEx>
        <w:trPr>
          <w:cantSplit/>
          <w:trHeight w:val="294" w:hRule="exact"/>
        </w:trPr>
        <w:tc>
          <w:tcPr>
            <w:tcW w:w="112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spacing w:after="240" w:line="240" w:lineRule="auto"/>
              <w:ind w:firstLine="360"/>
              <w:jc w:val="left"/>
              <w:rPr>
                <w:rFonts w:ascii="宋体" w:hAnsi="宋体" w:eastAsia="宋体" w:cs="宋体"/>
                <w:sz w:val="18"/>
                <w:szCs w:val="18"/>
              </w:rPr>
            </w:pPr>
          </w:p>
        </w:tc>
        <w:tc>
          <w:tcPr>
            <w:tcW w:w="1933"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ascii="宋体" w:hAnsi="宋体" w:eastAsia="宋体" w:cs="宋体"/>
                <w:sz w:val="18"/>
                <w:szCs w:val="18"/>
              </w:rPr>
            </w:pPr>
            <w:r>
              <w:rPr>
                <w:rFonts w:hint="eastAsia" w:ascii="宋体" w:hAnsi="宋体" w:eastAsia="宋体" w:cs="宋体"/>
                <w:sz w:val="18"/>
                <w:szCs w:val="18"/>
              </w:rPr>
              <w:t>可持续性指标</w:t>
            </w:r>
          </w:p>
        </w:tc>
        <w:tc>
          <w:tcPr>
            <w:tcW w:w="432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0" w:firstLineChars="0"/>
              <w:jc w:val="left"/>
              <w:rPr>
                <w:rFonts w:ascii="宋体" w:hAnsi="宋体" w:eastAsia="宋体" w:cs="宋体"/>
                <w:sz w:val="18"/>
                <w:szCs w:val="18"/>
              </w:rPr>
            </w:pPr>
            <w:r>
              <w:rPr>
                <w:rFonts w:hint="eastAsia" w:ascii="宋体" w:hAnsi="宋体" w:eastAsia="宋体" w:cs="宋体"/>
                <w:sz w:val="18"/>
                <w:szCs w:val="18"/>
              </w:rPr>
              <w:t>安全生产信息化平台监控常态化、制度化和规范化</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0" w:firstLineChars="0"/>
              <w:jc w:val="center"/>
              <w:rPr>
                <w:rFonts w:ascii="宋体" w:hAnsi="宋体" w:eastAsia="宋体" w:cs="宋体"/>
                <w:sz w:val="18"/>
                <w:szCs w:val="18"/>
              </w:rPr>
            </w:pPr>
            <w:r>
              <w:rPr>
                <w:rFonts w:hint="eastAsia" w:ascii="宋体" w:hAnsi="宋体" w:eastAsia="宋体" w:cs="宋体"/>
                <w:sz w:val="18"/>
                <w:szCs w:val="18"/>
              </w:rPr>
              <w:t>≥5年</w:t>
            </w:r>
          </w:p>
        </w:tc>
      </w:tr>
      <w:tr>
        <w:tblPrEx>
          <w:tblCellMar>
            <w:top w:w="0" w:type="dxa"/>
            <w:left w:w="0" w:type="dxa"/>
            <w:bottom w:w="0" w:type="dxa"/>
            <w:right w:w="0" w:type="dxa"/>
          </w:tblCellMar>
        </w:tblPrEx>
        <w:trPr>
          <w:cantSplit/>
          <w:trHeight w:val="284" w:hRule="exact"/>
        </w:trPr>
        <w:tc>
          <w:tcPr>
            <w:tcW w:w="112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360"/>
              <w:jc w:val="center"/>
              <w:rPr>
                <w:rFonts w:ascii="宋体" w:hAnsi="宋体" w:eastAsia="宋体" w:cs="宋体"/>
                <w:sz w:val="18"/>
                <w:szCs w:val="18"/>
              </w:rPr>
            </w:pPr>
          </w:p>
        </w:tc>
        <w:tc>
          <w:tcPr>
            <w:tcW w:w="1933"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ascii="宋体" w:hAnsi="宋体" w:eastAsia="宋体" w:cs="宋体"/>
                <w:sz w:val="18"/>
                <w:szCs w:val="18"/>
              </w:rPr>
            </w:pPr>
            <w:r>
              <w:rPr>
                <w:rFonts w:hint="eastAsia" w:ascii="宋体" w:hAnsi="宋体" w:eastAsia="宋体" w:cs="宋体"/>
                <w:sz w:val="18"/>
                <w:szCs w:val="18"/>
              </w:rPr>
              <w:t>满意度指标</w:t>
            </w:r>
          </w:p>
        </w:tc>
        <w:tc>
          <w:tcPr>
            <w:tcW w:w="432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0" w:firstLineChars="0"/>
              <w:jc w:val="left"/>
              <w:rPr>
                <w:rFonts w:ascii="宋体" w:hAnsi="宋体" w:eastAsia="宋体" w:cs="宋体"/>
                <w:sz w:val="18"/>
                <w:szCs w:val="18"/>
              </w:rPr>
            </w:pPr>
            <w:r>
              <w:rPr>
                <w:rFonts w:hint="eastAsia" w:ascii="宋体" w:hAnsi="宋体" w:eastAsia="宋体" w:cs="宋体"/>
                <w:sz w:val="18"/>
                <w:szCs w:val="18"/>
              </w:rPr>
              <w:t>社会公众满意度</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0" w:firstLineChars="0"/>
              <w:jc w:val="center"/>
              <w:rPr>
                <w:rFonts w:ascii="宋体" w:hAnsi="宋体" w:eastAsia="宋体" w:cs="宋体"/>
                <w:sz w:val="18"/>
                <w:szCs w:val="18"/>
              </w:rPr>
            </w:pPr>
            <w:r>
              <w:rPr>
                <w:rFonts w:hint="eastAsia" w:ascii="宋体" w:hAnsi="宋体" w:eastAsia="宋体" w:cs="宋体"/>
                <w:sz w:val="18"/>
                <w:szCs w:val="18"/>
              </w:rPr>
              <w:t>≥90%</w:t>
            </w:r>
          </w:p>
        </w:tc>
      </w:tr>
    </w:tbl>
    <w:p>
      <w:pPr>
        <w:spacing w:before="312" w:beforeLines="100"/>
        <w:ind w:firstLine="480"/>
        <w:rPr>
          <w:rFonts w:ascii="楷体" w:hAnsi="楷体" w:eastAsia="楷体" w:cs="楷体"/>
          <w:color w:val="FF0000"/>
          <w:szCs w:val="24"/>
        </w:rPr>
      </w:pPr>
      <w:bookmarkStart w:id="24" w:name="_Toc502134853"/>
      <w:r>
        <w:rPr>
          <w:rFonts w:hint="eastAsia" w:ascii="楷体" w:hAnsi="楷体" w:eastAsia="楷体" w:cs="楷体"/>
          <w:szCs w:val="24"/>
        </w:rPr>
        <w:t>(五)组织管理情况</w:t>
      </w:r>
      <w:bookmarkEnd w:id="24"/>
    </w:p>
    <w:p>
      <w:pPr>
        <w:ind w:firstLine="480"/>
      </w:pPr>
      <w:r>
        <w:rPr>
          <w:rFonts w:hint="eastAsia"/>
        </w:rPr>
        <w:t>1.项目实施主体。</w:t>
      </w:r>
      <w:bookmarkStart w:id="25" w:name="_Hlk144916314"/>
      <w:r>
        <w:rPr>
          <w:rFonts w:hint="eastAsia"/>
        </w:rPr>
        <w:t>应急管理局</w:t>
      </w:r>
      <w:bookmarkStart w:id="26" w:name="_Hlk144991539"/>
      <w:r>
        <w:t>为项目主管部门，按照政府采购管理规定，通过</w:t>
      </w:r>
      <w:r>
        <w:rPr>
          <w:rFonts w:hint="eastAsia"/>
        </w:rPr>
        <w:t>竞争性磋商</w:t>
      </w:r>
      <w:r>
        <w:t>的方式采购</w:t>
      </w:r>
      <w:bookmarkStart w:id="27" w:name="_Hlk144978878"/>
      <w:r>
        <w:rPr>
          <w:rFonts w:hint="eastAsia"/>
        </w:rPr>
        <w:t>银鹏科技</w:t>
      </w:r>
      <w:r>
        <w:t>有限公司</w:t>
      </w:r>
      <w:bookmarkEnd w:id="27"/>
      <w:r>
        <w:t>为项目</w:t>
      </w:r>
      <w:bookmarkEnd w:id="25"/>
      <w:r>
        <w:rPr>
          <w:rFonts w:hint="eastAsia"/>
        </w:rPr>
        <w:t>实施</w:t>
      </w:r>
      <w:bookmarkEnd w:id="26"/>
      <w:r>
        <w:rPr>
          <w:rFonts w:hint="eastAsia"/>
        </w:rPr>
        <w:t>单位，合同总价</w:t>
      </w:r>
      <w:r>
        <w:t>926,000.00</w:t>
      </w:r>
      <w:r>
        <w:rPr>
          <w:rFonts w:hint="eastAsia"/>
        </w:rPr>
        <w:t>元（平台系统+</w:t>
      </w:r>
      <w:r>
        <w:t>1</w:t>
      </w:r>
      <w:r>
        <w:rPr>
          <w:rFonts w:hint="eastAsia"/>
        </w:rPr>
        <w:t>个试点企业端），包括：设备、配件、辅助材料、人工、机械、运输、仓储、安装、保险、系统集成、调试等费用，合同约定：后期每座企业端监控系统建设工程款参照中标价每个矿山</w:t>
      </w:r>
      <w:r>
        <w:t>99,891.00元，工程结束按实际工程量进行结算，最高不得超过中标价的10%进行结算</w:t>
      </w:r>
      <w:r>
        <w:rPr>
          <w:rFonts w:hint="eastAsia"/>
        </w:rPr>
        <w:t>。</w:t>
      </w:r>
    </w:p>
    <w:p>
      <w:pPr>
        <w:ind w:firstLine="480"/>
      </w:pPr>
      <w:r>
        <w:rPr>
          <w:rFonts w:hint="eastAsia"/>
        </w:rPr>
        <w:t>2.保障措施。一是以项目管理办法保障项目的申报范围、安排导向和实施方式；二是以合同约定、工程质量监测的方式发挥资金效益；三是以预算明细的方式保障资金安排的科学规范，应急管理局建立预算管理制度，规范管理项目。</w:t>
      </w:r>
    </w:p>
    <w:p>
      <w:pPr>
        <w:ind w:firstLine="480"/>
      </w:pPr>
      <w:r>
        <w:rPr>
          <w:rFonts w:hint="eastAsia"/>
        </w:rPr>
        <w:t>3.资金安排程序。由涉及到的相关处室进行项目经费的测算，测算完后及时将所需资金报应急管理局，应急管理局领导成员班子通过会议讨论决定项目经费支出安排。</w:t>
      </w:r>
    </w:p>
    <w:p>
      <w:pPr>
        <w:ind w:firstLine="480"/>
      </w:pPr>
      <w:r>
        <w:rPr>
          <w:rFonts w:hint="eastAsia"/>
        </w:rPr>
        <w:t>4.资金安排标准或依据。《关于追加</w:t>
      </w:r>
      <w:r>
        <w:t>2021年部门预算的通知》（寻财预〔2021〕18号）、《关于批复2022年部门预算的通知》（寻财预〔2022〕1号）、《关于下达2022年省级应急管理专项转移支付资金（第一批）的通知》（寻财行〔2022〕75号）合计安排项目预算资金3,900,000.00元</w:t>
      </w:r>
      <w:r>
        <w:rPr>
          <w:rFonts w:hint="eastAsia"/>
        </w:rPr>
        <w:t>。</w:t>
      </w:r>
    </w:p>
    <w:p>
      <w:pPr>
        <w:ind w:firstLine="480"/>
      </w:pPr>
      <w:r>
        <w:rPr>
          <w:rFonts w:hint="eastAsia"/>
        </w:rPr>
        <w:t>5.财务管理。应急管理局制定了《寻甸县应急管理局财务管理制度》等财务管理制度。规定了严格的审批制度。加强专项资金管理，严格执行财务管理制度，切实提高财政资金的使用效率。资金管理及核算执行《政府会计制度》。</w:t>
      </w:r>
    </w:p>
    <w:p>
      <w:pPr>
        <w:ind w:firstLine="480"/>
        <w:rPr>
          <w:rFonts w:ascii="黑体" w:hAnsi="黑体" w:eastAsia="黑体" w:cs="黑体"/>
          <w:szCs w:val="24"/>
        </w:rPr>
      </w:pPr>
      <w:bookmarkStart w:id="28" w:name="_Toc502134854"/>
      <w:r>
        <w:rPr>
          <w:rFonts w:hint="eastAsia" w:ascii="黑体" w:hAnsi="黑体" w:eastAsia="黑体" w:cs="黑体"/>
          <w:szCs w:val="24"/>
        </w:rPr>
        <w:t>二、绩效自评情况</w:t>
      </w:r>
      <w:bookmarkEnd w:id="28"/>
    </w:p>
    <w:p>
      <w:pPr>
        <w:ind w:firstLine="480"/>
        <w:rPr>
          <w:rFonts w:ascii="楷体" w:hAnsi="楷体" w:eastAsia="楷体" w:cs="楷体"/>
          <w:szCs w:val="24"/>
        </w:rPr>
      </w:pPr>
      <w:bookmarkStart w:id="29" w:name="_Toc498009772"/>
      <w:bookmarkStart w:id="30" w:name="_Toc502134855"/>
      <w:r>
        <w:rPr>
          <w:rFonts w:hint="eastAsia" w:ascii="楷体" w:hAnsi="楷体" w:eastAsia="楷体" w:cs="楷体"/>
          <w:szCs w:val="24"/>
        </w:rPr>
        <w:t>(一)绩效自评概述</w:t>
      </w:r>
      <w:bookmarkEnd w:id="29"/>
      <w:bookmarkEnd w:id="30"/>
    </w:p>
    <w:p>
      <w:pPr>
        <w:ind w:firstLine="480"/>
      </w:pPr>
      <w:bookmarkStart w:id="31" w:name="_Toc498009773"/>
      <w:bookmarkStart w:id="32" w:name="_Toc502134856"/>
      <w:r>
        <w:rPr>
          <w:rFonts w:hint="eastAsia"/>
        </w:rPr>
        <w:t>根据</w:t>
      </w:r>
      <w:bookmarkStart w:id="33" w:name="_Hlk143869243"/>
      <w:r>
        <w:rPr>
          <w:rFonts w:hint="eastAsia"/>
        </w:rPr>
        <w:t>《寻甸县财政局关于印发</w:t>
      </w:r>
      <w:r>
        <w:t>&lt;寻甸县本级部门预算绩效自评管理暂行办法&gt;的通知》（寻财绩</w:t>
      </w:r>
      <w:r>
        <w:rPr>
          <w:rFonts w:hint="eastAsia" w:cs="仿宋"/>
        </w:rPr>
        <w:t>〔</w:t>
      </w:r>
      <w:r>
        <w:t>2018</w:t>
      </w:r>
      <w:r>
        <w:rPr>
          <w:rFonts w:hint="eastAsia" w:cs="仿宋"/>
        </w:rPr>
        <w:t>〕</w:t>
      </w:r>
      <w:r>
        <w:t>9号）</w:t>
      </w:r>
      <w:bookmarkEnd w:id="33"/>
      <w:r>
        <w:rPr>
          <w:rFonts w:hint="eastAsia"/>
        </w:rPr>
        <w:t>等文件的规定，应急管理局成立了</w:t>
      </w:r>
      <w:r>
        <w:t>2022年非煤矿山安全生产信息化平台建设项目</w:t>
      </w:r>
      <w:r>
        <w:rPr>
          <w:rFonts w:hint="eastAsia"/>
        </w:rPr>
        <w:t>支出绩效自评组，并于202</w:t>
      </w:r>
      <w:r>
        <w:t>3</w:t>
      </w:r>
      <w:r>
        <w:rPr>
          <w:rFonts w:hint="eastAsia"/>
        </w:rPr>
        <w:t>年</w:t>
      </w:r>
      <w:r>
        <w:t>5</w:t>
      </w:r>
      <w:r>
        <w:rPr>
          <w:rFonts w:hint="eastAsia"/>
        </w:rPr>
        <w:t>月形成了《寻甸回族彝族自治县应急管理局</w:t>
      </w:r>
      <w:r>
        <w:t>2022年非煤矿山安全生产信息化平台建设项目</w:t>
      </w:r>
      <w:r>
        <w:rPr>
          <w:rFonts w:hint="eastAsia"/>
        </w:rPr>
        <w:t>支出绩效自评报告》。</w:t>
      </w:r>
    </w:p>
    <w:p>
      <w:pPr>
        <w:ind w:firstLine="480"/>
        <w:rPr>
          <w:rFonts w:ascii="楷体" w:hAnsi="楷体" w:eastAsia="楷体" w:cs="楷体"/>
          <w:szCs w:val="24"/>
        </w:rPr>
      </w:pPr>
      <w:r>
        <w:rPr>
          <w:rFonts w:hint="eastAsia" w:ascii="楷体" w:hAnsi="楷体" w:eastAsia="楷体" w:cs="楷体"/>
          <w:szCs w:val="24"/>
        </w:rPr>
        <w:t>(二)绩效自评结论</w:t>
      </w:r>
      <w:bookmarkEnd w:id="31"/>
      <w:bookmarkEnd w:id="32"/>
    </w:p>
    <w:p>
      <w:pPr>
        <w:ind w:firstLine="480"/>
        <w:rPr>
          <w:rFonts w:cs="仿宋"/>
          <w:szCs w:val="24"/>
        </w:rPr>
      </w:pPr>
      <w:r>
        <w:rPr>
          <w:rFonts w:hint="eastAsia" w:cs="仿宋"/>
          <w:szCs w:val="24"/>
        </w:rPr>
        <w:t>根据应急管理局提供的《2</w:t>
      </w:r>
      <w:r>
        <w:rPr>
          <w:rFonts w:cs="仿宋"/>
          <w:szCs w:val="24"/>
        </w:rPr>
        <w:t>022年</w:t>
      </w:r>
      <w:bookmarkStart w:id="34" w:name="_Hlk145337964"/>
      <w:r>
        <w:rPr>
          <w:rFonts w:cs="仿宋"/>
          <w:szCs w:val="24"/>
        </w:rPr>
        <w:t>非煤矿山安全生产信息化平台建设</w:t>
      </w:r>
      <w:bookmarkEnd w:id="34"/>
      <w:r>
        <w:rPr>
          <w:rFonts w:cs="仿宋"/>
          <w:szCs w:val="24"/>
        </w:rPr>
        <w:t>项目支出绩效自评报告</w:t>
      </w:r>
      <w:r>
        <w:rPr>
          <w:rFonts w:hint="eastAsia" w:cs="仿宋"/>
          <w:szCs w:val="24"/>
        </w:rPr>
        <w:t>》，应急管理局202</w:t>
      </w:r>
      <w:r>
        <w:rPr>
          <w:rFonts w:cs="仿宋"/>
          <w:szCs w:val="24"/>
        </w:rPr>
        <w:t>2</w:t>
      </w:r>
      <w:r>
        <w:rPr>
          <w:rFonts w:hint="eastAsia" w:cs="仿宋"/>
          <w:szCs w:val="24"/>
        </w:rPr>
        <w:t>非煤矿山安全生产信息化平台建设项目的决策、管理、绩效情况自评综合得分为9</w:t>
      </w:r>
      <w:r>
        <w:rPr>
          <w:rFonts w:cs="仿宋"/>
          <w:szCs w:val="24"/>
        </w:rPr>
        <w:t>2.50</w:t>
      </w:r>
      <w:r>
        <w:rPr>
          <w:rFonts w:hint="eastAsia" w:cs="仿宋"/>
          <w:szCs w:val="24"/>
        </w:rPr>
        <w:t>分，自评等级为“优”。</w:t>
      </w:r>
    </w:p>
    <w:p>
      <w:pPr>
        <w:ind w:firstLine="480"/>
        <w:rPr>
          <w:rFonts w:ascii="黑体" w:hAnsi="黑体" w:eastAsia="黑体" w:cs="黑体"/>
          <w:szCs w:val="24"/>
        </w:rPr>
      </w:pPr>
      <w:bookmarkStart w:id="35" w:name="_Toc502134857"/>
      <w:r>
        <w:rPr>
          <w:rFonts w:hint="eastAsia" w:ascii="黑体" w:hAnsi="黑体" w:eastAsia="黑体" w:cs="黑体"/>
          <w:szCs w:val="24"/>
        </w:rPr>
        <w:t>三、绩效评价组织情况</w:t>
      </w:r>
      <w:bookmarkEnd w:id="35"/>
    </w:p>
    <w:p>
      <w:pPr>
        <w:ind w:firstLine="480"/>
        <w:rPr>
          <w:rFonts w:ascii="楷体" w:hAnsi="楷体" w:eastAsia="楷体" w:cs="楷体"/>
          <w:szCs w:val="24"/>
        </w:rPr>
      </w:pPr>
      <w:bookmarkStart w:id="36" w:name="_Toc502134858"/>
      <w:r>
        <w:rPr>
          <w:rFonts w:hint="eastAsia" w:ascii="楷体" w:hAnsi="楷体" w:eastAsia="楷体" w:cs="楷体"/>
          <w:szCs w:val="24"/>
        </w:rPr>
        <w:t>(一)绩效评价依据</w:t>
      </w:r>
      <w:bookmarkEnd w:id="36"/>
    </w:p>
    <w:p>
      <w:pPr>
        <w:ind w:firstLine="480"/>
        <w:rPr>
          <w:rFonts w:cs="仿宋"/>
          <w:szCs w:val="24"/>
        </w:rPr>
      </w:pPr>
      <w:r>
        <w:rPr>
          <w:rFonts w:hint="eastAsia" w:cs="仿宋"/>
          <w:szCs w:val="24"/>
        </w:rPr>
        <w:t>1.《中华人民共和国预算法》（201</w:t>
      </w:r>
      <w:r>
        <w:rPr>
          <w:rFonts w:cs="仿宋"/>
          <w:szCs w:val="24"/>
        </w:rPr>
        <w:t>8</w:t>
      </w:r>
      <w:r>
        <w:rPr>
          <w:rFonts w:hint="eastAsia" w:cs="仿宋"/>
          <w:szCs w:val="24"/>
        </w:rPr>
        <w:t>年修订）；</w:t>
      </w:r>
    </w:p>
    <w:p>
      <w:pPr>
        <w:ind w:firstLine="480"/>
        <w:rPr>
          <w:rFonts w:cs="仿宋"/>
          <w:szCs w:val="24"/>
        </w:rPr>
      </w:pPr>
      <w:r>
        <w:rPr>
          <w:rFonts w:hint="eastAsia" w:cs="仿宋"/>
          <w:szCs w:val="24"/>
        </w:rPr>
        <w:t>2.《项目支出绩效评价管理办法》（财预〔2020〕10号）；</w:t>
      </w:r>
    </w:p>
    <w:p>
      <w:pPr>
        <w:ind w:firstLine="480"/>
        <w:rPr>
          <w:rFonts w:cs="仿宋"/>
          <w:szCs w:val="24"/>
        </w:rPr>
      </w:pPr>
      <w:r>
        <w:rPr>
          <w:rFonts w:hint="eastAsia" w:cs="仿宋"/>
          <w:szCs w:val="24"/>
        </w:rPr>
        <w:t>3.《中共云南省委、云南省人民政府关于全面实施预算管理绩效的意见》（云发〔2019〕11号）；</w:t>
      </w:r>
    </w:p>
    <w:p>
      <w:pPr>
        <w:ind w:firstLine="480"/>
        <w:rPr>
          <w:rFonts w:cs="仿宋"/>
          <w:szCs w:val="24"/>
        </w:rPr>
      </w:pPr>
      <w:r>
        <w:rPr>
          <w:rFonts w:hint="eastAsia" w:cs="仿宋"/>
          <w:szCs w:val="24"/>
        </w:rPr>
        <w:t>4.《云南省省级财政预算绩效管理暂行办法》（云财预〔2015〕295号）；</w:t>
      </w:r>
    </w:p>
    <w:p>
      <w:pPr>
        <w:ind w:firstLine="480"/>
        <w:rPr>
          <w:rFonts w:cs="仿宋"/>
          <w:szCs w:val="24"/>
        </w:rPr>
      </w:pPr>
      <w:r>
        <w:rPr>
          <w:rFonts w:hint="eastAsia" w:cs="仿宋"/>
          <w:szCs w:val="24"/>
        </w:rPr>
        <w:t>5.</w:t>
      </w:r>
      <w:bookmarkStart w:id="37" w:name="_Hlk143869363"/>
      <w:r>
        <w:rPr>
          <w:rFonts w:hint="eastAsia" w:cs="仿宋"/>
          <w:szCs w:val="24"/>
        </w:rPr>
        <w:t>《关于全面推进预算绩效管理改革的实施意见》（寻政发〔</w:t>
      </w:r>
      <w:r>
        <w:rPr>
          <w:rFonts w:cs="仿宋"/>
          <w:szCs w:val="24"/>
        </w:rPr>
        <w:t>2016〕122号）</w:t>
      </w:r>
      <w:r>
        <w:rPr>
          <w:rFonts w:hint="eastAsia" w:cs="仿宋"/>
          <w:szCs w:val="24"/>
        </w:rPr>
        <w:t>；</w:t>
      </w:r>
    </w:p>
    <w:p>
      <w:pPr>
        <w:ind w:firstLine="480"/>
        <w:rPr>
          <w:rFonts w:cs="仿宋"/>
          <w:szCs w:val="24"/>
        </w:rPr>
      </w:pPr>
      <w:r>
        <w:rPr>
          <w:rFonts w:cs="仿宋"/>
          <w:szCs w:val="24"/>
        </w:rPr>
        <w:t>6.</w:t>
      </w:r>
      <w:r>
        <w:rPr>
          <w:rFonts w:hint="eastAsia" w:cs="仿宋"/>
          <w:szCs w:val="24"/>
        </w:rPr>
        <w:t>《关于</w:t>
      </w:r>
      <w:r>
        <w:rPr>
          <w:rFonts w:cs="仿宋"/>
          <w:szCs w:val="24"/>
        </w:rPr>
        <w:t>2022年度部门整体支出、重大项目支出和地方政府债券项目支出绩效再评价的通知》（寻财绩〔2023〕5号）</w:t>
      </w:r>
      <w:r>
        <w:rPr>
          <w:rFonts w:hint="eastAsia" w:cs="仿宋"/>
          <w:szCs w:val="24"/>
        </w:rPr>
        <w:t>；</w:t>
      </w:r>
    </w:p>
    <w:p>
      <w:pPr>
        <w:ind w:firstLine="480"/>
        <w:rPr>
          <w:rFonts w:cs="仿宋"/>
          <w:szCs w:val="24"/>
        </w:rPr>
      </w:pPr>
      <w:r>
        <w:rPr>
          <w:rFonts w:cs="仿宋"/>
          <w:szCs w:val="24"/>
        </w:rPr>
        <w:t>7</w:t>
      </w:r>
      <w:r>
        <w:rPr>
          <w:rFonts w:hint="eastAsia" w:cs="仿宋"/>
          <w:szCs w:val="24"/>
        </w:rPr>
        <w:t>.其他相关依据文件</w:t>
      </w:r>
      <w:bookmarkEnd w:id="37"/>
      <w:r>
        <w:rPr>
          <w:rFonts w:hint="eastAsia" w:cs="仿宋"/>
          <w:szCs w:val="24"/>
        </w:rPr>
        <w:t>。</w:t>
      </w:r>
    </w:p>
    <w:p>
      <w:pPr>
        <w:ind w:firstLine="480"/>
        <w:rPr>
          <w:rFonts w:ascii="楷体" w:hAnsi="楷体" w:eastAsia="楷体" w:cs="楷体"/>
          <w:szCs w:val="24"/>
        </w:rPr>
      </w:pPr>
      <w:bookmarkStart w:id="38" w:name="_Toc502134859"/>
      <w:r>
        <w:rPr>
          <w:rFonts w:hint="eastAsia" w:ascii="楷体" w:hAnsi="楷体" w:eastAsia="楷体" w:cs="楷体"/>
          <w:szCs w:val="24"/>
        </w:rPr>
        <w:t>(二)绩效评价方法</w:t>
      </w:r>
      <w:bookmarkEnd w:id="38"/>
    </w:p>
    <w:p>
      <w:pPr>
        <w:ind w:firstLine="480"/>
        <w:rPr>
          <w:rFonts w:cs="仿宋"/>
          <w:szCs w:val="24"/>
        </w:rPr>
      </w:pPr>
      <w:r>
        <w:rPr>
          <w:rFonts w:hint="eastAsia" w:cs="仿宋"/>
          <w:szCs w:val="24"/>
        </w:rPr>
        <w:t>本次绩效评价采取定量与定性相结合的方式，具体实施了审阅、实地踏勘、检查、分析复核、计算、交换和反馈意见、专家会审等程序。通过资料收集、数据填报、案卷研究、实地调研、座谈会、问卷调查等方式，开展实地评价。对项目相关档案资料进行查阅，结合现场核实情况和资金到位使用及结余情况的分析，进行数据分析和取证。</w:t>
      </w:r>
    </w:p>
    <w:p>
      <w:pPr>
        <w:ind w:firstLine="480"/>
        <w:rPr>
          <w:rFonts w:cs="仿宋"/>
          <w:szCs w:val="24"/>
        </w:rPr>
      </w:pPr>
      <w:r>
        <w:rPr>
          <w:rFonts w:hint="eastAsia" w:cs="仿宋"/>
          <w:szCs w:val="24"/>
        </w:rPr>
        <w:t>具体方法可以采用以下</w:t>
      </w:r>
      <w:r>
        <w:rPr>
          <w:rFonts w:hint="eastAsia" w:cs="仿宋"/>
          <w:szCs w:val="24"/>
          <w:lang w:val="en-US" w:eastAsia="zh-CN"/>
        </w:rPr>
        <w:t>6</w:t>
      </w:r>
      <w:r>
        <w:rPr>
          <w:rFonts w:hint="eastAsia" w:cs="仿宋"/>
          <w:szCs w:val="24"/>
        </w:rPr>
        <w:t>种方法中的一种，也可多种评价方法并用：目标比较法、成本效益法、历史比较法、专家评价法、问卷调查法、横向比较法。</w:t>
      </w:r>
    </w:p>
    <w:p>
      <w:pPr>
        <w:ind w:firstLine="480"/>
        <w:rPr>
          <w:rFonts w:ascii="楷体" w:hAnsi="楷体" w:eastAsia="楷体" w:cs="楷体"/>
          <w:szCs w:val="24"/>
        </w:rPr>
      </w:pPr>
      <w:bookmarkStart w:id="39" w:name="_Toc502134860"/>
      <w:r>
        <w:rPr>
          <w:rFonts w:hint="eastAsia" w:ascii="楷体" w:hAnsi="楷体" w:eastAsia="楷体" w:cs="楷体"/>
          <w:szCs w:val="24"/>
        </w:rPr>
        <w:t>(三)绩效评价指标体系</w:t>
      </w:r>
      <w:bookmarkEnd w:id="39"/>
    </w:p>
    <w:p>
      <w:pPr>
        <w:ind w:firstLine="480"/>
        <w:rPr>
          <w:rFonts w:cs="仿宋"/>
          <w:szCs w:val="24"/>
        </w:rPr>
      </w:pPr>
      <w:r>
        <w:rPr>
          <w:rFonts w:hint="eastAsia" w:cs="仿宋"/>
          <w:szCs w:val="24"/>
        </w:rPr>
        <w:t>1.绩效评价指标</w:t>
      </w:r>
    </w:p>
    <w:p>
      <w:pPr>
        <w:ind w:firstLine="480"/>
        <w:rPr>
          <w:rFonts w:cs="仿宋"/>
          <w:szCs w:val="24"/>
        </w:rPr>
      </w:pPr>
      <w:bookmarkStart w:id="40" w:name="_Toc502134861"/>
      <w:r>
        <w:rPr>
          <w:rFonts w:hint="eastAsia" w:cs="仿宋"/>
          <w:szCs w:val="24"/>
        </w:rPr>
        <w:t>本项目绩效评价以100分计，设项目决策、项目执行过程、项目产出、项目效益4个一级指标，权重分别为：1</w:t>
      </w:r>
      <w:r>
        <w:rPr>
          <w:rFonts w:cs="仿宋"/>
          <w:szCs w:val="24"/>
        </w:rPr>
        <w:t>6</w:t>
      </w:r>
      <w:r>
        <w:rPr>
          <w:rFonts w:hint="eastAsia" w:cs="仿宋"/>
          <w:szCs w:val="24"/>
        </w:rPr>
        <w:t>%、2</w:t>
      </w:r>
      <w:r>
        <w:rPr>
          <w:rFonts w:cs="仿宋"/>
          <w:szCs w:val="24"/>
        </w:rPr>
        <w:t>2</w:t>
      </w:r>
      <w:r>
        <w:rPr>
          <w:rFonts w:hint="eastAsia" w:cs="仿宋"/>
          <w:szCs w:val="24"/>
        </w:rPr>
        <w:t>%、3</w:t>
      </w:r>
      <w:r>
        <w:rPr>
          <w:rFonts w:cs="仿宋"/>
          <w:szCs w:val="24"/>
        </w:rPr>
        <w:t>2</w:t>
      </w:r>
      <w:r>
        <w:rPr>
          <w:rFonts w:hint="eastAsia" w:cs="仿宋"/>
          <w:szCs w:val="24"/>
        </w:rPr>
        <w:t>%、30%。在此基础上设定14个二级指标（项目立项、绩效目标、资金投入、资金管理、组织实施、产出数量、产出质量、产出时效、产出成本、</w:t>
      </w:r>
      <w:r>
        <w:rPr>
          <w:rFonts w:hint="eastAsia" w:cs="仿宋"/>
          <w:szCs w:val="24"/>
          <w:lang w:val="en-US" w:eastAsia="zh-CN"/>
        </w:rPr>
        <w:t>经济效益、</w:t>
      </w:r>
      <w:r>
        <w:rPr>
          <w:rFonts w:hint="eastAsia" w:cs="仿宋"/>
          <w:szCs w:val="24"/>
        </w:rPr>
        <w:t>社会效益、生态效益、可持续性</w:t>
      </w:r>
      <w:r>
        <w:rPr>
          <w:rFonts w:hint="eastAsia" w:cs="仿宋"/>
          <w:szCs w:val="24"/>
          <w:lang w:val="en-US" w:eastAsia="zh-CN"/>
        </w:rPr>
        <w:t>影响</w:t>
      </w:r>
      <w:r>
        <w:rPr>
          <w:rFonts w:hint="eastAsia" w:cs="仿宋"/>
          <w:szCs w:val="24"/>
        </w:rPr>
        <w:t>、满意度），设2</w:t>
      </w:r>
      <w:r>
        <w:rPr>
          <w:rFonts w:cs="仿宋"/>
          <w:szCs w:val="24"/>
        </w:rPr>
        <w:t>6</w:t>
      </w:r>
      <w:r>
        <w:rPr>
          <w:rFonts w:hint="eastAsia" w:cs="仿宋"/>
          <w:szCs w:val="24"/>
        </w:rPr>
        <w:t>个三级指标</w:t>
      </w:r>
      <w:bookmarkStart w:id="41" w:name="_Hlk143856496"/>
      <w:r>
        <w:rPr>
          <w:rFonts w:hint="eastAsia" w:cs="仿宋"/>
          <w:szCs w:val="24"/>
        </w:rPr>
        <w:t>（详见后附“寻甸县</w:t>
      </w:r>
      <w:r>
        <w:rPr>
          <w:rFonts w:cs="仿宋"/>
          <w:szCs w:val="24"/>
        </w:rPr>
        <w:t>2022年非煤矿山安全生产信息化平台建设项目支出绩效评价指标体系及评分表</w:t>
      </w:r>
      <w:r>
        <w:rPr>
          <w:rFonts w:hint="eastAsia" w:cs="仿宋"/>
          <w:szCs w:val="24"/>
        </w:rPr>
        <w:t>”）</w:t>
      </w:r>
      <w:bookmarkEnd w:id="41"/>
      <w:r>
        <w:rPr>
          <w:rFonts w:hint="eastAsia" w:cs="仿宋"/>
          <w:szCs w:val="24"/>
        </w:rPr>
        <w:t>。</w:t>
      </w:r>
    </w:p>
    <w:p>
      <w:pPr>
        <w:ind w:firstLine="480"/>
        <w:rPr>
          <w:rFonts w:cs="仿宋"/>
          <w:szCs w:val="24"/>
        </w:rPr>
      </w:pPr>
      <w:r>
        <w:rPr>
          <w:rFonts w:hint="eastAsia" w:cs="仿宋"/>
          <w:szCs w:val="24"/>
        </w:rPr>
        <w:t>2.评价标准</w:t>
      </w:r>
    </w:p>
    <w:p>
      <w:pPr>
        <w:ind w:firstLine="480"/>
        <w:rPr>
          <w:rFonts w:cs="仿宋"/>
          <w:szCs w:val="24"/>
        </w:rPr>
      </w:pPr>
      <w:r>
        <w:rPr>
          <w:rFonts w:hint="eastAsia" w:cs="仿宋"/>
          <w:szCs w:val="24"/>
        </w:rPr>
        <w:t>(1)项目支出评价得分满分为100分。</w:t>
      </w:r>
    </w:p>
    <w:p>
      <w:pPr>
        <w:ind w:firstLine="480"/>
        <w:rPr>
          <w:rFonts w:cs="仿宋"/>
          <w:szCs w:val="24"/>
        </w:rPr>
      </w:pPr>
      <w:r>
        <w:rPr>
          <w:rFonts w:hint="eastAsia" w:cs="仿宋"/>
          <w:szCs w:val="24"/>
        </w:rPr>
        <w:t>(2)由审计评价组根据评价情况，对各单项指标分别进行独立打分。</w:t>
      </w:r>
    </w:p>
    <w:p>
      <w:pPr>
        <w:ind w:firstLine="480"/>
        <w:rPr>
          <w:rFonts w:cs="仿宋"/>
          <w:szCs w:val="24"/>
        </w:rPr>
      </w:pPr>
      <w:r>
        <w:rPr>
          <w:rFonts w:hint="eastAsia" w:cs="仿宋"/>
          <w:szCs w:val="24"/>
        </w:rPr>
        <w:t>(3)总评价分为各单项指标得分总和。</w:t>
      </w:r>
    </w:p>
    <w:p>
      <w:pPr>
        <w:ind w:firstLine="480"/>
        <w:rPr>
          <w:rFonts w:cs="仿宋"/>
          <w:szCs w:val="24"/>
        </w:rPr>
      </w:pPr>
      <w:r>
        <w:rPr>
          <w:rFonts w:hint="eastAsia" w:cs="仿宋"/>
          <w:szCs w:val="24"/>
        </w:rPr>
        <w:t>(4)评价结果：根据最终得分情况将评价结果分为四个等级：优（得分≥90分）；良（80分≤得分＜90分）；中（60≤得分＜80分）；差（得分＜60分）。</w:t>
      </w:r>
    </w:p>
    <w:p>
      <w:pPr>
        <w:ind w:firstLine="480"/>
        <w:rPr>
          <w:rFonts w:cs="仿宋"/>
          <w:szCs w:val="24"/>
        </w:rPr>
      </w:pPr>
      <w:bookmarkStart w:id="42" w:name="_Toc25624"/>
      <w:bookmarkStart w:id="43" w:name="_Toc7874"/>
      <w:r>
        <w:rPr>
          <w:rFonts w:hint="eastAsia" w:cs="仿宋"/>
          <w:szCs w:val="24"/>
        </w:rPr>
        <w:t>3.数据来源</w:t>
      </w:r>
      <w:bookmarkEnd w:id="42"/>
      <w:bookmarkEnd w:id="43"/>
    </w:p>
    <w:p>
      <w:pPr>
        <w:ind w:firstLine="480"/>
        <w:rPr>
          <w:rFonts w:cs="仿宋"/>
          <w:color w:val="FF0000"/>
          <w:szCs w:val="24"/>
        </w:rPr>
      </w:pPr>
      <w:r>
        <w:rPr>
          <w:rFonts w:hint="eastAsia" w:cs="仿宋"/>
          <w:szCs w:val="24"/>
        </w:rPr>
        <w:t>绩效评价数据由应急管理局提供。</w:t>
      </w:r>
    </w:p>
    <w:bookmarkEnd w:id="40"/>
    <w:p>
      <w:pPr>
        <w:ind w:firstLine="480"/>
        <w:rPr>
          <w:rFonts w:ascii="黑体" w:hAnsi="黑体" w:eastAsia="黑体" w:cs="黑体"/>
          <w:szCs w:val="24"/>
        </w:rPr>
      </w:pPr>
      <w:bookmarkStart w:id="44" w:name="_Toc502134862"/>
      <w:r>
        <w:rPr>
          <w:rFonts w:hint="eastAsia" w:ascii="黑体" w:hAnsi="黑体" w:eastAsia="黑体" w:cs="黑体"/>
          <w:szCs w:val="24"/>
        </w:rPr>
        <w:t>四、</w:t>
      </w:r>
      <w:bookmarkEnd w:id="44"/>
      <w:r>
        <w:rPr>
          <w:rFonts w:hint="eastAsia" w:ascii="黑体" w:hAnsi="黑体" w:eastAsia="黑体" w:cs="黑体"/>
          <w:szCs w:val="24"/>
        </w:rPr>
        <w:t>综合评价情况及评价结论</w:t>
      </w:r>
    </w:p>
    <w:p>
      <w:pPr>
        <w:ind w:firstLine="480"/>
        <w:rPr>
          <w:rFonts w:cs="仿宋"/>
          <w:szCs w:val="24"/>
        </w:rPr>
      </w:pPr>
      <w:bookmarkStart w:id="45" w:name="_Toc498009781"/>
      <w:r>
        <w:rPr>
          <w:rFonts w:hint="eastAsia" w:cs="仿宋"/>
          <w:szCs w:val="24"/>
        </w:rPr>
        <w:t>应急管理局202</w:t>
      </w:r>
      <w:bookmarkStart w:id="46" w:name="_Hlk145339614"/>
      <w:r>
        <w:rPr>
          <w:rFonts w:cs="仿宋"/>
          <w:szCs w:val="24"/>
        </w:rPr>
        <w:t>2</w:t>
      </w:r>
      <w:r>
        <w:rPr>
          <w:rFonts w:hint="eastAsia" w:cs="仿宋"/>
          <w:szCs w:val="24"/>
        </w:rPr>
        <w:t>年非煤矿山安全生产信息化平台建设</w:t>
      </w:r>
      <w:bookmarkEnd w:id="46"/>
      <w:r>
        <w:rPr>
          <w:rFonts w:hint="eastAsia" w:cs="仿宋"/>
          <w:szCs w:val="24"/>
        </w:rPr>
        <w:t>项目支出绩效评价综合评分</w:t>
      </w:r>
      <w:bookmarkStart w:id="47" w:name="_Hlk148566874"/>
      <w:r>
        <w:rPr>
          <w:rFonts w:cs="仿宋"/>
          <w:szCs w:val="24"/>
        </w:rPr>
        <w:t>76.33</w:t>
      </w:r>
      <w:r>
        <w:rPr>
          <w:rFonts w:hint="eastAsia" w:cs="仿宋"/>
          <w:szCs w:val="24"/>
        </w:rPr>
        <w:t>分</w:t>
      </w:r>
      <w:bookmarkEnd w:id="47"/>
      <w:r>
        <w:rPr>
          <w:rFonts w:hint="eastAsia" w:cs="仿宋"/>
          <w:szCs w:val="24"/>
        </w:rPr>
        <w:t>，评价等级“中”（详见后附“寻甸县</w:t>
      </w:r>
      <w:r>
        <w:rPr>
          <w:rFonts w:cs="仿宋"/>
          <w:szCs w:val="24"/>
        </w:rPr>
        <w:t>2022年</w:t>
      </w:r>
      <w:bookmarkStart w:id="48" w:name="_Hlk145339535"/>
      <w:r>
        <w:rPr>
          <w:rFonts w:cs="仿宋"/>
          <w:szCs w:val="24"/>
        </w:rPr>
        <w:t>非煤矿山安全生产信息化平台建设</w:t>
      </w:r>
      <w:bookmarkEnd w:id="48"/>
      <w:r>
        <w:rPr>
          <w:rFonts w:cs="仿宋"/>
          <w:szCs w:val="24"/>
        </w:rPr>
        <w:t>项目支出绩效评价指标体系及评分表</w:t>
      </w:r>
      <w:r>
        <w:rPr>
          <w:rFonts w:hint="eastAsia" w:cs="仿宋"/>
          <w:szCs w:val="24"/>
        </w:rPr>
        <w:t>”）。</w:t>
      </w:r>
    </w:p>
    <w:p>
      <w:pPr>
        <w:ind w:firstLine="480"/>
        <w:rPr>
          <w:rFonts w:cs="仿宋"/>
          <w:szCs w:val="24"/>
        </w:rPr>
      </w:pPr>
      <w:r>
        <w:rPr>
          <w:rFonts w:hint="eastAsia" w:cs="仿宋"/>
          <w:szCs w:val="24"/>
        </w:rPr>
        <w:t>综合评价结论：</w:t>
      </w:r>
      <w:bookmarkStart w:id="49" w:name="_Toc502134864"/>
      <w:r>
        <w:rPr>
          <w:rFonts w:hint="eastAsia" w:cs="仿宋"/>
          <w:szCs w:val="24"/>
        </w:rPr>
        <w:t>202</w:t>
      </w:r>
      <w:r>
        <w:rPr>
          <w:rFonts w:cs="仿宋"/>
          <w:szCs w:val="24"/>
        </w:rPr>
        <w:t>2年非煤矿山安全生产信息化平台建设</w:t>
      </w:r>
      <w:r>
        <w:rPr>
          <w:rFonts w:hint="eastAsia" w:cs="仿宋"/>
          <w:szCs w:val="24"/>
        </w:rPr>
        <w:t>项目已实施完成部分建设内容，项目决策程序比较规范，项目实施过程管理较为合规，项目实施取得一定的产出成果和效益，切实规范了非煤矿山安全生产经营行为，提升了非煤矿山安全生产水平，对应急安全实现了全天候、无死角的监管，实现了非煤矿山安全生产和税收征管融合，基本有效遏制跑冒滴漏现象。但根据应急管理局提供的税费核查报告，截止绩效评价现场结束日，仅实现了对5家非煤矿山企业的监控。</w:t>
      </w:r>
    </w:p>
    <w:bookmarkEnd w:id="45"/>
    <w:bookmarkEnd w:id="49"/>
    <w:p>
      <w:pPr>
        <w:ind w:firstLine="480"/>
        <w:rPr>
          <w:rFonts w:ascii="黑体" w:hAnsi="黑体" w:eastAsia="黑体" w:cs="黑体"/>
          <w:szCs w:val="24"/>
        </w:rPr>
      </w:pPr>
      <w:bookmarkStart w:id="50" w:name="_Toc502134866"/>
      <w:bookmarkStart w:id="51" w:name="_Toc498009783"/>
      <w:r>
        <w:rPr>
          <w:rFonts w:hint="eastAsia" w:ascii="黑体" w:hAnsi="黑体" w:eastAsia="黑体" w:cs="黑体"/>
          <w:szCs w:val="24"/>
        </w:rPr>
        <w:t>五、绩效评价情况分析</w:t>
      </w:r>
      <w:bookmarkEnd w:id="50"/>
      <w:bookmarkEnd w:id="51"/>
    </w:p>
    <w:p>
      <w:pPr>
        <w:ind w:firstLine="480"/>
        <w:rPr>
          <w:rFonts w:ascii="楷体" w:hAnsi="楷体" w:eastAsia="楷体" w:cs="楷体"/>
          <w:szCs w:val="24"/>
        </w:rPr>
      </w:pPr>
      <w:bookmarkStart w:id="52" w:name="_Toc498009784"/>
      <w:bookmarkStart w:id="53" w:name="_Toc502134867"/>
      <w:r>
        <w:rPr>
          <w:rFonts w:hint="eastAsia" w:ascii="楷体" w:hAnsi="楷体" w:eastAsia="楷体" w:cs="楷体"/>
          <w:szCs w:val="24"/>
        </w:rPr>
        <w:t>(一)项目决策分析</w:t>
      </w:r>
      <w:bookmarkEnd w:id="52"/>
      <w:bookmarkEnd w:id="53"/>
    </w:p>
    <w:p>
      <w:pPr>
        <w:ind w:firstLine="480"/>
        <w:rPr>
          <w:rFonts w:cs="仿宋"/>
          <w:szCs w:val="24"/>
        </w:rPr>
      </w:pPr>
      <w:r>
        <w:rPr>
          <w:rFonts w:hint="eastAsia" w:cs="仿宋"/>
          <w:szCs w:val="24"/>
        </w:rPr>
        <w:t>项目决策满分1</w:t>
      </w:r>
      <w:r>
        <w:rPr>
          <w:rFonts w:cs="仿宋"/>
          <w:szCs w:val="24"/>
        </w:rPr>
        <w:t>6</w:t>
      </w:r>
      <w:r>
        <w:rPr>
          <w:rFonts w:hint="eastAsia" w:cs="仿宋"/>
          <w:szCs w:val="24"/>
        </w:rPr>
        <w:t>分，评价综合评分</w:t>
      </w:r>
      <w:r>
        <w:rPr>
          <w:rFonts w:cs="仿宋"/>
          <w:szCs w:val="24"/>
        </w:rPr>
        <w:t>9</w:t>
      </w:r>
      <w:r>
        <w:rPr>
          <w:rFonts w:hint="eastAsia" w:cs="仿宋"/>
          <w:szCs w:val="24"/>
        </w:rPr>
        <w:t>分（占该项满分值的</w:t>
      </w:r>
      <w:r>
        <w:rPr>
          <w:rFonts w:cs="仿宋"/>
          <w:szCs w:val="24"/>
        </w:rPr>
        <w:t>56.25</w:t>
      </w:r>
      <w:r>
        <w:rPr>
          <w:rFonts w:hint="eastAsia" w:cs="仿宋"/>
          <w:szCs w:val="24"/>
        </w:rPr>
        <w:t>%），具体情况如下：</w:t>
      </w:r>
      <w:bookmarkStart w:id="54" w:name="_Toc502134868"/>
    </w:p>
    <w:p>
      <w:pPr>
        <w:ind w:firstLine="480"/>
        <w:rPr>
          <w:rFonts w:cs="仿宋"/>
          <w:szCs w:val="24"/>
        </w:rPr>
      </w:pPr>
      <w:r>
        <w:rPr>
          <w:rFonts w:hint="eastAsia" w:cs="仿宋"/>
          <w:szCs w:val="24"/>
        </w:rPr>
        <w:t>1.项目立项依据充分，符合国家法律法规、国民经济发展规划、行业发展规划和相关政策要求，与《寻甸回族彝族自治县“十四五”安全生产发展规划》及部门职能职责等相匹配，属于公共财政支持范围，未与相关部门同类项目或部门内部相关项目重复。应急管理局提供了《寻甸县非煤矿山安全生产信息化平台建设实施方案》（送审稿），但未提供项目立项批复文件或类似资料，也未提供事前论证等资料，无法分析其是否按照规定的程序申请设立、事前是否已经过必要的可行性研究、专家论证、风险评估、绩效评估、集体决策等项目立项程序规范性情况。</w:t>
      </w:r>
    </w:p>
    <w:p>
      <w:pPr>
        <w:ind w:firstLine="480"/>
        <w:rPr>
          <w:rFonts w:cs="仿宋"/>
          <w:szCs w:val="24"/>
        </w:rPr>
      </w:pPr>
      <w:r>
        <w:rPr>
          <w:rFonts w:hint="eastAsia" w:cs="仿宋"/>
          <w:szCs w:val="24"/>
        </w:rPr>
        <w:t>2.项目所设定的绩效目标不合理，</w:t>
      </w:r>
      <w:r>
        <w:rPr>
          <w:rFonts w:cs="仿宋"/>
          <w:szCs w:val="24"/>
        </w:rPr>
        <w:t>与实际工作内容</w:t>
      </w:r>
      <w:r>
        <w:rPr>
          <w:rFonts w:hint="eastAsia" w:cs="仿宋"/>
          <w:szCs w:val="24"/>
        </w:rPr>
        <w:t>不</w:t>
      </w:r>
      <w:r>
        <w:rPr>
          <w:rFonts w:cs="仿宋"/>
          <w:szCs w:val="24"/>
        </w:rPr>
        <w:t>具有相关性，</w:t>
      </w:r>
      <w:r>
        <w:rPr>
          <w:rFonts w:hint="eastAsia" w:cs="仿宋"/>
          <w:szCs w:val="24"/>
        </w:rPr>
        <w:t>没有明确实际工作内容，没有清晰预期产出效益和效果，但项目实施内容</w:t>
      </w:r>
      <w:r>
        <w:rPr>
          <w:rFonts w:cs="仿宋"/>
          <w:szCs w:val="24"/>
        </w:rPr>
        <w:t>符合客观实际、国家相关法律法规、国民经济发展规划。</w:t>
      </w:r>
      <w:r>
        <w:rPr>
          <w:rFonts w:hint="eastAsia" w:cs="仿宋"/>
          <w:szCs w:val="24"/>
        </w:rPr>
        <w:t>项目申报的绩效指标不科学、不明确，未选取最能体现项目绩效目标实现程度和项目实施部门职能履职情况的关键的、核心的绩效指标；设定的三级指标未通过清晰、可衡量的指标及指标值细化、量化并分解项目总体目标，产出指标性质界定不清晰明确。</w:t>
      </w:r>
    </w:p>
    <w:p>
      <w:pPr>
        <w:pStyle w:val="4"/>
        <w:ind w:firstLine="480"/>
        <w:rPr>
          <w:rFonts w:cs="仿宋"/>
          <w:szCs w:val="24"/>
        </w:rPr>
      </w:pPr>
      <w:r>
        <w:rPr>
          <w:rFonts w:hint="eastAsia" w:cs="仿宋"/>
          <w:szCs w:val="24"/>
        </w:rPr>
        <w:t>3.据应急管理局提供的</w:t>
      </w:r>
      <w:bookmarkStart w:id="55" w:name="_Hlk145359761"/>
      <w:r>
        <w:rPr>
          <w:rFonts w:hint="eastAsia" w:cs="仿宋"/>
          <w:szCs w:val="24"/>
        </w:rPr>
        <w:t>《寻甸县非煤矿山安全生产信息化平台建设实施方案》（送审稿）</w:t>
      </w:r>
      <w:bookmarkEnd w:id="55"/>
      <w:r>
        <w:rPr>
          <w:rFonts w:hint="eastAsia" w:cs="仿宋"/>
          <w:szCs w:val="24"/>
        </w:rPr>
        <w:t>、《非煤矿山安全生产信息化平台建设预算》和《</w:t>
      </w:r>
      <w:r>
        <w:rPr>
          <w:rFonts w:cs="仿宋"/>
          <w:szCs w:val="24"/>
        </w:rPr>
        <w:t>2021年非煤矿山安全生产信息化平台先期建设预算》</w:t>
      </w:r>
      <w:r>
        <w:rPr>
          <w:rFonts w:hint="eastAsia" w:cs="仿宋"/>
          <w:szCs w:val="24"/>
        </w:rPr>
        <w:t>（具体内容见上述“一、</w:t>
      </w:r>
      <w:r>
        <w:rPr>
          <w:rFonts w:cs="仿宋"/>
          <w:szCs w:val="24"/>
        </w:rPr>
        <w:t>(二)1.建设运行费用概算</w:t>
      </w:r>
      <w:r>
        <w:rPr>
          <w:rFonts w:hint="eastAsia" w:cs="仿宋"/>
          <w:szCs w:val="24"/>
        </w:rPr>
        <w:t>”）</w:t>
      </w:r>
      <w:r>
        <w:rPr>
          <w:rFonts w:cs="仿宋"/>
          <w:szCs w:val="24"/>
        </w:rPr>
        <w:t>，存在建设内容不明确，</w:t>
      </w:r>
      <w:r>
        <w:rPr>
          <w:rFonts w:hint="eastAsia" w:cs="仿宋"/>
          <w:szCs w:val="24"/>
        </w:rPr>
        <w:t>建设数量不准确等情况，且未提供实施方案批复等相关资料，</w:t>
      </w:r>
      <w:r>
        <w:rPr>
          <w:rFonts w:cs="仿宋"/>
          <w:szCs w:val="24"/>
        </w:rPr>
        <w:t>如：企业端系统建设数量</w:t>
      </w:r>
      <w:r>
        <w:rPr>
          <w:rFonts w:hint="eastAsia" w:cs="仿宋"/>
          <w:szCs w:val="24"/>
        </w:rPr>
        <w:t>，</w:t>
      </w:r>
      <w:r>
        <w:rPr>
          <w:rFonts w:cs="仿宋"/>
          <w:szCs w:val="24"/>
        </w:rPr>
        <w:t>实施方案与预算表数量不一致</w:t>
      </w:r>
      <w:r>
        <w:rPr>
          <w:rFonts w:hint="eastAsia" w:cs="仿宋"/>
          <w:szCs w:val="24"/>
        </w:rPr>
        <w:t>。</w:t>
      </w:r>
    </w:p>
    <w:p>
      <w:pPr>
        <w:ind w:firstLine="480"/>
        <w:rPr>
          <w:rFonts w:ascii="楷体" w:hAnsi="楷体" w:eastAsia="楷体" w:cs="楷体"/>
          <w:szCs w:val="24"/>
        </w:rPr>
      </w:pPr>
      <w:r>
        <w:rPr>
          <w:rFonts w:hint="eastAsia" w:ascii="楷体" w:hAnsi="楷体" w:eastAsia="楷体" w:cs="楷体"/>
          <w:szCs w:val="24"/>
        </w:rPr>
        <w:t>(二</w:t>
      </w:r>
      <w:bookmarkStart w:id="56" w:name="_Toc498009785"/>
      <w:r>
        <w:rPr>
          <w:rFonts w:hint="eastAsia" w:ascii="楷体" w:hAnsi="楷体" w:eastAsia="楷体" w:cs="楷体"/>
          <w:szCs w:val="24"/>
        </w:rPr>
        <w:t>)项目过程管理情况分析</w:t>
      </w:r>
      <w:bookmarkEnd w:id="54"/>
      <w:bookmarkEnd w:id="56"/>
    </w:p>
    <w:p>
      <w:pPr>
        <w:ind w:firstLine="480"/>
        <w:rPr>
          <w:rFonts w:cs="仿宋"/>
          <w:szCs w:val="24"/>
        </w:rPr>
      </w:pPr>
      <w:r>
        <w:rPr>
          <w:rFonts w:hint="eastAsia" w:cs="仿宋"/>
          <w:szCs w:val="24"/>
        </w:rPr>
        <w:t>项目过程管理满分2</w:t>
      </w:r>
      <w:r>
        <w:rPr>
          <w:rFonts w:cs="仿宋"/>
          <w:szCs w:val="24"/>
        </w:rPr>
        <w:t>2</w:t>
      </w:r>
      <w:r>
        <w:rPr>
          <w:rFonts w:hint="eastAsia" w:cs="仿宋"/>
          <w:szCs w:val="24"/>
        </w:rPr>
        <w:t>分，评价综合评分</w:t>
      </w:r>
      <w:r>
        <w:rPr>
          <w:rFonts w:cs="仿宋"/>
          <w:szCs w:val="24"/>
        </w:rPr>
        <w:t>17</w:t>
      </w:r>
      <w:r>
        <w:rPr>
          <w:rFonts w:hint="eastAsia" w:cs="仿宋"/>
          <w:szCs w:val="24"/>
        </w:rPr>
        <w:t>分（占该项满分值的</w:t>
      </w:r>
      <w:r>
        <w:rPr>
          <w:rFonts w:cs="仿宋"/>
          <w:szCs w:val="24"/>
        </w:rPr>
        <w:t>77.27</w:t>
      </w:r>
      <w:r>
        <w:rPr>
          <w:rFonts w:hint="eastAsia" w:cs="仿宋"/>
          <w:szCs w:val="24"/>
        </w:rPr>
        <w:t>%），具体情况如下：</w:t>
      </w:r>
      <w:bookmarkStart w:id="57" w:name="_Toc498009786"/>
      <w:bookmarkStart w:id="58" w:name="_Toc502134869"/>
    </w:p>
    <w:p>
      <w:pPr>
        <w:ind w:firstLine="480"/>
        <w:rPr>
          <w:rFonts w:cs="仿宋"/>
          <w:szCs w:val="24"/>
        </w:rPr>
      </w:pPr>
      <w:r>
        <w:rPr>
          <w:rFonts w:hint="eastAsia" w:cs="仿宋"/>
          <w:szCs w:val="24"/>
        </w:rPr>
        <w:t>1.</w:t>
      </w:r>
      <w:bookmarkStart w:id="59" w:name="_Hlk145359244"/>
      <w:r>
        <w:rPr>
          <w:rFonts w:hint="eastAsia" w:cs="仿宋"/>
          <w:szCs w:val="24"/>
        </w:rPr>
        <w:t>截止202</w:t>
      </w:r>
      <w:r>
        <w:rPr>
          <w:rFonts w:cs="仿宋"/>
          <w:szCs w:val="24"/>
        </w:rPr>
        <w:t>2</w:t>
      </w:r>
      <w:r>
        <w:rPr>
          <w:rFonts w:hint="eastAsia" w:cs="仿宋"/>
          <w:szCs w:val="24"/>
        </w:rPr>
        <w:t>年1</w:t>
      </w:r>
      <w:r>
        <w:rPr>
          <w:rFonts w:cs="仿宋"/>
          <w:szCs w:val="24"/>
        </w:rPr>
        <w:t>2</w:t>
      </w:r>
      <w:r>
        <w:rPr>
          <w:rFonts w:hint="eastAsia" w:cs="仿宋"/>
          <w:szCs w:val="24"/>
        </w:rPr>
        <w:t>月3</w:t>
      </w:r>
      <w:r>
        <w:rPr>
          <w:rFonts w:cs="仿宋"/>
          <w:szCs w:val="24"/>
        </w:rPr>
        <w:t>1</w:t>
      </w:r>
      <w:r>
        <w:rPr>
          <w:rFonts w:hint="eastAsia" w:cs="仿宋"/>
          <w:szCs w:val="24"/>
        </w:rPr>
        <w:t>日，项目预算资金</w:t>
      </w:r>
      <w:r>
        <w:rPr>
          <w:rFonts w:cs="仿宋"/>
          <w:szCs w:val="24"/>
        </w:rPr>
        <w:t>3</w:t>
      </w:r>
      <w:r>
        <w:rPr>
          <w:rFonts w:hint="eastAsia" w:cs="仿宋"/>
          <w:szCs w:val="24"/>
        </w:rPr>
        <w:t>,</w:t>
      </w:r>
      <w:r>
        <w:rPr>
          <w:rFonts w:cs="仿宋"/>
          <w:szCs w:val="24"/>
        </w:rPr>
        <w:t>9</w:t>
      </w:r>
      <w:r>
        <w:rPr>
          <w:rFonts w:hint="eastAsia" w:cs="仿宋"/>
          <w:szCs w:val="24"/>
        </w:rPr>
        <w:t>00,000.00元，根据项目支出台账，实际到位资金</w:t>
      </w:r>
      <w:r>
        <w:rPr>
          <w:rFonts w:cs="仿宋"/>
          <w:szCs w:val="24"/>
        </w:rPr>
        <w:t>2,302,539.10元，</w:t>
      </w:r>
      <w:bookmarkEnd w:id="59"/>
      <w:r>
        <w:rPr>
          <w:rFonts w:cs="仿宋"/>
          <w:szCs w:val="24"/>
        </w:rPr>
        <w:t>资金到位率59.04%</w:t>
      </w:r>
      <w:r>
        <w:rPr>
          <w:rFonts w:hint="eastAsia" w:cs="仿宋"/>
          <w:szCs w:val="24"/>
        </w:rPr>
        <w:t>，主要是因财政资金情况和项目建设进度等因素所致。</w:t>
      </w:r>
    </w:p>
    <w:p>
      <w:pPr>
        <w:ind w:firstLine="480"/>
        <w:rPr>
          <w:rFonts w:cs="仿宋"/>
          <w:szCs w:val="24"/>
        </w:rPr>
      </w:pPr>
      <w:r>
        <w:rPr>
          <w:rFonts w:hint="eastAsia" w:cs="仿宋"/>
          <w:szCs w:val="24"/>
        </w:rPr>
        <w:t>2.截止</w:t>
      </w:r>
      <w:r>
        <w:rPr>
          <w:rFonts w:cs="仿宋"/>
          <w:szCs w:val="24"/>
        </w:rPr>
        <w:t>2022年12月31日，项目实际到位资金</w:t>
      </w:r>
      <w:bookmarkStart w:id="60" w:name="_Hlk145359271"/>
      <w:r>
        <w:rPr>
          <w:rFonts w:cs="仿宋"/>
          <w:szCs w:val="24"/>
        </w:rPr>
        <w:t>2,302,539.10</w:t>
      </w:r>
      <w:bookmarkEnd w:id="60"/>
      <w:r>
        <w:rPr>
          <w:rFonts w:cs="仿宋"/>
          <w:szCs w:val="24"/>
        </w:rPr>
        <w:t>元，</w:t>
      </w:r>
      <w:r>
        <w:rPr>
          <w:rFonts w:hint="eastAsia" w:cs="仿宋"/>
          <w:szCs w:val="24"/>
        </w:rPr>
        <w:t>共计支付相关费用</w:t>
      </w:r>
      <w:r>
        <w:rPr>
          <w:rFonts w:cs="仿宋"/>
          <w:szCs w:val="24"/>
        </w:rPr>
        <w:t>2,302,539.10元</w:t>
      </w:r>
      <w:r>
        <w:rPr>
          <w:rFonts w:hint="eastAsia" w:cs="仿宋"/>
          <w:szCs w:val="24"/>
        </w:rPr>
        <w:t>，</w:t>
      </w:r>
      <w:r>
        <w:rPr>
          <w:rFonts w:cs="仿宋"/>
          <w:szCs w:val="24"/>
        </w:rPr>
        <w:t>预算执行率100%</w:t>
      </w:r>
      <w:r>
        <w:rPr>
          <w:rFonts w:hint="eastAsia" w:cs="仿宋"/>
          <w:szCs w:val="24"/>
        </w:rPr>
        <w:t>。</w:t>
      </w:r>
    </w:p>
    <w:p>
      <w:pPr>
        <w:ind w:firstLine="480"/>
        <w:rPr>
          <w:rFonts w:cs="仿宋"/>
          <w:szCs w:val="24"/>
        </w:rPr>
      </w:pPr>
      <w:r>
        <w:rPr>
          <w:rFonts w:hint="eastAsia" w:cs="仿宋"/>
          <w:szCs w:val="24"/>
        </w:rPr>
        <w:t>3.项目预算资金使用基本符合国家财经法规和财务管理制度以及有关专项资金管理办法的规定和预算批复的用途，资金的拨付审批程序和手续完整，未发现截留、挤占、挪用、虚列支出等情况，但存在资本性支出费用化、项目资金未按项目名称进行明细核算等情况。</w:t>
      </w:r>
    </w:p>
    <w:p>
      <w:pPr>
        <w:ind w:firstLine="480"/>
        <w:rPr>
          <w:rFonts w:cs="仿宋"/>
          <w:szCs w:val="24"/>
        </w:rPr>
      </w:pPr>
      <w:r>
        <w:rPr>
          <w:rFonts w:hint="eastAsia" w:cs="仿宋"/>
          <w:szCs w:val="24"/>
        </w:rPr>
        <w:t>4.项目财务管理和业务管理执行《寻甸县应急管理局财务管理制度》等内部控制制度和国家有关法律法规，相关管理制度基本能够得到有效的执行，政府采购程序等基本合法合规，但检查发现，存在项目资料保管分散、未及时整理归档，无项目实施方案批复等资料的情况。</w:t>
      </w:r>
    </w:p>
    <w:p>
      <w:pPr>
        <w:ind w:firstLine="480"/>
        <w:rPr>
          <w:rFonts w:ascii="楷体" w:hAnsi="楷体" w:eastAsia="楷体" w:cs="楷体"/>
          <w:szCs w:val="24"/>
        </w:rPr>
      </w:pPr>
      <w:r>
        <w:rPr>
          <w:rFonts w:hint="eastAsia" w:ascii="楷体" w:hAnsi="楷体" w:eastAsia="楷体" w:cs="楷体"/>
          <w:szCs w:val="24"/>
        </w:rPr>
        <w:t>(三)项目产出情况分析</w:t>
      </w:r>
    </w:p>
    <w:p>
      <w:pPr>
        <w:ind w:firstLine="480"/>
        <w:rPr>
          <w:rFonts w:cs="仿宋"/>
          <w:szCs w:val="24"/>
        </w:rPr>
      </w:pPr>
      <w:r>
        <w:rPr>
          <w:rFonts w:hint="eastAsia" w:cs="仿宋"/>
          <w:szCs w:val="24"/>
        </w:rPr>
        <w:t>项目产出满分3</w:t>
      </w:r>
      <w:r>
        <w:rPr>
          <w:rFonts w:cs="仿宋"/>
          <w:szCs w:val="24"/>
        </w:rPr>
        <w:t>2</w:t>
      </w:r>
      <w:r>
        <w:rPr>
          <w:rFonts w:hint="eastAsia" w:cs="仿宋"/>
          <w:szCs w:val="24"/>
        </w:rPr>
        <w:t>分，评价综合评分</w:t>
      </w:r>
      <w:r>
        <w:rPr>
          <w:rFonts w:cs="仿宋"/>
          <w:szCs w:val="24"/>
        </w:rPr>
        <w:t>25</w:t>
      </w:r>
      <w:r>
        <w:rPr>
          <w:rFonts w:hint="eastAsia" w:cs="仿宋"/>
          <w:szCs w:val="24"/>
        </w:rPr>
        <w:t>分（占该项满分值的</w:t>
      </w:r>
      <w:r>
        <w:rPr>
          <w:rFonts w:cs="仿宋"/>
          <w:szCs w:val="24"/>
        </w:rPr>
        <w:t>78.13</w:t>
      </w:r>
      <w:r>
        <w:rPr>
          <w:rFonts w:hint="eastAsia" w:cs="仿宋"/>
          <w:szCs w:val="24"/>
        </w:rPr>
        <w:t>%），具体情况如下：</w:t>
      </w:r>
    </w:p>
    <w:p>
      <w:pPr>
        <w:ind w:firstLine="480"/>
        <w:rPr>
          <w:rFonts w:cs="仿宋"/>
          <w:szCs w:val="24"/>
        </w:rPr>
      </w:pPr>
      <w:r>
        <w:rPr>
          <w:rFonts w:hint="eastAsia" w:cs="仿宋"/>
          <w:szCs w:val="24"/>
        </w:rPr>
        <w:t>1</w:t>
      </w:r>
      <w:r>
        <w:rPr>
          <w:rFonts w:cs="仿宋"/>
          <w:szCs w:val="24"/>
        </w:rPr>
        <w:t>.</w:t>
      </w:r>
      <w:r>
        <w:rPr>
          <w:rFonts w:hint="eastAsia" w:cs="仿宋"/>
          <w:szCs w:val="24"/>
        </w:rPr>
        <w:t>《寻甸县非煤矿山安全生产信息化平台建设实施方案》（送审稿）确定项目建设内容为：包括非煤矿山税控平台及安全监管系统，项目建设功能包括税控系统、安全监管系统、</w:t>
      </w:r>
      <w:r>
        <w:rPr>
          <w:rFonts w:cs="仿宋"/>
          <w:szCs w:val="24"/>
        </w:rPr>
        <w:t>GIS呈现、语音对讲调度、远程监控自动逃逸告警系统、自动过磅、远程操控、会议系统设备等。过磅处建立UPS电力保障、过磅设备、360度云台、枪机、室内、自动抓拍、雷达、自动车牌识别等对企业过磅处全天候自动监测过磅及逃逸告警。采场采用从全面到局部的清晰思路建立安全监管，360度云台首先一个视觉完成整个采面进行安全监管，细节部分或局部通过云台变焦、旋转、拉近、放大进行全面监管。通过软件系统功能在中心远程完成台阶、边坡高度测量，自</w:t>
      </w:r>
      <w:r>
        <w:rPr>
          <w:rFonts w:hint="eastAsia" w:cs="仿宋"/>
          <w:szCs w:val="24"/>
        </w:rPr>
        <w:t>动进行采面痕迹跟踪等安全管理。全县现有非煤矿山企业</w:t>
      </w:r>
      <w:r>
        <w:rPr>
          <w:rFonts w:cs="仿宋"/>
          <w:szCs w:val="24"/>
        </w:rPr>
        <w:t>36座（不含2019、2020年新出让矿权9座）。其中地下矿山2座、露天矿山34座。正常生产、建设矿山17座（含因手续原因停止生产、建设6座）。按照积极稳妥分步推进的原则分批次开展平台建设工作。中心平台及石头山采石场（试点）于2022年2月28日前建成投入使用，其余待预算资金到位后进行建设。</w:t>
      </w:r>
      <w:r>
        <w:rPr>
          <w:rFonts w:hint="eastAsia" w:cs="仿宋"/>
          <w:szCs w:val="24"/>
        </w:rPr>
        <w:t>项目概算总投资</w:t>
      </w:r>
      <w:r>
        <w:rPr>
          <w:rFonts w:cs="仿宋"/>
          <w:szCs w:val="24"/>
        </w:rPr>
        <w:t>3,900,000.00元</w:t>
      </w:r>
      <w:r>
        <w:rPr>
          <w:rFonts w:hint="eastAsia" w:cs="仿宋"/>
          <w:szCs w:val="24"/>
        </w:rPr>
        <w:t>。</w:t>
      </w:r>
    </w:p>
    <w:p>
      <w:pPr>
        <w:ind w:firstLine="472"/>
        <w:rPr>
          <w:rFonts w:cs="仿宋"/>
          <w:spacing w:val="-2"/>
          <w:szCs w:val="24"/>
        </w:rPr>
      </w:pPr>
      <w:r>
        <w:rPr>
          <w:rFonts w:hint="eastAsia" w:cs="仿宋"/>
          <w:spacing w:val="-2"/>
          <w:szCs w:val="24"/>
        </w:rPr>
        <w:t>2</w:t>
      </w:r>
      <w:r>
        <w:rPr>
          <w:rFonts w:cs="仿宋"/>
          <w:spacing w:val="-2"/>
          <w:szCs w:val="24"/>
        </w:rPr>
        <w:t>.</w:t>
      </w:r>
      <w:r>
        <w:rPr>
          <w:rFonts w:hint="eastAsia" w:cs="仿宋"/>
          <w:spacing w:val="-2"/>
          <w:szCs w:val="24"/>
        </w:rPr>
        <w:t>《非煤矿山安全生产信息化平台建设预算》确定项目建设内容为</w:t>
      </w:r>
      <w:r>
        <w:rPr>
          <w:rFonts w:cs="仿宋"/>
          <w:spacing w:val="-2"/>
          <w:szCs w:val="24"/>
        </w:rPr>
        <w:t>：中心平台建设1套、企业端系统建设25户、技术人员15人</w:t>
      </w:r>
      <w:r>
        <w:rPr>
          <w:rFonts w:hint="eastAsia" w:cs="仿宋"/>
          <w:spacing w:val="-2"/>
          <w:szCs w:val="24"/>
        </w:rPr>
        <w:t>费用</w:t>
      </w:r>
      <w:r>
        <w:rPr>
          <w:rFonts w:cs="仿宋"/>
          <w:spacing w:val="-2"/>
          <w:szCs w:val="24"/>
        </w:rPr>
        <w:t>（按72000元/每人每年计算、包含五险）、企业端网络信息费25条</w:t>
      </w:r>
      <w:r>
        <w:rPr>
          <w:rFonts w:hint="eastAsia" w:cs="仿宋"/>
          <w:spacing w:val="-2"/>
          <w:szCs w:val="24"/>
        </w:rPr>
        <w:t>、</w:t>
      </w:r>
      <w:r>
        <w:rPr>
          <w:rFonts w:cs="仿宋"/>
          <w:spacing w:val="-2"/>
          <w:szCs w:val="24"/>
        </w:rPr>
        <w:t>中心平台网络信息费1条、企业端系统及设备维护费25户</w:t>
      </w:r>
      <w:r>
        <w:rPr>
          <w:rFonts w:hint="eastAsia" w:cs="仿宋"/>
          <w:spacing w:val="-2"/>
          <w:szCs w:val="24"/>
        </w:rPr>
        <w:t>、</w:t>
      </w:r>
      <w:r>
        <w:rPr>
          <w:rFonts w:cs="仿宋"/>
          <w:spacing w:val="-2"/>
          <w:szCs w:val="24"/>
        </w:rPr>
        <w:t>中心平台</w:t>
      </w:r>
      <w:r>
        <w:rPr>
          <w:rFonts w:hint="eastAsia" w:cs="仿宋"/>
          <w:spacing w:val="-2"/>
          <w:szCs w:val="24"/>
        </w:rPr>
        <w:t>维护费</w:t>
      </w:r>
      <w:r>
        <w:rPr>
          <w:rFonts w:cs="仿宋"/>
          <w:spacing w:val="-2"/>
          <w:szCs w:val="24"/>
        </w:rPr>
        <w:t>1年</w:t>
      </w:r>
      <w:r>
        <w:rPr>
          <w:rFonts w:hint="eastAsia" w:cs="仿宋"/>
          <w:spacing w:val="-2"/>
          <w:szCs w:val="24"/>
        </w:rPr>
        <w:t>，项目总投资</w:t>
      </w:r>
      <w:r>
        <w:rPr>
          <w:rFonts w:cs="仿宋"/>
          <w:spacing w:val="-2"/>
          <w:szCs w:val="24"/>
        </w:rPr>
        <w:t>5,080,000.00元。</w:t>
      </w:r>
    </w:p>
    <w:p>
      <w:pPr>
        <w:ind w:firstLine="480"/>
        <w:rPr>
          <w:rFonts w:cs="仿宋"/>
          <w:szCs w:val="24"/>
        </w:rPr>
      </w:pPr>
      <w:r>
        <w:rPr>
          <w:rFonts w:hint="eastAsia" w:cs="仿宋"/>
          <w:szCs w:val="24"/>
        </w:rPr>
        <w:t>3</w:t>
      </w:r>
      <w:r>
        <w:rPr>
          <w:rFonts w:cs="仿宋"/>
          <w:szCs w:val="24"/>
        </w:rPr>
        <w:t>.</w:t>
      </w:r>
      <w:r>
        <w:rPr>
          <w:rFonts w:hint="eastAsia" w:cs="仿宋"/>
          <w:szCs w:val="24"/>
        </w:rPr>
        <w:t>《</w:t>
      </w:r>
      <w:r>
        <w:rPr>
          <w:rFonts w:cs="仿宋"/>
          <w:szCs w:val="24"/>
        </w:rPr>
        <w:t>2021年非煤矿山安全生产信息化平台先期建设预算》</w:t>
      </w:r>
      <w:r>
        <w:rPr>
          <w:rFonts w:hint="eastAsia" w:cs="仿宋"/>
          <w:szCs w:val="24"/>
        </w:rPr>
        <w:t>确定项目</w:t>
      </w:r>
      <w:r>
        <w:rPr>
          <w:rFonts w:cs="仿宋"/>
          <w:szCs w:val="24"/>
        </w:rPr>
        <w:t>先期建设</w:t>
      </w:r>
      <w:r>
        <w:rPr>
          <w:rFonts w:hint="eastAsia" w:cs="仿宋"/>
          <w:szCs w:val="24"/>
        </w:rPr>
        <w:t>内容为</w:t>
      </w:r>
      <w:r>
        <w:rPr>
          <w:rFonts w:cs="仿宋"/>
          <w:szCs w:val="24"/>
        </w:rPr>
        <w:t>：中心平台建设1套、企业端系统建设10户、技术人员15人</w:t>
      </w:r>
      <w:r>
        <w:rPr>
          <w:rFonts w:hint="eastAsia" w:cs="仿宋"/>
          <w:szCs w:val="24"/>
        </w:rPr>
        <w:t>费用</w:t>
      </w:r>
      <w:r>
        <w:rPr>
          <w:rFonts w:cs="仿宋"/>
          <w:szCs w:val="24"/>
        </w:rPr>
        <w:t>（按72000元/每人每年计算、包含五险）、企业端网络信息费10条（每条10,000.00元）、中心平台网络信息费1条、企业端系统及设备维护费10户（每户10,000.00元）、中心平台维护费1年</w:t>
      </w:r>
      <w:r>
        <w:rPr>
          <w:rFonts w:hint="eastAsia" w:cs="仿宋"/>
          <w:szCs w:val="24"/>
        </w:rPr>
        <w:t>，项目先期总投资</w:t>
      </w:r>
      <w:r>
        <w:rPr>
          <w:rFonts w:cs="仿宋"/>
          <w:szCs w:val="24"/>
        </w:rPr>
        <w:t>3,280,000.00元。</w:t>
      </w:r>
    </w:p>
    <w:p>
      <w:pPr>
        <w:ind w:firstLine="480"/>
        <w:rPr>
          <w:rFonts w:cs="仿宋"/>
          <w:szCs w:val="24"/>
        </w:rPr>
      </w:pPr>
      <w:r>
        <w:rPr>
          <w:rFonts w:hint="eastAsia" w:cs="仿宋"/>
          <w:szCs w:val="24"/>
        </w:rPr>
        <w:t>上述3个资料，均无项目建设批复主管部门批复，缺乏较高的法定效力，致使绩效评价组无法确定项目产出数量及依据，进而无法确认完成及时性依据和产出成本依据。</w:t>
      </w:r>
    </w:p>
    <w:p>
      <w:pPr>
        <w:ind w:firstLine="464"/>
        <w:rPr>
          <w:rFonts w:cs="仿宋"/>
          <w:spacing w:val="-4"/>
          <w:szCs w:val="24"/>
        </w:rPr>
      </w:pPr>
      <w:r>
        <w:rPr>
          <w:rFonts w:hint="eastAsia" w:cs="仿宋"/>
          <w:spacing w:val="-4"/>
          <w:szCs w:val="24"/>
        </w:rPr>
        <w:t>截止2</w:t>
      </w:r>
      <w:r>
        <w:rPr>
          <w:rFonts w:cs="仿宋"/>
          <w:spacing w:val="-4"/>
          <w:szCs w:val="24"/>
        </w:rPr>
        <w:t>022</w:t>
      </w:r>
      <w:r>
        <w:rPr>
          <w:rFonts w:hint="eastAsia" w:cs="仿宋"/>
          <w:spacing w:val="-4"/>
          <w:szCs w:val="24"/>
        </w:rPr>
        <w:t>年1</w:t>
      </w:r>
      <w:r>
        <w:rPr>
          <w:rFonts w:cs="仿宋"/>
          <w:spacing w:val="-4"/>
          <w:szCs w:val="24"/>
        </w:rPr>
        <w:t>2</w:t>
      </w:r>
      <w:r>
        <w:rPr>
          <w:rFonts w:hint="eastAsia" w:cs="仿宋"/>
          <w:spacing w:val="-4"/>
          <w:szCs w:val="24"/>
        </w:rPr>
        <w:t>月3</w:t>
      </w:r>
      <w:r>
        <w:rPr>
          <w:rFonts w:cs="仿宋"/>
          <w:spacing w:val="-4"/>
          <w:szCs w:val="24"/>
        </w:rPr>
        <w:t>1</w:t>
      </w:r>
      <w:r>
        <w:rPr>
          <w:rFonts w:hint="eastAsia" w:cs="仿宋"/>
          <w:spacing w:val="-4"/>
          <w:szCs w:val="24"/>
        </w:rPr>
        <w:t>日，项目先期建设内容已完成并</w:t>
      </w:r>
      <w:r>
        <w:rPr>
          <w:rFonts w:cs="仿宋"/>
          <w:spacing w:val="-4"/>
          <w:szCs w:val="24"/>
        </w:rPr>
        <w:t>验收合格</w:t>
      </w:r>
      <w:r>
        <w:rPr>
          <w:rFonts w:hint="eastAsia" w:cs="仿宋"/>
          <w:spacing w:val="-4"/>
          <w:szCs w:val="24"/>
        </w:rPr>
        <w:t>，投入使用，但现场勘察指挥中心安全生产监管平台及</w:t>
      </w:r>
      <w:r>
        <w:rPr>
          <w:rFonts w:cs="仿宋"/>
          <w:spacing w:val="-4"/>
          <w:szCs w:val="24"/>
        </w:rPr>
        <w:t>10座非煤矿山企业端监控设备运转情况，发现10座非煤矿山企业端已安装的63台监控设备，仅15台设备在线，48台设备处于离线状态，且尚有2座非煤矿山前端监控信息未接入应急管理及指挥中心。</w:t>
      </w:r>
    </w:p>
    <w:p>
      <w:pPr>
        <w:ind w:firstLine="480"/>
        <w:rPr>
          <w:rFonts w:ascii="楷体" w:hAnsi="楷体" w:eastAsia="楷体" w:cs="楷体"/>
          <w:szCs w:val="24"/>
        </w:rPr>
      </w:pPr>
      <w:r>
        <w:rPr>
          <w:rFonts w:hint="eastAsia" w:ascii="楷体" w:hAnsi="楷体" w:eastAsia="楷体" w:cs="楷体"/>
          <w:szCs w:val="24"/>
        </w:rPr>
        <w:t>(四)项目绩效情况分析</w:t>
      </w:r>
      <w:bookmarkEnd w:id="57"/>
      <w:bookmarkEnd w:id="58"/>
      <w:bookmarkStart w:id="61" w:name="_Toc498009787"/>
      <w:bookmarkStart w:id="62" w:name="_Toc502134870"/>
    </w:p>
    <w:p>
      <w:pPr>
        <w:ind w:firstLine="480"/>
        <w:rPr>
          <w:rFonts w:cs="仿宋"/>
          <w:szCs w:val="24"/>
        </w:rPr>
      </w:pPr>
      <w:r>
        <w:rPr>
          <w:rFonts w:hint="eastAsia" w:cs="仿宋"/>
          <w:szCs w:val="24"/>
        </w:rPr>
        <w:t>项目绩效指标满分</w:t>
      </w:r>
      <w:r>
        <w:rPr>
          <w:rFonts w:cs="仿宋"/>
          <w:szCs w:val="24"/>
        </w:rPr>
        <w:t>3</w:t>
      </w:r>
      <w:r>
        <w:rPr>
          <w:rFonts w:hint="eastAsia" w:cs="仿宋"/>
          <w:szCs w:val="24"/>
        </w:rPr>
        <w:t>0分，评价综合评分</w:t>
      </w:r>
      <w:r>
        <w:rPr>
          <w:rFonts w:cs="仿宋"/>
          <w:szCs w:val="24"/>
        </w:rPr>
        <w:t>25.33</w:t>
      </w:r>
      <w:r>
        <w:rPr>
          <w:rFonts w:hint="eastAsia" w:cs="仿宋"/>
          <w:szCs w:val="24"/>
        </w:rPr>
        <w:t>分（占该项满分值的</w:t>
      </w:r>
      <w:r>
        <w:rPr>
          <w:rFonts w:cs="仿宋"/>
          <w:szCs w:val="24"/>
        </w:rPr>
        <w:t>84.43</w:t>
      </w:r>
      <w:r>
        <w:rPr>
          <w:rFonts w:hint="eastAsia" w:cs="仿宋"/>
          <w:szCs w:val="24"/>
        </w:rPr>
        <w:t>%），具体情况如下：</w:t>
      </w:r>
    </w:p>
    <w:bookmarkEnd w:id="61"/>
    <w:bookmarkEnd w:id="62"/>
    <w:p>
      <w:pPr>
        <w:ind w:firstLine="480"/>
        <w:rPr>
          <w:rFonts w:cs="仿宋"/>
          <w:szCs w:val="24"/>
        </w:rPr>
      </w:pPr>
      <w:bookmarkStart w:id="63" w:name="_Toc502134871"/>
      <w:bookmarkStart w:id="64" w:name="_Toc498009788"/>
      <w:r>
        <w:rPr>
          <w:rFonts w:hint="eastAsia" w:cs="仿宋"/>
          <w:szCs w:val="24"/>
        </w:rPr>
        <w:t>1</w:t>
      </w:r>
      <w:r>
        <w:rPr>
          <w:rFonts w:cs="仿宋"/>
          <w:szCs w:val="24"/>
        </w:rPr>
        <w:t>.</w:t>
      </w:r>
      <w:r>
        <w:rPr>
          <w:rFonts w:hint="eastAsia" w:cs="仿宋"/>
          <w:szCs w:val="24"/>
        </w:rPr>
        <w:t>经济效益</w:t>
      </w:r>
    </w:p>
    <w:p>
      <w:pPr>
        <w:ind w:firstLine="480"/>
        <w:rPr>
          <w:rFonts w:cs="仿宋"/>
          <w:szCs w:val="24"/>
        </w:rPr>
      </w:pPr>
      <w:bookmarkStart w:id="65" w:name="_Hlk148566076"/>
      <w:r>
        <w:rPr>
          <w:rFonts w:hint="eastAsia" w:cs="仿宋"/>
          <w:szCs w:val="24"/>
        </w:rPr>
        <w:t>根据应急管理局提供的</w:t>
      </w:r>
      <w:bookmarkEnd w:id="65"/>
      <w:r>
        <w:rPr>
          <w:rFonts w:hint="eastAsia" w:cs="仿宋"/>
          <w:szCs w:val="24"/>
        </w:rPr>
        <w:t>2</w:t>
      </w:r>
      <w:r>
        <w:rPr>
          <w:rFonts w:cs="仿宋"/>
          <w:szCs w:val="24"/>
        </w:rPr>
        <w:t>022</w:t>
      </w:r>
      <w:r>
        <w:rPr>
          <w:rFonts w:hint="eastAsia" w:cs="仿宋"/>
          <w:szCs w:val="24"/>
        </w:rPr>
        <w:t>年第四季度5家</w:t>
      </w:r>
      <w:bookmarkStart w:id="66" w:name="_Hlk148566125"/>
      <w:r>
        <w:rPr>
          <w:rFonts w:hint="eastAsia" w:cs="仿宋"/>
          <w:szCs w:val="24"/>
        </w:rPr>
        <w:t>非煤矿山过磅数据与企业金三核心征管系统申报缴纳数据比对分析，税务核查</w:t>
      </w:r>
      <w:bookmarkEnd w:id="66"/>
      <w:r>
        <w:rPr>
          <w:rFonts w:hint="eastAsia" w:cs="仿宋"/>
          <w:szCs w:val="24"/>
        </w:rPr>
        <w:t>5家企业补缴税款2</w:t>
      </w:r>
      <w:r>
        <w:rPr>
          <w:rFonts w:cs="仿宋"/>
          <w:szCs w:val="24"/>
        </w:rPr>
        <w:t>36,605.00</w:t>
      </w:r>
      <w:r>
        <w:rPr>
          <w:rFonts w:hint="eastAsia" w:cs="仿宋"/>
          <w:szCs w:val="24"/>
        </w:rPr>
        <w:t>元、滞纳金2</w:t>
      </w:r>
      <w:r>
        <w:rPr>
          <w:rFonts w:cs="仿宋"/>
          <w:szCs w:val="24"/>
        </w:rPr>
        <w:t>,502.42</w:t>
      </w:r>
      <w:r>
        <w:rPr>
          <w:rFonts w:hint="eastAsia" w:cs="仿宋"/>
          <w:szCs w:val="24"/>
        </w:rPr>
        <w:t>元。根据应急管理局提供的</w:t>
      </w:r>
      <w:bookmarkStart w:id="67" w:name="_Hlk148566160"/>
      <w:r>
        <w:rPr>
          <w:rFonts w:hint="eastAsia" w:cs="仿宋"/>
          <w:szCs w:val="24"/>
        </w:rPr>
        <w:t>2</w:t>
      </w:r>
      <w:r>
        <w:rPr>
          <w:rFonts w:cs="仿宋"/>
          <w:szCs w:val="24"/>
        </w:rPr>
        <w:t>023</w:t>
      </w:r>
      <w:r>
        <w:rPr>
          <w:rFonts w:hint="eastAsia" w:cs="仿宋"/>
          <w:szCs w:val="24"/>
        </w:rPr>
        <w:t>年1至7月5家</w:t>
      </w:r>
      <w:bookmarkEnd w:id="67"/>
      <w:r>
        <w:rPr>
          <w:rFonts w:hint="eastAsia" w:cs="仿宋"/>
          <w:szCs w:val="24"/>
        </w:rPr>
        <w:t>非煤矿山过磅数据与企业金三核心征管系统申报缴纳数据比对分析,税务核查</w:t>
      </w:r>
      <w:r>
        <w:rPr>
          <w:rFonts w:cs="仿宋"/>
          <w:szCs w:val="24"/>
        </w:rPr>
        <w:t>2023年1至7月5家</w:t>
      </w:r>
      <w:r>
        <w:rPr>
          <w:rFonts w:hint="eastAsia" w:cs="仿宋"/>
          <w:szCs w:val="24"/>
        </w:rPr>
        <w:t>企业共入库税费2</w:t>
      </w:r>
      <w:r>
        <w:rPr>
          <w:rFonts w:cs="仿宋"/>
          <w:szCs w:val="24"/>
        </w:rPr>
        <w:t>46.96</w:t>
      </w:r>
      <w:r>
        <w:rPr>
          <w:rFonts w:hint="eastAsia" w:cs="仿宋"/>
          <w:szCs w:val="24"/>
        </w:rPr>
        <w:t>万元，较2</w:t>
      </w:r>
      <w:r>
        <w:rPr>
          <w:rFonts w:cs="仿宋"/>
          <w:szCs w:val="24"/>
        </w:rPr>
        <w:t>022</w:t>
      </w:r>
      <w:r>
        <w:rPr>
          <w:rFonts w:hint="eastAsia" w:cs="仿宋"/>
          <w:szCs w:val="24"/>
        </w:rPr>
        <w:t>年度同期增加1</w:t>
      </w:r>
      <w:r>
        <w:rPr>
          <w:rFonts w:cs="仿宋"/>
          <w:szCs w:val="24"/>
        </w:rPr>
        <w:t>33.07</w:t>
      </w:r>
      <w:r>
        <w:rPr>
          <w:rFonts w:hint="eastAsia" w:cs="仿宋"/>
          <w:szCs w:val="24"/>
        </w:rPr>
        <w:t>万元，增长1</w:t>
      </w:r>
      <w:r>
        <w:rPr>
          <w:rFonts w:cs="仿宋"/>
          <w:szCs w:val="24"/>
        </w:rPr>
        <w:t>16.84%</w:t>
      </w:r>
      <w:r>
        <w:rPr>
          <w:rFonts w:hint="eastAsia" w:cs="仿宋"/>
          <w:szCs w:val="24"/>
        </w:rPr>
        <w:t>。规范非煤矿山税费征管，</w:t>
      </w:r>
      <w:bookmarkStart w:id="68" w:name="_Hlk148566965"/>
      <w:r>
        <w:rPr>
          <w:rFonts w:hint="eastAsia" w:cs="仿宋"/>
          <w:szCs w:val="24"/>
        </w:rPr>
        <w:t>实现非煤矿山安全生产和税收征管深度融合，确保税收足额入库，有效遏制跑冒滴漏现象效果明显</w:t>
      </w:r>
      <w:bookmarkEnd w:id="68"/>
      <w:r>
        <w:rPr>
          <w:rFonts w:hint="eastAsia" w:cs="仿宋"/>
          <w:szCs w:val="24"/>
        </w:rPr>
        <w:t>。</w:t>
      </w:r>
    </w:p>
    <w:p>
      <w:pPr>
        <w:ind w:firstLine="480"/>
        <w:rPr>
          <w:rFonts w:cs="仿宋"/>
          <w:szCs w:val="24"/>
        </w:rPr>
      </w:pPr>
      <w:r>
        <w:rPr>
          <w:rFonts w:hint="eastAsia" w:cs="仿宋"/>
          <w:szCs w:val="24"/>
        </w:rPr>
        <w:t>2</w:t>
      </w:r>
      <w:r>
        <w:rPr>
          <w:rFonts w:cs="仿宋"/>
          <w:szCs w:val="24"/>
        </w:rPr>
        <w:t>.</w:t>
      </w:r>
      <w:r>
        <w:rPr>
          <w:rFonts w:hint="eastAsia" w:cs="仿宋"/>
          <w:szCs w:val="24"/>
        </w:rPr>
        <w:t>社会效益</w:t>
      </w:r>
    </w:p>
    <w:p>
      <w:pPr>
        <w:ind w:firstLine="480"/>
        <w:rPr>
          <w:rFonts w:cs="仿宋"/>
          <w:szCs w:val="24"/>
        </w:rPr>
      </w:pPr>
      <w:bookmarkStart w:id="69" w:name="_Hlk145363678"/>
      <w:r>
        <w:rPr>
          <w:rFonts w:cs="仿宋"/>
          <w:szCs w:val="24"/>
        </w:rPr>
        <w:t>(1)</w:t>
      </w:r>
      <w:bookmarkEnd w:id="69"/>
      <w:r>
        <w:rPr>
          <w:rFonts w:cs="仿宋"/>
          <w:szCs w:val="24"/>
        </w:rPr>
        <w:t>计量监控设备及信息化平台正常运转率：经现场勘查指挥中心安全生产监管平台及企业端监控点位运转情况，指挥中心安全生产监管平台正常运转，计量设备运转正常，但勘查发现已安装的10个非煤矿山前端监控设备共计63台，现场堪查时48台设备处于离线状态，仅15台在线</w:t>
      </w:r>
      <w:r>
        <w:rPr>
          <w:rFonts w:hint="eastAsia" w:cs="仿宋"/>
          <w:szCs w:val="24"/>
        </w:rPr>
        <w:t>，</w:t>
      </w:r>
      <w:r>
        <w:rPr>
          <w:rFonts w:cs="仿宋"/>
          <w:szCs w:val="24"/>
        </w:rPr>
        <w:t>计量监控设备及信息化平台正常运转率61.90%</w:t>
      </w:r>
      <w:r>
        <w:rPr>
          <w:rFonts w:hint="eastAsia" w:cs="仿宋"/>
          <w:szCs w:val="24"/>
        </w:rPr>
        <w:t>。</w:t>
      </w:r>
    </w:p>
    <w:p>
      <w:pPr>
        <w:ind w:firstLine="480"/>
        <w:rPr>
          <w:rFonts w:cs="仿宋"/>
          <w:szCs w:val="24"/>
        </w:rPr>
      </w:pPr>
      <w:r>
        <w:rPr>
          <w:rFonts w:cs="仿宋"/>
          <w:szCs w:val="24"/>
        </w:rPr>
        <w:t>(2)矿区监控覆盖率：经现场查看监控设备及信息化平台，已安装完成的10个非煤矿山前端监控点基本覆盖了矿区各个区域</w:t>
      </w:r>
      <w:r>
        <w:rPr>
          <w:rFonts w:hint="eastAsia" w:cs="仿宋"/>
          <w:szCs w:val="24"/>
        </w:rPr>
        <w:t>，</w:t>
      </w:r>
      <w:r>
        <w:rPr>
          <w:rFonts w:cs="仿宋"/>
          <w:szCs w:val="24"/>
        </w:rPr>
        <w:t>矿区监控覆盖率100%</w:t>
      </w:r>
      <w:r>
        <w:rPr>
          <w:rFonts w:hint="eastAsia" w:cs="仿宋"/>
          <w:szCs w:val="24"/>
        </w:rPr>
        <w:t>。</w:t>
      </w:r>
    </w:p>
    <w:p>
      <w:pPr>
        <w:ind w:firstLine="480"/>
        <w:rPr>
          <w:rFonts w:cs="仿宋"/>
          <w:szCs w:val="24"/>
        </w:rPr>
      </w:pPr>
      <w:r>
        <w:rPr>
          <w:rFonts w:cs="仿宋"/>
          <w:szCs w:val="24"/>
        </w:rPr>
        <w:t>(3)平台计量信息处理上报及时率：应急管理局每月监测的过磅数据由人工统计后于下月初上报至税务局，但根据指挥中心安全生产监管平台系统记录</w:t>
      </w:r>
      <w:r>
        <w:rPr>
          <w:rFonts w:hint="eastAsia" w:cs="仿宋"/>
          <w:szCs w:val="24"/>
        </w:rPr>
        <w:t>，</w:t>
      </w:r>
      <w:r>
        <w:rPr>
          <w:rFonts w:cs="仿宋"/>
          <w:szCs w:val="24"/>
        </w:rPr>
        <w:t>存在部分车辆进场时空车未过磅的情况（空车重量由统计人员根据以前监测的数据填列），上报数据不</w:t>
      </w:r>
      <w:r>
        <w:rPr>
          <w:rFonts w:hint="eastAsia" w:cs="仿宋"/>
          <w:szCs w:val="24"/>
        </w:rPr>
        <w:t>完全</w:t>
      </w:r>
      <w:r>
        <w:rPr>
          <w:rFonts w:cs="仿宋"/>
          <w:szCs w:val="24"/>
        </w:rPr>
        <w:t>精准</w:t>
      </w:r>
      <w:r>
        <w:rPr>
          <w:rFonts w:hint="eastAsia" w:cs="仿宋"/>
          <w:szCs w:val="24"/>
        </w:rPr>
        <w:t>及时</w:t>
      </w:r>
      <w:r>
        <w:rPr>
          <w:rFonts w:cs="仿宋"/>
          <w:szCs w:val="24"/>
        </w:rPr>
        <w:t>。</w:t>
      </w:r>
    </w:p>
    <w:p>
      <w:pPr>
        <w:ind w:firstLine="472"/>
        <w:rPr>
          <w:rFonts w:cs="仿宋"/>
          <w:spacing w:val="-2"/>
          <w:szCs w:val="24"/>
        </w:rPr>
      </w:pPr>
      <w:r>
        <w:rPr>
          <w:rFonts w:cs="仿宋"/>
          <w:spacing w:val="-2"/>
          <w:szCs w:val="24"/>
        </w:rPr>
        <w:t>(4)非煤矿山企业违章、违规问题和安全隐患查处整改率：根据指挥中心平台监控数据仅发现1例（发生18次预警）越界问题，应急管理局已及时核实，属树木移栽，已上报的超重及进场空车未过磅问题应急管理局未提供具体处理方案</w:t>
      </w:r>
      <w:r>
        <w:rPr>
          <w:rFonts w:hint="eastAsia" w:cs="仿宋"/>
          <w:spacing w:val="-2"/>
          <w:szCs w:val="24"/>
        </w:rPr>
        <w:t>。</w:t>
      </w:r>
    </w:p>
    <w:p>
      <w:pPr>
        <w:ind w:firstLine="480"/>
        <w:rPr>
          <w:rFonts w:cs="仿宋"/>
          <w:szCs w:val="24"/>
        </w:rPr>
      </w:pPr>
      <w:r>
        <w:rPr>
          <w:rFonts w:cs="仿宋"/>
          <w:szCs w:val="24"/>
        </w:rPr>
        <w:t>(5)政府采购执行率：项目通过竞争性磋商采购方式，确定了主体施工单位为银鹏科技有限公司</w:t>
      </w:r>
      <w:r>
        <w:rPr>
          <w:rFonts w:hint="eastAsia" w:cs="仿宋"/>
          <w:szCs w:val="24"/>
        </w:rPr>
        <w:t>，</w:t>
      </w:r>
      <w:r>
        <w:rPr>
          <w:rFonts w:cs="仿宋"/>
          <w:szCs w:val="24"/>
        </w:rPr>
        <w:t>政府采购执行率100%</w:t>
      </w:r>
      <w:r>
        <w:rPr>
          <w:rFonts w:hint="eastAsia" w:cs="仿宋"/>
          <w:szCs w:val="24"/>
        </w:rPr>
        <w:t>。</w:t>
      </w:r>
    </w:p>
    <w:p>
      <w:pPr>
        <w:ind w:firstLine="480"/>
        <w:rPr>
          <w:rFonts w:cs="仿宋"/>
          <w:szCs w:val="24"/>
        </w:rPr>
      </w:pPr>
      <w:r>
        <w:rPr>
          <w:rFonts w:cs="仿宋"/>
          <w:szCs w:val="24"/>
        </w:rPr>
        <w:t>(6)非煤矿山应急事故预警率：截止现场评议时点，未发生过应急事故情况。</w:t>
      </w:r>
    </w:p>
    <w:p>
      <w:pPr>
        <w:ind w:firstLine="480"/>
        <w:rPr>
          <w:rFonts w:cs="仿宋"/>
          <w:szCs w:val="24"/>
        </w:rPr>
      </w:pPr>
      <w:r>
        <w:rPr>
          <w:rFonts w:cs="仿宋"/>
          <w:szCs w:val="24"/>
        </w:rPr>
        <w:t>3.</w:t>
      </w:r>
      <w:r>
        <w:rPr>
          <w:rFonts w:hint="eastAsia" w:cs="仿宋"/>
          <w:szCs w:val="24"/>
        </w:rPr>
        <w:t>生态效益</w:t>
      </w:r>
    </w:p>
    <w:p>
      <w:pPr>
        <w:ind w:firstLine="480"/>
        <w:rPr>
          <w:rFonts w:cs="仿宋"/>
          <w:szCs w:val="24"/>
        </w:rPr>
      </w:pPr>
      <w:r>
        <w:rPr>
          <w:rFonts w:hint="eastAsia" w:cs="仿宋"/>
          <w:szCs w:val="24"/>
        </w:rPr>
        <w:t>通过应急管理局指挥中心安全生产监管平台系统前端监控视频实时记录，及以前记录视频数据显示，已建设完成的</w:t>
      </w:r>
      <w:r>
        <w:rPr>
          <w:rFonts w:cs="仿宋"/>
          <w:szCs w:val="24"/>
        </w:rPr>
        <w:t>10个非煤矿山前端监控点均覆盖矿区各个生产区域，实时监控矿区地质灾害情况。</w:t>
      </w:r>
    </w:p>
    <w:p>
      <w:pPr>
        <w:ind w:firstLine="480"/>
      </w:pPr>
      <w:r>
        <w:rPr>
          <w:rFonts w:hint="eastAsia"/>
        </w:rPr>
        <w:t>通过对20份社会公众或服务对象满意度调查问卷统计分析，社会公众对</w:t>
      </w:r>
      <w:bookmarkStart w:id="70" w:name="_Hlk144923361"/>
      <w:r>
        <w:rPr>
          <w:rFonts w:hint="eastAsia"/>
        </w:rPr>
        <w:t>应急管理局</w:t>
      </w:r>
      <w:bookmarkEnd w:id="70"/>
      <w:r>
        <w:rPr>
          <w:rFonts w:hint="eastAsia"/>
        </w:rPr>
        <w:t>非煤矿山安全生产信息化平台建设项目开展情况的综合满意度为</w:t>
      </w:r>
      <w:r>
        <w:t>83.14%</w:t>
      </w:r>
      <w:r>
        <w:rPr>
          <w:rFonts w:hint="eastAsia"/>
        </w:rPr>
        <w:t>。</w:t>
      </w:r>
    </w:p>
    <w:p>
      <w:pPr>
        <w:ind w:firstLine="480"/>
        <w:rPr>
          <w:rFonts w:ascii="黑体" w:hAnsi="黑体" w:eastAsia="黑体" w:cs="黑体"/>
          <w:szCs w:val="24"/>
        </w:rPr>
      </w:pPr>
      <w:r>
        <w:rPr>
          <w:rFonts w:hint="eastAsia" w:ascii="黑体" w:hAnsi="黑体" w:eastAsia="黑体" w:cs="黑体"/>
          <w:szCs w:val="24"/>
        </w:rPr>
        <w:t>六、主要经验及做法</w:t>
      </w:r>
      <w:bookmarkEnd w:id="63"/>
      <w:bookmarkEnd w:id="64"/>
    </w:p>
    <w:p>
      <w:pPr>
        <w:ind w:firstLine="480"/>
        <w:rPr>
          <w:rFonts w:ascii="仿宋_GB2312" w:eastAsia="仿宋_GB2312" w:cs="仿宋"/>
          <w:szCs w:val="24"/>
        </w:rPr>
      </w:pPr>
      <w:bookmarkStart w:id="71" w:name="_Toc498009789"/>
      <w:bookmarkStart w:id="72" w:name="_Toc502134872"/>
      <w:r>
        <w:rPr>
          <w:rFonts w:hint="eastAsia" w:cs="仿宋"/>
          <w:szCs w:val="24"/>
        </w:rPr>
        <w:t>无。</w:t>
      </w:r>
    </w:p>
    <w:p>
      <w:pPr>
        <w:ind w:firstLine="480"/>
        <w:rPr>
          <w:rFonts w:ascii="黑体" w:hAnsi="黑体" w:eastAsia="黑体" w:cs="黑体"/>
          <w:szCs w:val="24"/>
        </w:rPr>
      </w:pPr>
      <w:r>
        <w:rPr>
          <w:rFonts w:hint="eastAsia" w:ascii="黑体" w:hAnsi="黑体" w:eastAsia="黑体" w:cs="黑体"/>
          <w:szCs w:val="24"/>
        </w:rPr>
        <w:t>七、存在的主要问题</w:t>
      </w:r>
      <w:bookmarkEnd w:id="71"/>
      <w:bookmarkEnd w:id="72"/>
    </w:p>
    <w:p>
      <w:pPr>
        <w:ind w:firstLine="480"/>
        <w:rPr>
          <w:rFonts w:ascii="楷体" w:hAnsi="楷体" w:eastAsia="楷体" w:cs="楷体"/>
          <w:bCs/>
          <w:szCs w:val="24"/>
        </w:rPr>
      </w:pPr>
      <w:bookmarkStart w:id="73" w:name="_Toc500440025"/>
      <w:bookmarkStart w:id="74" w:name="_Toc500849310"/>
      <w:bookmarkStart w:id="75" w:name="_Toc500589022"/>
      <w:bookmarkStart w:id="76" w:name="_Toc500364179"/>
      <w:bookmarkStart w:id="77" w:name="_Toc500202563"/>
      <w:bookmarkStart w:id="78" w:name="_Toc502134873"/>
      <w:r>
        <w:rPr>
          <w:rFonts w:ascii="楷体" w:hAnsi="楷体" w:eastAsia="楷体" w:cs="楷体"/>
          <w:bCs/>
          <w:szCs w:val="24"/>
        </w:rPr>
        <w:t>(一)绩效目标管理职责履职不到位</w:t>
      </w:r>
    </w:p>
    <w:p>
      <w:pPr>
        <w:ind w:firstLine="480"/>
        <w:rPr>
          <w:rFonts w:cs="仿宋"/>
          <w:szCs w:val="24"/>
        </w:rPr>
      </w:pPr>
      <w:r>
        <w:rPr>
          <w:rFonts w:cs="仿宋"/>
          <w:szCs w:val="24"/>
        </w:rPr>
        <w:t>2022年</w:t>
      </w:r>
      <w:r>
        <w:rPr>
          <w:rFonts w:hint="eastAsia" w:cs="仿宋"/>
          <w:szCs w:val="24"/>
        </w:rPr>
        <w:t>度</w:t>
      </w:r>
      <w:r>
        <w:rPr>
          <w:rFonts w:cs="仿宋"/>
          <w:szCs w:val="24"/>
        </w:rPr>
        <w:t>，应急管理局根据资金下达文件，按资金来源及资金分项项目名称填报了《绩效目标申报表》共3份，申报项目预算资金合计3,900,000.00元，据《绩效目标申报表》分析，应急管理局</w:t>
      </w:r>
      <w:r>
        <w:rPr>
          <w:rFonts w:hint="eastAsia" w:cs="仿宋"/>
          <w:szCs w:val="24"/>
        </w:rPr>
        <w:t>该项目绩效目标管理方面</w:t>
      </w:r>
      <w:r>
        <w:rPr>
          <w:rFonts w:cs="仿宋"/>
          <w:szCs w:val="24"/>
        </w:rPr>
        <w:t>存在</w:t>
      </w:r>
      <w:r>
        <w:rPr>
          <w:rFonts w:hint="eastAsia" w:cs="仿宋"/>
          <w:szCs w:val="24"/>
        </w:rPr>
        <w:t>如下主要</w:t>
      </w:r>
      <w:r>
        <w:rPr>
          <w:rFonts w:cs="仿宋"/>
          <w:szCs w:val="24"/>
        </w:rPr>
        <w:t>问题：</w:t>
      </w:r>
    </w:p>
    <w:p>
      <w:pPr>
        <w:ind w:firstLine="480"/>
        <w:rPr>
          <w:rFonts w:cs="仿宋"/>
          <w:szCs w:val="24"/>
        </w:rPr>
      </w:pPr>
      <w:r>
        <w:rPr>
          <w:rFonts w:cs="仿宋"/>
          <w:szCs w:val="24"/>
        </w:rPr>
        <w:t>1</w:t>
      </w:r>
      <w:r>
        <w:rPr>
          <w:rFonts w:hint="eastAsia" w:cs="仿宋"/>
          <w:szCs w:val="24"/>
        </w:rPr>
        <w:t>.</w:t>
      </w:r>
      <w:r>
        <w:rPr>
          <w:rFonts w:cs="仿宋"/>
          <w:szCs w:val="24"/>
        </w:rPr>
        <w:t>绩效目标填列不规范、不准确，项目所设定的年度目标未清晰项目实施内容及具体的工作数量，不能完整反映项目产出效益和效果，无法评价是否符合正常的业绩水平。</w:t>
      </w:r>
    </w:p>
    <w:p>
      <w:pPr>
        <w:ind w:firstLine="480"/>
        <w:rPr>
          <w:rFonts w:cs="仿宋"/>
          <w:szCs w:val="24"/>
        </w:rPr>
      </w:pPr>
      <w:r>
        <w:rPr>
          <w:rFonts w:cs="仿宋"/>
          <w:szCs w:val="24"/>
        </w:rPr>
        <w:t>2.绩效指标存在缺项、漏项的情况，如：“寻甸县非煤矿山安全生产信息化平台建设专项资金（2021年）”未设置产出质量指标、产出时效指标；“寻甸县2022年非煤矿山安全生产信息化平台建设专项资金”未设置产出成本指标、社会效益指标；“2022年省级转移支付应急管理信息化建设专项资金”未设置产出数量指标。</w:t>
      </w:r>
    </w:p>
    <w:p>
      <w:pPr>
        <w:ind w:firstLine="472"/>
        <w:rPr>
          <w:rFonts w:cs="仿宋"/>
          <w:spacing w:val="-2"/>
          <w:szCs w:val="24"/>
        </w:rPr>
      </w:pPr>
      <w:r>
        <w:rPr>
          <w:rFonts w:cs="仿宋"/>
          <w:spacing w:val="-2"/>
          <w:szCs w:val="24"/>
        </w:rPr>
        <w:t>3.绩效指标设定不充分全面，大部分指标未设定最能体现项目绩效目标实现程度和项目实施部门职能履职情况的关键的、核心的绩效指标。如：“寻甸县2022年非煤矿山安全生产信息化平台建设专项资金”未设置社会效益指标；“寻甸县非煤矿山安全生产信息化平台建设专项资金（2021年）”设置的1个社会效益指标与指标性质不相关；“2022年省级转移支付应急管理信息化建设专项资金”仅设置1个社会效益指标。未就项目实施所带来的非煤矿山企业违章、违规问题和安全隐患查处整改、矿区监控覆盖、计量监控设备及信息化平台正常运转、非煤矿山</w:t>
      </w:r>
      <w:r>
        <w:rPr>
          <w:rFonts w:hint="eastAsia" w:cs="仿宋"/>
          <w:spacing w:val="-2"/>
          <w:szCs w:val="24"/>
        </w:rPr>
        <w:t>应急事故预警、平台计量信息处理上报等方面设置社会效益指标。</w:t>
      </w:r>
    </w:p>
    <w:p>
      <w:pPr>
        <w:ind w:firstLine="480"/>
        <w:rPr>
          <w:rFonts w:cs="仿宋"/>
          <w:szCs w:val="24"/>
        </w:rPr>
      </w:pPr>
      <w:r>
        <w:rPr>
          <w:rFonts w:cs="仿宋"/>
          <w:szCs w:val="24"/>
        </w:rPr>
        <w:t>4.部分分项指标设置不科学不合理，如：“2022年省级转移支付应急管理信息化建设专项资金”产出质量指标及指标值设置为“信息系统维护时间=1年、采购程序合规率=100%”，未就设备验收质量方面设置质量指标；“寻甸县2022年非煤矿山安全生产信息化平台建设专项资金”经济效益指标及指标值设置为“网络信息费用≤30万元”，与项目所带来的经济效益不相关。</w:t>
      </w:r>
    </w:p>
    <w:p>
      <w:pPr>
        <w:ind w:firstLine="480"/>
        <w:rPr>
          <w:rFonts w:cs="仿宋"/>
          <w:szCs w:val="24"/>
        </w:rPr>
      </w:pPr>
      <w:r>
        <w:rPr>
          <w:rFonts w:cs="仿宋"/>
          <w:szCs w:val="24"/>
        </w:rPr>
        <w:t>上述预算绩效管理职责履行不到位的情况，不符合《中华人民共和国预算法》第三十二条“……各部门、各单位应当按照……以及绩效目标管理等预算编制规定，……编制本部门、本单位预算草案。”、第五十七条“……各级政府、各部门、各单位应当对预算支出情况开展绩效评价。”、《中共中央、国务院关于全面实施预算绩效管理的意见》（中发〔2018〕34号）第四条第（七）项“强化绩效目标管理。各地区各部门编制预算时要……全面设置部门和单位整体绩效目标、政策及项目绩效目标。绩效目标不仅要包括产出、成本，还要包括经济效益、社会效益</w:t>
      </w:r>
      <w:r>
        <w:rPr>
          <w:rFonts w:hint="eastAsia" w:cs="仿宋"/>
          <w:szCs w:val="24"/>
        </w:rPr>
        <w:t>、生态效益、可持续影响和服务对象满意度等绩效指标。……。”和《云南省省级财政预算绩效目标管理暂行办法》（云财预〔</w:t>
      </w:r>
      <w:r>
        <w:rPr>
          <w:rFonts w:cs="仿宋"/>
          <w:szCs w:val="24"/>
        </w:rPr>
        <w:t>2015〕344号）第十二条“绩效指标是绩效目标的细化和量化，主要包括产出指标、效果指标和效率指标等。绩效指标应符合相关性、重要性、可比性、系统性、经济性要求。每一类型的绩效指标应有具体、细化、量化的绩效指标内容与之对应。”</w:t>
      </w:r>
      <w:r>
        <w:rPr>
          <w:rFonts w:hint="eastAsia" w:cs="仿宋"/>
          <w:szCs w:val="24"/>
        </w:rPr>
        <w:t>的规定。</w:t>
      </w:r>
    </w:p>
    <w:p>
      <w:pPr>
        <w:ind w:firstLine="480"/>
        <w:rPr>
          <w:rFonts w:ascii="楷体" w:hAnsi="楷体" w:eastAsia="楷体" w:cs="楷体"/>
          <w:bCs/>
          <w:szCs w:val="24"/>
        </w:rPr>
      </w:pPr>
      <w:r>
        <w:rPr>
          <w:rFonts w:ascii="楷体" w:hAnsi="楷体" w:eastAsia="楷体" w:cs="楷体"/>
          <w:bCs/>
          <w:szCs w:val="24"/>
        </w:rPr>
        <w:t>(二)</w:t>
      </w:r>
      <w:bookmarkStart w:id="79" w:name="_Hlk145364792"/>
      <w:r>
        <w:rPr>
          <w:rFonts w:ascii="楷体" w:hAnsi="楷体" w:eastAsia="楷体" w:cs="楷体"/>
          <w:bCs/>
          <w:szCs w:val="24"/>
        </w:rPr>
        <w:t>资本性支出费用化</w:t>
      </w:r>
      <w:bookmarkEnd w:id="79"/>
    </w:p>
    <w:p>
      <w:pPr>
        <w:ind w:firstLine="480"/>
        <w:rPr>
          <w:rFonts w:cs="仿宋"/>
          <w:szCs w:val="24"/>
        </w:rPr>
      </w:pPr>
      <w:r>
        <w:rPr>
          <w:rFonts w:cs="仿宋"/>
          <w:szCs w:val="24"/>
        </w:rPr>
        <w:t>1.2022年3月第16号凭证“寻甸非煤矿山实时安全生产信息化监控系统建设项目首款”463,000.00元；2022年12月第19号凭证“付寻甸非煤矿山实时安全生产信息化监控系统建设项目尾款”1,039,495.00元，为支付寻甸县2021年非煤矿山实时安全生产信息化监控系统建设项目工程款,财务账记“业务活动费用-商品和服务费用”、预算账记“行政支出-财政拨款支出-项目支出-其他商品和服务支出”，未核算为“在建工程/建筑安装工程投资”。</w:t>
      </w:r>
    </w:p>
    <w:p>
      <w:pPr>
        <w:ind w:firstLine="480"/>
        <w:rPr>
          <w:rFonts w:cs="仿宋"/>
          <w:szCs w:val="24"/>
        </w:rPr>
      </w:pPr>
      <w:r>
        <w:rPr>
          <w:rFonts w:cs="仿宋"/>
          <w:szCs w:val="24"/>
        </w:rPr>
        <w:t>上述资本性支出费用化、未规范执行“正确划分资本性支出与收益性支出”会计核算原则的情况，不符合《行政单位财务规则》（财政部令第113号）第三十一条“固定资产是指使用期限超过一年，单位价值在1000元以上，并且在使用过程中基本保持原有物质形态的资产。……。”、《基本建设项目建设成本管理规定》（财建〔2016〕504号）第二条“建筑安装工程投资支出是指基本建设项目（以下简称项目）建设单位按照批准的建设内容发生的建筑工程和安装工程的实际成本，其中不包括被安装设备本身的价值，以及按照合同规定支付给施工单位的预付备</w:t>
      </w:r>
      <w:r>
        <w:rPr>
          <w:rFonts w:hint="eastAsia" w:cs="仿宋"/>
          <w:szCs w:val="24"/>
        </w:rPr>
        <w:t>料款和预付工程款。”、第四条“待摊投资支出是指项目建设单位按照批准的建设内容发生的，应当分摊计入相关资产价值的各项费用和税金支出。”和《政府会计准则制度解释第</w:t>
      </w:r>
      <w:r>
        <w:rPr>
          <w:rFonts w:cs="仿宋"/>
          <w:szCs w:val="24"/>
        </w:rPr>
        <w:t>2号》（财会〔2019〕24号）第八条第（一）项“基本建设项目应当由负责编报基本建设项目预决算的单位（即建设单位）作为会计核算主体。建设单位应当按照《政府会计制度》规定在相关会计科目下分项目对基本建设项目进行明细核算。”规定。</w:t>
      </w:r>
    </w:p>
    <w:p>
      <w:pPr>
        <w:ind w:firstLine="480"/>
        <w:rPr>
          <w:rFonts w:ascii="楷体" w:hAnsi="楷体" w:eastAsia="楷体" w:cs="楷体"/>
          <w:bCs/>
          <w:szCs w:val="24"/>
        </w:rPr>
      </w:pPr>
      <w:r>
        <w:rPr>
          <w:rFonts w:ascii="楷体" w:hAnsi="楷体" w:eastAsia="楷体" w:cs="楷体"/>
          <w:bCs/>
          <w:szCs w:val="24"/>
        </w:rPr>
        <w:t>(</w:t>
      </w:r>
      <w:r>
        <w:rPr>
          <w:rFonts w:hint="eastAsia" w:ascii="楷体" w:hAnsi="楷体" w:eastAsia="楷体" w:cs="楷体"/>
          <w:bCs/>
          <w:szCs w:val="24"/>
        </w:rPr>
        <w:t>三</w:t>
      </w:r>
      <w:r>
        <w:rPr>
          <w:rFonts w:ascii="楷体" w:hAnsi="楷体" w:eastAsia="楷体" w:cs="楷体"/>
          <w:bCs/>
          <w:szCs w:val="24"/>
        </w:rPr>
        <w:t>)</w:t>
      </w:r>
      <w:bookmarkStart w:id="80" w:name="_Hlk145364831"/>
      <w:r>
        <w:rPr>
          <w:rFonts w:ascii="楷体" w:hAnsi="楷体" w:eastAsia="楷体" w:cs="楷体"/>
          <w:bCs/>
          <w:szCs w:val="24"/>
        </w:rPr>
        <w:t>项目资金未按项目名称进行明细核算</w:t>
      </w:r>
      <w:bookmarkEnd w:id="80"/>
    </w:p>
    <w:p>
      <w:pPr>
        <w:ind w:firstLine="480"/>
        <w:rPr>
          <w:rFonts w:cs="仿宋"/>
          <w:szCs w:val="24"/>
        </w:rPr>
      </w:pPr>
      <w:r>
        <w:rPr>
          <w:rFonts w:cs="仿宋"/>
          <w:szCs w:val="24"/>
        </w:rPr>
        <w:t>检查发现该项目资金账面仅根据资金来源分类支付相关项目款项核算，但未按规定以项目名称进行明细核算，也未建立项目台账辅助核算，不符合《政府会计制度》7101行政支出第二条“本科目应当分别按照‘财政拨款支出’、‘非财政专项资金支出’和‘其他资金支出’，‘基本支出’和‘项目支出’等进行明细核算，……同时在‘项目支出’明细科目下按照具体项目进行明细核算。”的规定。</w:t>
      </w:r>
    </w:p>
    <w:bookmarkEnd w:id="73"/>
    <w:bookmarkEnd w:id="74"/>
    <w:bookmarkEnd w:id="75"/>
    <w:bookmarkEnd w:id="76"/>
    <w:bookmarkEnd w:id="77"/>
    <w:bookmarkEnd w:id="78"/>
    <w:p>
      <w:pPr>
        <w:ind w:firstLine="480"/>
        <w:rPr>
          <w:rFonts w:ascii="黑体" w:hAnsi="黑体" w:eastAsia="黑体" w:cs="黑体"/>
          <w:szCs w:val="24"/>
        </w:rPr>
      </w:pPr>
      <w:bookmarkStart w:id="81" w:name="_Toc498009790"/>
      <w:bookmarkStart w:id="82" w:name="_Toc502134879"/>
      <w:r>
        <w:rPr>
          <w:rFonts w:hint="eastAsia" w:ascii="黑体" w:hAnsi="黑体" w:eastAsia="黑体" w:cs="黑体"/>
          <w:szCs w:val="24"/>
        </w:rPr>
        <w:t>八、建议</w:t>
      </w:r>
      <w:bookmarkEnd w:id="81"/>
      <w:bookmarkEnd w:id="82"/>
      <w:bookmarkStart w:id="83" w:name="_Toc500589028"/>
      <w:bookmarkStart w:id="84" w:name="_Toc500202569"/>
      <w:bookmarkStart w:id="85" w:name="_Toc500849317"/>
      <w:bookmarkStart w:id="86" w:name="_Toc500440031"/>
      <w:bookmarkStart w:id="87" w:name="_Toc500364185"/>
      <w:bookmarkStart w:id="88" w:name="_Toc502134880"/>
      <w:bookmarkStart w:id="89" w:name="_Toc498009791"/>
    </w:p>
    <w:bookmarkEnd w:id="83"/>
    <w:bookmarkEnd w:id="84"/>
    <w:bookmarkEnd w:id="85"/>
    <w:bookmarkEnd w:id="86"/>
    <w:bookmarkEnd w:id="87"/>
    <w:bookmarkEnd w:id="88"/>
    <w:p>
      <w:pPr>
        <w:ind w:firstLine="480"/>
        <w:rPr>
          <w:rFonts w:ascii="楷体" w:hAnsi="楷体" w:eastAsia="楷体" w:cs="仿宋"/>
          <w:szCs w:val="24"/>
        </w:rPr>
      </w:pPr>
      <w:bookmarkStart w:id="90" w:name="_Hlk143876661"/>
      <w:r>
        <w:rPr>
          <w:rFonts w:hint="eastAsia" w:ascii="楷体" w:hAnsi="楷体" w:eastAsia="楷体" w:cs="仿宋"/>
          <w:szCs w:val="24"/>
        </w:rPr>
        <w:t>(一)加强绩效评价结果应用</w:t>
      </w:r>
    </w:p>
    <w:p>
      <w:pPr>
        <w:ind w:firstLine="480"/>
        <w:rPr>
          <w:rFonts w:cs="仿宋"/>
          <w:szCs w:val="24"/>
        </w:rPr>
      </w:pPr>
      <w:r>
        <w:rPr>
          <w:rFonts w:hint="eastAsia" w:cs="仿宋"/>
          <w:szCs w:val="24"/>
        </w:rPr>
        <w:t>按照《中华人民共和国预算法》等法律法规的规定，在预算绩效审核、审批、监督检查时，切实将绩效评价结果作为下一年度预算安排及相关责任落实的依据之一。同时根据《中共中央、国务院关于全面实施预算绩效管理的意见》（中发〔</w:t>
      </w:r>
      <w:r>
        <w:rPr>
          <w:rFonts w:cs="仿宋"/>
          <w:szCs w:val="24"/>
        </w:rPr>
        <w:t>2018〕34号）第八条第（十八）项“……各级政府要将预算绩效结果纳入政府绩效和干部政绩考核体系，作为领导干部选拔任用、公务员考核的重要参考。……。”的规定，将绩效评价结果作为单位及单位相关负责人评优、评先、晋升、考核考评的必要依据之一。切实贯彻执行“预算编制有目标、预算执行有监控、预算完成有评价、评</w:t>
      </w:r>
      <w:r>
        <w:rPr>
          <w:rFonts w:hint="eastAsia" w:cs="仿宋"/>
          <w:szCs w:val="24"/>
        </w:rPr>
        <w:t>价结果有反馈、反馈结果有应用”和“谁用钱谁负责，用钱必问效，无效要问责”的预算绩效管理原则。</w:t>
      </w:r>
    </w:p>
    <w:p>
      <w:pPr>
        <w:ind w:firstLine="480"/>
        <w:rPr>
          <w:rFonts w:ascii="楷体" w:hAnsi="楷体" w:eastAsia="楷体" w:cs="仿宋"/>
          <w:szCs w:val="24"/>
        </w:rPr>
      </w:pPr>
      <w:r>
        <w:rPr>
          <w:rFonts w:ascii="楷体" w:hAnsi="楷体" w:eastAsia="楷体" w:cs="仿宋"/>
          <w:szCs w:val="24"/>
        </w:rPr>
        <w:t>(二)强化绩效目标管理主体责任</w:t>
      </w:r>
    </w:p>
    <w:p>
      <w:pPr>
        <w:ind w:firstLine="480"/>
        <w:rPr>
          <w:rFonts w:cs="仿宋"/>
          <w:szCs w:val="24"/>
        </w:rPr>
      </w:pPr>
      <w:r>
        <w:rPr>
          <w:rFonts w:hint="eastAsia" w:cs="仿宋"/>
          <w:szCs w:val="24"/>
        </w:rPr>
        <w:t>各部门、各单位在编制年度绩效目标时，应切实履行绩效目标管理主体责任，结合部门中长期规划、部门职能职责及年度的主要工作任务，梳理完善部门总体绩效目标和年度绩效目标，根据绩效目标确定具体的绩效指标，并设定清晰明确、规范完整、充分全面、最能体现总体目标实现程度的关键性、最具代表性、最能直接反映产出和效益的核心指标并明确具体指标值。</w:t>
      </w:r>
    </w:p>
    <w:p>
      <w:pPr>
        <w:ind w:firstLine="480"/>
        <w:rPr>
          <w:rFonts w:ascii="楷体" w:hAnsi="楷体" w:eastAsia="楷体" w:cs="仿宋"/>
          <w:szCs w:val="24"/>
        </w:rPr>
      </w:pPr>
      <w:r>
        <w:rPr>
          <w:rFonts w:ascii="楷体" w:hAnsi="楷体" w:eastAsia="楷体" w:cs="仿宋"/>
          <w:szCs w:val="24"/>
        </w:rPr>
        <w:t>(</w:t>
      </w:r>
      <w:r>
        <w:rPr>
          <w:rFonts w:hint="eastAsia" w:ascii="楷体" w:hAnsi="楷体" w:eastAsia="楷体" w:cs="仿宋"/>
          <w:szCs w:val="24"/>
        </w:rPr>
        <w:t>三</w:t>
      </w:r>
      <w:r>
        <w:rPr>
          <w:rFonts w:ascii="楷体" w:hAnsi="楷体" w:eastAsia="楷体" w:cs="仿宋"/>
          <w:szCs w:val="24"/>
        </w:rPr>
        <w:t>)加强学习，提高认识</w:t>
      </w:r>
    </w:p>
    <w:p>
      <w:pPr>
        <w:ind w:firstLine="480"/>
      </w:pPr>
      <w:r>
        <w:rPr>
          <w:rFonts w:hint="eastAsia" w:cs="仿宋"/>
          <w:szCs w:val="24"/>
        </w:rPr>
        <w:t>认真学习并严格按照《中华人民共和国预算法》、《中华人民共和国会计法》、《政府会计制度》、《政府会计准则》及运用指南和解释等系列法律法规，规范资金使用合规性和会计核算准确性。对项目具体实施单位资金使用、管理等情况进行有效的日常财务监控检查，保障项目资金合法合规使用，保证项目资金安全和专款专用。</w:t>
      </w:r>
      <w:bookmarkEnd w:id="89"/>
      <w:bookmarkEnd w:id="90"/>
    </w:p>
    <w:p>
      <w:pPr>
        <w:ind w:firstLine="480"/>
        <w:rPr>
          <w:rFonts w:cs="仿宋"/>
          <w:szCs w:val="24"/>
        </w:rPr>
      </w:pPr>
      <w:r>
        <w:rPr>
          <w:rFonts w:hint="eastAsia" w:cs="仿宋"/>
          <w:szCs w:val="24"/>
        </w:rPr>
        <w:t>(四</w:t>
      </w:r>
      <w:r>
        <w:rPr>
          <w:rFonts w:cs="仿宋"/>
          <w:szCs w:val="24"/>
        </w:rPr>
        <w:t>)</w:t>
      </w:r>
      <w:r>
        <w:rPr>
          <w:rFonts w:hint="eastAsia" w:cs="仿宋"/>
          <w:szCs w:val="24"/>
        </w:rPr>
        <w:t>对“资本性支出费用化”、“项目资金未按项目名称进行明细核算”的情况，建议应急管理局调整相关账务。</w:t>
      </w:r>
    </w:p>
    <w:p>
      <w:pPr>
        <w:ind w:firstLine="480"/>
        <w:rPr>
          <w:rFonts w:cs="仿宋"/>
          <w:szCs w:val="24"/>
        </w:rPr>
      </w:pPr>
    </w:p>
    <w:p>
      <w:pPr>
        <w:ind w:firstLine="480"/>
        <w:rPr>
          <w:rFonts w:cs="仿宋"/>
          <w:szCs w:val="24"/>
        </w:rPr>
      </w:pPr>
    </w:p>
    <w:p>
      <w:pPr>
        <w:ind w:firstLine="480"/>
        <w:rPr>
          <w:rFonts w:cs="仿宋"/>
        </w:rPr>
      </w:pPr>
      <w:r>
        <w:rPr>
          <w:rFonts w:hint="eastAsia" w:cs="仿宋"/>
          <w:szCs w:val="24"/>
        </w:rPr>
        <w:t>附件：寻甸县</w:t>
      </w:r>
      <w:r>
        <w:rPr>
          <w:rFonts w:cs="仿宋"/>
          <w:szCs w:val="24"/>
        </w:rPr>
        <w:t>2022年非煤矿山安全生产信息化平台建设项目支出绩效评价指标体系及评分表</w:t>
      </w:r>
    </w:p>
    <w:p>
      <w:pPr>
        <w:ind w:firstLine="480"/>
      </w:pPr>
    </w:p>
    <w:p>
      <w:pPr>
        <w:ind w:firstLine="424" w:firstLineChars="177"/>
        <w:rPr>
          <w:rFonts w:cs="仿宋"/>
        </w:rPr>
      </w:pPr>
      <w:r>
        <w:rPr>
          <w:rFonts w:hint="eastAsia" w:cs="仿宋"/>
        </w:rPr>
        <w:t xml:space="preserve">                           </w:t>
      </w:r>
    </w:p>
    <w:p>
      <w:pPr>
        <w:ind w:firstLine="0" w:firstLineChars="0"/>
        <w:rPr>
          <w:rFonts w:cs="仿宋"/>
          <w:szCs w:val="24"/>
        </w:rPr>
      </w:pPr>
      <w:bookmarkStart w:id="91" w:name="_GoBack"/>
      <w:bookmarkEnd w:id="91"/>
      <w:r>
        <w:rPr>
          <w:rFonts w:hint="eastAsia" w:cs="仿宋"/>
          <w:szCs w:val="24"/>
        </w:rPr>
        <w:t>云南京健会计师事务所（普通合伙）       中国注册会计师：</w:t>
      </w:r>
    </w:p>
    <w:p>
      <w:pPr>
        <w:ind w:firstLine="5040" w:firstLineChars="2100"/>
        <w:rPr>
          <w:rFonts w:cs="仿宋"/>
          <w:szCs w:val="24"/>
        </w:rPr>
      </w:pPr>
    </w:p>
    <w:p>
      <w:pPr>
        <w:ind w:firstLine="1200" w:firstLineChars="500"/>
        <w:rPr>
          <w:rFonts w:cs="仿宋"/>
          <w:szCs w:val="24"/>
        </w:rPr>
      </w:pPr>
      <w:r>
        <w:rPr>
          <w:rFonts w:hint="eastAsia" w:cs="仿宋"/>
          <w:szCs w:val="24"/>
        </w:rPr>
        <w:t>中国•昆明                    中国注册会计师：</w:t>
      </w:r>
    </w:p>
    <w:p>
      <w:pPr>
        <w:ind w:firstLine="480"/>
        <w:rPr>
          <w:rFonts w:cs="仿宋"/>
          <w:szCs w:val="24"/>
        </w:rPr>
      </w:pPr>
    </w:p>
    <w:p>
      <w:pPr>
        <w:ind w:firstLine="4082" w:firstLineChars="1701"/>
        <w:rPr>
          <w:rFonts w:ascii="仿宋_GB2312" w:hAnsi="仿宋_GB2312" w:eastAsia="仿宋_GB2312" w:cs="仿宋_GB2312"/>
          <w:highlight w:val="yellow"/>
        </w:rPr>
      </w:pPr>
      <w:r>
        <w:rPr>
          <w:rFonts w:hint="eastAsia" w:cs="仿宋"/>
          <w:szCs w:val="24"/>
        </w:rPr>
        <w:t>二〇二三年九月二十七日</w:t>
      </w:r>
    </w:p>
    <w:sectPr>
      <w:footerReference r:id="rId11" w:type="default"/>
      <w:pgSz w:w="11906" w:h="16838"/>
      <w:pgMar w:top="1440" w:right="1803" w:bottom="1440" w:left="1803" w:header="1077"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8" w:space="1"/>
        <w:left w:val="none" w:color="auto" w:sz="0" w:space="4"/>
        <w:bottom w:val="none" w:color="auto" w:sz="0" w:space="1"/>
        <w:right w:val="none" w:color="auto" w:sz="0" w:space="4"/>
      </w:pBdr>
      <w:spacing w:line="240" w:lineRule="auto"/>
      <w:ind w:firstLine="0" w:firstLineChars="0"/>
      <w:jc w:val="distribute"/>
      <w:rPr>
        <w:rFonts w:ascii="宋体" w:hAnsi="宋体" w:eastAsia="宋体" w:cs="宋体"/>
        <w:sz w:val="18"/>
        <w:szCs w:val="18"/>
      </w:rPr>
    </w:pPr>
  </w:p>
  <w:p>
    <w:pPr>
      <w:pBdr>
        <w:top w:val="single" w:color="auto" w:sz="8" w:space="1"/>
        <w:left w:val="none" w:color="auto" w:sz="0" w:space="4"/>
        <w:bottom w:val="none" w:color="auto" w:sz="0" w:space="1"/>
        <w:right w:val="none" w:color="auto" w:sz="0" w:space="4"/>
      </w:pBdr>
      <w:spacing w:line="240" w:lineRule="auto"/>
      <w:ind w:firstLine="0" w:firstLineChars="0"/>
      <w:jc w:val="distribute"/>
      <w:rPr>
        <w:rFonts w:ascii="Calibri" w:hAnsi="Calibri" w:cs="Calibri"/>
        <w:sz w:val="18"/>
        <w:szCs w:val="18"/>
      </w:rPr>
    </w:pPr>
    <w:r>
      <w:rPr>
        <w:rFonts w:hint="eastAsia" w:ascii="宋体" w:hAnsi="宋体" w:eastAsia="宋体" w:cs="宋体"/>
        <w:sz w:val="18"/>
        <w:szCs w:val="18"/>
      </w:rPr>
      <w:t>地址（Add）：云南省昆明市滇池旅游度假区广福路中天融域24幢2单元1001号</w:t>
    </w:r>
    <w:r>
      <w:rPr>
        <w:rFonts w:hint="eastAsia" w:ascii="宋体" w:hAnsi="宋体" w:eastAsia="宋体" w:cs="宋体"/>
        <w:szCs w:val="21"/>
      </w:rPr>
      <mc:AlternateContent>
        <mc:Choice Requires="wps">
          <w:drawing>
            <wp:anchor distT="0" distB="0" distL="114300" distR="114300" simplePos="0" relativeHeight="251660288" behindDoc="0" locked="0" layoutInCell="1" allowOverlap="1">
              <wp:simplePos x="0" y="0"/>
              <wp:positionH relativeFrom="margin">
                <wp:posOffset>2175510</wp:posOffset>
              </wp:positionH>
              <wp:positionV relativeFrom="paragraph">
                <wp:posOffset>132715</wp:posOffset>
              </wp:positionV>
              <wp:extent cx="343535" cy="144780"/>
              <wp:effectExtent l="0" t="0" r="0" b="0"/>
              <wp:wrapNone/>
              <wp:docPr id="4" name="文本框 4"/>
              <wp:cNvGraphicFramePr/>
              <a:graphic xmlns:a="http://schemas.openxmlformats.org/drawingml/2006/main">
                <a:graphicData uri="http://schemas.microsoft.com/office/word/2010/wordprocessingShape">
                  <wps:wsp>
                    <wps:cNvSpPr txBox="1"/>
                    <wps:spPr>
                      <a:xfrm>
                        <a:off x="0" y="0"/>
                        <a:ext cx="343535" cy="144780"/>
                      </a:xfrm>
                      <a:prstGeom prst="rect">
                        <a:avLst/>
                      </a:prstGeom>
                      <a:noFill/>
                      <a:ln w="6350">
                        <a:noFill/>
                      </a:ln>
                    </wps:spPr>
                    <wps:txbx>
                      <w:txbxContent>
                        <w:p>
                          <w:pPr>
                            <w:pStyle w:val="5"/>
                            <w:ind w:firstLine="360"/>
                          </w:pP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71.3pt;margin-top:10.45pt;height:11.4pt;width:27.05pt;mso-position-horizontal-relative:margin;mso-wrap-style:none;z-index:251660288;mso-width-relative:page;mso-height-relative:page;" filled="f" stroked="f" coordsize="21600,21600" o:gfxdata="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EJzJXXaAAAACQEAAA8AAAAAAAAAAQAgAAAAIgAAAGRycy9kb3ducmV2Lnht&#10;bFBLAQIUABQAAAAIAIdO4kABWAd4MAIAAFMEAAAOAAAAAAAAAAEAIAAAACkBAABkcnMvZTJvRG9j&#10;LnhtbFBLBQYAAAAABgAGAFkBAADLBQAAAAA=&#10;">
              <v:fill on="f" focussize="0,0"/>
              <v:stroke on="f" weight="0.5pt"/>
              <v:imagedata o:title=""/>
              <o:lock v:ext="edit" aspectratio="f"/>
              <v:textbox inset="0mm,0mm,0mm,0mm">
                <w:txbxContent>
                  <w:p>
                    <w:pPr>
                      <w:pStyle w:val="5"/>
                      <w:ind w:firstLine="360"/>
                    </w:pPr>
                  </w:p>
                </w:txbxContent>
              </v:textbox>
            </v:shape>
          </w:pict>
        </mc:Fallback>
      </mc:AlternateContent>
    </w:r>
    <w:r>
      <w:rPr>
        <w:rFonts w:hint="eastAsia" w:ascii="宋体" w:hAnsi="宋体" w:eastAsia="宋体" w:cs="宋体"/>
        <w:szCs w:val="21"/>
      </w:rPr>
      <mc:AlternateContent>
        <mc:Choice Requires="wps">
          <w:drawing>
            <wp:anchor distT="0" distB="0" distL="114300" distR="114300" simplePos="0" relativeHeight="251661312" behindDoc="0" locked="0" layoutInCell="1" allowOverlap="1">
              <wp:simplePos x="0" y="0"/>
              <wp:positionH relativeFrom="margin">
                <wp:posOffset>1553210</wp:posOffset>
              </wp:positionH>
              <wp:positionV relativeFrom="paragraph">
                <wp:posOffset>76200</wp:posOffset>
              </wp:positionV>
              <wp:extent cx="495300" cy="149225"/>
              <wp:effectExtent l="0" t="0" r="0" b="0"/>
              <wp:wrapNone/>
              <wp:docPr id="6" name="文本框 6"/>
              <wp:cNvGraphicFramePr/>
              <a:graphic xmlns:a="http://schemas.openxmlformats.org/drawingml/2006/main">
                <a:graphicData uri="http://schemas.microsoft.com/office/word/2010/wordprocessingShape">
                  <wps:wsp>
                    <wps:cNvSpPr txBox="1"/>
                    <wps:spPr>
                      <a:xfrm flipH="1">
                        <a:off x="0" y="0"/>
                        <a:ext cx="495300" cy="149225"/>
                      </a:xfrm>
                      <a:prstGeom prst="rect">
                        <a:avLst/>
                      </a:prstGeom>
                      <a:noFill/>
                      <a:ln>
                        <a:noFill/>
                      </a:ln>
                    </wps:spPr>
                    <wps:txbx>
                      <w:txbxContent>
                        <w:p>
                          <w:pPr>
                            <w:pStyle w:val="5"/>
                            <w:ind w:firstLine="360"/>
                          </w:pPr>
                        </w:p>
                      </w:txbxContent>
                    </wps:txbx>
                    <wps:bodyPr lIns="0" tIns="0" rIns="0" bIns="0">
                      <a:noAutofit/>
                    </wps:bodyPr>
                  </wps:wsp>
                </a:graphicData>
              </a:graphic>
            </wp:anchor>
          </w:drawing>
        </mc:Choice>
        <mc:Fallback>
          <w:pict>
            <v:shape id="_x0000_s1026" o:spid="_x0000_s1026" o:spt="202" type="#_x0000_t202" style="position:absolute;left:0pt;flip:x;margin-left:122.3pt;margin-top:6pt;height:11.75pt;width:39pt;mso-position-horizontal-relative:margin;z-index:251661312;mso-width-relative:page;mso-height-relative:page;" filled="f" stroked="f" coordsize="21600,21600" o:gfxdata="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Ce+RtLXAAAACQEAAA8AAAAAAAAAAQAgAAAAIgAAAGRycy9kb3ducmV2&#10;LnhtbFBLAQIUABQAAAAIAIdO4kBhtChnxAEAAIkDAAAOAAAAAAAAAAEAIAAAACYBAABkcnMvZTJv&#10;RG9jLnhtbFBLBQYAAAAABgAGAFkBAABcBQAAAAA=&#10;">
              <v:fill on="f" focussize="0,0"/>
              <v:stroke on="f"/>
              <v:imagedata o:title=""/>
              <o:lock v:ext="edit" aspectratio="f"/>
              <v:textbox inset="0mm,0mm,0mm,0mm">
                <w:txbxContent>
                  <w:p>
                    <w:pPr>
                      <w:pStyle w:val="5"/>
                      <w:ind w:firstLine="360"/>
                    </w:pPr>
                  </w:p>
                </w:txbxContent>
              </v:textbox>
            </v:shape>
          </w:pict>
        </mc:Fallback>
      </mc:AlternateContent>
    </w:r>
    <w:r>
      <w:rPr>
        <w:rFonts w:ascii="Calibri" w:hAnsi="Calibri" w:cs="Calibri"/>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5"/>
                      <w:ind w:firstLine="360"/>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8" w:space="1"/>
        <w:left w:val="none" w:color="auto" w:sz="0" w:space="4"/>
        <w:bottom w:val="none" w:color="auto" w:sz="0" w:space="1"/>
        <w:right w:val="none" w:color="auto" w:sz="0" w:space="4"/>
      </w:pBdr>
      <w:spacing w:line="240" w:lineRule="auto"/>
      <w:ind w:firstLine="0" w:firstLineChars="0"/>
      <w:jc w:val="distribute"/>
      <w:rPr>
        <w:rFonts w:ascii="宋体" w:hAnsi="宋体" w:eastAsia="宋体" w:cs="宋体"/>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ind w:firstLine="360"/>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rPr>
                            <w:t>15</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5"/>
                      <w:ind w:firstLine="360"/>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rPr>
                      <w:t>15</w:t>
                    </w:r>
                    <w:r>
                      <w:t xml:space="preserve"> 页</w:t>
                    </w:r>
                  </w:p>
                </w:txbxContent>
              </v:textbox>
            </v:shape>
          </w:pict>
        </mc:Fallback>
      </mc:AlternateContent>
    </w:r>
  </w:p>
  <w:p>
    <w:pPr>
      <w:pBdr>
        <w:top w:val="single" w:color="auto" w:sz="8" w:space="1"/>
        <w:left w:val="none" w:color="auto" w:sz="0" w:space="4"/>
        <w:bottom w:val="none" w:color="auto" w:sz="0" w:space="1"/>
        <w:right w:val="none" w:color="auto" w:sz="0" w:space="4"/>
      </w:pBdr>
      <w:spacing w:line="240" w:lineRule="auto"/>
      <w:ind w:firstLine="0" w:firstLineChars="0"/>
      <w:jc w:val="distribute"/>
      <w:rPr>
        <w:rFonts w:ascii="Calibri" w:hAnsi="Calibri" w:cs="Calibri"/>
        <w:sz w:val="18"/>
        <w:szCs w:val="18"/>
      </w:rPr>
    </w:pPr>
    <w:r>
      <w:rPr>
        <w:rFonts w:hint="eastAsia" w:ascii="宋体" w:hAnsi="宋体" w:eastAsia="宋体" w:cs="宋体"/>
        <w:sz w:val="18"/>
        <w:szCs w:val="18"/>
      </w:rPr>
      <w:t>地址（Add）：云南省昆明市滇池旅游度假区广福路中天融域24幢2单元1001号</w:t>
    </w:r>
    <w:r>
      <w:rPr>
        <w:rFonts w:hint="eastAsia" w:ascii="宋体" w:hAnsi="宋体" w:eastAsia="宋体" w:cs="宋体"/>
        <w:szCs w:val="21"/>
      </w:rPr>
      <mc:AlternateContent>
        <mc:Choice Requires="wps">
          <w:drawing>
            <wp:anchor distT="0" distB="0" distL="114300" distR="114300" simplePos="0" relativeHeight="251664384" behindDoc="0" locked="0" layoutInCell="1" allowOverlap="1">
              <wp:simplePos x="0" y="0"/>
              <wp:positionH relativeFrom="margin">
                <wp:posOffset>2175510</wp:posOffset>
              </wp:positionH>
              <wp:positionV relativeFrom="paragraph">
                <wp:posOffset>132715</wp:posOffset>
              </wp:positionV>
              <wp:extent cx="343535" cy="144780"/>
              <wp:effectExtent l="0" t="0" r="0" b="0"/>
              <wp:wrapNone/>
              <wp:docPr id="1" name="文本框 1"/>
              <wp:cNvGraphicFramePr/>
              <a:graphic xmlns:a="http://schemas.openxmlformats.org/drawingml/2006/main">
                <a:graphicData uri="http://schemas.microsoft.com/office/word/2010/wordprocessingShape">
                  <wps:wsp>
                    <wps:cNvSpPr txBox="1"/>
                    <wps:spPr>
                      <a:xfrm>
                        <a:off x="0" y="0"/>
                        <a:ext cx="343535" cy="144780"/>
                      </a:xfrm>
                      <a:prstGeom prst="rect">
                        <a:avLst/>
                      </a:prstGeom>
                      <a:noFill/>
                      <a:ln w="6350">
                        <a:noFill/>
                      </a:ln>
                    </wps:spPr>
                    <wps:txbx>
                      <w:txbxContent>
                        <w:p>
                          <w:pPr>
                            <w:pStyle w:val="5"/>
                            <w:ind w:firstLine="360"/>
                          </w:pP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71.3pt;margin-top:10.45pt;height:11.4pt;width:27.05pt;mso-position-horizontal-relative:margin;mso-wrap-style:none;z-index:251664384;mso-width-relative:page;mso-height-relative:page;" filled="f" stroked="f" coordsize="21600,21600" o:gfxdata="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QnMlddoAAAAJAQAADwAAAAAAAAABACAAAAAiAAAAZHJzL2Rvd25yZXYueG1s&#10;UEsBAhQAFAAAAAgAh07iQE6geIovAgAAUwQAAA4AAAAAAAAAAQAgAAAAKQEAAGRycy9lMm9Eb2Mu&#10;eG1sUEsFBgAAAAAGAAYAWQEAAMoFAAAAAA==&#10;">
              <v:fill on="f" focussize="0,0"/>
              <v:stroke on="f" weight="0.5pt"/>
              <v:imagedata o:title=""/>
              <o:lock v:ext="edit" aspectratio="f"/>
              <v:textbox inset="0mm,0mm,0mm,0mm">
                <w:txbxContent>
                  <w:p>
                    <w:pPr>
                      <w:pStyle w:val="5"/>
                      <w:ind w:firstLine="360"/>
                    </w:pPr>
                  </w:p>
                </w:txbxContent>
              </v:textbox>
            </v:shape>
          </w:pict>
        </mc:Fallback>
      </mc:AlternateContent>
    </w:r>
    <w:r>
      <w:rPr>
        <w:rFonts w:hint="eastAsia" w:ascii="宋体" w:hAnsi="宋体" w:eastAsia="宋体" w:cs="宋体"/>
        <w:szCs w:val="21"/>
      </w:rPr>
      <mc:AlternateContent>
        <mc:Choice Requires="wps">
          <w:drawing>
            <wp:anchor distT="0" distB="0" distL="114300" distR="114300" simplePos="0" relativeHeight="251665408" behindDoc="0" locked="0" layoutInCell="1" allowOverlap="1">
              <wp:simplePos x="0" y="0"/>
              <wp:positionH relativeFrom="margin">
                <wp:posOffset>1553210</wp:posOffset>
              </wp:positionH>
              <wp:positionV relativeFrom="paragraph">
                <wp:posOffset>76200</wp:posOffset>
              </wp:positionV>
              <wp:extent cx="495300" cy="149225"/>
              <wp:effectExtent l="0" t="0" r="0" b="0"/>
              <wp:wrapNone/>
              <wp:docPr id="3" name="文本框 3"/>
              <wp:cNvGraphicFramePr/>
              <a:graphic xmlns:a="http://schemas.openxmlformats.org/drawingml/2006/main">
                <a:graphicData uri="http://schemas.microsoft.com/office/word/2010/wordprocessingShape">
                  <wps:wsp>
                    <wps:cNvSpPr txBox="1"/>
                    <wps:spPr>
                      <a:xfrm flipH="1">
                        <a:off x="0" y="0"/>
                        <a:ext cx="495300" cy="149225"/>
                      </a:xfrm>
                      <a:prstGeom prst="rect">
                        <a:avLst/>
                      </a:prstGeom>
                      <a:noFill/>
                      <a:ln>
                        <a:noFill/>
                      </a:ln>
                    </wps:spPr>
                    <wps:txbx>
                      <w:txbxContent>
                        <w:p>
                          <w:pPr>
                            <w:pStyle w:val="5"/>
                            <w:ind w:firstLine="360"/>
                          </w:pPr>
                        </w:p>
                      </w:txbxContent>
                    </wps:txbx>
                    <wps:bodyPr lIns="0" tIns="0" rIns="0" bIns="0">
                      <a:noAutofit/>
                    </wps:bodyPr>
                  </wps:wsp>
                </a:graphicData>
              </a:graphic>
            </wp:anchor>
          </w:drawing>
        </mc:Choice>
        <mc:Fallback>
          <w:pict>
            <v:shape id="_x0000_s1026" o:spid="_x0000_s1026" o:spt="202" type="#_x0000_t202" style="position:absolute;left:0pt;flip:x;margin-left:122.3pt;margin-top:6pt;height:11.75pt;width:39pt;mso-position-horizontal-relative:margin;z-index:251665408;mso-width-relative:page;mso-height-relative:page;" filled="f" stroked="f" coordsize="21600,21600" o:gfxdata="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Ce+RtLXAAAACQEAAA8AAAAAAAAAAQAgAAAAIgAAAGRycy9kb3ducmV2&#10;LnhtbFBLAQIUABQAAAAIAIdO4kCnNspjxAEAAIkDAAAOAAAAAAAAAAEAIAAAACYBAABkcnMvZTJv&#10;RG9jLnhtbFBLBQYAAAAABgAGAFkBAABcBQAAAAA=&#10;">
              <v:fill on="f" focussize="0,0"/>
              <v:stroke on="f"/>
              <v:imagedata o:title=""/>
              <o:lock v:ext="edit" aspectratio="f"/>
              <v:textbox inset="0mm,0mm,0mm,0mm">
                <w:txbxContent>
                  <w:p>
                    <w:pPr>
                      <w:pStyle w:val="5"/>
                      <w:ind w:firstLine="360"/>
                    </w:pPr>
                  </w:p>
                </w:txbxContent>
              </v:textbox>
            </v:shape>
          </w:pict>
        </mc:Fallback>
      </mc:AlternateContent>
    </w:r>
    <w:r>
      <w:rPr>
        <w:rFonts w:ascii="Calibri" w:hAnsi="Calibri" w:cs="Calibri"/>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5"/>
                      <w:ind w:firstLine="360"/>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auto" w:sz="8" w:space="1"/>
      </w:pBdr>
      <w:tabs>
        <w:tab w:val="left" w:pos="4842"/>
        <w:tab w:val="right" w:pos="8420"/>
      </w:tabs>
      <w:spacing w:line="240" w:lineRule="auto"/>
      <w:ind w:firstLine="0" w:firstLineChars="0"/>
      <w:jc w:val="left"/>
      <w:rPr>
        <w:rFonts w:ascii="隶书" w:hAnsi="Times New Roman" w:eastAsia="隶书" w:cs="Times New Roman"/>
        <w:spacing w:val="-20"/>
        <w:sz w:val="21"/>
        <w:szCs w:val="21"/>
      </w:rPr>
    </w:pPr>
    <w:r>
      <w:rPr>
        <w:rFonts w:hint="eastAsia" w:ascii="隶书" w:hAnsi="Times New Roman" w:eastAsia="隶书" w:cs="Times New Roman"/>
        <w:spacing w:val="-20"/>
        <w:sz w:val="21"/>
        <w:szCs w:val="21"/>
      </w:rPr>
      <w:tab/>
    </w:r>
    <w:r>
      <w:rPr>
        <w:rFonts w:hint="eastAsia" w:ascii="隶书" w:hAnsi="Times New Roman" w:eastAsia="隶书" w:cs="Times New Roman"/>
        <w:spacing w:val="-20"/>
        <w:sz w:val="21"/>
        <w:szCs w:val="21"/>
      </w:rPr>
      <w:tab/>
    </w:r>
    <w:r>
      <w:rPr>
        <w:rFonts w:hint="eastAsia" w:ascii="隶书" w:hAnsi="Times New Roman" w:eastAsia="隶书" w:cs="Times New Roman"/>
        <w:spacing w:val="-20"/>
        <w:sz w:val="21"/>
        <w:szCs w:val="21"/>
      </w:rPr>
      <w:tab/>
    </w:r>
    <w:r>
      <w:rPr>
        <w:rFonts w:hint="eastAsia" w:ascii="隶书" w:hAnsi="Times New Roman" w:eastAsia="隶书" w:cs="Times New Roman"/>
        <w:spacing w:val="-20"/>
        <w:sz w:val="21"/>
        <w:szCs w:val="21"/>
      </w:rPr>
      <w:t>云南京健会计师事务所（普通合伙）</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iOTFhZjMxNmRiNmQ0MjdkN2EwMzk1OTU3ZGNmNDkifQ=="/>
  </w:docVars>
  <w:rsids>
    <w:rsidRoot w:val="00AE6716"/>
    <w:rsid w:val="00002219"/>
    <w:rsid w:val="000038D4"/>
    <w:rsid w:val="00005169"/>
    <w:rsid w:val="00011C57"/>
    <w:rsid w:val="00015509"/>
    <w:rsid w:val="00024B3C"/>
    <w:rsid w:val="0003307D"/>
    <w:rsid w:val="00033BE3"/>
    <w:rsid w:val="000361C1"/>
    <w:rsid w:val="0005055D"/>
    <w:rsid w:val="000B6965"/>
    <w:rsid w:val="000B7293"/>
    <w:rsid w:val="000D1D34"/>
    <w:rsid w:val="000E2072"/>
    <w:rsid w:val="000E326B"/>
    <w:rsid w:val="000F72F8"/>
    <w:rsid w:val="001239EA"/>
    <w:rsid w:val="001264B1"/>
    <w:rsid w:val="001354E5"/>
    <w:rsid w:val="00154DC1"/>
    <w:rsid w:val="00161399"/>
    <w:rsid w:val="00166060"/>
    <w:rsid w:val="001760FC"/>
    <w:rsid w:val="001B0A62"/>
    <w:rsid w:val="001E5BB7"/>
    <w:rsid w:val="001E74EE"/>
    <w:rsid w:val="00202A6A"/>
    <w:rsid w:val="00214176"/>
    <w:rsid w:val="002155F4"/>
    <w:rsid w:val="00233447"/>
    <w:rsid w:val="002415BB"/>
    <w:rsid w:val="002715D8"/>
    <w:rsid w:val="00271C54"/>
    <w:rsid w:val="00275F57"/>
    <w:rsid w:val="00297CF6"/>
    <w:rsid w:val="002A6881"/>
    <w:rsid w:val="002C2048"/>
    <w:rsid w:val="002D2828"/>
    <w:rsid w:val="002D6C1F"/>
    <w:rsid w:val="002F42E5"/>
    <w:rsid w:val="00301379"/>
    <w:rsid w:val="00326965"/>
    <w:rsid w:val="003323A7"/>
    <w:rsid w:val="00336629"/>
    <w:rsid w:val="003712D1"/>
    <w:rsid w:val="00374C05"/>
    <w:rsid w:val="003756BB"/>
    <w:rsid w:val="003856E2"/>
    <w:rsid w:val="00391CCA"/>
    <w:rsid w:val="003935FA"/>
    <w:rsid w:val="00393A5C"/>
    <w:rsid w:val="003A00BA"/>
    <w:rsid w:val="003A1E68"/>
    <w:rsid w:val="003A2646"/>
    <w:rsid w:val="003A27F7"/>
    <w:rsid w:val="003A6B08"/>
    <w:rsid w:val="003B05DD"/>
    <w:rsid w:val="003B32E5"/>
    <w:rsid w:val="003B4DEF"/>
    <w:rsid w:val="003C273F"/>
    <w:rsid w:val="003D39DD"/>
    <w:rsid w:val="003E11E1"/>
    <w:rsid w:val="00403F6D"/>
    <w:rsid w:val="0042036D"/>
    <w:rsid w:val="00422D75"/>
    <w:rsid w:val="00431574"/>
    <w:rsid w:val="004329B0"/>
    <w:rsid w:val="0048737F"/>
    <w:rsid w:val="004A457C"/>
    <w:rsid w:val="004B0346"/>
    <w:rsid w:val="004D21A9"/>
    <w:rsid w:val="004D6964"/>
    <w:rsid w:val="00511D5C"/>
    <w:rsid w:val="005220D0"/>
    <w:rsid w:val="00532715"/>
    <w:rsid w:val="00533749"/>
    <w:rsid w:val="00554888"/>
    <w:rsid w:val="00571DF9"/>
    <w:rsid w:val="00586C37"/>
    <w:rsid w:val="005927C2"/>
    <w:rsid w:val="005A3DC4"/>
    <w:rsid w:val="005A69AB"/>
    <w:rsid w:val="005B2093"/>
    <w:rsid w:val="005B639E"/>
    <w:rsid w:val="005C573E"/>
    <w:rsid w:val="005E15A2"/>
    <w:rsid w:val="005E6414"/>
    <w:rsid w:val="005E6E6C"/>
    <w:rsid w:val="00611E60"/>
    <w:rsid w:val="006149C5"/>
    <w:rsid w:val="00640D04"/>
    <w:rsid w:val="0066613F"/>
    <w:rsid w:val="0066677A"/>
    <w:rsid w:val="006703CD"/>
    <w:rsid w:val="0067124D"/>
    <w:rsid w:val="0068706F"/>
    <w:rsid w:val="006B193F"/>
    <w:rsid w:val="006B4261"/>
    <w:rsid w:val="006C43D2"/>
    <w:rsid w:val="006C5BA8"/>
    <w:rsid w:val="006C798D"/>
    <w:rsid w:val="006D66B7"/>
    <w:rsid w:val="006E438B"/>
    <w:rsid w:val="006E5D1A"/>
    <w:rsid w:val="006E6946"/>
    <w:rsid w:val="007024AD"/>
    <w:rsid w:val="00730ADF"/>
    <w:rsid w:val="00731A35"/>
    <w:rsid w:val="007625A8"/>
    <w:rsid w:val="00763E3C"/>
    <w:rsid w:val="00770054"/>
    <w:rsid w:val="007701F9"/>
    <w:rsid w:val="0077314F"/>
    <w:rsid w:val="007926C2"/>
    <w:rsid w:val="007A2B55"/>
    <w:rsid w:val="007B2524"/>
    <w:rsid w:val="007D06F9"/>
    <w:rsid w:val="007F143F"/>
    <w:rsid w:val="007F4B56"/>
    <w:rsid w:val="007F5A7A"/>
    <w:rsid w:val="008041E4"/>
    <w:rsid w:val="008071AD"/>
    <w:rsid w:val="0081361F"/>
    <w:rsid w:val="008445D5"/>
    <w:rsid w:val="00854DF0"/>
    <w:rsid w:val="00861AF7"/>
    <w:rsid w:val="00864C20"/>
    <w:rsid w:val="0087053D"/>
    <w:rsid w:val="008B0C94"/>
    <w:rsid w:val="008B79EC"/>
    <w:rsid w:val="008D6685"/>
    <w:rsid w:val="00913BC2"/>
    <w:rsid w:val="00920791"/>
    <w:rsid w:val="00932AF3"/>
    <w:rsid w:val="00932D0E"/>
    <w:rsid w:val="009444DF"/>
    <w:rsid w:val="009654AB"/>
    <w:rsid w:val="009850B8"/>
    <w:rsid w:val="00993B8D"/>
    <w:rsid w:val="009B15DF"/>
    <w:rsid w:val="009B4B58"/>
    <w:rsid w:val="009C0BE2"/>
    <w:rsid w:val="009C4DF1"/>
    <w:rsid w:val="009E1AB1"/>
    <w:rsid w:val="009F3588"/>
    <w:rsid w:val="009F41D1"/>
    <w:rsid w:val="009F65C5"/>
    <w:rsid w:val="00A007BA"/>
    <w:rsid w:val="00A07A4E"/>
    <w:rsid w:val="00A13752"/>
    <w:rsid w:val="00A1491F"/>
    <w:rsid w:val="00A22A0E"/>
    <w:rsid w:val="00A2499C"/>
    <w:rsid w:val="00A32982"/>
    <w:rsid w:val="00A413C5"/>
    <w:rsid w:val="00A4267B"/>
    <w:rsid w:val="00A46FBA"/>
    <w:rsid w:val="00A53BC4"/>
    <w:rsid w:val="00A57406"/>
    <w:rsid w:val="00A623BE"/>
    <w:rsid w:val="00A65A75"/>
    <w:rsid w:val="00A809BB"/>
    <w:rsid w:val="00A929E4"/>
    <w:rsid w:val="00A95766"/>
    <w:rsid w:val="00A975BA"/>
    <w:rsid w:val="00A978AE"/>
    <w:rsid w:val="00AC33F7"/>
    <w:rsid w:val="00AD2648"/>
    <w:rsid w:val="00AE21DE"/>
    <w:rsid w:val="00AE6716"/>
    <w:rsid w:val="00AE7FDF"/>
    <w:rsid w:val="00AF0064"/>
    <w:rsid w:val="00AF419F"/>
    <w:rsid w:val="00B0066B"/>
    <w:rsid w:val="00B01956"/>
    <w:rsid w:val="00B11F13"/>
    <w:rsid w:val="00B22112"/>
    <w:rsid w:val="00B2454C"/>
    <w:rsid w:val="00B35908"/>
    <w:rsid w:val="00B45F98"/>
    <w:rsid w:val="00B46E5F"/>
    <w:rsid w:val="00B64931"/>
    <w:rsid w:val="00B7097B"/>
    <w:rsid w:val="00B709E3"/>
    <w:rsid w:val="00B90069"/>
    <w:rsid w:val="00B92B4F"/>
    <w:rsid w:val="00B95049"/>
    <w:rsid w:val="00B95EE7"/>
    <w:rsid w:val="00BA117C"/>
    <w:rsid w:val="00BA1DCF"/>
    <w:rsid w:val="00BA7A3B"/>
    <w:rsid w:val="00BB69B2"/>
    <w:rsid w:val="00BB70FF"/>
    <w:rsid w:val="00BC4075"/>
    <w:rsid w:val="00BC7EDA"/>
    <w:rsid w:val="00BD2A9E"/>
    <w:rsid w:val="00BD2F72"/>
    <w:rsid w:val="00BD64B1"/>
    <w:rsid w:val="00BD7CD4"/>
    <w:rsid w:val="00BE70B5"/>
    <w:rsid w:val="00BF04C3"/>
    <w:rsid w:val="00C14398"/>
    <w:rsid w:val="00C32096"/>
    <w:rsid w:val="00C36906"/>
    <w:rsid w:val="00C3762A"/>
    <w:rsid w:val="00C45671"/>
    <w:rsid w:val="00C50395"/>
    <w:rsid w:val="00C56F4D"/>
    <w:rsid w:val="00C76CBF"/>
    <w:rsid w:val="00C91185"/>
    <w:rsid w:val="00C956F9"/>
    <w:rsid w:val="00CE2AD0"/>
    <w:rsid w:val="00D00525"/>
    <w:rsid w:val="00D10B47"/>
    <w:rsid w:val="00D10C8C"/>
    <w:rsid w:val="00D12103"/>
    <w:rsid w:val="00D161F4"/>
    <w:rsid w:val="00D1717B"/>
    <w:rsid w:val="00D27E55"/>
    <w:rsid w:val="00D27FD0"/>
    <w:rsid w:val="00D915F4"/>
    <w:rsid w:val="00D92745"/>
    <w:rsid w:val="00DA753F"/>
    <w:rsid w:val="00DB350C"/>
    <w:rsid w:val="00DB458C"/>
    <w:rsid w:val="00DB612D"/>
    <w:rsid w:val="00DD583C"/>
    <w:rsid w:val="00DD64BC"/>
    <w:rsid w:val="00DE7A9A"/>
    <w:rsid w:val="00DF0625"/>
    <w:rsid w:val="00DF49F8"/>
    <w:rsid w:val="00E35CAE"/>
    <w:rsid w:val="00E42ADD"/>
    <w:rsid w:val="00E526BF"/>
    <w:rsid w:val="00E55609"/>
    <w:rsid w:val="00E6085D"/>
    <w:rsid w:val="00E8619D"/>
    <w:rsid w:val="00E959D8"/>
    <w:rsid w:val="00E97E57"/>
    <w:rsid w:val="00EA2AB6"/>
    <w:rsid w:val="00EB637E"/>
    <w:rsid w:val="00EC0F7D"/>
    <w:rsid w:val="00EC490D"/>
    <w:rsid w:val="00EC62FF"/>
    <w:rsid w:val="00ED5C39"/>
    <w:rsid w:val="00EF4A45"/>
    <w:rsid w:val="00F00B6D"/>
    <w:rsid w:val="00F048D4"/>
    <w:rsid w:val="00F1335B"/>
    <w:rsid w:val="00F24BE5"/>
    <w:rsid w:val="00F55E9E"/>
    <w:rsid w:val="00F65635"/>
    <w:rsid w:val="00F66CE9"/>
    <w:rsid w:val="00FB03C9"/>
    <w:rsid w:val="00FB1D37"/>
    <w:rsid w:val="00FB218F"/>
    <w:rsid w:val="00FC52C9"/>
    <w:rsid w:val="00FE4897"/>
    <w:rsid w:val="00FF2222"/>
    <w:rsid w:val="010C6983"/>
    <w:rsid w:val="012C7DC0"/>
    <w:rsid w:val="012F3B23"/>
    <w:rsid w:val="01432CF3"/>
    <w:rsid w:val="01436F9F"/>
    <w:rsid w:val="01880A19"/>
    <w:rsid w:val="018C388B"/>
    <w:rsid w:val="01B65C30"/>
    <w:rsid w:val="01C64855"/>
    <w:rsid w:val="01E26F97"/>
    <w:rsid w:val="02151E80"/>
    <w:rsid w:val="022E0963"/>
    <w:rsid w:val="0257031E"/>
    <w:rsid w:val="02684EB4"/>
    <w:rsid w:val="026D72F2"/>
    <w:rsid w:val="02A02758"/>
    <w:rsid w:val="02A3463C"/>
    <w:rsid w:val="02A70805"/>
    <w:rsid w:val="02BC2BBA"/>
    <w:rsid w:val="02EA73E1"/>
    <w:rsid w:val="0307577D"/>
    <w:rsid w:val="03BD28D6"/>
    <w:rsid w:val="045C346D"/>
    <w:rsid w:val="048A2A24"/>
    <w:rsid w:val="049401D8"/>
    <w:rsid w:val="04AC5FBE"/>
    <w:rsid w:val="04E77027"/>
    <w:rsid w:val="05145211"/>
    <w:rsid w:val="0521507F"/>
    <w:rsid w:val="055C6AE7"/>
    <w:rsid w:val="05634866"/>
    <w:rsid w:val="057F1E81"/>
    <w:rsid w:val="05FB5DC4"/>
    <w:rsid w:val="06186903"/>
    <w:rsid w:val="062A6E20"/>
    <w:rsid w:val="06404308"/>
    <w:rsid w:val="06790629"/>
    <w:rsid w:val="06A96071"/>
    <w:rsid w:val="06BD18CD"/>
    <w:rsid w:val="06DD1B0A"/>
    <w:rsid w:val="06DE5211"/>
    <w:rsid w:val="070077AC"/>
    <w:rsid w:val="07014EC2"/>
    <w:rsid w:val="074C6A10"/>
    <w:rsid w:val="075C167D"/>
    <w:rsid w:val="07D475CA"/>
    <w:rsid w:val="07F53CEB"/>
    <w:rsid w:val="080C5426"/>
    <w:rsid w:val="081D15C4"/>
    <w:rsid w:val="08281E83"/>
    <w:rsid w:val="08310243"/>
    <w:rsid w:val="08932548"/>
    <w:rsid w:val="08AE7A36"/>
    <w:rsid w:val="08BE1A5F"/>
    <w:rsid w:val="08E46646"/>
    <w:rsid w:val="095F41FF"/>
    <w:rsid w:val="09734E97"/>
    <w:rsid w:val="09790F31"/>
    <w:rsid w:val="097C2206"/>
    <w:rsid w:val="09811723"/>
    <w:rsid w:val="09943BCA"/>
    <w:rsid w:val="09BE3873"/>
    <w:rsid w:val="09D850BF"/>
    <w:rsid w:val="0A177A6F"/>
    <w:rsid w:val="0A9F4057"/>
    <w:rsid w:val="0ABE7C42"/>
    <w:rsid w:val="0AD41505"/>
    <w:rsid w:val="0B114150"/>
    <w:rsid w:val="0B2B5475"/>
    <w:rsid w:val="0B316DB7"/>
    <w:rsid w:val="0B45384A"/>
    <w:rsid w:val="0BA42FCD"/>
    <w:rsid w:val="0BFF1C88"/>
    <w:rsid w:val="0C016446"/>
    <w:rsid w:val="0C1D7C13"/>
    <w:rsid w:val="0C230B9E"/>
    <w:rsid w:val="0C45114E"/>
    <w:rsid w:val="0C4F19D8"/>
    <w:rsid w:val="0CC071D9"/>
    <w:rsid w:val="0CD226F8"/>
    <w:rsid w:val="0CD33493"/>
    <w:rsid w:val="0CED7F3F"/>
    <w:rsid w:val="0D4940A8"/>
    <w:rsid w:val="0D654235"/>
    <w:rsid w:val="0D831253"/>
    <w:rsid w:val="0DBA5E70"/>
    <w:rsid w:val="0DCA5DE1"/>
    <w:rsid w:val="0DE47989"/>
    <w:rsid w:val="0DFA4270"/>
    <w:rsid w:val="0E4873B8"/>
    <w:rsid w:val="0E62232C"/>
    <w:rsid w:val="0E69015E"/>
    <w:rsid w:val="0E6C554A"/>
    <w:rsid w:val="0E732050"/>
    <w:rsid w:val="0EA96822"/>
    <w:rsid w:val="0F201299"/>
    <w:rsid w:val="0F3026BC"/>
    <w:rsid w:val="0F4F24AB"/>
    <w:rsid w:val="0F51526A"/>
    <w:rsid w:val="0F6F0C3D"/>
    <w:rsid w:val="0FA554CA"/>
    <w:rsid w:val="102D258D"/>
    <w:rsid w:val="106C2346"/>
    <w:rsid w:val="106C7654"/>
    <w:rsid w:val="10762E0B"/>
    <w:rsid w:val="10A3523B"/>
    <w:rsid w:val="10A41CED"/>
    <w:rsid w:val="10AD2C55"/>
    <w:rsid w:val="10C43B87"/>
    <w:rsid w:val="11041BAB"/>
    <w:rsid w:val="110B1D5E"/>
    <w:rsid w:val="111D6972"/>
    <w:rsid w:val="11352493"/>
    <w:rsid w:val="11365128"/>
    <w:rsid w:val="1150050C"/>
    <w:rsid w:val="11686341"/>
    <w:rsid w:val="116972AB"/>
    <w:rsid w:val="11CA17ED"/>
    <w:rsid w:val="11DA58D8"/>
    <w:rsid w:val="11E920D6"/>
    <w:rsid w:val="120A0F69"/>
    <w:rsid w:val="1225668C"/>
    <w:rsid w:val="122660D5"/>
    <w:rsid w:val="12320C01"/>
    <w:rsid w:val="1256332B"/>
    <w:rsid w:val="1283031A"/>
    <w:rsid w:val="128565DB"/>
    <w:rsid w:val="12DB208F"/>
    <w:rsid w:val="12ED67D7"/>
    <w:rsid w:val="12FC68FF"/>
    <w:rsid w:val="130C2193"/>
    <w:rsid w:val="130E3903"/>
    <w:rsid w:val="13166809"/>
    <w:rsid w:val="132922C3"/>
    <w:rsid w:val="13544641"/>
    <w:rsid w:val="13943B2C"/>
    <w:rsid w:val="13D5523A"/>
    <w:rsid w:val="13D656DB"/>
    <w:rsid w:val="13D7779C"/>
    <w:rsid w:val="13DF48A7"/>
    <w:rsid w:val="144D3492"/>
    <w:rsid w:val="144D747C"/>
    <w:rsid w:val="145A1383"/>
    <w:rsid w:val="14D5415A"/>
    <w:rsid w:val="14D9678B"/>
    <w:rsid w:val="14FC5A91"/>
    <w:rsid w:val="15AC577F"/>
    <w:rsid w:val="15EE2E40"/>
    <w:rsid w:val="16446A3C"/>
    <w:rsid w:val="16523EA2"/>
    <w:rsid w:val="16DD2D5E"/>
    <w:rsid w:val="16E01397"/>
    <w:rsid w:val="16EA3483"/>
    <w:rsid w:val="174C1CD5"/>
    <w:rsid w:val="1752026A"/>
    <w:rsid w:val="175A563C"/>
    <w:rsid w:val="179C442C"/>
    <w:rsid w:val="17D26242"/>
    <w:rsid w:val="186561F9"/>
    <w:rsid w:val="18736211"/>
    <w:rsid w:val="18772165"/>
    <w:rsid w:val="18B6616D"/>
    <w:rsid w:val="18E933C9"/>
    <w:rsid w:val="18FD2189"/>
    <w:rsid w:val="19250992"/>
    <w:rsid w:val="19BA7F53"/>
    <w:rsid w:val="19BE25D1"/>
    <w:rsid w:val="19EB2EA3"/>
    <w:rsid w:val="1A032ECE"/>
    <w:rsid w:val="1A17016E"/>
    <w:rsid w:val="1A1F29A8"/>
    <w:rsid w:val="1A3C7AF1"/>
    <w:rsid w:val="1A3D12CC"/>
    <w:rsid w:val="1A545436"/>
    <w:rsid w:val="1A6C6495"/>
    <w:rsid w:val="1AE02712"/>
    <w:rsid w:val="1AE80A5A"/>
    <w:rsid w:val="1AEA56AB"/>
    <w:rsid w:val="1AF104DA"/>
    <w:rsid w:val="1B045886"/>
    <w:rsid w:val="1B082591"/>
    <w:rsid w:val="1B3E28E5"/>
    <w:rsid w:val="1B552716"/>
    <w:rsid w:val="1B6D5FA5"/>
    <w:rsid w:val="1B6F0F2D"/>
    <w:rsid w:val="1B79551A"/>
    <w:rsid w:val="1BA928F0"/>
    <w:rsid w:val="1C2D714A"/>
    <w:rsid w:val="1C6D0C27"/>
    <w:rsid w:val="1C6D274D"/>
    <w:rsid w:val="1C7707CD"/>
    <w:rsid w:val="1C906637"/>
    <w:rsid w:val="1CC9627E"/>
    <w:rsid w:val="1CD55A4A"/>
    <w:rsid w:val="1D0F7A8E"/>
    <w:rsid w:val="1D1B0AD1"/>
    <w:rsid w:val="1D221FDC"/>
    <w:rsid w:val="1D2F1285"/>
    <w:rsid w:val="1D3941A5"/>
    <w:rsid w:val="1D4C7ED3"/>
    <w:rsid w:val="1D7736C9"/>
    <w:rsid w:val="1D831AE5"/>
    <w:rsid w:val="1D8D6A3B"/>
    <w:rsid w:val="1D904FA5"/>
    <w:rsid w:val="1DC03EC1"/>
    <w:rsid w:val="1DD14027"/>
    <w:rsid w:val="1DE925A7"/>
    <w:rsid w:val="1E010BC0"/>
    <w:rsid w:val="1E2C4E59"/>
    <w:rsid w:val="1EB01ACB"/>
    <w:rsid w:val="1ED05892"/>
    <w:rsid w:val="1ED53D73"/>
    <w:rsid w:val="1EE8779D"/>
    <w:rsid w:val="1EF537B0"/>
    <w:rsid w:val="1F4164DF"/>
    <w:rsid w:val="1F591721"/>
    <w:rsid w:val="1F6F6360"/>
    <w:rsid w:val="1F8B1E2F"/>
    <w:rsid w:val="1F91086F"/>
    <w:rsid w:val="1FE2356A"/>
    <w:rsid w:val="200244D1"/>
    <w:rsid w:val="201E59ED"/>
    <w:rsid w:val="2025021C"/>
    <w:rsid w:val="20356024"/>
    <w:rsid w:val="20536DBE"/>
    <w:rsid w:val="20694D65"/>
    <w:rsid w:val="20A14E27"/>
    <w:rsid w:val="20D30E0A"/>
    <w:rsid w:val="20D60287"/>
    <w:rsid w:val="20FC17FA"/>
    <w:rsid w:val="2114179F"/>
    <w:rsid w:val="21197B5A"/>
    <w:rsid w:val="216A2D40"/>
    <w:rsid w:val="21B96FEE"/>
    <w:rsid w:val="21C127EB"/>
    <w:rsid w:val="21CB0D2F"/>
    <w:rsid w:val="21E17F5C"/>
    <w:rsid w:val="21E23314"/>
    <w:rsid w:val="21EC0A72"/>
    <w:rsid w:val="21EF780B"/>
    <w:rsid w:val="221055AD"/>
    <w:rsid w:val="223F479F"/>
    <w:rsid w:val="223F5AC1"/>
    <w:rsid w:val="22583D0D"/>
    <w:rsid w:val="225F634C"/>
    <w:rsid w:val="229064AC"/>
    <w:rsid w:val="22C67807"/>
    <w:rsid w:val="22C92735"/>
    <w:rsid w:val="22CB5EF7"/>
    <w:rsid w:val="22E86417"/>
    <w:rsid w:val="230C5D84"/>
    <w:rsid w:val="231435FF"/>
    <w:rsid w:val="2325225E"/>
    <w:rsid w:val="23950F27"/>
    <w:rsid w:val="23B177E1"/>
    <w:rsid w:val="24211347"/>
    <w:rsid w:val="24310DD4"/>
    <w:rsid w:val="246D2625"/>
    <w:rsid w:val="248C6DDD"/>
    <w:rsid w:val="24900048"/>
    <w:rsid w:val="24BB522A"/>
    <w:rsid w:val="24F37529"/>
    <w:rsid w:val="24FF72D3"/>
    <w:rsid w:val="250F2C31"/>
    <w:rsid w:val="251E0472"/>
    <w:rsid w:val="2520642A"/>
    <w:rsid w:val="25286AA1"/>
    <w:rsid w:val="252B25EC"/>
    <w:rsid w:val="25364DC1"/>
    <w:rsid w:val="253C3631"/>
    <w:rsid w:val="25462E4B"/>
    <w:rsid w:val="258309B4"/>
    <w:rsid w:val="25862011"/>
    <w:rsid w:val="258C0E52"/>
    <w:rsid w:val="260D7D0C"/>
    <w:rsid w:val="261A1FEA"/>
    <w:rsid w:val="261C3DE4"/>
    <w:rsid w:val="263A71E2"/>
    <w:rsid w:val="26690FCD"/>
    <w:rsid w:val="26963F27"/>
    <w:rsid w:val="269B1693"/>
    <w:rsid w:val="26DF0CD6"/>
    <w:rsid w:val="26ED48AE"/>
    <w:rsid w:val="271B4099"/>
    <w:rsid w:val="278F4F46"/>
    <w:rsid w:val="27A01740"/>
    <w:rsid w:val="27C416DF"/>
    <w:rsid w:val="27EF7121"/>
    <w:rsid w:val="28192057"/>
    <w:rsid w:val="281D28B1"/>
    <w:rsid w:val="283519AE"/>
    <w:rsid w:val="283C3A8D"/>
    <w:rsid w:val="2884724B"/>
    <w:rsid w:val="28870583"/>
    <w:rsid w:val="28D97FCA"/>
    <w:rsid w:val="28E7113E"/>
    <w:rsid w:val="291B5803"/>
    <w:rsid w:val="292F68A9"/>
    <w:rsid w:val="294D2F40"/>
    <w:rsid w:val="29733142"/>
    <w:rsid w:val="29A033E8"/>
    <w:rsid w:val="29BC365E"/>
    <w:rsid w:val="2A1C5137"/>
    <w:rsid w:val="2A3E70CF"/>
    <w:rsid w:val="2A6B5300"/>
    <w:rsid w:val="2A871926"/>
    <w:rsid w:val="2AC250CD"/>
    <w:rsid w:val="2B3602D5"/>
    <w:rsid w:val="2B4E7485"/>
    <w:rsid w:val="2B80177F"/>
    <w:rsid w:val="2B90159F"/>
    <w:rsid w:val="2B993748"/>
    <w:rsid w:val="2BAE482F"/>
    <w:rsid w:val="2BBE1DE2"/>
    <w:rsid w:val="2BE36683"/>
    <w:rsid w:val="2BE90021"/>
    <w:rsid w:val="2C706F8B"/>
    <w:rsid w:val="2C9B3A25"/>
    <w:rsid w:val="2CC24680"/>
    <w:rsid w:val="2DA362F7"/>
    <w:rsid w:val="2DC42BAC"/>
    <w:rsid w:val="2DDB1185"/>
    <w:rsid w:val="2DDE1315"/>
    <w:rsid w:val="2E70008E"/>
    <w:rsid w:val="2E795570"/>
    <w:rsid w:val="2EB4177E"/>
    <w:rsid w:val="2F32229C"/>
    <w:rsid w:val="2F474DB3"/>
    <w:rsid w:val="30065DDB"/>
    <w:rsid w:val="308D7FA8"/>
    <w:rsid w:val="30B1378E"/>
    <w:rsid w:val="30F14E48"/>
    <w:rsid w:val="30F25A6D"/>
    <w:rsid w:val="31202692"/>
    <w:rsid w:val="31202FD3"/>
    <w:rsid w:val="312A5619"/>
    <w:rsid w:val="31A23AE0"/>
    <w:rsid w:val="31C37AEC"/>
    <w:rsid w:val="32145CC4"/>
    <w:rsid w:val="32350A5C"/>
    <w:rsid w:val="32477ABF"/>
    <w:rsid w:val="325970B3"/>
    <w:rsid w:val="32CC0E3B"/>
    <w:rsid w:val="32DF1CBC"/>
    <w:rsid w:val="32E84C40"/>
    <w:rsid w:val="33656E24"/>
    <w:rsid w:val="33816DA8"/>
    <w:rsid w:val="33F469AE"/>
    <w:rsid w:val="340B3A91"/>
    <w:rsid w:val="34214870"/>
    <w:rsid w:val="345A637A"/>
    <w:rsid w:val="348D4052"/>
    <w:rsid w:val="34960E51"/>
    <w:rsid w:val="34B93037"/>
    <w:rsid w:val="34C2659C"/>
    <w:rsid w:val="34ED24C6"/>
    <w:rsid w:val="350911FE"/>
    <w:rsid w:val="35212153"/>
    <w:rsid w:val="3544533E"/>
    <w:rsid w:val="354C0B93"/>
    <w:rsid w:val="355B423F"/>
    <w:rsid w:val="357D6768"/>
    <w:rsid w:val="35BF3B38"/>
    <w:rsid w:val="35E23F6E"/>
    <w:rsid w:val="35EC067D"/>
    <w:rsid w:val="360F0CEA"/>
    <w:rsid w:val="36215071"/>
    <w:rsid w:val="36312009"/>
    <w:rsid w:val="36314683"/>
    <w:rsid w:val="36472C7B"/>
    <w:rsid w:val="36753A20"/>
    <w:rsid w:val="36B0540D"/>
    <w:rsid w:val="36B326B4"/>
    <w:rsid w:val="36C17BFE"/>
    <w:rsid w:val="36CE2123"/>
    <w:rsid w:val="36D60122"/>
    <w:rsid w:val="36D9255D"/>
    <w:rsid w:val="37290822"/>
    <w:rsid w:val="373206A1"/>
    <w:rsid w:val="378E3DE6"/>
    <w:rsid w:val="37A32806"/>
    <w:rsid w:val="37D751E2"/>
    <w:rsid w:val="380B1DFE"/>
    <w:rsid w:val="382471D8"/>
    <w:rsid w:val="38276F53"/>
    <w:rsid w:val="382E6775"/>
    <w:rsid w:val="385852A1"/>
    <w:rsid w:val="386F48E8"/>
    <w:rsid w:val="38A16914"/>
    <w:rsid w:val="38A718AB"/>
    <w:rsid w:val="38D91E08"/>
    <w:rsid w:val="38E0103A"/>
    <w:rsid w:val="38E063FB"/>
    <w:rsid w:val="38F230E0"/>
    <w:rsid w:val="393C79BC"/>
    <w:rsid w:val="3971570C"/>
    <w:rsid w:val="39764EFC"/>
    <w:rsid w:val="39945652"/>
    <w:rsid w:val="39B234B0"/>
    <w:rsid w:val="39CC0DE9"/>
    <w:rsid w:val="3A056E55"/>
    <w:rsid w:val="3A5860F9"/>
    <w:rsid w:val="3A896034"/>
    <w:rsid w:val="3A9F1F4F"/>
    <w:rsid w:val="3AA23B34"/>
    <w:rsid w:val="3AB45EB9"/>
    <w:rsid w:val="3AD018DF"/>
    <w:rsid w:val="3B013692"/>
    <w:rsid w:val="3B1667F3"/>
    <w:rsid w:val="3B3358B7"/>
    <w:rsid w:val="3B493B46"/>
    <w:rsid w:val="3B55625B"/>
    <w:rsid w:val="3B597FFC"/>
    <w:rsid w:val="3B660AEC"/>
    <w:rsid w:val="3B760DD2"/>
    <w:rsid w:val="3B86620D"/>
    <w:rsid w:val="3BB421DB"/>
    <w:rsid w:val="3BE552CD"/>
    <w:rsid w:val="3BF2764E"/>
    <w:rsid w:val="3C021C37"/>
    <w:rsid w:val="3C0540D6"/>
    <w:rsid w:val="3C24092A"/>
    <w:rsid w:val="3C693243"/>
    <w:rsid w:val="3C976231"/>
    <w:rsid w:val="3C9B25CD"/>
    <w:rsid w:val="3CAA0274"/>
    <w:rsid w:val="3D1746DC"/>
    <w:rsid w:val="3D237BE8"/>
    <w:rsid w:val="3D2C4D79"/>
    <w:rsid w:val="3D366EF4"/>
    <w:rsid w:val="3D4142F0"/>
    <w:rsid w:val="3D511084"/>
    <w:rsid w:val="3D642282"/>
    <w:rsid w:val="3D6F1615"/>
    <w:rsid w:val="3D7B5779"/>
    <w:rsid w:val="3D8A5584"/>
    <w:rsid w:val="3D9B2911"/>
    <w:rsid w:val="3D9C39EF"/>
    <w:rsid w:val="3DA235BF"/>
    <w:rsid w:val="3DB15E99"/>
    <w:rsid w:val="3DB46368"/>
    <w:rsid w:val="3DD8680E"/>
    <w:rsid w:val="3DFD5343"/>
    <w:rsid w:val="3E3062DB"/>
    <w:rsid w:val="3E850F52"/>
    <w:rsid w:val="3E9B2E8A"/>
    <w:rsid w:val="3E9F6A9D"/>
    <w:rsid w:val="3F1672F1"/>
    <w:rsid w:val="3F231079"/>
    <w:rsid w:val="3F4B41E0"/>
    <w:rsid w:val="3F592467"/>
    <w:rsid w:val="3F5D0E23"/>
    <w:rsid w:val="3F8245EF"/>
    <w:rsid w:val="3F8B2040"/>
    <w:rsid w:val="3F913ED2"/>
    <w:rsid w:val="3FAC1725"/>
    <w:rsid w:val="3FAD78C2"/>
    <w:rsid w:val="3FF47E41"/>
    <w:rsid w:val="400F00BB"/>
    <w:rsid w:val="405C3701"/>
    <w:rsid w:val="40615229"/>
    <w:rsid w:val="40733563"/>
    <w:rsid w:val="40B10190"/>
    <w:rsid w:val="40B74800"/>
    <w:rsid w:val="411613DD"/>
    <w:rsid w:val="41516E1E"/>
    <w:rsid w:val="416027A0"/>
    <w:rsid w:val="416E5398"/>
    <w:rsid w:val="418862CD"/>
    <w:rsid w:val="41A449A2"/>
    <w:rsid w:val="421B2713"/>
    <w:rsid w:val="42284FC8"/>
    <w:rsid w:val="42770C8F"/>
    <w:rsid w:val="429B2E0A"/>
    <w:rsid w:val="42AA5444"/>
    <w:rsid w:val="42F5056C"/>
    <w:rsid w:val="42FB7CE0"/>
    <w:rsid w:val="431112AD"/>
    <w:rsid w:val="43232F1C"/>
    <w:rsid w:val="433663BD"/>
    <w:rsid w:val="43561DE5"/>
    <w:rsid w:val="435E21EF"/>
    <w:rsid w:val="436B4467"/>
    <w:rsid w:val="43D9345F"/>
    <w:rsid w:val="440138B3"/>
    <w:rsid w:val="44154208"/>
    <w:rsid w:val="44394D1C"/>
    <w:rsid w:val="44406011"/>
    <w:rsid w:val="445451F2"/>
    <w:rsid w:val="44620BD2"/>
    <w:rsid w:val="446D7633"/>
    <w:rsid w:val="4488315B"/>
    <w:rsid w:val="4493471C"/>
    <w:rsid w:val="449C2C79"/>
    <w:rsid w:val="44B00229"/>
    <w:rsid w:val="44BE2144"/>
    <w:rsid w:val="44DF23A8"/>
    <w:rsid w:val="450736B6"/>
    <w:rsid w:val="45341CE2"/>
    <w:rsid w:val="45532B45"/>
    <w:rsid w:val="45621D42"/>
    <w:rsid w:val="45630290"/>
    <w:rsid w:val="45934454"/>
    <w:rsid w:val="4595257E"/>
    <w:rsid w:val="459D705A"/>
    <w:rsid w:val="45C42CBF"/>
    <w:rsid w:val="45DA2707"/>
    <w:rsid w:val="460E2404"/>
    <w:rsid w:val="46162C84"/>
    <w:rsid w:val="462E0F20"/>
    <w:rsid w:val="465F798A"/>
    <w:rsid w:val="46AC1B1A"/>
    <w:rsid w:val="46B80FA9"/>
    <w:rsid w:val="46CD7454"/>
    <w:rsid w:val="46FD0BBA"/>
    <w:rsid w:val="473D6FFA"/>
    <w:rsid w:val="47620B5A"/>
    <w:rsid w:val="476A374A"/>
    <w:rsid w:val="47C33349"/>
    <w:rsid w:val="47E54BDD"/>
    <w:rsid w:val="47E62852"/>
    <w:rsid w:val="4809270E"/>
    <w:rsid w:val="48155FBD"/>
    <w:rsid w:val="484F1501"/>
    <w:rsid w:val="48616542"/>
    <w:rsid w:val="487C4B5B"/>
    <w:rsid w:val="488B3ADA"/>
    <w:rsid w:val="489578D5"/>
    <w:rsid w:val="48C756C4"/>
    <w:rsid w:val="48F347C2"/>
    <w:rsid w:val="48F40872"/>
    <w:rsid w:val="490910CB"/>
    <w:rsid w:val="49466876"/>
    <w:rsid w:val="49672FCD"/>
    <w:rsid w:val="497D1E37"/>
    <w:rsid w:val="49A21D84"/>
    <w:rsid w:val="49C079A0"/>
    <w:rsid w:val="49E56842"/>
    <w:rsid w:val="4A202CB3"/>
    <w:rsid w:val="4A4C0BBD"/>
    <w:rsid w:val="4A741CD0"/>
    <w:rsid w:val="4AB169D3"/>
    <w:rsid w:val="4AE523B5"/>
    <w:rsid w:val="4AFF1CE5"/>
    <w:rsid w:val="4AFF2850"/>
    <w:rsid w:val="4B2C2C5C"/>
    <w:rsid w:val="4B3948BD"/>
    <w:rsid w:val="4B542445"/>
    <w:rsid w:val="4B8633C6"/>
    <w:rsid w:val="4BAE6978"/>
    <w:rsid w:val="4BF85767"/>
    <w:rsid w:val="4C4609B9"/>
    <w:rsid w:val="4C6B50F5"/>
    <w:rsid w:val="4C7613FB"/>
    <w:rsid w:val="4C9A610C"/>
    <w:rsid w:val="4CAB4A57"/>
    <w:rsid w:val="4CAF036C"/>
    <w:rsid w:val="4CB545C0"/>
    <w:rsid w:val="4CBB7439"/>
    <w:rsid w:val="4CBE1C08"/>
    <w:rsid w:val="4CFA12DC"/>
    <w:rsid w:val="4D317C9E"/>
    <w:rsid w:val="4D356131"/>
    <w:rsid w:val="4D521D49"/>
    <w:rsid w:val="4D5F31CA"/>
    <w:rsid w:val="4D635CDE"/>
    <w:rsid w:val="4D647E46"/>
    <w:rsid w:val="4D6B2FF6"/>
    <w:rsid w:val="4D7C15EC"/>
    <w:rsid w:val="4DA21BCB"/>
    <w:rsid w:val="4DA31278"/>
    <w:rsid w:val="4E022AED"/>
    <w:rsid w:val="4E0F5AA6"/>
    <w:rsid w:val="4E7B47FF"/>
    <w:rsid w:val="4E800E7B"/>
    <w:rsid w:val="4EC57FA6"/>
    <w:rsid w:val="4EDD2F85"/>
    <w:rsid w:val="4EE759E0"/>
    <w:rsid w:val="4EFB1785"/>
    <w:rsid w:val="4EFC0E40"/>
    <w:rsid w:val="4F073576"/>
    <w:rsid w:val="4F32383F"/>
    <w:rsid w:val="4F4201F9"/>
    <w:rsid w:val="4F596DC1"/>
    <w:rsid w:val="4F5B18B4"/>
    <w:rsid w:val="4F746E17"/>
    <w:rsid w:val="4F7E527E"/>
    <w:rsid w:val="4F9948BE"/>
    <w:rsid w:val="4F9A7281"/>
    <w:rsid w:val="4FAE6D31"/>
    <w:rsid w:val="4FB16A86"/>
    <w:rsid w:val="50114985"/>
    <w:rsid w:val="50173009"/>
    <w:rsid w:val="504B0595"/>
    <w:rsid w:val="508470D2"/>
    <w:rsid w:val="50CC2E3A"/>
    <w:rsid w:val="50E37FBB"/>
    <w:rsid w:val="516C1EC9"/>
    <w:rsid w:val="518F192B"/>
    <w:rsid w:val="51A35549"/>
    <w:rsid w:val="51C96CF8"/>
    <w:rsid w:val="51E16B22"/>
    <w:rsid w:val="51E71584"/>
    <w:rsid w:val="520134A4"/>
    <w:rsid w:val="52417CD3"/>
    <w:rsid w:val="525A2598"/>
    <w:rsid w:val="528D2D69"/>
    <w:rsid w:val="52A72CB9"/>
    <w:rsid w:val="52C645C7"/>
    <w:rsid w:val="5308234F"/>
    <w:rsid w:val="531A7701"/>
    <w:rsid w:val="533A7773"/>
    <w:rsid w:val="535A4036"/>
    <w:rsid w:val="535E0C0C"/>
    <w:rsid w:val="536F55E2"/>
    <w:rsid w:val="539A7C35"/>
    <w:rsid w:val="53EE2B63"/>
    <w:rsid w:val="541259A4"/>
    <w:rsid w:val="54221113"/>
    <w:rsid w:val="543625D7"/>
    <w:rsid w:val="54410718"/>
    <w:rsid w:val="54BB1311"/>
    <w:rsid w:val="5506526C"/>
    <w:rsid w:val="55497B99"/>
    <w:rsid w:val="556F44BF"/>
    <w:rsid w:val="557E0DC2"/>
    <w:rsid w:val="55981C1E"/>
    <w:rsid w:val="559E43DB"/>
    <w:rsid w:val="55CC0E83"/>
    <w:rsid w:val="5615080D"/>
    <w:rsid w:val="561574B3"/>
    <w:rsid w:val="56250D86"/>
    <w:rsid w:val="566A5330"/>
    <w:rsid w:val="567F26ED"/>
    <w:rsid w:val="568024C8"/>
    <w:rsid w:val="568F79BF"/>
    <w:rsid w:val="56A33FC4"/>
    <w:rsid w:val="56A763F2"/>
    <w:rsid w:val="56BE663C"/>
    <w:rsid w:val="56CD2153"/>
    <w:rsid w:val="56E322E1"/>
    <w:rsid w:val="56E75D17"/>
    <w:rsid w:val="56F312B5"/>
    <w:rsid w:val="56F74C0E"/>
    <w:rsid w:val="571349B1"/>
    <w:rsid w:val="572B04F0"/>
    <w:rsid w:val="572B4176"/>
    <w:rsid w:val="57664E51"/>
    <w:rsid w:val="577603E3"/>
    <w:rsid w:val="5789602C"/>
    <w:rsid w:val="57D9376A"/>
    <w:rsid w:val="580649F2"/>
    <w:rsid w:val="58226B70"/>
    <w:rsid w:val="58230A94"/>
    <w:rsid w:val="58351BA6"/>
    <w:rsid w:val="584F5D9B"/>
    <w:rsid w:val="58795EFF"/>
    <w:rsid w:val="58835B9A"/>
    <w:rsid w:val="58B22CF9"/>
    <w:rsid w:val="58B840B1"/>
    <w:rsid w:val="58C67791"/>
    <w:rsid w:val="58F23A2C"/>
    <w:rsid w:val="58F33BD7"/>
    <w:rsid w:val="595950A7"/>
    <w:rsid w:val="5983654E"/>
    <w:rsid w:val="599B6043"/>
    <w:rsid w:val="59AB446D"/>
    <w:rsid w:val="5A1437A3"/>
    <w:rsid w:val="5A1F2A6A"/>
    <w:rsid w:val="5A321CCA"/>
    <w:rsid w:val="5A4031BD"/>
    <w:rsid w:val="5A742FCA"/>
    <w:rsid w:val="5A7557BC"/>
    <w:rsid w:val="5A7E34D5"/>
    <w:rsid w:val="5A801F1C"/>
    <w:rsid w:val="5AAB0EAB"/>
    <w:rsid w:val="5AC64458"/>
    <w:rsid w:val="5AD56AE1"/>
    <w:rsid w:val="5AF42D65"/>
    <w:rsid w:val="5AF96C92"/>
    <w:rsid w:val="5B6B2916"/>
    <w:rsid w:val="5B721AD3"/>
    <w:rsid w:val="5BA5390B"/>
    <w:rsid w:val="5BAF49EA"/>
    <w:rsid w:val="5BCF2B45"/>
    <w:rsid w:val="5BDC583E"/>
    <w:rsid w:val="5BDD7D44"/>
    <w:rsid w:val="5C2D62B3"/>
    <w:rsid w:val="5C331F55"/>
    <w:rsid w:val="5C37747F"/>
    <w:rsid w:val="5C3978AE"/>
    <w:rsid w:val="5C661078"/>
    <w:rsid w:val="5C7A4320"/>
    <w:rsid w:val="5C9167F0"/>
    <w:rsid w:val="5C930CB2"/>
    <w:rsid w:val="5CAE6718"/>
    <w:rsid w:val="5CED33FE"/>
    <w:rsid w:val="5CFE4B36"/>
    <w:rsid w:val="5D152663"/>
    <w:rsid w:val="5D250AE8"/>
    <w:rsid w:val="5D810B69"/>
    <w:rsid w:val="5D8562D6"/>
    <w:rsid w:val="5DA67B5E"/>
    <w:rsid w:val="5DB26B1C"/>
    <w:rsid w:val="5DC77A74"/>
    <w:rsid w:val="5DD80BA4"/>
    <w:rsid w:val="5DE65906"/>
    <w:rsid w:val="5DF10DD6"/>
    <w:rsid w:val="5E107A6E"/>
    <w:rsid w:val="5E240474"/>
    <w:rsid w:val="5E4A08B0"/>
    <w:rsid w:val="5E552402"/>
    <w:rsid w:val="5E581806"/>
    <w:rsid w:val="5EA954DA"/>
    <w:rsid w:val="5EF60C22"/>
    <w:rsid w:val="5F165F74"/>
    <w:rsid w:val="5F3E22C2"/>
    <w:rsid w:val="5F474EA9"/>
    <w:rsid w:val="5F8F3F9D"/>
    <w:rsid w:val="5FC33A72"/>
    <w:rsid w:val="5FE44BCC"/>
    <w:rsid w:val="5FFA3215"/>
    <w:rsid w:val="601278AE"/>
    <w:rsid w:val="602074C3"/>
    <w:rsid w:val="60342152"/>
    <w:rsid w:val="607F216A"/>
    <w:rsid w:val="609D0C9B"/>
    <w:rsid w:val="60D3361E"/>
    <w:rsid w:val="60F942D1"/>
    <w:rsid w:val="612912AD"/>
    <w:rsid w:val="613220FF"/>
    <w:rsid w:val="61446D7C"/>
    <w:rsid w:val="614B06AC"/>
    <w:rsid w:val="617C14DD"/>
    <w:rsid w:val="61B844A8"/>
    <w:rsid w:val="61D62E95"/>
    <w:rsid w:val="61D8581E"/>
    <w:rsid w:val="61FF2F13"/>
    <w:rsid w:val="622218C3"/>
    <w:rsid w:val="6222364C"/>
    <w:rsid w:val="6239511B"/>
    <w:rsid w:val="62473027"/>
    <w:rsid w:val="62641F1A"/>
    <w:rsid w:val="627B7180"/>
    <w:rsid w:val="6308246A"/>
    <w:rsid w:val="6308767C"/>
    <w:rsid w:val="63287634"/>
    <w:rsid w:val="63396070"/>
    <w:rsid w:val="634867D2"/>
    <w:rsid w:val="63525AAC"/>
    <w:rsid w:val="63531E3F"/>
    <w:rsid w:val="639768D2"/>
    <w:rsid w:val="63C05149"/>
    <w:rsid w:val="63F95E7B"/>
    <w:rsid w:val="64047A76"/>
    <w:rsid w:val="64107C83"/>
    <w:rsid w:val="641761B2"/>
    <w:rsid w:val="6429437B"/>
    <w:rsid w:val="648A2DED"/>
    <w:rsid w:val="64AA5921"/>
    <w:rsid w:val="64E965E9"/>
    <w:rsid w:val="64F613A1"/>
    <w:rsid w:val="64FB67B9"/>
    <w:rsid w:val="650F0297"/>
    <w:rsid w:val="65311AE8"/>
    <w:rsid w:val="65372FB5"/>
    <w:rsid w:val="6579788B"/>
    <w:rsid w:val="65A56F80"/>
    <w:rsid w:val="65CD5AEB"/>
    <w:rsid w:val="65D200C7"/>
    <w:rsid w:val="65D31262"/>
    <w:rsid w:val="65DE71F4"/>
    <w:rsid w:val="65E7615B"/>
    <w:rsid w:val="66067D88"/>
    <w:rsid w:val="662F3C78"/>
    <w:rsid w:val="66807846"/>
    <w:rsid w:val="66953C5B"/>
    <w:rsid w:val="669B2A9B"/>
    <w:rsid w:val="669F55F1"/>
    <w:rsid w:val="67157EB9"/>
    <w:rsid w:val="673B62F2"/>
    <w:rsid w:val="674F16A7"/>
    <w:rsid w:val="676C1E7F"/>
    <w:rsid w:val="67906BAE"/>
    <w:rsid w:val="679D3EE7"/>
    <w:rsid w:val="67D36A56"/>
    <w:rsid w:val="67D56B92"/>
    <w:rsid w:val="67E036E9"/>
    <w:rsid w:val="67E5573D"/>
    <w:rsid w:val="683E687F"/>
    <w:rsid w:val="68430FB9"/>
    <w:rsid w:val="68C61A50"/>
    <w:rsid w:val="68E311B2"/>
    <w:rsid w:val="68FF3ACA"/>
    <w:rsid w:val="6900055E"/>
    <w:rsid w:val="690A6C79"/>
    <w:rsid w:val="69223AE7"/>
    <w:rsid w:val="69251ED4"/>
    <w:rsid w:val="692A4AFD"/>
    <w:rsid w:val="69326652"/>
    <w:rsid w:val="69347AF7"/>
    <w:rsid w:val="693A50E1"/>
    <w:rsid w:val="696E1979"/>
    <w:rsid w:val="69AA7B28"/>
    <w:rsid w:val="69B14B4E"/>
    <w:rsid w:val="69C175E5"/>
    <w:rsid w:val="69C56D45"/>
    <w:rsid w:val="69F57E4B"/>
    <w:rsid w:val="6A1221A1"/>
    <w:rsid w:val="6A233920"/>
    <w:rsid w:val="6A6366AE"/>
    <w:rsid w:val="6A8B6B18"/>
    <w:rsid w:val="6A9352A2"/>
    <w:rsid w:val="6A9A1577"/>
    <w:rsid w:val="6AA338E6"/>
    <w:rsid w:val="6AC86E77"/>
    <w:rsid w:val="6AF13C0D"/>
    <w:rsid w:val="6B5F4E4D"/>
    <w:rsid w:val="6B654FB0"/>
    <w:rsid w:val="6B6E1CA4"/>
    <w:rsid w:val="6BAF6941"/>
    <w:rsid w:val="6BCC1F13"/>
    <w:rsid w:val="6BD91EBE"/>
    <w:rsid w:val="6BE1101B"/>
    <w:rsid w:val="6C24259C"/>
    <w:rsid w:val="6C3219E1"/>
    <w:rsid w:val="6C5579CA"/>
    <w:rsid w:val="6C72726E"/>
    <w:rsid w:val="6CB44AB8"/>
    <w:rsid w:val="6CBC5656"/>
    <w:rsid w:val="6CD509C5"/>
    <w:rsid w:val="6CE4138B"/>
    <w:rsid w:val="6CFA7874"/>
    <w:rsid w:val="6D514C03"/>
    <w:rsid w:val="6D69125F"/>
    <w:rsid w:val="6DA76031"/>
    <w:rsid w:val="6DA81CE8"/>
    <w:rsid w:val="6DBE17E3"/>
    <w:rsid w:val="6DCC1FAB"/>
    <w:rsid w:val="6DE537AC"/>
    <w:rsid w:val="6E096EF8"/>
    <w:rsid w:val="6E160574"/>
    <w:rsid w:val="6E816BBF"/>
    <w:rsid w:val="6E9134A9"/>
    <w:rsid w:val="6ED5286B"/>
    <w:rsid w:val="6F1A7E1A"/>
    <w:rsid w:val="6F314155"/>
    <w:rsid w:val="6FF85E6E"/>
    <w:rsid w:val="700A48AB"/>
    <w:rsid w:val="70245076"/>
    <w:rsid w:val="704E5507"/>
    <w:rsid w:val="705A51FE"/>
    <w:rsid w:val="70935E14"/>
    <w:rsid w:val="70A4763A"/>
    <w:rsid w:val="70B22023"/>
    <w:rsid w:val="70D45314"/>
    <w:rsid w:val="70DB1C8A"/>
    <w:rsid w:val="717B1403"/>
    <w:rsid w:val="71A147B9"/>
    <w:rsid w:val="71D842FA"/>
    <w:rsid w:val="71E65CC9"/>
    <w:rsid w:val="71F00255"/>
    <w:rsid w:val="721434B7"/>
    <w:rsid w:val="725F33BF"/>
    <w:rsid w:val="72651EB0"/>
    <w:rsid w:val="729C267B"/>
    <w:rsid w:val="72B23E6D"/>
    <w:rsid w:val="72C251F0"/>
    <w:rsid w:val="72D87B33"/>
    <w:rsid w:val="72DD5B9E"/>
    <w:rsid w:val="72F54E01"/>
    <w:rsid w:val="731A2D6E"/>
    <w:rsid w:val="73374395"/>
    <w:rsid w:val="7366202F"/>
    <w:rsid w:val="737A786F"/>
    <w:rsid w:val="73B461E3"/>
    <w:rsid w:val="73B604ED"/>
    <w:rsid w:val="73EE50F4"/>
    <w:rsid w:val="740D3F11"/>
    <w:rsid w:val="741257AC"/>
    <w:rsid w:val="742B1612"/>
    <w:rsid w:val="7441199D"/>
    <w:rsid w:val="74420B02"/>
    <w:rsid w:val="745C550C"/>
    <w:rsid w:val="74A064AE"/>
    <w:rsid w:val="74D46B08"/>
    <w:rsid w:val="74D96958"/>
    <w:rsid w:val="74FE6B71"/>
    <w:rsid w:val="74FE774A"/>
    <w:rsid w:val="75023274"/>
    <w:rsid w:val="75184790"/>
    <w:rsid w:val="75577D7F"/>
    <w:rsid w:val="755D5C19"/>
    <w:rsid w:val="757022FB"/>
    <w:rsid w:val="75A15325"/>
    <w:rsid w:val="75B2473D"/>
    <w:rsid w:val="75C03D91"/>
    <w:rsid w:val="75EF6235"/>
    <w:rsid w:val="75F71F3B"/>
    <w:rsid w:val="763563F5"/>
    <w:rsid w:val="763F6C4E"/>
    <w:rsid w:val="766D57C1"/>
    <w:rsid w:val="76801850"/>
    <w:rsid w:val="769714F7"/>
    <w:rsid w:val="76AC2318"/>
    <w:rsid w:val="76BC6C30"/>
    <w:rsid w:val="76E17F51"/>
    <w:rsid w:val="76E83D9B"/>
    <w:rsid w:val="76F7624B"/>
    <w:rsid w:val="772571D5"/>
    <w:rsid w:val="7730088B"/>
    <w:rsid w:val="77411D56"/>
    <w:rsid w:val="774839AC"/>
    <w:rsid w:val="77605E1A"/>
    <w:rsid w:val="77742983"/>
    <w:rsid w:val="77800D5D"/>
    <w:rsid w:val="77827BF3"/>
    <w:rsid w:val="778B633D"/>
    <w:rsid w:val="7793327E"/>
    <w:rsid w:val="77C232DA"/>
    <w:rsid w:val="77D973E1"/>
    <w:rsid w:val="77EA3464"/>
    <w:rsid w:val="78021C7B"/>
    <w:rsid w:val="780C1E19"/>
    <w:rsid w:val="786B70AF"/>
    <w:rsid w:val="78760913"/>
    <w:rsid w:val="7881477B"/>
    <w:rsid w:val="788F38A7"/>
    <w:rsid w:val="78A46720"/>
    <w:rsid w:val="78AD0AA4"/>
    <w:rsid w:val="78FD09AB"/>
    <w:rsid w:val="79010BD2"/>
    <w:rsid w:val="79017261"/>
    <w:rsid w:val="79346435"/>
    <w:rsid w:val="796608A4"/>
    <w:rsid w:val="7999176C"/>
    <w:rsid w:val="79AB2DAA"/>
    <w:rsid w:val="79B661E6"/>
    <w:rsid w:val="79CA7D83"/>
    <w:rsid w:val="79F12D18"/>
    <w:rsid w:val="7A461590"/>
    <w:rsid w:val="7A506505"/>
    <w:rsid w:val="7A6822EA"/>
    <w:rsid w:val="7A814BA2"/>
    <w:rsid w:val="7A88510B"/>
    <w:rsid w:val="7A942566"/>
    <w:rsid w:val="7AAC5343"/>
    <w:rsid w:val="7B4D10C0"/>
    <w:rsid w:val="7B5E19E1"/>
    <w:rsid w:val="7B8D502D"/>
    <w:rsid w:val="7BD0668B"/>
    <w:rsid w:val="7BD55037"/>
    <w:rsid w:val="7BEA41E2"/>
    <w:rsid w:val="7C1C27D8"/>
    <w:rsid w:val="7C230E82"/>
    <w:rsid w:val="7C304BF8"/>
    <w:rsid w:val="7C461A40"/>
    <w:rsid w:val="7C5C2009"/>
    <w:rsid w:val="7C655175"/>
    <w:rsid w:val="7C6D71FD"/>
    <w:rsid w:val="7C7E2620"/>
    <w:rsid w:val="7C8243CE"/>
    <w:rsid w:val="7C9902EC"/>
    <w:rsid w:val="7C9B318C"/>
    <w:rsid w:val="7CCE3276"/>
    <w:rsid w:val="7CCE4670"/>
    <w:rsid w:val="7CDD6CC4"/>
    <w:rsid w:val="7D341239"/>
    <w:rsid w:val="7D374E9E"/>
    <w:rsid w:val="7D477545"/>
    <w:rsid w:val="7D617FEB"/>
    <w:rsid w:val="7D6C6C25"/>
    <w:rsid w:val="7D82688C"/>
    <w:rsid w:val="7D936B21"/>
    <w:rsid w:val="7DB41EC3"/>
    <w:rsid w:val="7E141252"/>
    <w:rsid w:val="7E930BA3"/>
    <w:rsid w:val="7E985166"/>
    <w:rsid w:val="7EFE7213"/>
    <w:rsid w:val="7F171BCC"/>
    <w:rsid w:val="7F37013C"/>
    <w:rsid w:val="7F401C7A"/>
    <w:rsid w:val="7F5F1232"/>
    <w:rsid w:val="7F7316D3"/>
    <w:rsid w:val="7F755C75"/>
    <w:rsid w:val="7FA119C3"/>
    <w:rsid w:val="7FA3150B"/>
    <w:rsid w:val="7FC239A0"/>
    <w:rsid w:val="7FEB5D35"/>
    <w:rsid w:val="7FEB6D9F"/>
    <w:rsid w:val="7FF849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723" w:firstLineChars="200"/>
      <w:jc w:val="both"/>
    </w:pPr>
    <w:rPr>
      <w:rFonts w:ascii="仿宋" w:hAnsi="仿宋" w:eastAsia="仿宋" w:cstheme="minorBidi"/>
      <w:kern w:val="2"/>
      <w:sz w:val="24"/>
      <w:szCs w:val="22"/>
      <w:lang w:val="en-US" w:eastAsia="zh-CN" w:bidi="ar-SA"/>
    </w:rPr>
  </w:style>
  <w:style w:type="paragraph" w:styleId="3">
    <w:name w:val="heading 1"/>
    <w:basedOn w:val="1"/>
    <w:next w:val="1"/>
    <w:link w:val="10"/>
    <w:qFormat/>
    <w:uiPriority w:val="0"/>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Body Text"/>
    <w:basedOn w:val="1"/>
    <w:link w:val="9"/>
    <w:unhideWhenUsed/>
    <w:qFormat/>
    <w:uiPriority w:val="99"/>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9">
    <w:name w:val="正文文本 字符"/>
    <w:basedOn w:val="8"/>
    <w:link w:val="4"/>
    <w:qFormat/>
    <w:uiPriority w:val="99"/>
    <w:rPr>
      <w:rFonts w:asciiTheme="minorHAnsi" w:hAnsiTheme="minorHAnsi" w:eastAsiaTheme="minorEastAsia" w:cstheme="minorBidi"/>
      <w:kern w:val="2"/>
      <w:sz w:val="21"/>
      <w:szCs w:val="22"/>
    </w:rPr>
  </w:style>
  <w:style w:type="character" w:customStyle="1" w:styleId="10">
    <w:name w:val="标题 1 字符"/>
    <w:basedOn w:val="8"/>
    <w:link w:val="3"/>
    <w:qFormat/>
    <w:uiPriority w:val="0"/>
    <w:rPr>
      <w:rFonts w:asciiTheme="minorHAnsi" w:hAnsiTheme="minorHAnsi" w:eastAsiaTheme="minorEastAsia" w:cstheme="minorBidi"/>
      <w:b/>
      <w:bCs/>
      <w:kern w:val="44"/>
      <w:sz w:val="44"/>
      <w:szCs w:val="44"/>
    </w:rPr>
  </w:style>
  <w:style w:type="paragraph" w:customStyle="1" w:styleId="11">
    <w:name w:val="TOC 标题1"/>
    <w:basedOn w:val="3"/>
    <w:next w:val="1"/>
    <w:semiHidden/>
    <w:unhideWhenUsed/>
    <w:qFormat/>
    <w:uiPriority w:val="39"/>
    <w:pPr>
      <w:outlineLvl w:val="9"/>
    </w:pPr>
    <w:rPr>
      <w:rFonts w:ascii="Times New Roman" w:hAnsi="Times New Roman" w:eastAsia="宋体" w:cs="Times New Roman"/>
    </w:rPr>
  </w:style>
  <w:style w:type="paragraph" w:customStyle="1" w:styleId="12">
    <w:name w:val="TOC 标题11"/>
    <w:basedOn w:val="3"/>
    <w:next w:val="1"/>
    <w:semiHidden/>
    <w:unhideWhenUsed/>
    <w:qFormat/>
    <w:uiPriority w:val="39"/>
    <w:pPr>
      <w:outlineLvl w:val="9"/>
    </w:pPr>
    <w:rPr>
      <w:rFonts w:ascii="Times New Roman" w:hAnsi="Times New Roman" w:eastAsia="宋体" w:cs="Times New Roman"/>
    </w:rPr>
  </w:style>
  <w:style w:type="paragraph" w:styleId="13">
    <w:name w:val="List Paragraph"/>
    <w:basedOn w:val="1"/>
    <w:unhideWhenUsed/>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1901</Words>
  <Characters>10836</Characters>
  <Lines>90</Lines>
  <Paragraphs>25</Paragraphs>
  <TotalTime>0</TotalTime>
  <ScaleCrop>false</ScaleCrop>
  <LinksUpToDate>false</LinksUpToDate>
  <CharactersWithSpaces>12712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2020-08-18T02:52:00Z</dcterms:created>
  <dc:creator>de'l'l</dc:creator>
  <cp:lastModifiedBy>王淑红</cp:lastModifiedBy>
  <cp:lastPrinted>2022-09-27T01:49:00Z</cp:lastPrinted>
  <dcterms:modified xsi:type="dcterms:W3CDTF">2023-11-09T03:30:15Z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6BBAD1BA414D4F978C2F4159E2DD492F_13</vt:lpwstr>
  </property>
</Properties>
</file>