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 w:val="30"/>
          <w:szCs w:val="30"/>
        </w:rPr>
      </w:pPr>
      <w:r>
        <w:rPr>
          <w:rFonts w:hint="eastAsia" w:ascii="宋体" w:hAnsi="宋体" w:eastAsia="宋体" w:cs="Times New Roman"/>
          <w:szCs w:val="24"/>
        </w:rPr>
        <w:t>寻甸回族彝族自治县教育体育局职业中学新建实训楼项目支出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2"/>
        <w:ind w:firstLine="883"/>
      </w:pPr>
    </w:p>
    <w:p>
      <w:pPr>
        <w:ind w:firstLine="480"/>
      </w:pPr>
    </w:p>
    <w:p>
      <w:pPr>
        <w:spacing w:line="600" w:lineRule="exact"/>
        <w:ind w:firstLine="0" w:firstLineChars="0"/>
      </w:pPr>
    </w:p>
    <w:p>
      <w:pPr>
        <w:pStyle w:val="2"/>
        <w:ind w:firstLine="883"/>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项目名称：寻甸县职业中学新建实训楼项目支出绩效评价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评价单位：寻甸回族彝族自治县教育体育局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 w:val="21"/>
          <w:szCs w:val="21"/>
        </w:rPr>
      </w:pPr>
    </w:p>
    <w:p>
      <w:pPr>
        <w:pStyle w:val="2"/>
        <w:ind w:firstLine="422"/>
        <w:rPr>
          <w:rFonts w:ascii="黑体" w:hAnsi="黑体" w:eastAsia="黑体" w:cs="黑体"/>
          <w:sz w:val="21"/>
          <w:szCs w:val="21"/>
        </w:rPr>
      </w:pPr>
    </w:p>
    <w:p>
      <w:pPr>
        <w:ind w:firstLine="420"/>
        <w:rPr>
          <w:rFonts w:ascii="黑体" w:hAnsi="黑体" w:eastAsia="黑体" w:cs="黑体"/>
          <w:bCs/>
          <w:sz w:val="21"/>
          <w:szCs w:val="21"/>
        </w:rPr>
      </w:pPr>
    </w:p>
    <w:p>
      <w:pPr>
        <w:ind w:firstLine="0" w:firstLineChars="0"/>
        <w:rPr>
          <w:rFonts w:ascii="黑体" w:hAnsi="黑体" w:eastAsia="黑体" w:cs="黑体"/>
          <w:bCs/>
          <w:sz w:val="21"/>
          <w:szCs w:val="21"/>
        </w:rPr>
      </w:pP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1077" w:footer="992" w:gutter="0"/>
          <w:pgBorders>
            <w:top w:val="single" w:color="auto" w:sz="4" w:space="1"/>
            <w:bottom w:val="single" w:color="auto" w:sz="4" w:space="1"/>
          </w:pgBorders>
          <w:cols w:space="425" w:num="1"/>
          <w:docGrid w:type="lines" w:linePitch="312" w:charSpace="0"/>
        </w:sectPr>
      </w:pPr>
    </w:p>
    <w:p>
      <w:pPr>
        <w:ind w:firstLine="0" w:firstLineChars="0"/>
        <w:jc w:val="center"/>
        <w:rPr>
          <w:rFonts w:ascii="黑体" w:hAnsi="黑体" w:eastAsia="黑体" w:cs="黑体"/>
          <w:bCs/>
          <w:sz w:val="21"/>
          <w:szCs w:val="21"/>
        </w:rPr>
      </w:pPr>
      <w:r>
        <w:rPr>
          <w:rFonts w:hint="eastAsia" w:ascii="黑体" w:hAnsi="黑体" w:eastAsia="黑体" w:cs="黑体"/>
          <w:bCs/>
          <w:szCs w:val="24"/>
        </w:rPr>
        <w:t>寻甸回族彝族自治县教育体育局职业中学新建实训楼项目支出</w:t>
      </w:r>
    </w:p>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绩效评价报告</w:t>
      </w:r>
    </w:p>
    <w:p>
      <w:pPr>
        <w:ind w:firstLine="0" w:firstLineChars="0"/>
        <w:jc w:val="center"/>
        <w:rPr>
          <w:rFonts w:ascii="宋体" w:hAnsi="宋体" w:eastAsia="宋体"/>
          <w:sz w:val="18"/>
          <w:szCs w:val="18"/>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056</w:t>
      </w:r>
      <w:r>
        <w:rPr>
          <w:rFonts w:hint="eastAsia" w:ascii="宋体" w:hAnsi="宋体" w:eastAsia="宋体"/>
          <w:sz w:val="18"/>
          <w:szCs w:val="18"/>
        </w:rPr>
        <w:t>号</w:t>
      </w:r>
      <w:bookmarkStart w:id="84" w:name="_GoBack"/>
      <w:bookmarkEnd w:id="84"/>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0" w:name="_Hlk143855331"/>
      <w:r>
        <w:rPr>
          <w:rFonts w:hint="eastAsia"/>
        </w:rPr>
        <w:t>《关于全面推进预算绩效管理改革的实施意见》（寻政发〔</w:t>
      </w:r>
      <w:r>
        <w:t>2016〕122号）</w:t>
      </w:r>
      <w:bookmarkEnd w:id="0"/>
      <w:r>
        <w:t>、《关于印发寻甸回族彝族自治县预算绩效管理工作考核办法（试行）的通知》（寻政办发〔2016〕79号）、《关于明确预算绩效管理工作职责的通知》（寻财〔2020〕5号）和</w:t>
      </w:r>
      <w:bookmarkStart w:id="1" w:name="_Hlk143855269"/>
      <w:r>
        <w:t>《关于2022年度部门整体支出、重大项目支出和地方政府债券项目支出绩效再评价的通知》（寻财绩〔2023〕5号）</w:t>
      </w:r>
      <w:bookmarkEnd w:id="1"/>
      <w:r>
        <w:rPr>
          <w:rFonts w:hint="eastAsia"/>
        </w:rPr>
        <w:t>等文件要求，组成审计评价组对寻甸回族彝族自治县教育体育局</w:t>
      </w:r>
      <w:bookmarkStart w:id="2" w:name="_Hlk144974620"/>
      <w:r>
        <w:rPr>
          <w:rFonts w:hint="eastAsia"/>
        </w:rPr>
        <w:t>职业中学新建实训楼项目</w:t>
      </w:r>
      <w:bookmarkEnd w:id="2"/>
      <w:r>
        <w:rPr>
          <w:rFonts w:hint="eastAsia"/>
        </w:rPr>
        <w:t>资金（以下简称“项目”）的管理、使用及效益情况进行了绩效评价。寻甸回族彝族自治县教育体育局（以下简称“教体局”）对所提供评价资料的真实性、完整性负责。现将绩效评价情况报告如下：</w:t>
      </w:r>
      <w:bookmarkStart w:id="3" w:name="_Toc502134848"/>
    </w:p>
    <w:p>
      <w:pPr>
        <w:ind w:firstLine="480"/>
        <w:rPr>
          <w:rFonts w:ascii="黑体" w:hAnsi="黑体" w:eastAsia="黑体" w:cs="黑体"/>
          <w:b/>
          <w:bCs/>
          <w:szCs w:val="24"/>
        </w:rPr>
      </w:pPr>
      <w:r>
        <w:rPr>
          <w:rFonts w:hint="eastAsia" w:ascii="黑体" w:hAnsi="黑体" w:eastAsia="黑体" w:cs="黑体"/>
          <w:szCs w:val="24"/>
        </w:rPr>
        <w:t>一、基本情况</w:t>
      </w:r>
      <w:bookmarkEnd w:id="3"/>
      <w:bookmarkStart w:id="4" w:name="_Toc502134849"/>
    </w:p>
    <w:p>
      <w:pPr>
        <w:ind w:firstLine="480"/>
        <w:rPr>
          <w:rFonts w:ascii="楷体" w:hAnsi="楷体" w:eastAsia="楷体" w:cs="楷体"/>
          <w:szCs w:val="24"/>
        </w:rPr>
      </w:pPr>
      <w:r>
        <w:rPr>
          <w:rFonts w:hint="eastAsia" w:ascii="楷体" w:hAnsi="楷体" w:eastAsia="楷体" w:cs="楷体"/>
          <w:szCs w:val="24"/>
        </w:rPr>
        <w:t>(一)项目概况</w:t>
      </w:r>
      <w:bookmarkEnd w:id="4"/>
    </w:p>
    <w:p>
      <w:pPr>
        <w:ind w:firstLine="480"/>
        <w:rPr>
          <w:rFonts w:cs="仿宋"/>
          <w:szCs w:val="24"/>
        </w:rPr>
      </w:pPr>
      <w:r>
        <w:rPr>
          <w:rFonts w:hint="eastAsia" w:cs="仿宋"/>
          <w:szCs w:val="24"/>
        </w:rPr>
        <w:t>1.项目设定背景、目的</w:t>
      </w:r>
    </w:p>
    <w:p>
      <w:pPr>
        <w:ind w:firstLine="480"/>
        <w:rPr>
          <w:rFonts w:cs="仿宋"/>
          <w:szCs w:val="24"/>
        </w:rPr>
      </w:pPr>
      <w:r>
        <w:rPr>
          <w:rFonts w:hint="eastAsia" w:cs="仿宋"/>
          <w:szCs w:val="24"/>
        </w:rPr>
        <w:t>寻甸回族彝族自治县每年的初中毕业生均在</w:t>
      </w:r>
      <w:r>
        <w:rPr>
          <w:rFonts w:cs="仿宋"/>
          <w:szCs w:val="24"/>
        </w:rPr>
        <w:t>5000人左右，三所普高能录取3500人左右，每年500人左右进入职校，普职比约为7:1，</w:t>
      </w:r>
      <w:r>
        <w:rPr>
          <w:rFonts w:hint="eastAsia" w:cs="仿宋"/>
          <w:szCs w:val="24"/>
        </w:rPr>
        <w:t>寻甸</w:t>
      </w:r>
      <w:r>
        <w:rPr>
          <w:rFonts w:cs="仿宋"/>
          <w:szCs w:val="24"/>
        </w:rPr>
        <w:t>县每年还有1000人左右的初三毕业生进入社会，这对提高劳动者素质达到中央精准扶贫的要求差距甚远。为了实现2020年普职比结构相当，2020年职中在校生规模应达2000人，每年招生700人左右，普职比应达2</w:t>
      </w:r>
      <w:r>
        <w:rPr>
          <w:rFonts w:hint="eastAsia" w:cs="仿宋"/>
          <w:szCs w:val="24"/>
        </w:rPr>
        <w:t>：</w:t>
      </w:r>
      <w:r>
        <w:rPr>
          <w:rFonts w:cs="仿宋"/>
          <w:szCs w:val="24"/>
        </w:rPr>
        <w:t>1。但目前寻甸职业高级中学的基础设施、教学辅助用房、设备设施等只能满足1200人在校生的规模，目前学校的教学楼、学生食堂、学校办公楼、实训楼是1995年原复烤厂建设的厂房，于2009年改建</w:t>
      </w:r>
      <w:r>
        <w:rPr>
          <w:rFonts w:hint="eastAsia" w:cs="仿宋"/>
          <w:szCs w:val="24"/>
        </w:rPr>
        <w:t>为教学用房，年代较长，存在一定的安全隐患，需拆除重建。实训教室的面积不足，导致学校实训条件难以与专业配套，不断更新的实训设备无场所容纳，部分实训室仅能满足演示性实验要求，影响了教学效果。若学校教学长期受实训条件限制，将导致学生动手能力和实操水平偏低，不能达到用人单位的要求，不仅影响学校声誉和招生工作，也对区域人才培养、职业教育的发展形成严重阻碍。</w:t>
      </w:r>
    </w:p>
    <w:p>
      <w:pPr>
        <w:ind w:firstLine="480"/>
        <w:rPr>
          <w:rFonts w:cs="仿宋"/>
          <w:szCs w:val="24"/>
        </w:rPr>
      </w:pPr>
      <w:r>
        <w:rPr>
          <w:rFonts w:hint="eastAsia" w:cs="仿宋"/>
          <w:szCs w:val="24"/>
        </w:rPr>
        <w:t>为加快发展现代职业教育而实施本项目</w:t>
      </w:r>
      <w:r>
        <w:rPr>
          <w:rFonts w:cs="仿宋"/>
          <w:szCs w:val="24"/>
        </w:rPr>
        <w:t>，一是提升全县体育发展质量和效益</w:t>
      </w:r>
      <w:r>
        <w:rPr>
          <w:rFonts w:hint="eastAsia" w:cs="仿宋"/>
          <w:szCs w:val="24"/>
        </w:rPr>
        <w:t>，</w:t>
      </w:r>
      <w:r>
        <w:rPr>
          <w:rFonts w:cs="仿宋"/>
          <w:szCs w:val="24"/>
        </w:rPr>
        <w:t>二是提高学校办学质量</w:t>
      </w:r>
      <w:r>
        <w:rPr>
          <w:rFonts w:hint="eastAsia" w:cs="仿宋"/>
          <w:szCs w:val="24"/>
        </w:rPr>
        <w:t>，三是改善学校办学条件，</w:t>
      </w:r>
      <w:r>
        <w:rPr>
          <w:rFonts w:cs="仿宋"/>
          <w:szCs w:val="24"/>
        </w:rPr>
        <w:t>满足</w:t>
      </w:r>
      <w:r>
        <w:rPr>
          <w:rFonts w:hint="eastAsia" w:cs="仿宋"/>
          <w:szCs w:val="24"/>
        </w:rPr>
        <w:t>职业中学</w:t>
      </w:r>
      <w:r>
        <w:rPr>
          <w:rFonts w:cs="仿宋"/>
          <w:szCs w:val="24"/>
        </w:rPr>
        <w:t>办学需求</w:t>
      </w:r>
      <w:r>
        <w:rPr>
          <w:rFonts w:hint="eastAsia" w:cs="仿宋"/>
          <w:szCs w:val="24"/>
        </w:rPr>
        <w:t>，为全县经济社会持续健康发展培养</w:t>
      </w:r>
      <w:bookmarkStart w:id="5" w:name="_Hlk145775760"/>
      <w:r>
        <w:rPr>
          <w:rFonts w:hint="eastAsia" w:cs="仿宋"/>
          <w:szCs w:val="24"/>
        </w:rPr>
        <w:t>大批高素质劳动者和技术技能人才</w:t>
      </w:r>
      <w:bookmarkEnd w:id="5"/>
      <w:r>
        <w:rPr>
          <w:rFonts w:cs="仿宋"/>
          <w:szCs w:val="24"/>
        </w:rPr>
        <w:t>。</w:t>
      </w:r>
    </w:p>
    <w:p>
      <w:pPr>
        <w:ind w:firstLine="480"/>
        <w:rPr>
          <w:rFonts w:cs="仿宋"/>
          <w:color w:val="FF0000"/>
          <w:szCs w:val="24"/>
        </w:rPr>
      </w:pPr>
      <w:r>
        <w:rPr>
          <w:rFonts w:hint="eastAsia" w:cs="仿宋"/>
          <w:szCs w:val="24"/>
        </w:rPr>
        <w:t>2.项目立项依据</w:t>
      </w:r>
    </w:p>
    <w:p>
      <w:pPr>
        <w:ind w:firstLine="480"/>
        <w:rPr>
          <w:rFonts w:cs="仿宋"/>
          <w:szCs w:val="24"/>
        </w:rPr>
      </w:pPr>
      <w:bookmarkStart w:id="6" w:name="_Hlk114838304"/>
      <w:bookmarkStart w:id="7" w:name="_Toc502134850"/>
      <w:r>
        <w:rPr>
          <w:rFonts w:hint="eastAsia" w:cs="仿宋"/>
          <w:szCs w:val="24"/>
        </w:rPr>
        <w:t>(1)</w:t>
      </w:r>
      <w:bookmarkEnd w:id="6"/>
      <w:r>
        <w:rPr>
          <w:rFonts w:hint="eastAsia" w:cs="仿宋"/>
          <w:szCs w:val="24"/>
        </w:rPr>
        <w:t>《国务院关于加快发展现代职业教育的决定</w:t>
      </w:r>
      <w:r>
        <w:rPr>
          <w:rFonts w:cs="仿宋"/>
          <w:szCs w:val="24"/>
        </w:rPr>
        <w:t>》（</w:t>
      </w:r>
      <w:r>
        <w:rPr>
          <w:rFonts w:hint="eastAsia" w:cs="仿宋"/>
          <w:szCs w:val="24"/>
        </w:rPr>
        <w:t>国发</w:t>
      </w:r>
      <w:r>
        <w:rPr>
          <w:rFonts w:cs="仿宋"/>
          <w:szCs w:val="24"/>
        </w:rPr>
        <w:t>〔2014〕19号）</w:t>
      </w:r>
      <w:r>
        <w:rPr>
          <w:rFonts w:hint="eastAsia" w:cs="仿宋"/>
          <w:szCs w:val="24"/>
        </w:rPr>
        <w:t>；</w:t>
      </w:r>
    </w:p>
    <w:p>
      <w:pPr>
        <w:ind w:firstLine="480"/>
        <w:rPr>
          <w:rFonts w:cs="仿宋"/>
          <w:color w:val="FF0000"/>
          <w:szCs w:val="24"/>
        </w:rPr>
      </w:pPr>
      <w:r>
        <w:rPr>
          <w:rFonts w:cs="仿宋"/>
          <w:szCs w:val="24"/>
        </w:rPr>
        <w:t>(2)</w:t>
      </w:r>
      <w:r>
        <w:rPr>
          <w:rFonts w:hint="eastAsia" w:cs="仿宋"/>
          <w:szCs w:val="24"/>
        </w:rPr>
        <w:t>《人力资源社会保障部关于推进技工院校改革创新的若干意见》（云人社部发〔</w:t>
      </w:r>
      <w:r>
        <w:rPr>
          <w:rFonts w:cs="仿宋"/>
          <w:szCs w:val="24"/>
        </w:rPr>
        <w:t>2014〕96号）；</w:t>
      </w:r>
    </w:p>
    <w:p>
      <w:pPr>
        <w:ind w:firstLine="480"/>
        <w:rPr>
          <w:rFonts w:cs="仿宋"/>
          <w:szCs w:val="24"/>
        </w:rPr>
      </w:pPr>
      <w:r>
        <w:rPr>
          <w:rFonts w:cs="仿宋"/>
          <w:szCs w:val="24"/>
        </w:rPr>
        <w:t>(3)</w:t>
      </w:r>
      <w:r>
        <w:rPr>
          <w:rFonts w:hint="eastAsia" w:cs="仿宋"/>
          <w:szCs w:val="24"/>
        </w:rPr>
        <w:t>《云南省人力资源和社会保障厅关于加强职业能力建设工作的意见》（云人社发〔</w:t>
      </w:r>
      <w:r>
        <w:rPr>
          <w:rFonts w:cs="仿宋"/>
          <w:szCs w:val="24"/>
        </w:rPr>
        <w:t>201</w:t>
      </w:r>
      <w:r>
        <w:rPr>
          <w:rFonts w:hint="eastAsia" w:cs="仿宋"/>
          <w:szCs w:val="24"/>
        </w:rPr>
        <w:t>5</w:t>
      </w:r>
      <w:r>
        <w:rPr>
          <w:rFonts w:cs="仿宋"/>
          <w:szCs w:val="24"/>
        </w:rPr>
        <w:t>〕19</w:t>
      </w:r>
      <w:r>
        <w:rPr>
          <w:rFonts w:hint="eastAsia" w:cs="仿宋"/>
          <w:szCs w:val="24"/>
        </w:rPr>
        <w:t>号）；</w:t>
      </w:r>
    </w:p>
    <w:p>
      <w:pPr>
        <w:ind w:firstLine="480"/>
        <w:rPr>
          <w:rFonts w:cs="仿宋"/>
          <w:szCs w:val="24"/>
        </w:rPr>
      </w:pPr>
      <w:r>
        <w:rPr>
          <w:rFonts w:cs="仿宋"/>
          <w:szCs w:val="24"/>
        </w:rPr>
        <w:t>(4)</w:t>
      </w:r>
      <w:bookmarkStart w:id="8" w:name="_Hlk144970402"/>
      <w:r>
        <w:rPr>
          <w:rFonts w:hint="eastAsia" w:cs="仿宋"/>
          <w:szCs w:val="24"/>
        </w:rPr>
        <w:t>《寻甸回族彝族自治县发展和改革局关于寻甸县职业中学新建实训楼项目可行性研究报告</w:t>
      </w:r>
      <w:r>
        <w:rPr>
          <w:rFonts w:cs="仿宋"/>
          <w:szCs w:val="24"/>
        </w:rPr>
        <w:t>的批复》</w:t>
      </w:r>
      <w:r>
        <w:rPr>
          <w:rFonts w:hint="eastAsia" w:cs="仿宋"/>
          <w:szCs w:val="24"/>
        </w:rPr>
        <w:t>（</w:t>
      </w:r>
      <w:r>
        <w:rPr>
          <w:rFonts w:cs="仿宋"/>
          <w:szCs w:val="24"/>
        </w:rPr>
        <w:t>寻发改投资</w:t>
      </w:r>
      <w:r>
        <w:rPr>
          <w:rFonts w:hint="eastAsia" w:cs="仿宋"/>
          <w:szCs w:val="24"/>
        </w:rPr>
        <w:t>〔</w:t>
      </w:r>
      <w:r>
        <w:rPr>
          <w:rFonts w:cs="仿宋"/>
          <w:szCs w:val="24"/>
        </w:rPr>
        <w:t>201</w:t>
      </w:r>
      <w:r>
        <w:rPr>
          <w:rFonts w:hint="eastAsia" w:cs="仿宋"/>
          <w:szCs w:val="24"/>
        </w:rPr>
        <w:t>8</w:t>
      </w:r>
      <w:r>
        <w:rPr>
          <w:rFonts w:cs="仿宋"/>
          <w:szCs w:val="24"/>
        </w:rPr>
        <w:t>〕43号</w:t>
      </w:r>
      <w:r>
        <w:rPr>
          <w:rFonts w:hint="eastAsia" w:cs="仿宋"/>
          <w:szCs w:val="24"/>
        </w:rPr>
        <w:t>）</w:t>
      </w:r>
      <w:bookmarkEnd w:id="8"/>
      <w:r>
        <w:rPr>
          <w:rFonts w:hint="eastAsia" w:cs="仿宋"/>
          <w:szCs w:val="24"/>
        </w:rPr>
        <w:t>；</w:t>
      </w:r>
    </w:p>
    <w:p>
      <w:pPr>
        <w:ind w:firstLine="480"/>
        <w:rPr>
          <w:rFonts w:cs="仿宋"/>
          <w:szCs w:val="24"/>
        </w:rPr>
      </w:pPr>
      <w:r>
        <w:rPr>
          <w:rFonts w:cs="仿宋"/>
          <w:szCs w:val="24"/>
        </w:rPr>
        <w:t>(5)</w:t>
      </w:r>
      <w:r>
        <w:rPr>
          <w:rFonts w:hint="eastAsia" w:cs="仿宋"/>
          <w:szCs w:val="24"/>
        </w:rPr>
        <w:t>寻甸回族彝族自治县发展和改革局</w:t>
      </w:r>
      <w:r>
        <w:rPr>
          <w:rFonts w:cs="仿宋"/>
          <w:szCs w:val="24"/>
        </w:rPr>
        <w:t xml:space="preserve"> 寻甸回族彝族自治县教育体育局 寻甸回族彝族自治县财政局</w:t>
      </w:r>
      <w:r>
        <w:rPr>
          <w:rFonts w:hint="eastAsia" w:cs="仿宋"/>
          <w:szCs w:val="24"/>
        </w:rPr>
        <w:t>《寻甸县职业中学新建实训楼项目专项债券实施方案》。</w:t>
      </w:r>
    </w:p>
    <w:p>
      <w:pPr>
        <w:ind w:firstLine="480"/>
        <w:rPr>
          <w:rFonts w:ascii="楷体" w:hAnsi="楷体" w:eastAsia="楷体" w:cs="楷体"/>
          <w:szCs w:val="24"/>
        </w:rPr>
      </w:pPr>
      <w:r>
        <w:rPr>
          <w:rFonts w:hint="eastAsia" w:ascii="楷体" w:hAnsi="楷体" w:eastAsia="楷体" w:cs="楷体"/>
          <w:szCs w:val="24"/>
        </w:rPr>
        <w:t>(二)项目资金安排情况</w:t>
      </w:r>
      <w:bookmarkEnd w:id="7"/>
    </w:p>
    <w:p>
      <w:pPr>
        <w:ind w:firstLine="480"/>
        <w:rPr>
          <w:rFonts w:cs="仿宋"/>
          <w:szCs w:val="24"/>
        </w:rPr>
      </w:pPr>
      <w:bookmarkStart w:id="9" w:name="_Toc502134851"/>
      <w:r>
        <w:rPr>
          <w:rFonts w:hint="eastAsia" w:ascii="仿宋_GB2312" w:eastAsia="仿宋_GB2312" w:cs="仿宋"/>
          <w:szCs w:val="24"/>
        </w:rPr>
        <w:t>根据《寻甸回族彝族自治县发展和改革局关于寻甸县职业中学新建实训楼项目可行性研究报告的批复》（寻发改投资〔</w:t>
      </w:r>
      <w:r>
        <w:rPr>
          <w:rFonts w:ascii="仿宋_GB2312" w:eastAsia="仿宋_GB2312" w:cs="仿宋"/>
          <w:szCs w:val="24"/>
        </w:rPr>
        <w:t>2018〕43号）、</w:t>
      </w:r>
      <w:bookmarkStart w:id="10" w:name="_Hlk145775097"/>
      <w:r>
        <w:rPr>
          <w:rFonts w:ascii="仿宋_GB2312" w:eastAsia="仿宋_GB2312" w:cs="仿宋"/>
          <w:szCs w:val="24"/>
        </w:rPr>
        <w:t>《寻甸县职业中学新建实训楼项目专项债券实施方案》</w:t>
      </w:r>
      <w:bookmarkEnd w:id="10"/>
      <w:r>
        <w:rPr>
          <w:rFonts w:ascii="仿宋_GB2312" w:eastAsia="仿宋_GB2312" w:cs="仿宋"/>
          <w:szCs w:val="24"/>
        </w:rPr>
        <w:t>，项目总投资30000万元，其中财政预算安排15000万元</w:t>
      </w:r>
      <w:r>
        <w:rPr>
          <w:rFonts w:hint="eastAsia" w:ascii="仿宋_GB2312" w:eastAsia="仿宋_GB2312" w:cs="仿宋"/>
          <w:szCs w:val="24"/>
        </w:rPr>
        <w:t>、</w:t>
      </w:r>
      <w:r>
        <w:rPr>
          <w:rFonts w:ascii="仿宋_GB2312" w:eastAsia="仿宋_GB2312" w:cs="仿宋"/>
          <w:szCs w:val="24"/>
        </w:rPr>
        <w:t>专项债券</w:t>
      </w:r>
      <w:r>
        <w:rPr>
          <w:rFonts w:hint="eastAsia" w:ascii="仿宋_GB2312" w:eastAsia="仿宋_GB2312" w:cs="仿宋"/>
          <w:szCs w:val="24"/>
        </w:rPr>
        <w:t>资金</w:t>
      </w:r>
      <w:r>
        <w:rPr>
          <w:rFonts w:ascii="仿宋_GB2312" w:eastAsia="仿宋_GB2312" w:cs="仿宋"/>
          <w:szCs w:val="24"/>
        </w:rPr>
        <w:t>15000万元。根据《寻甸回族彝族自治县财政局关于拨付2021年第二批新增专项债券资金的通知》（寻财债〔2021〕2号）项目到位</w:t>
      </w:r>
      <w:r>
        <w:rPr>
          <w:rFonts w:hint="eastAsia" w:ascii="仿宋_GB2312" w:eastAsia="仿宋_GB2312" w:cs="仿宋"/>
          <w:szCs w:val="24"/>
        </w:rPr>
        <w:t>专项债券</w:t>
      </w:r>
      <w:r>
        <w:rPr>
          <w:rFonts w:ascii="仿宋_GB2312" w:eastAsia="仿宋_GB2312" w:cs="仿宋"/>
          <w:szCs w:val="24"/>
        </w:rPr>
        <w:t>资金15000万元。根据教体局</w:t>
      </w:r>
      <w:r>
        <w:rPr>
          <w:rFonts w:hint="eastAsia" w:ascii="仿宋_GB2312" w:eastAsia="仿宋_GB2312" w:cs="仿宋"/>
          <w:szCs w:val="24"/>
        </w:rPr>
        <w:t>提供相关支付凭证，截止</w:t>
      </w:r>
      <w:r>
        <w:rPr>
          <w:rFonts w:ascii="仿宋_GB2312" w:eastAsia="仿宋_GB2312" w:cs="仿宋"/>
          <w:szCs w:val="24"/>
        </w:rPr>
        <w:t>2022年12月31日，政府专项债券资金共计支付相关费用15000</w:t>
      </w:r>
      <w:r>
        <w:rPr>
          <w:rFonts w:hint="eastAsia" w:ascii="仿宋_GB2312" w:eastAsia="仿宋_GB2312" w:cs="仿宋"/>
          <w:szCs w:val="24"/>
        </w:rPr>
        <w:t>万</w:t>
      </w:r>
      <w:r>
        <w:rPr>
          <w:rFonts w:ascii="仿宋_GB2312" w:eastAsia="仿宋_GB2312" w:cs="仿宋"/>
          <w:szCs w:val="24"/>
        </w:rPr>
        <w:t>元。</w:t>
      </w:r>
    </w:p>
    <w:p>
      <w:pPr>
        <w:ind w:firstLine="480"/>
        <w:rPr>
          <w:rFonts w:ascii="楷体" w:hAnsi="楷体" w:eastAsia="楷体" w:cs="楷体"/>
          <w:szCs w:val="24"/>
        </w:rPr>
      </w:pPr>
      <w:r>
        <w:rPr>
          <w:rFonts w:hint="eastAsia" w:ascii="楷体" w:hAnsi="楷体" w:eastAsia="楷体" w:cs="楷体"/>
          <w:szCs w:val="24"/>
        </w:rPr>
        <w:t>(三)项目实施内容</w:t>
      </w:r>
      <w:bookmarkEnd w:id="9"/>
    </w:p>
    <w:p>
      <w:pPr>
        <w:ind w:firstLine="480"/>
        <w:rPr>
          <w:rFonts w:cs="仿宋"/>
          <w:szCs w:val="24"/>
        </w:rPr>
      </w:pPr>
      <w:bookmarkStart w:id="11" w:name="_Toc502134852"/>
      <w:r>
        <w:rPr>
          <w:rFonts w:hint="eastAsia" w:cs="仿宋"/>
          <w:szCs w:val="24"/>
        </w:rPr>
        <w:t>根据《寻甸回族彝族自治县发展和改革局关于寻甸县职业中学新建实训楼项目可行性研究报告的批复》（寻发改投资〔</w:t>
      </w:r>
      <w:r>
        <w:rPr>
          <w:rFonts w:cs="仿宋"/>
          <w:szCs w:val="24"/>
        </w:rPr>
        <w:t>2018〕43号）</w:t>
      </w:r>
      <w:r>
        <w:rPr>
          <w:rFonts w:hint="eastAsia" w:cs="仿宋"/>
          <w:szCs w:val="24"/>
        </w:rPr>
        <w:t>，</w:t>
      </w:r>
      <w:r>
        <w:rPr>
          <w:rFonts w:cs="仿宋"/>
          <w:szCs w:val="24"/>
        </w:rPr>
        <w:t>项目主要建设内容为：新建寻甸县职业中学实训楼12765平方米(含隔震层1265平方米)及相关配套设施，新建学校体育场馆3000平方米、羽毛球馆2500平方米、学生宿舍3000平方米、食堂2000平方米、操场及周边配套设施建设等。</w:t>
      </w:r>
    </w:p>
    <w:p>
      <w:pPr>
        <w:ind w:firstLine="480"/>
        <w:rPr>
          <w:rFonts w:cs="仿宋"/>
          <w:szCs w:val="24"/>
        </w:rPr>
      </w:pPr>
      <w:r>
        <w:rPr>
          <w:rFonts w:hint="eastAsia" w:cs="仿宋"/>
          <w:szCs w:val="24"/>
        </w:rPr>
        <w:t>根据《寻甸县职业中学新建实训楼项目专项债券实施方案》，项目建设期为2</w:t>
      </w:r>
      <w:r>
        <w:rPr>
          <w:rFonts w:cs="仿宋"/>
          <w:szCs w:val="24"/>
        </w:rPr>
        <w:t>021</w:t>
      </w:r>
      <w:r>
        <w:rPr>
          <w:rFonts w:hint="eastAsia" w:cs="仿宋"/>
          <w:szCs w:val="24"/>
        </w:rPr>
        <w:t>年9月至2</w:t>
      </w:r>
      <w:r>
        <w:rPr>
          <w:rFonts w:cs="仿宋"/>
          <w:szCs w:val="24"/>
        </w:rPr>
        <w:t>023</w:t>
      </w:r>
      <w:r>
        <w:rPr>
          <w:rFonts w:hint="eastAsia" w:cs="仿宋"/>
          <w:szCs w:val="24"/>
        </w:rPr>
        <w:t>年8月。</w:t>
      </w:r>
    </w:p>
    <w:p>
      <w:pPr>
        <w:ind w:firstLine="480"/>
        <w:rPr>
          <w:rFonts w:ascii="楷体" w:hAnsi="楷体" w:eastAsia="楷体" w:cs="楷体"/>
          <w:szCs w:val="24"/>
        </w:rPr>
      </w:pPr>
      <w:r>
        <w:rPr>
          <w:rFonts w:hint="eastAsia" w:ascii="楷体" w:hAnsi="楷体" w:eastAsia="楷体" w:cs="楷体"/>
          <w:szCs w:val="24"/>
        </w:rPr>
        <w:t>(四)</w:t>
      </w:r>
      <w:bookmarkStart w:id="12" w:name="_Hlk145787341"/>
      <w:r>
        <w:rPr>
          <w:rFonts w:hint="eastAsia" w:ascii="楷体" w:hAnsi="楷体" w:eastAsia="楷体" w:cs="楷体"/>
          <w:szCs w:val="24"/>
        </w:rPr>
        <w:t>项目绩效目标设定情况</w:t>
      </w:r>
      <w:bookmarkEnd w:id="11"/>
      <w:bookmarkEnd w:id="12"/>
    </w:p>
    <w:p>
      <w:pPr>
        <w:ind w:firstLine="480"/>
        <w:rPr>
          <w:rFonts w:cs="仿宋"/>
          <w:szCs w:val="24"/>
        </w:rPr>
      </w:pPr>
      <w:bookmarkStart w:id="13" w:name="_Hlk144996368"/>
      <w:r>
        <w:rPr>
          <w:rFonts w:hint="eastAsia" w:cs="仿宋"/>
          <w:szCs w:val="24"/>
        </w:rPr>
        <w:t>教体局根据上述项目实施内容，设定了项目总体目标和年度目标。</w:t>
      </w:r>
    </w:p>
    <w:p>
      <w:pPr>
        <w:ind w:firstLine="480"/>
        <w:rPr>
          <w:rFonts w:cs="仿宋"/>
          <w:szCs w:val="24"/>
        </w:rPr>
      </w:pPr>
      <w:r>
        <w:rPr>
          <w:rFonts w:hint="eastAsia" w:cs="仿宋"/>
          <w:szCs w:val="24"/>
        </w:rPr>
        <w:t>总体目标：</w:t>
      </w:r>
      <w:bookmarkStart w:id="14" w:name="_Hlk144905852"/>
      <w:r>
        <w:rPr>
          <w:rFonts w:hint="eastAsia" w:cs="仿宋"/>
          <w:szCs w:val="24"/>
        </w:rPr>
        <w:t>通过本项目的建设，服务经济社会发展需要，面向经济社会发展和生产服务一线，培养高素质劳动者和技术技能人才并促进全体劳动者可持续职业发展的教育类型，促进现代职业教育服务转方式、调结构、促改革、保就业、惠民生和工业化、信息化、城镇化、农业现代化同步发展的制度性安排，对打造中国经济升级版，创造更大人才红利，促进就业和改善民生，加强社会建设和文化建设，满足人民群众生产生活多样化的需求。</w:t>
      </w:r>
      <w:bookmarkEnd w:id="14"/>
    </w:p>
    <w:p>
      <w:pPr>
        <w:ind w:firstLine="480"/>
        <w:rPr>
          <w:rFonts w:cs="仿宋"/>
          <w:szCs w:val="24"/>
        </w:rPr>
      </w:pPr>
      <w:r>
        <w:rPr>
          <w:rFonts w:hint="eastAsia" w:cs="仿宋"/>
          <w:szCs w:val="24"/>
        </w:rPr>
        <w:t>年度目标：同上述“总体目标”内容一致。</w:t>
      </w:r>
    </w:p>
    <w:p>
      <w:pPr>
        <w:spacing w:after="312" w:afterLines="100"/>
        <w:ind w:firstLine="480"/>
      </w:pPr>
      <w:r>
        <w:rPr>
          <w:rFonts w:hint="eastAsia" w:cs="仿宋"/>
          <w:szCs w:val="24"/>
        </w:rPr>
        <w:t>根据上述项目年度目标，教体局申报的年度预算绩效指标及指标值的具体情况如下：</w:t>
      </w:r>
    </w:p>
    <w:tbl>
      <w:tblPr>
        <w:tblStyle w:val="7"/>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987"/>
        <w:gridCol w:w="279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bookmarkStart w:id="15" w:name="_Hlk144923174"/>
            <w:r>
              <w:rPr>
                <w:rFonts w:hint="eastAsia" w:ascii="宋体" w:hAnsi="宋体" w:eastAsia="宋体" w:cs="宋体"/>
                <w:color w:val="000000"/>
                <w:kern w:val="0"/>
                <w:sz w:val="18"/>
                <w:szCs w:val="18"/>
              </w:rPr>
              <w:t>一级指标</w:t>
            </w: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1658" w:type="pct"/>
            <w:tcBorders>
              <w:tl2br w:val="nil"/>
              <w:tr2bl w:val="nil"/>
            </w:tcBorders>
            <w:shd w:val="clear" w:color="auto" w:fill="auto"/>
            <w:vAlign w:val="center"/>
          </w:tcPr>
          <w:p>
            <w:pPr>
              <w:widowControl/>
              <w:spacing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179"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建设规模</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投资完成率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资金使用率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项目竣工验收合格率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开工时效</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≥2019年9月1日前开工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竣工时效</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≥2023年8月31日前竣工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项目按期完成率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建设期资金到位率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资金缺口率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存续期计算范围内运营成本</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restart"/>
            <w:tcBorders>
              <w:tl2br w:val="nil"/>
              <w:tr2bl w:val="nil"/>
            </w:tcBorders>
            <w:shd w:val="clear" w:color="auto" w:fill="auto"/>
            <w:vAlign w:val="center"/>
          </w:tcPr>
          <w:p>
            <w:pPr>
              <w:spacing w:line="240" w:lineRule="auto"/>
              <w:ind w:firstLine="180" w:firstLineChars="100"/>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179"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总投资收益率</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spacing w:line="240" w:lineRule="auto"/>
              <w:ind w:firstLine="36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投资回收期</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spacing w:line="240" w:lineRule="auto"/>
              <w:ind w:firstLine="360"/>
              <w:jc w:val="center"/>
              <w:rPr>
                <w:rFonts w:ascii="宋体" w:hAnsi="宋体" w:eastAsia="宋体" w:cs="宋体"/>
                <w:color w:val="000000"/>
                <w:kern w:val="0"/>
                <w:sz w:val="18"/>
                <w:szCs w:val="18"/>
              </w:rPr>
            </w:pP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bookmarkStart w:id="16" w:name="_Hlk145787969"/>
            <w:r>
              <w:rPr>
                <w:rFonts w:hint="eastAsia" w:ascii="宋体" w:hAnsi="宋体" w:eastAsia="宋体" w:cs="宋体"/>
                <w:color w:val="000000"/>
                <w:kern w:val="0"/>
                <w:sz w:val="18"/>
                <w:szCs w:val="18"/>
              </w:rPr>
              <w:t>提高办学水平，为教育事业发展注入强劲动力</w:t>
            </w:r>
            <w:bookmarkEnd w:id="16"/>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专项设施完成情况</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专项设施完成情况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可持续性影响指标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偿债能力</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按期偿债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restart"/>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179"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pct"/>
            <w:vMerge w:val="continue"/>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179"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658"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社会群众</w:t>
            </w:r>
          </w:p>
        </w:tc>
        <w:tc>
          <w:tcPr>
            <w:tcW w:w="139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r>
      <w:bookmarkEnd w:id="15"/>
    </w:tbl>
    <w:p>
      <w:pPr>
        <w:ind w:firstLine="480"/>
      </w:pPr>
      <w:r>
        <w:rPr>
          <w:rFonts w:hint="eastAsia"/>
        </w:rPr>
        <w:t>根据教体局提供的预算绩效目标申报表，存在申报表</w:t>
      </w:r>
      <w:bookmarkStart w:id="17" w:name="_Hlk144916459"/>
      <w:r>
        <w:rPr>
          <w:rFonts w:hint="eastAsia"/>
        </w:rPr>
        <w:t>填列不规范完整，设定的总体目标和年度目标均未清晰表述项目总体及年度工作内容和数量，未充分、恰当描述项目的主要内容；设定的绩效指标不充分全面，</w:t>
      </w:r>
      <w:bookmarkStart w:id="18" w:name="_Hlk144979236"/>
      <w:r>
        <w:rPr>
          <w:rFonts w:hint="eastAsia"/>
        </w:rPr>
        <w:t>未选取最能体现项目绩效目标实现程度和项目实施部门职能履职情况的关键的、核心的绩效指标；设定的三级指标未通过清晰、可衡量的指标及指标值细化、量化并分解项目总体目标，产出指标性质界定不清晰明确</w:t>
      </w:r>
      <w:bookmarkEnd w:id="18"/>
      <w:r>
        <w:rPr>
          <w:rFonts w:hint="eastAsia"/>
        </w:rPr>
        <w:t>。</w:t>
      </w:r>
      <w:bookmarkEnd w:id="13"/>
      <w:bookmarkEnd w:id="17"/>
    </w:p>
    <w:p>
      <w:pPr>
        <w:ind w:firstLine="480"/>
      </w:pPr>
      <w:r>
        <w:rPr>
          <w:rFonts w:hint="eastAsia"/>
        </w:rPr>
        <w:t>根据上述情况，绩效评价组在与教体局充分沟通一致后，根据项目具体实施内容，结合项目设定的背景、目的及依据、尤其项目为实施期间的特点等，将项目个性指标及指标值设定如下</w:t>
      </w:r>
      <w:r>
        <w:t>：</w:t>
      </w:r>
    </w:p>
    <w:tbl>
      <w:tblPr>
        <w:tblStyle w:val="7"/>
        <w:tblW w:w="8355" w:type="dxa"/>
        <w:tblInd w:w="0" w:type="dxa"/>
        <w:tblLayout w:type="fixed"/>
        <w:tblCellMar>
          <w:top w:w="0" w:type="dxa"/>
          <w:left w:w="0" w:type="dxa"/>
          <w:bottom w:w="0" w:type="dxa"/>
          <w:right w:w="0" w:type="dxa"/>
        </w:tblCellMar>
      </w:tblPr>
      <w:tblGrid>
        <w:gridCol w:w="1065"/>
        <w:gridCol w:w="1128"/>
        <w:gridCol w:w="1933"/>
        <w:gridCol w:w="3119"/>
        <w:gridCol w:w="1110"/>
      </w:tblGrid>
      <w:tr>
        <w:tblPrEx>
          <w:tblCellMar>
            <w:top w:w="0" w:type="dxa"/>
            <w:left w:w="0" w:type="dxa"/>
            <w:bottom w:w="0" w:type="dxa"/>
            <w:right w:w="0" w:type="dxa"/>
          </w:tblCellMar>
        </w:tblPrEx>
        <w:trPr>
          <w:cantSplit/>
          <w:trHeight w:val="387" w:hRule="exact"/>
        </w:trPr>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color w:val="000000"/>
                <w:kern w:val="0"/>
                <w:sz w:val="18"/>
                <w:szCs w:val="18"/>
              </w:rPr>
              <w:t>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一级指标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二级指标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312"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r>
              <w:rPr>
                <w:rFonts w:hint="eastAsia" w:ascii="宋体" w:hAnsi="宋体" w:eastAsia="宋体" w:cs="宋体"/>
                <w:sz w:val="18"/>
                <w:szCs w:val="18"/>
              </w:rPr>
              <w:t>效益指标</w:t>
            </w: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社会效益指标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安全事件处理及时率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ascii="宋体" w:hAnsi="宋体" w:eastAsia="宋体" w:cs="宋体"/>
                <w:sz w:val="18"/>
                <w:szCs w:val="18"/>
              </w:rPr>
              <w:t>100%</w:t>
            </w:r>
          </w:p>
        </w:tc>
      </w:tr>
      <w:tr>
        <w:tblPrEx>
          <w:tblCellMar>
            <w:top w:w="0" w:type="dxa"/>
            <w:left w:w="0" w:type="dxa"/>
            <w:bottom w:w="0" w:type="dxa"/>
            <w:right w:w="0" w:type="dxa"/>
          </w:tblCellMar>
        </w:tblPrEx>
        <w:trPr>
          <w:cantSplit/>
          <w:trHeight w:val="346"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基本建设程序合规率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351"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基建项目“四制”执行合规率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35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项目环评通过率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w:t>
            </w: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292"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建筑垃圾无害化处理率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CellMar>
            <w:top w:w="0" w:type="dxa"/>
            <w:left w:w="0" w:type="dxa"/>
            <w:bottom w:w="0" w:type="dxa"/>
            <w:right w:w="0" w:type="dxa"/>
          </w:tblCellMar>
        </w:tblPrEx>
        <w:trPr>
          <w:cantSplit/>
          <w:trHeight w:val="282"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311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CellMar>
            <w:top w:w="0" w:type="dxa"/>
            <w:left w:w="0" w:type="dxa"/>
            <w:bottom w:w="0" w:type="dxa"/>
            <w:right w:w="0" w:type="dxa"/>
          </w:tblCellMar>
        </w:tblPrEx>
        <w:trPr>
          <w:cantSplit/>
          <w:trHeight w:val="286" w:hRule="exact"/>
        </w:trPr>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311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社会公众满意度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19" w:name="_Toc502134853"/>
      <w:r>
        <w:rPr>
          <w:rFonts w:hint="eastAsia" w:ascii="楷体" w:hAnsi="楷体" w:eastAsia="楷体" w:cs="楷体"/>
          <w:szCs w:val="24"/>
        </w:rPr>
        <w:t>(五)组织管理情况</w:t>
      </w:r>
      <w:bookmarkEnd w:id="19"/>
    </w:p>
    <w:p>
      <w:pPr>
        <w:ind w:firstLine="480"/>
      </w:pPr>
      <w:r>
        <w:rPr>
          <w:rFonts w:hint="eastAsia"/>
        </w:rPr>
        <w:t>1.项目实施主体。</w:t>
      </w:r>
      <w:bookmarkStart w:id="20" w:name="_Hlk144916314"/>
      <w:bookmarkStart w:id="21" w:name="_Hlk144991539"/>
      <w:r>
        <w:rPr>
          <w:rFonts w:hint="eastAsia"/>
        </w:rPr>
        <w:t>教体局</w:t>
      </w:r>
      <w:r>
        <w:t>为项目主管部门、</w:t>
      </w:r>
      <w:bookmarkStart w:id="22" w:name="_Hlk144979785"/>
      <w:r>
        <w:t>寻甸城乡投资开发集团有限公司</w:t>
      </w:r>
      <w:bookmarkEnd w:id="22"/>
      <w:r>
        <w:t>为项目代建方，按照政府采购管理规定，通过</w:t>
      </w:r>
      <w:r>
        <w:rPr>
          <w:rFonts w:hint="eastAsia"/>
        </w:rPr>
        <w:t>公开招投标</w:t>
      </w:r>
      <w:r>
        <w:t>的方式采购</w:t>
      </w:r>
      <w:bookmarkStart w:id="23" w:name="_Hlk144978878"/>
      <w:r>
        <w:rPr>
          <w:rFonts w:hint="eastAsia"/>
        </w:rPr>
        <w:t>云南建投第四建设有限公司</w:t>
      </w:r>
      <w:r>
        <w:t>、</w:t>
      </w:r>
      <w:r>
        <w:rPr>
          <w:rFonts w:hint="eastAsia"/>
        </w:rPr>
        <w:t>海南深勘勘察设计</w:t>
      </w:r>
      <w:r>
        <w:t>有限公司</w:t>
      </w:r>
      <w:bookmarkEnd w:id="23"/>
      <w:r>
        <w:t>为项目EPC总承包单位</w:t>
      </w:r>
      <w:bookmarkEnd w:id="20"/>
      <w:r>
        <w:rPr>
          <w:rFonts w:hint="eastAsia"/>
        </w:rPr>
        <w:t>组织实施</w:t>
      </w:r>
      <w:bookmarkEnd w:id="21"/>
      <w:r>
        <w:rPr>
          <w:rFonts w:hint="eastAsia"/>
        </w:rPr>
        <w:t>。</w:t>
      </w:r>
    </w:p>
    <w:p>
      <w:pPr>
        <w:ind w:firstLine="480"/>
      </w:pPr>
      <w:r>
        <w:rPr>
          <w:rFonts w:hint="eastAsia"/>
        </w:rPr>
        <w:t>2.保障措施。一是以项目管理办法保障项目的申报范围、安排导向和实施方式；二是以绩效考核、工程质量监测的方式发挥资金效益；三是以预算明细的方式保障资金安排的科学规范，教体局建立预算管理制度，规范管理项目。</w:t>
      </w:r>
    </w:p>
    <w:p>
      <w:pPr>
        <w:ind w:firstLine="472"/>
        <w:rPr>
          <w:spacing w:val="-2"/>
        </w:rPr>
      </w:pPr>
      <w:r>
        <w:rPr>
          <w:rFonts w:hint="eastAsia"/>
          <w:spacing w:val="-2"/>
        </w:rPr>
        <w:t>3.资金安排程序。根据《寻甸回族彝族自治县发展和改革局关于寻甸县职业中学新建实训楼项目可行性研究报告的批复》（寻发改投资〔</w:t>
      </w:r>
      <w:r>
        <w:rPr>
          <w:spacing w:val="-2"/>
        </w:rPr>
        <w:t>2018〕43号）</w:t>
      </w:r>
      <w:r>
        <w:rPr>
          <w:rFonts w:hint="eastAsia"/>
          <w:spacing w:val="-2"/>
        </w:rPr>
        <w:t>安排。</w:t>
      </w:r>
    </w:p>
    <w:p>
      <w:pPr>
        <w:ind w:firstLine="480"/>
      </w:pPr>
      <w:r>
        <w:rPr>
          <w:rFonts w:hint="eastAsia"/>
        </w:rPr>
        <w:t>4.资金安排标准或依据。据《寻甸回族彝族自治县财政局关于拨付</w:t>
      </w:r>
      <w:r>
        <w:t>2021年第二批新增专项债券资金的通知》（寻财债〔2021〕2号）</w:t>
      </w:r>
      <w:r>
        <w:rPr>
          <w:rFonts w:hint="eastAsia"/>
        </w:rPr>
        <w:t>安排</w:t>
      </w:r>
      <w:r>
        <w:t>项目到位</w:t>
      </w:r>
      <w:r>
        <w:rPr>
          <w:rFonts w:hint="eastAsia"/>
        </w:rPr>
        <w:t>专债资金</w:t>
      </w:r>
      <w:r>
        <w:t>15000万元</w:t>
      </w:r>
      <w:r>
        <w:rPr>
          <w:rFonts w:hint="eastAsia"/>
        </w:rPr>
        <w:t>。</w:t>
      </w:r>
    </w:p>
    <w:p>
      <w:pPr>
        <w:ind w:firstLine="480"/>
      </w:pPr>
      <w:r>
        <w:rPr>
          <w:rFonts w:hint="eastAsia"/>
        </w:rPr>
        <w:t>5.财务管理。教体局制定了《寻甸县教体局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24" w:name="_Toc502134854"/>
      <w:r>
        <w:rPr>
          <w:rFonts w:hint="eastAsia" w:ascii="黑体" w:hAnsi="黑体" w:eastAsia="黑体" w:cs="黑体"/>
          <w:szCs w:val="24"/>
        </w:rPr>
        <w:t>二、绩效自评情况</w:t>
      </w:r>
      <w:bookmarkEnd w:id="24"/>
    </w:p>
    <w:p>
      <w:pPr>
        <w:ind w:firstLine="480"/>
        <w:rPr>
          <w:rFonts w:ascii="楷体" w:hAnsi="楷体" w:eastAsia="楷体" w:cs="楷体"/>
          <w:szCs w:val="24"/>
        </w:rPr>
      </w:pPr>
      <w:bookmarkStart w:id="25" w:name="_Toc502134855"/>
      <w:bookmarkStart w:id="26" w:name="_Toc498009772"/>
      <w:r>
        <w:rPr>
          <w:rFonts w:hint="eastAsia" w:ascii="楷体" w:hAnsi="楷体" w:eastAsia="楷体" w:cs="楷体"/>
          <w:szCs w:val="24"/>
        </w:rPr>
        <w:t>(一)绩效自评概述</w:t>
      </w:r>
      <w:bookmarkEnd w:id="25"/>
      <w:bookmarkEnd w:id="26"/>
    </w:p>
    <w:p>
      <w:pPr>
        <w:ind w:firstLine="480"/>
      </w:pPr>
      <w:bookmarkStart w:id="27" w:name="_Toc498009773"/>
      <w:bookmarkStart w:id="28" w:name="_Toc502134856"/>
      <w:r>
        <w:rPr>
          <w:rFonts w:hint="eastAsia"/>
        </w:rPr>
        <w:t>根据</w:t>
      </w:r>
      <w:bookmarkStart w:id="29" w:name="_Hlk143869243"/>
      <w:r>
        <w:rPr>
          <w:rFonts w:hint="eastAsia"/>
        </w:rPr>
        <w:t>《寻甸县财政局关于印发</w:t>
      </w:r>
      <w:r>
        <w:t>&lt;寻甸县本级部门预算绩效自评管理暂行办法&gt;的通知》（寻财绩</w:t>
      </w:r>
      <w:r>
        <w:rPr>
          <w:rFonts w:hint="eastAsia" w:cs="仿宋"/>
          <w:szCs w:val="24"/>
        </w:rPr>
        <w:t>〔</w:t>
      </w:r>
      <w:r>
        <w:rPr>
          <w:rFonts w:cs="仿宋"/>
          <w:szCs w:val="24"/>
        </w:rPr>
        <w:t>201</w:t>
      </w:r>
      <w:r>
        <w:rPr>
          <w:rFonts w:hint="eastAsia" w:cs="仿宋"/>
          <w:szCs w:val="24"/>
        </w:rPr>
        <w:t>8</w:t>
      </w:r>
      <w:r>
        <w:rPr>
          <w:rFonts w:cs="仿宋"/>
          <w:szCs w:val="24"/>
        </w:rPr>
        <w:t>〕</w:t>
      </w:r>
      <w:r>
        <w:t>9号）</w:t>
      </w:r>
      <w:bookmarkEnd w:id="29"/>
      <w:r>
        <w:rPr>
          <w:rFonts w:hint="eastAsia"/>
        </w:rPr>
        <w:t>等文件的规定，教体局成立了202</w:t>
      </w:r>
      <w:r>
        <w:t>1</w:t>
      </w:r>
      <w:r>
        <w:rPr>
          <w:rFonts w:hint="eastAsia"/>
        </w:rPr>
        <w:t>年</w:t>
      </w:r>
      <w:bookmarkStart w:id="30" w:name="_Hlk144910479"/>
      <w:bookmarkStart w:id="31" w:name="_Hlk144974749"/>
      <w:r>
        <w:rPr>
          <w:rFonts w:hint="eastAsia"/>
        </w:rPr>
        <w:t>寻甸</w:t>
      </w:r>
      <w:bookmarkEnd w:id="30"/>
      <w:r>
        <w:rPr>
          <w:rFonts w:hint="eastAsia"/>
        </w:rPr>
        <w:t>职业中学新建实训楼项目</w:t>
      </w:r>
      <w:bookmarkEnd w:id="31"/>
      <w:r>
        <w:rPr>
          <w:rFonts w:hint="eastAsia"/>
        </w:rPr>
        <w:t>支出绩效自评组，并于202</w:t>
      </w:r>
      <w:r>
        <w:t>3</w:t>
      </w:r>
      <w:r>
        <w:rPr>
          <w:rFonts w:hint="eastAsia"/>
        </w:rPr>
        <w:t>年</w:t>
      </w:r>
      <w:r>
        <w:t>6</w:t>
      </w:r>
      <w:r>
        <w:rPr>
          <w:rFonts w:hint="eastAsia"/>
        </w:rPr>
        <w:t>月形成了《寻甸回族彝族自治县教育体育局</w:t>
      </w:r>
      <w:bookmarkStart w:id="32" w:name="_Hlk145829803"/>
      <w:r>
        <w:rPr>
          <w:rFonts w:hint="eastAsia"/>
        </w:rPr>
        <w:t>202</w:t>
      </w:r>
      <w:r>
        <w:t>1</w:t>
      </w:r>
      <w:r>
        <w:rPr>
          <w:rFonts w:hint="eastAsia"/>
        </w:rPr>
        <w:t>年地方政府新增专项债券资金项目（职业中学新建实训楼项目）支出绩效自评报告</w:t>
      </w:r>
      <w:bookmarkEnd w:id="32"/>
      <w:r>
        <w:rPr>
          <w:rFonts w:hint="eastAsia"/>
        </w:rPr>
        <w:t>》。</w:t>
      </w:r>
    </w:p>
    <w:p>
      <w:pPr>
        <w:ind w:firstLine="480"/>
        <w:rPr>
          <w:rFonts w:ascii="楷体" w:hAnsi="楷体" w:eastAsia="楷体" w:cs="楷体"/>
          <w:szCs w:val="24"/>
        </w:rPr>
      </w:pPr>
      <w:r>
        <w:rPr>
          <w:rFonts w:hint="eastAsia" w:ascii="楷体" w:hAnsi="楷体" w:eastAsia="楷体" w:cs="楷体"/>
          <w:szCs w:val="24"/>
        </w:rPr>
        <w:t>(二)绩效自评结论</w:t>
      </w:r>
      <w:bookmarkEnd w:id="27"/>
      <w:bookmarkEnd w:id="28"/>
    </w:p>
    <w:p>
      <w:pPr>
        <w:ind w:firstLine="480"/>
        <w:rPr>
          <w:rFonts w:cs="仿宋"/>
          <w:szCs w:val="24"/>
        </w:rPr>
      </w:pPr>
      <w:r>
        <w:rPr>
          <w:rFonts w:hint="eastAsia" w:cs="仿宋"/>
          <w:szCs w:val="24"/>
        </w:rPr>
        <w:t>根据教体局提供的《</w:t>
      </w:r>
      <w:r>
        <w:rPr>
          <w:rFonts w:cs="仿宋"/>
          <w:szCs w:val="24"/>
        </w:rPr>
        <w:t>2021年地方政府新增专项债券资金项目（职业中学新建实训楼项目）支出绩效自评报告</w:t>
      </w:r>
      <w:r>
        <w:rPr>
          <w:rFonts w:hint="eastAsia" w:cs="仿宋"/>
          <w:szCs w:val="24"/>
        </w:rPr>
        <w:t>》，教体局202</w:t>
      </w:r>
      <w:r>
        <w:rPr>
          <w:rFonts w:cs="仿宋"/>
          <w:szCs w:val="24"/>
        </w:rPr>
        <w:t>2</w:t>
      </w:r>
      <w:r>
        <w:rPr>
          <w:rFonts w:hint="eastAsia" w:cs="仿宋"/>
          <w:szCs w:val="24"/>
        </w:rPr>
        <w:t>年寻甸职业中学新建实训楼项目的决策、管理、绩效情况自评综合得分为9</w:t>
      </w:r>
      <w:r>
        <w:rPr>
          <w:rFonts w:cs="仿宋"/>
          <w:szCs w:val="24"/>
        </w:rPr>
        <w:t>8</w:t>
      </w:r>
      <w:r>
        <w:rPr>
          <w:rFonts w:hint="eastAsia" w:cs="仿宋"/>
          <w:szCs w:val="24"/>
        </w:rPr>
        <w:t>分，自评等级为“优”。</w:t>
      </w:r>
    </w:p>
    <w:p>
      <w:pPr>
        <w:ind w:firstLine="480"/>
        <w:rPr>
          <w:rFonts w:ascii="黑体" w:hAnsi="黑体" w:eastAsia="黑体" w:cs="黑体"/>
          <w:szCs w:val="24"/>
        </w:rPr>
      </w:pPr>
      <w:bookmarkStart w:id="33" w:name="_Toc502134857"/>
      <w:r>
        <w:rPr>
          <w:rFonts w:hint="eastAsia" w:ascii="黑体" w:hAnsi="黑体" w:eastAsia="黑体" w:cs="黑体"/>
          <w:szCs w:val="24"/>
        </w:rPr>
        <w:t>三、绩效评价组织情况</w:t>
      </w:r>
      <w:bookmarkEnd w:id="33"/>
    </w:p>
    <w:p>
      <w:pPr>
        <w:ind w:firstLine="480"/>
        <w:rPr>
          <w:rFonts w:ascii="楷体" w:hAnsi="楷体" w:eastAsia="楷体" w:cs="楷体"/>
          <w:szCs w:val="24"/>
        </w:rPr>
      </w:pPr>
      <w:bookmarkStart w:id="34" w:name="_Toc502134858"/>
      <w:r>
        <w:rPr>
          <w:rFonts w:hint="eastAsia" w:ascii="楷体" w:hAnsi="楷体" w:eastAsia="楷体" w:cs="楷体"/>
          <w:szCs w:val="24"/>
        </w:rPr>
        <w:t>(一)绩效评价依据</w:t>
      </w:r>
      <w:bookmarkEnd w:id="34"/>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35"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35"/>
      <w:r>
        <w:rPr>
          <w:rFonts w:hint="eastAsia" w:cs="仿宋"/>
          <w:szCs w:val="24"/>
        </w:rPr>
        <w:t>。</w:t>
      </w:r>
    </w:p>
    <w:p>
      <w:pPr>
        <w:ind w:firstLine="480"/>
        <w:rPr>
          <w:rFonts w:ascii="楷体" w:hAnsi="楷体" w:eastAsia="楷体" w:cs="楷体"/>
          <w:szCs w:val="24"/>
        </w:rPr>
      </w:pPr>
      <w:bookmarkStart w:id="36" w:name="_Toc502134859"/>
      <w:r>
        <w:rPr>
          <w:rFonts w:hint="eastAsia" w:ascii="楷体" w:hAnsi="楷体" w:eastAsia="楷体" w:cs="楷体"/>
          <w:szCs w:val="24"/>
        </w:rPr>
        <w:t>(二)绩效评价方法</w:t>
      </w:r>
      <w:bookmarkEnd w:id="36"/>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202</w:t>
      </w:r>
      <w:r>
        <w:rPr>
          <w:rFonts w:cs="仿宋"/>
          <w:szCs w:val="24"/>
        </w:rPr>
        <w:t>1</w:t>
      </w:r>
      <w:r>
        <w:rPr>
          <w:rFonts w:hint="eastAsia" w:cs="仿宋"/>
          <w:szCs w:val="24"/>
        </w:rPr>
        <w:t>年寻甸职业中学新建实训楼项目相关档案资料进行查阅，结合现场核实情况和资金到位使用及结余情况的分析，进行数据分析和取证。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37" w:name="_Toc502134860"/>
      <w:r>
        <w:rPr>
          <w:rFonts w:hint="eastAsia" w:ascii="楷体" w:hAnsi="楷体" w:eastAsia="楷体" w:cs="楷体"/>
          <w:szCs w:val="24"/>
        </w:rPr>
        <w:t>(三)绩效评价指标体系</w:t>
      </w:r>
      <w:bookmarkEnd w:id="37"/>
    </w:p>
    <w:p>
      <w:pPr>
        <w:ind w:firstLine="480"/>
        <w:rPr>
          <w:rFonts w:cs="仿宋"/>
          <w:szCs w:val="24"/>
        </w:rPr>
      </w:pPr>
      <w:r>
        <w:rPr>
          <w:rFonts w:hint="eastAsia" w:cs="仿宋"/>
          <w:szCs w:val="24"/>
        </w:rPr>
        <w:t>1.绩效评价指标</w:t>
      </w:r>
    </w:p>
    <w:p>
      <w:pPr>
        <w:ind w:firstLine="480"/>
        <w:rPr>
          <w:rFonts w:cs="仿宋"/>
          <w:szCs w:val="24"/>
        </w:rPr>
      </w:pPr>
      <w:bookmarkStart w:id="38"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hint="eastAsia" w:cs="仿宋"/>
          <w:szCs w:val="24"/>
          <w:lang w:val="en-US" w:eastAsia="zh-CN"/>
        </w:rPr>
        <w:t>9</w:t>
      </w:r>
      <w:r>
        <w:rPr>
          <w:rFonts w:hint="eastAsia" w:cs="仿宋"/>
          <w:szCs w:val="24"/>
        </w:rPr>
        <w:t>%、3</w:t>
      </w:r>
      <w:r>
        <w:rPr>
          <w:rFonts w:hint="eastAsia" w:cs="仿宋"/>
          <w:szCs w:val="24"/>
          <w:lang w:val="en-US" w:eastAsia="zh-CN"/>
        </w:rPr>
        <w:t>5</w:t>
      </w:r>
      <w:r>
        <w:rPr>
          <w:rFonts w:hint="eastAsia" w:cs="仿宋"/>
          <w:szCs w:val="24"/>
        </w:rPr>
        <w:t>%、</w:t>
      </w:r>
      <w:r>
        <w:rPr>
          <w:rFonts w:hint="eastAsia" w:cs="仿宋"/>
          <w:szCs w:val="24"/>
          <w:lang w:val="en-US" w:eastAsia="zh-CN"/>
        </w:rPr>
        <w:t>2</w:t>
      </w:r>
      <w:r>
        <w:rPr>
          <w:rFonts w:hint="eastAsia" w:cs="仿宋"/>
          <w:szCs w:val="24"/>
        </w:rPr>
        <w:t>0%。在此基础上设定1</w:t>
      </w:r>
      <w:r>
        <w:rPr>
          <w:rFonts w:hint="eastAsia" w:cs="仿宋"/>
          <w:szCs w:val="24"/>
          <w:lang w:val="en-US" w:eastAsia="zh-CN"/>
        </w:rPr>
        <w:t>3</w:t>
      </w:r>
      <w:r>
        <w:rPr>
          <w:rFonts w:hint="eastAsia" w:cs="仿宋"/>
          <w:szCs w:val="24"/>
        </w:rPr>
        <w:t>个二级指标（项目立项、绩效目标、资金投入、资金管理、组织实施、产出数量、产出质量、产出时效、产出成本、社会效益、生态效益、可持续性、满意度），设2</w:t>
      </w:r>
      <w:r>
        <w:rPr>
          <w:rFonts w:cs="仿宋"/>
          <w:szCs w:val="24"/>
        </w:rPr>
        <w:t>2</w:t>
      </w:r>
      <w:r>
        <w:rPr>
          <w:rFonts w:hint="eastAsia" w:cs="仿宋"/>
          <w:szCs w:val="24"/>
        </w:rPr>
        <w:t>个三级指标</w:t>
      </w:r>
      <w:bookmarkStart w:id="39" w:name="_Hlk143856496"/>
      <w:r>
        <w:rPr>
          <w:rFonts w:hint="eastAsia" w:cs="仿宋"/>
          <w:szCs w:val="24"/>
        </w:rPr>
        <w:t>（详见后附“寻甸县教育体育局寻甸县职业中学新建实训楼项目支出绩效评价指标体系及评分表”）</w:t>
      </w:r>
      <w:bookmarkEnd w:id="39"/>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40" w:name="_Toc7874"/>
      <w:bookmarkStart w:id="41" w:name="_Toc25624"/>
      <w:r>
        <w:rPr>
          <w:rFonts w:hint="eastAsia" w:cs="仿宋"/>
          <w:szCs w:val="24"/>
        </w:rPr>
        <w:t>3.数据来源</w:t>
      </w:r>
      <w:bookmarkEnd w:id="40"/>
      <w:bookmarkEnd w:id="41"/>
    </w:p>
    <w:p>
      <w:pPr>
        <w:ind w:firstLine="480"/>
        <w:rPr>
          <w:rFonts w:cs="仿宋"/>
          <w:color w:val="FF0000"/>
          <w:szCs w:val="24"/>
        </w:rPr>
      </w:pPr>
      <w:r>
        <w:rPr>
          <w:rFonts w:hint="eastAsia" w:cs="仿宋"/>
          <w:szCs w:val="24"/>
        </w:rPr>
        <w:t>绩效评价数据由教体局提供。</w:t>
      </w:r>
    </w:p>
    <w:bookmarkEnd w:id="38"/>
    <w:p>
      <w:pPr>
        <w:ind w:firstLine="480"/>
        <w:rPr>
          <w:rFonts w:ascii="黑体" w:hAnsi="黑体" w:eastAsia="黑体" w:cs="黑体"/>
          <w:szCs w:val="24"/>
        </w:rPr>
      </w:pPr>
      <w:bookmarkStart w:id="42" w:name="_Toc502134862"/>
      <w:r>
        <w:rPr>
          <w:rFonts w:hint="eastAsia" w:ascii="黑体" w:hAnsi="黑体" w:eastAsia="黑体" w:cs="黑体"/>
          <w:szCs w:val="24"/>
        </w:rPr>
        <w:t>四、</w:t>
      </w:r>
      <w:bookmarkEnd w:id="42"/>
      <w:r>
        <w:rPr>
          <w:rFonts w:hint="eastAsia" w:ascii="黑体" w:hAnsi="黑体" w:eastAsia="黑体" w:cs="黑体"/>
          <w:szCs w:val="24"/>
        </w:rPr>
        <w:t>综合评价情况及评价结论</w:t>
      </w:r>
    </w:p>
    <w:p>
      <w:pPr>
        <w:ind w:firstLine="480"/>
        <w:rPr>
          <w:rFonts w:cs="仿宋"/>
          <w:szCs w:val="24"/>
        </w:rPr>
      </w:pPr>
      <w:bookmarkStart w:id="43" w:name="_Toc498009781"/>
      <w:r>
        <w:rPr>
          <w:rFonts w:hint="eastAsia" w:cs="仿宋"/>
          <w:szCs w:val="24"/>
        </w:rPr>
        <w:t>教体局202</w:t>
      </w:r>
      <w:r>
        <w:rPr>
          <w:rFonts w:cs="仿宋"/>
          <w:szCs w:val="24"/>
        </w:rPr>
        <w:t>1</w:t>
      </w:r>
      <w:r>
        <w:rPr>
          <w:rFonts w:hint="eastAsia" w:cs="仿宋"/>
          <w:szCs w:val="24"/>
        </w:rPr>
        <w:t>年寻甸职业中学新建实训楼项目支出绩效评价综合评分</w:t>
      </w:r>
      <w:r>
        <w:rPr>
          <w:rFonts w:cs="仿宋"/>
          <w:szCs w:val="24"/>
        </w:rPr>
        <w:t>80.25</w:t>
      </w:r>
      <w:r>
        <w:rPr>
          <w:rFonts w:hint="eastAsia" w:cs="仿宋"/>
          <w:szCs w:val="24"/>
        </w:rPr>
        <w:t>分，评价等级“良”（详见后附“</w:t>
      </w:r>
      <w:r>
        <w:rPr>
          <w:rFonts w:cs="仿宋"/>
          <w:szCs w:val="24"/>
        </w:rPr>
        <w:t>寻甸县教育体育局寻甸县职业中学新建实训楼项目支出绩效评价指标体系及评分表</w:t>
      </w:r>
      <w:r>
        <w:rPr>
          <w:rFonts w:hint="eastAsia" w:cs="仿宋"/>
          <w:szCs w:val="24"/>
        </w:rPr>
        <w:t>”）。</w:t>
      </w:r>
    </w:p>
    <w:p>
      <w:pPr>
        <w:ind w:firstLine="480"/>
        <w:rPr>
          <w:rFonts w:ascii="仿宋_GB2312" w:eastAsia="仿宋_GB2312" w:cs="仿宋"/>
          <w:szCs w:val="24"/>
        </w:rPr>
      </w:pPr>
      <w:r>
        <w:rPr>
          <w:rFonts w:hint="eastAsia" w:cs="仿宋"/>
          <w:szCs w:val="24"/>
        </w:rPr>
        <w:t>综合评价结论：</w:t>
      </w:r>
      <w:bookmarkStart w:id="44" w:name="_Toc502134864"/>
      <w:r>
        <w:rPr>
          <w:rFonts w:hint="eastAsia" w:cs="仿宋"/>
          <w:szCs w:val="24"/>
        </w:rPr>
        <w:t>202</w:t>
      </w:r>
      <w:r>
        <w:rPr>
          <w:rFonts w:cs="仿宋"/>
          <w:szCs w:val="24"/>
        </w:rPr>
        <w:t>1</w:t>
      </w:r>
      <w:r>
        <w:rPr>
          <w:rFonts w:hint="eastAsia" w:cs="仿宋"/>
          <w:szCs w:val="24"/>
        </w:rPr>
        <w:t>年寻甸职业中学新建实训楼项目批复建设工期为2</w:t>
      </w:r>
      <w:r>
        <w:rPr>
          <w:rFonts w:cs="仿宋"/>
          <w:szCs w:val="24"/>
        </w:rPr>
        <w:t>021</w:t>
      </w:r>
      <w:r>
        <w:rPr>
          <w:rFonts w:hint="eastAsia" w:cs="仿宋"/>
          <w:szCs w:val="24"/>
        </w:rPr>
        <w:t>年至2</w:t>
      </w:r>
      <w:r>
        <w:rPr>
          <w:rFonts w:cs="仿宋"/>
          <w:szCs w:val="24"/>
        </w:rPr>
        <w:t>023</w:t>
      </w:r>
      <w:r>
        <w:rPr>
          <w:rFonts w:hint="eastAsia" w:cs="仿宋"/>
          <w:szCs w:val="24"/>
        </w:rPr>
        <w:t>年，2</w:t>
      </w:r>
      <w:r>
        <w:rPr>
          <w:rFonts w:cs="仿宋"/>
          <w:szCs w:val="24"/>
        </w:rPr>
        <w:t>022</w:t>
      </w:r>
      <w:r>
        <w:rPr>
          <w:rFonts w:hint="eastAsia" w:cs="仿宋"/>
          <w:szCs w:val="24"/>
        </w:rPr>
        <w:t>年度为项目实施期，至2</w:t>
      </w:r>
      <w:r>
        <w:rPr>
          <w:rFonts w:cs="仿宋"/>
          <w:szCs w:val="24"/>
        </w:rPr>
        <w:t>023</w:t>
      </w:r>
      <w:r>
        <w:rPr>
          <w:rFonts w:hint="eastAsia" w:cs="仿宋"/>
          <w:szCs w:val="24"/>
        </w:rPr>
        <w:t>年7月，项目已实施完成超9</w:t>
      </w:r>
      <w:r>
        <w:rPr>
          <w:rFonts w:cs="仿宋"/>
          <w:szCs w:val="24"/>
        </w:rPr>
        <w:t>0%</w:t>
      </w:r>
      <w:r>
        <w:rPr>
          <w:rFonts w:hint="eastAsia" w:cs="仿宋"/>
          <w:szCs w:val="24"/>
        </w:rPr>
        <w:t>的建设内容，项目决策程序基本规范，项目实施过程管理基本合规，项目实施取得良好的产出和效益，改善了职业中学办学条件，为培养大批高素质劳动者和技术技能人才提供了硬件需求。</w:t>
      </w:r>
    </w:p>
    <w:bookmarkEnd w:id="43"/>
    <w:bookmarkEnd w:id="44"/>
    <w:p>
      <w:pPr>
        <w:ind w:firstLine="480"/>
        <w:rPr>
          <w:rFonts w:ascii="黑体" w:hAnsi="黑体" w:eastAsia="黑体" w:cs="黑体"/>
          <w:szCs w:val="24"/>
        </w:rPr>
      </w:pPr>
      <w:bookmarkStart w:id="45" w:name="_Toc502134866"/>
      <w:bookmarkStart w:id="46" w:name="_Toc498009783"/>
      <w:r>
        <w:rPr>
          <w:rFonts w:hint="eastAsia" w:ascii="黑体" w:hAnsi="黑体" w:eastAsia="黑体" w:cs="黑体"/>
          <w:szCs w:val="24"/>
        </w:rPr>
        <w:t>五、绩效评价情况分析</w:t>
      </w:r>
      <w:bookmarkEnd w:id="45"/>
      <w:bookmarkEnd w:id="46"/>
    </w:p>
    <w:p>
      <w:pPr>
        <w:ind w:firstLine="480"/>
        <w:rPr>
          <w:rFonts w:ascii="楷体" w:hAnsi="楷体" w:eastAsia="楷体" w:cs="楷体"/>
          <w:szCs w:val="24"/>
        </w:rPr>
      </w:pPr>
      <w:bookmarkStart w:id="47" w:name="_Toc498009784"/>
      <w:bookmarkStart w:id="48" w:name="_Toc502134867"/>
      <w:r>
        <w:rPr>
          <w:rFonts w:hint="eastAsia" w:ascii="楷体" w:hAnsi="楷体" w:eastAsia="楷体" w:cs="楷体"/>
          <w:szCs w:val="24"/>
        </w:rPr>
        <w:t>(一)项目决策分析</w:t>
      </w:r>
      <w:bookmarkEnd w:id="47"/>
      <w:bookmarkEnd w:id="48"/>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分，评价综合评分1</w:t>
      </w:r>
      <w:r>
        <w:rPr>
          <w:rFonts w:cs="仿宋"/>
          <w:szCs w:val="24"/>
        </w:rPr>
        <w:t>2</w:t>
      </w:r>
      <w:r>
        <w:rPr>
          <w:rFonts w:hint="eastAsia" w:cs="仿宋"/>
          <w:szCs w:val="24"/>
        </w:rPr>
        <w:t>分（占该项满分值的</w:t>
      </w:r>
      <w:r>
        <w:rPr>
          <w:rFonts w:cs="仿宋"/>
          <w:szCs w:val="24"/>
        </w:rPr>
        <w:t>75.00</w:t>
      </w:r>
      <w:r>
        <w:rPr>
          <w:rFonts w:hint="eastAsia" w:cs="仿宋"/>
          <w:szCs w:val="24"/>
        </w:rPr>
        <w:t>%），具体情况如下：</w:t>
      </w:r>
      <w:bookmarkStart w:id="49" w:name="_Toc502134868"/>
    </w:p>
    <w:p>
      <w:pPr>
        <w:ind w:firstLine="464"/>
        <w:rPr>
          <w:rFonts w:cs="仿宋"/>
          <w:spacing w:val="-4"/>
          <w:szCs w:val="24"/>
        </w:rPr>
      </w:pPr>
      <w:r>
        <w:rPr>
          <w:rFonts w:hint="eastAsia" w:cs="仿宋"/>
          <w:spacing w:val="-4"/>
          <w:szCs w:val="24"/>
        </w:rPr>
        <w:t>1.项目立项依据充分，符合国家法律法规、国民经济发展规划、行业发展规划和相关政策要求，与部门职能职责等相匹配，属于公共财政支持范围，未与相关部门同类项目或部门内部相关项目重复。教体局获取《寻甸回族彝族自治县发展和改革局关于寻甸县职业中学新建实训楼项目可行性研究批复的报告》（寻发改投资〔</w:t>
      </w:r>
      <w:r>
        <w:rPr>
          <w:rFonts w:cs="仿宋"/>
          <w:spacing w:val="-4"/>
          <w:szCs w:val="24"/>
        </w:rPr>
        <w:t>2018〕43号）</w:t>
      </w:r>
      <w:r>
        <w:rPr>
          <w:rFonts w:hint="eastAsia" w:cs="仿宋"/>
          <w:spacing w:val="-4"/>
          <w:szCs w:val="24"/>
        </w:rPr>
        <w:t>等项目立项程序批复资料，并按照政府采购管理规定</w:t>
      </w:r>
      <w:r>
        <w:rPr>
          <w:rFonts w:cs="仿宋"/>
          <w:spacing w:val="-4"/>
          <w:szCs w:val="24"/>
        </w:rPr>
        <w:t>采取</w:t>
      </w:r>
      <w:r>
        <w:rPr>
          <w:rFonts w:hint="eastAsia" w:cs="仿宋"/>
          <w:spacing w:val="-4"/>
          <w:szCs w:val="24"/>
        </w:rPr>
        <w:t>公开招投标的方式，采购</w:t>
      </w:r>
      <w:bookmarkStart w:id="50" w:name="_Hlk145777138"/>
      <w:r>
        <w:rPr>
          <w:rFonts w:hint="eastAsia" w:cs="仿宋"/>
          <w:spacing w:val="-4"/>
          <w:szCs w:val="24"/>
        </w:rPr>
        <w:t>云南建投第四建设有限公司、海南深勘勘察设计有限公司</w:t>
      </w:r>
      <w:bookmarkEnd w:id="50"/>
      <w:r>
        <w:rPr>
          <w:rFonts w:hint="eastAsia" w:cs="仿宋"/>
          <w:spacing w:val="-4"/>
          <w:szCs w:val="24"/>
        </w:rPr>
        <w:t>为项目</w:t>
      </w:r>
      <w:r>
        <w:rPr>
          <w:rFonts w:cs="仿宋"/>
          <w:spacing w:val="-4"/>
          <w:szCs w:val="24"/>
        </w:rPr>
        <w:t>EPC总承包单位</w:t>
      </w:r>
      <w:r>
        <w:rPr>
          <w:rFonts w:hint="eastAsia" w:cs="仿宋"/>
          <w:spacing w:val="-4"/>
          <w:szCs w:val="24"/>
        </w:rPr>
        <w:t>实施单位，项目立项程序基本规范，但未提供建设工程施工许可证、项目用地批复、初设概算批复、环评批复等项目基本建设程序批复资料。</w:t>
      </w:r>
    </w:p>
    <w:p>
      <w:pPr>
        <w:ind w:firstLine="480"/>
        <w:rPr>
          <w:rFonts w:cs="仿宋"/>
          <w:szCs w:val="24"/>
        </w:rPr>
      </w:pPr>
      <w:r>
        <w:rPr>
          <w:rFonts w:hint="eastAsia" w:cs="仿宋"/>
          <w:szCs w:val="24"/>
        </w:rPr>
        <w:t>2.项目所设定的绩效目标不合理，</w:t>
      </w:r>
      <w:r>
        <w:rPr>
          <w:rFonts w:cs="仿宋"/>
          <w:szCs w:val="24"/>
        </w:rPr>
        <w:t>与实际工作内容</w:t>
      </w:r>
      <w:r>
        <w:rPr>
          <w:rFonts w:hint="eastAsia" w:cs="仿宋"/>
          <w:szCs w:val="24"/>
        </w:rPr>
        <w:t>不</w:t>
      </w:r>
      <w:r>
        <w:rPr>
          <w:rFonts w:cs="仿宋"/>
          <w:szCs w:val="24"/>
        </w:rPr>
        <w:t>具有相关性，</w:t>
      </w:r>
      <w:r>
        <w:rPr>
          <w:rFonts w:hint="eastAsia" w:cs="仿宋"/>
          <w:szCs w:val="24"/>
        </w:rPr>
        <w:t>没有明确实际工作内容，没有清晰预期产出效益和效果，但项目实施内容</w:t>
      </w:r>
      <w:r>
        <w:rPr>
          <w:rFonts w:cs="仿宋"/>
          <w:szCs w:val="24"/>
        </w:rPr>
        <w:t>符合客观实际、国家相关法律法规、国民经济发展规划和党委政府决策。</w:t>
      </w:r>
      <w:r>
        <w:rPr>
          <w:rFonts w:hint="eastAsia" w:cs="仿宋"/>
          <w:szCs w:val="24"/>
        </w:rPr>
        <w:t>项目申报的绩效指标不科学、不明确，效益指标未选取最能体现项目绩效目标实现程度和项目实施部门职能履职情况的关键的、核心的绩效指标；设定的三级指标未通过清晰、可衡量的指标及指标值细化、量化并分解项目总体目标，产出指标性质界定不清晰明确。</w:t>
      </w:r>
    </w:p>
    <w:p>
      <w:pPr>
        <w:pStyle w:val="4"/>
        <w:spacing w:after="0"/>
        <w:ind w:firstLine="480"/>
        <w:rPr>
          <w:rFonts w:cs="仿宋"/>
          <w:szCs w:val="24"/>
        </w:rPr>
      </w:pPr>
      <w:r>
        <w:rPr>
          <w:rFonts w:hint="eastAsia" w:cs="仿宋"/>
          <w:szCs w:val="24"/>
        </w:rPr>
        <w:t>3.项目支出预算依据充分、合理，与项目内容相匹配，确定的项目投资额或资金量与工作任务相匹配，预算资金分配依据充分，资金分配额度合理，与项目单位或地方实际相适应。</w:t>
      </w:r>
    </w:p>
    <w:p>
      <w:pPr>
        <w:ind w:firstLine="480"/>
        <w:rPr>
          <w:rFonts w:ascii="楷体" w:hAnsi="楷体" w:eastAsia="楷体" w:cs="楷体"/>
          <w:szCs w:val="24"/>
        </w:rPr>
      </w:pPr>
      <w:r>
        <w:rPr>
          <w:rFonts w:hint="eastAsia" w:ascii="楷体" w:hAnsi="楷体" w:eastAsia="楷体" w:cs="楷体"/>
          <w:szCs w:val="24"/>
        </w:rPr>
        <w:t>(二</w:t>
      </w:r>
      <w:bookmarkStart w:id="51" w:name="_Toc498009785"/>
      <w:r>
        <w:rPr>
          <w:rFonts w:hint="eastAsia" w:ascii="楷体" w:hAnsi="楷体" w:eastAsia="楷体" w:cs="楷体"/>
          <w:szCs w:val="24"/>
        </w:rPr>
        <w:t>)项目过程管理情况分析</w:t>
      </w:r>
      <w:bookmarkEnd w:id="49"/>
      <w:bookmarkEnd w:id="51"/>
    </w:p>
    <w:p>
      <w:pPr>
        <w:ind w:firstLine="480"/>
        <w:rPr>
          <w:rFonts w:cs="仿宋"/>
          <w:szCs w:val="24"/>
        </w:rPr>
      </w:pPr>
      <w:r>
        <w:rPr>
          <w:rFonts w:hint="eastAsia" w:cs="仿宋"/>
          <w:szCs w:val="24"/>
        </w:rPr>
        <w:t>项目过程管理满分2</w:t>
      </w:r>
      <w:r>
        <w:rPr>
          <w:rFonts w:cs="仿宋"/>
          <w:szCs w:val="24"/>
        </w:rPr>
        <w:t>9</w:t>
      </w:r>
      <w:r>
        <w:rPr>
          <w:rFonts w:hint="eastAsia" w:cs="仿宋"/>
          <w:szCs w:val="24"/>
        </w:rPr>
        <w:t>分，评价综合评分</w:t>
      </w:r>
      <w:r>
        <w:rPr>
          <w:rFonts w:cs="仿宋"/>
          <w:szCs w:val="24"/>
        </w:rPr>
        <w:t>21</w:t>
      </w:r>
      <w:r>
        <w:rPr>
          <w:rFonts w:hint="eastAsia" w:cs="仿宋"/>
          <w:szCs w:val="24"/>
        </w:rPr>
        <w:t>分（占该项满分值的</w:t>
      </w:r>
      <w:r>
        <w:rPr>
          <w:rFonts w:cs="仿宋"/>
          <w:szCs w:val="24"/>
        </w:rPr>
        <w:t>72.41</w:t>
      </w:r>
      <w:r>
        <w:rPr>
          <w:rFonts w:hint="eastAsia" w:cs="仿宋"/>
          <w:szCs w:val="24"/>
        </w:rPr>
        <w:t>%），具体情况如下：</w:t>
      </w:r>
      <w:bookmarkStart w:id="52" w:name="_Toc502134869"/>
      <w:bookmarkStart w:id="53" w:name="_Toc498009786"/>
    </w:p>
    <w:p>
      <w:pPr>
        <w:ind w:firstLine="480"/>
        <w:rPr>
          <w:rFonts w:cs="仿宋"/>
          <w:szCs w:val="24"/>
        </w:rPr>
      </w:pPr>
      <w:r>
        <w:rPr>
          <w:rFonts w:hint="eastAsia" w:cs="仿宋"/>
          <w:szCs w:val="24"/>
        </w:rPr>
        <w:t>1.项目预算安排专项债券资金1</w:t>
      </w:r>
      <w:r>
        <w:rPr>
          <w:rFonts w:cs="仿宋"/>
          <w:szCs w:val="24"/>
        </w:rPr>
        <w:t>50</w:t>
      </w:r>
      <w:r>
        <w:rPr>
          <w:rFonts w:hint="eastAsia" w:cs="仿宋"/>
          <w:szCs w:val="24"/>
        </w:rPr>
        <w:t>,</w:t>
      </w:r>
      <w:r>
        <w:rPr>
          <w:rFonts w:cs="仿宋"/>
          <w:szCs w:val="24"/>
        </w:rPr>
        <w:t>0</w:t>
      </w:r>
      <w:r>
        <w:rPr>
          <w:rFonts w:hint="eastAsia" w:cs="仿宋"/>
          <w:szCs w:val="24"/>
        </w:rPr>
        <w:t>00,000.00元，根据项目支出台账，实际到位资金</w:t>
      </w:r>
      <w:bookmarkStart w:id="54" w:name="_Hlk143953278"/>
      <w:bookmarkStart w:id="55" w:name="_Hlk144919762"/>
      <w:r>
        <w:rPr>
          <w:rFonts w:hint="eastAsia" w:cs="仿宋"/>
          <w:szCs w:val="24"/>
        </w:rPr>
        <w:t>1</w:t>
      </w:r>
      <w:r>
        <w:rPr>
          <w:rFonts w:cs="仿宋"/>
          <w:szCs w:val="24"/>
        </w:rPr>
        <w:t>50,000,</w:t>
      </w:r>
      <w:bookmarkEnd w:id="54"/>
      <w:r>
        <w:rPr>
          <w:rFonts w:cs="仿宋"/>
          <w:szCs w:val="24"/>
        </w:rPr>
        <w:t>000.00</w:t>
      </w:r>
      <w:bookmarkEnd w:id="55"/>
      <w:r>
        <w:rPr>
          <w:rFonts w:cs="仿宋"/>
          <w:szCs w:val="24"/>
        </w:rPr>
        <w:t>元，资金到位</w:t>
      </w:r>
      <w:r>
        <w:rPr>
          <w:rFonts w:hint="eastAsia" w:cs="仿宋"/>
          <w:szCs w:val="24"/>
        </w:rPr>
        <w:t>1</w:t>
      </w:r>
      <w:r>
        <w:rPr>
          <w:rFonts w:cs="仿宋"/>
          <w:szCs w:val="24"/>
        </w:rPr>
        <w:t>00%</w:t>
      </w:r>
      <w:r>
        <w:rPr>
          <w:rFonts w:hint="eastAsia" w:cs="仿宋"/>
          <w:szCs w:val="24"/>
        </w:rPr>
        <w:t>。</w:t>
      </w:r>
    </w:p>
    <w:p>
      <w:pPr>
        <w:ind w:firstLine="480"/>
        <w:rPr>
          <w:rFonts w:cs="仿宋"/>
          <w:szCs w:val="24"/>
        </w:rPr>
      </w:pPr>
      <w:r>
        <w:rPr>
          <w:rFonts w:hint="eastAsia" w:cs="仿宋"/>
          <w:szCs w:val="24"/>
        </w:rPr>
        <w:t>2.根据项目支出台账，截至202</w:t>
      </w:r>
      <w:r>
        <w:rPr>
          <w:rFonts w:cs="仿宋"/>
          <w:szCs w:val="24"/>
        </w:rPr>
        <w:t>2</w:t>
      </w:r>
      <w:r>
        <w:rPr>
          <w:rFonts w:hint="eastAsia" w:cs="仿宋"/>
          <w:szCs w:val="24"/>
        </w:rPr>
        <w:t>年12月31日，教体局共计支付寻甸城乡投资开发集团有限公司相关费用</w:t>
      </w:r>
      <w:r>
        <w:rPr>
          <w:rFonts w:cs="仿宋"/>
          <w:szCs w:val="24"/>
        </w:rPr>
        <w:t>150,000,000.00元</w:t>
      </w:r>
      <w:r>
        <w:rPr>
          <w:rFonts w:hint="eastAsia" w:cs="仿宋"/>
          <w:szCs w:val="24"/>
        </w:rPr>
        <w:t>，但截止</w:t>
      </w:r>
      <w:r>
        <w:rPr>
          <w:rFonts w:cs="仿宋"/>
          <w:szCs w:val="24"/>
        </w:rPr>
        <w:t>2022年12月31日，寻甸城乡投资开发集团有限公司共支付项目资金42,623,706.81元，余107,376,293.19元结转在项目代建单位</w:t>
      </w:r>
      <w:r>
        <w:rPr>
          <w:rFonts w:hint="eastAsia" w:cs="仿宋"/>
          <w:szCs w:val="24"/>
        </w:rPr>
        <w:t>，实际</w:t>
      </w:r>
      <w:r>
        <w:rPr>
          <w:rFonts w:cs="仿宋"/>
          <w:szCs w:val="24"/>
        </w:rPr>
        <w:t>预算执行率</w:t>
      </w:r>
      <w:r>
        <w:rPr>
          <w:rFonts w:hint="eastAsia" w:cs="仿宋"/>
          <w:szCs w:val="24"/>
        </w:rPr>
        <w:t>为</w:t>
      </w:r>
      <w:r>
        <w:rPr>
          <w:rFonts w:cs="仿宋"/>
          <w:szCs w:val="24"/>
        </w:rPr>
        <w:t>28.42%</w:t>
      </w:r>
      <w:r>
        <w:rPr>
          <w:rFonts w:hint="eastAsia" w:cs="仿宋"/>
          <w:szCs w:val="24"/>
        </w:rPr>
        <w:t>。</w:t>
      </w:r>
    </w:p>
    <w:p>
      <w:pPr>
        <w:ind w:firstLine="480"/>
        <w:rPr>
          <w:rFonts w:cs="仿宋"/>
          <w:szCs w:val="24"/>
        </w:rPr>
      </w:pPr>
      <w:r>
        <w:rPr>
          <w:rFonts w:hint="eastAsia" w:cs="仿宋"/>
          <w:szCs w:val="24"/>
        </w:rPr>
        <w:t>3.项目预算资金使用基本符合国家财经法规和财务管理制度以及有关专项资金管理办法的规定和预算批复的用途，资金的拨付审批程序和手续完整，未发现截留、挤占、挪用等情况，但教体局存在以拨代支的不合规情况。</w:t>
      </w:r>
    </w:p>
    <w:p>
      <w:pPr>
        <w:ind w:firstLine="480"/>
        <w:rPr>
          <w:rFonts w:cs="仿宋"/>
          <w:szCs w:val="24"/>
        </w:rPr>
      </w:pPr>
      <w:r>
        <w:rPr>
          <w:rFonts w:hint="eastAsia" w:cs="仿宋"/>
          <w:szCs w:val="24"/>
        </w:rPr>
        <w:t>4.项目财务管理和业务管理执行《寻甸县教体局财务管理制度》等内部控制制度和国家有关法律法规，相关管理制度基本能够得到有效的执行，政府采购程序等基本合法合规，但检查发现，存在“以拨代支”、项目绩效跟踪履职不到位、基本建设程序执行不到位等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5</w:t>
      </w:r>
      <w:r>
        <w:rPr>
          <w:rFonts w:hint="eastAsia" w:cs="仿宋"/>
          <w:szCs w:val="24"/>
        </w:rPr>
        <w:t>分，评价综合评分</w:t>
      </w:r>
      <w:r>
        <w:rPr>
          <w:rFonts w:cs="仿宋"/>
          <w:szCs w:val="24"/>
        </w:rPr>
        <w:t>32</w:t>
      </w:r>
      <w:r>
        <w:rPr>
          <w:rFonts w:hint="eastAsia" w:cs="仿宋"/>
          <w:szCs w:val="24"/>
        </w:rPr>
        <w:t>分（占该项满分值的</w:t>
      </w:r>
      <w:r>
        <w:rPr>
          <w:rFonts w:cs="仿宋"/>
          <w:szCs w:val="24"/>
        </w:rPr>
        <w:t>91.43</w:t>
      </w:r>
      <w:r>
        <w:rPr>
          <w:rFonts w:hint="eastAsia" w:cs="仿宋"/>
          <w:szCs w:val="24"/>
        </w:rPr>
        <w:t>%），具体情况如下：</w:t>
      </w:r>
    </w:p>
    <w:p>
      <w:pPr>
        <w:ind w:firstLine="480"/>
        <w:rPr>
          <w:rFonts w:cs="仿宋"/>
          <w:szCs w:val="24"/>
        </w:rPr>
      </w:pPr>
      <w:r>
        <w:rPr>
          <w:rFonts w:hint="eastAsia" w:cs="仿宋"/>
          <w:szCs w:val="24"/>
        </w:rPr>
        <w:t>教体局</w:t>
      </w:r>
      <w:r>
        <w:rPr>
          <w:rFonts w:cs="仿宋"/>
          <w:szCs w:val="24"/>
        </w:rPr>
        <w:t>为项目主管部门、寻甸城乡投资开发集团有限公司为项目代建方</w:t>
      </w:r>
      <w:r>
        <w:rPr>
          <w:rFonts w:hint="eastAsia" w:cs="仿宋"/>
          <w:szCs w:val="24"/>
        </w:rPr>
        <w:t>、云南建投第四建设有限公司、海南深勘勘察设计有限公司</w:t>
      </w:r>
      <w:r>
        <w:rPr>
          <w:rFonts w:cs="仿宋"/>
          <w:szCs w:val="24"/>
        </w:rPr>
        <w:t>为项目EPC总承包单位组织实施</w:t>
      </w:r>
      <w:r>
        <w:rPr>
          <w:rFonts w:hint="eastAsia" w:cs="仿宋"/>
          <w:szCs w:val="24"/>
        </w:rPr>
        <w:t>，项目批复建设期为2</w:t>
      </w:r>
      <w:r>
        <w:rPr>
          <w:rFonts w:cs="仿宋"/>
          <w:szCs w:val="24"/>
        </w:rPr>
        <w:t>021</w:t>
      </w:r>
      <w:r>
        <w:rPr>
          <w:rFonts w:hint="eastAsia" w:cs="仿宋"/>
          <w:szCs w:val="24"/>
        </w:rPr>
        <w:t>年9月至2</w:t>
      </w:r>
      <w:r>
        <w:rPr>
          <w:rFonts w:cs="仿宋"/>
          <w:szCs w:val="24"/>
        </w:rPr>
        <w:t>023</w:t>
      </w:r>
      <w:r>
        <w:rPr>
          <w:rFonts w:hint="eastAsia" w:cs="仿宋"/>
          <w:szCs w:val="24"/>
        </w:rPr>
        <w:t>年8月，</w:t>
      </w:r>
      <w:bookmarkStart w:id="56" w:name="_Hlk144992460"/>
      <w:r>
        <w:rPr>
          <w:rFonts w:hint="eastAsia" w:cs="仿宋"/>
          <w:szCs w:val="24"/>
        </w:rPr>
        <w:t>截止</w:t>
      </w:r>
      <w:r>
        <w:rPr>
          <w:rFonts w:cs="仿宋"/>
          <w:szCs w:val="24"/>
        </w:rPr>
        <w:t>2022年</w:t>
      </w:r>
      <w:bookmarkEnd w:id="56"/>
      <w:r>
        <w:rPr>
          <w:rFonts w:hint="eastAsia" w:cs="仿宋"/>
          <w:szCs w:val="24"/>
        </w:rPr>
        <w:t>1</w:t>
      </w:r>
      <w:r>
        <w:rPr>
          <w:rFonts w:cs="仿宋"/>
          <w:szCs w:val="24"/>
        </w:rPr>
        <w:t>2</w:t>
      </w:r>
      <w:r>
        <w:rPr>
          <w:rFonts w:hint="eastAsia" w:cs="仿宋"/>
          <w:szCs w:val="24"/>
        </w:rPr>
        <w:t>月3</w:t>
      </w:r>
      <w:r>
        <w:rPr>
          <w:rFonts w:cs="仿宋"/>
          <w:szCs w:val="24"/>
        </w:rPr>
        <w:t>1</w:t>
      </w:r>
      <w:r>
        <w:rPr>
          <w:rFonts w:hint="eastAsia" w:cs="仿宋"/>
          <w:szCs w:val="24"/>
        </w:rPr>
        <w:t>日的完成情况如下：</w:t>
      </w:r>
    </w:p>
    <w:p>
      <w:pPr>
        <w:ind w:firstLine="480"/>
        <w:rPr>
          <w:rFonts w:cs="仿宋"/>
          <w:szCs w:val="24"/>
        </w:rPr>
      </w:pPr>
      <w:r>
        <w:rPr>
          <w:rFonts w:hint="eastAsia" w:cs="仿宋"/>
          <w:szCs w:val="24"/>
        </w:rPr>
        <w:t>1</w:t>
      </w:r>
      <w:r>
        <w:rPr>
          <w:rFonts w:cs="仿宋"/>
          <w:szCs w:val="24"/>
        </w:rPr>
        <w:t>.</w:t>
      </w:r>
      <w:r>
        <w:rPr>
          <w:rFonts w:hint="eastAsia" w:cs="仿宋"/>
          <w:szCs w:val="24"/>
        </w:rPr>
        <w:t>已完成项目</w:t>
      </w:r>
    </w:p>
    <w:p>
      <w:pPr>
        <w:ind w:firstLine="480"/>
        <w:rPr>
          <w:rFonts w:cs="仿宋"/>
          <w:szCs w:val="24"/>
        </w:rPr>
      </w:pPr>
      <w:bookmarkStart w:id="57" w:name="_Hlk144992845"/>
      <w:r>
        <w:rPr>
          <w:rFonts w:hint="eastAsia" w:ascii="宋体" w:hAnsi="宋体" w:eastAsia="宋体" w:cs="仿宋"/>
          <w:szCs w:val="24"/>
        </w:rPr>
        <w:t>(</w:t>
      </w:r>
      <w:r>
        <w:rPr>
          <w:rFonts w:ascii="宋体" w:hAnsi="宋体" w:eastAsia="宋体" w:cs="仿宋"/>
          <w:szCs w:val="24"/>
        </w:rPr>
        <w:t>1)</w:t>
      </w:r>
      <w:bookmarkEnd w:id="57"/>
      <w:r>
        <w:rPr>
          <w:rFonts w:hint="eastAsia" w:cs="仿宋"/>
          <w:szCs w:val="24"/>
        </w:rPr>
        <w:t>体育场馆、羽毛球馆；</w:t>
      </w:r>
    </w:p>
    <w:p>
      <w:pPr>
        <w:ind w:firstLine="480"/>
        <w:rPr>
          <w:rFonts w:cs="仿宋"/>
          <w:szCs w:val="24"/>
        </w:rPr>
      </w:pPr>
      <w:r>
        <w:rPr>
          <w:rFonts w:cs="仿宋"/>
          <w:szCs w:val="24"/>
        </w:rPr>
        <w:t>(2)</w:t>
      </w:r>
      <w:r>
        <w:rPr>
          <w:rFonts w:hint="eastAsia" w:cs="仿宋"/>
          <w:szCs w:val="24"/>
        </w:rPr>
        <w:t>操场及周边配套设施。</w:t>
      </w:r>
    </w:p>
    <w:p>
      <w:pPr>
        <w:ind w:firstLine="480"/>
        <w:rPr>
          <w:rFonts w:cs="仿宋"/>
          <w:szCs w:val="24"/>
        </w:rPr>
      </w:pPr>
      <w:r>
        <w:rPr>
          <w:rFonts w:hint="eastAsia" w:cs="仿宋"/>
          <w:szCs w:val="24"/>
        </w:rPr>
        <w:t>上述(</w:t>
      </w:r>
      <w:r>
        <w:rPr>
          <w:rFonts w:cs="仿宋"/>
          <w:szCs w:val="24"/>
        </w:rPr>
        <w:t>1)</w:t>
      </w:r>
      <w:r>
        <w:rPr>
          <w:rFonts w:hint="eastAsia" w:cs="仿宋"/>
          <w:szCs w:val="24"/>
        </w:rPr>
        <w:t>、</w:t>
      </w:r>
      <w:r>
        <w:rPr>
          <w:rFonts w:cs="仿宋"/>
          <w:szCs w:val="24"/>
        </w:rPr>
        <w:t>(2)</w:t>
      </w:r>
      <w:r>
        <w:rPr>
          <w:rFonts w:hint="eastAsia" w:cs="仿宋"/>
          <w:szCs w:val="24"/>
        </w:rPr>
        <w:t>分项项目于</w:t>
      </w:r>
      <w:r>
        <w:rPr>
          <w:rFonts w:cs="仿宋"/>
          <w:szCs w:val="24"/>
        </w:rPr>
        <w:t>2023年1月16日验收合格并投入使用</w:t>
      </w:r>
      <w:r>
        <w:rPr>
          <w:rFonts w:hint="eastAsia" w:cs="仿宋"/>
          <w:szCs w:val="24"/>
        </w:rPr>
        <w:t>，但现场勘察，发现操场及周边设施项目存在塑胶跑道出现脱皮起皮问题，现已全部铲除。</w:t>
      </w:r>
    </w:p>
    <w:p>
      <w:pPr>
        <w:ind w:firstLine="480"/>
        <w:rPr>
          <w:rFonts w:cs="仿宋"/>
          <w:szCs w:val="24"/>
        </w:rPr>
      </w:pPr>
      <w:r>
        <w:rPr>
          <w:rFonts w:hint="eastAsia" w:cs="仿宋"/>
          <w:szCs w:val="24"/>
        </w:rPr>
        <w:t>2</w:t>
      </w:r>
      <w:r>
        <w:rPr>
          <w:rFonts w:cs="仿宋"/>
          <w:szCs w:val="24"/>
        </w:rPr>
        <w:t>.</w:t>
      </w:r>
      <w:r>
        <w:rPr>
          <w:rFonts w:hint="eastAsia" w:cs="仿宋"/>
          <w:szCs w:val="24"/>
        </w:rPr>
        <w:t>部分完成情况</w:t>
      </w:r>
    </w:p>
    <w:p>
      <w:pPr>
        <w:ind w:firstLine="480"/>
        <w:rPr>
          <w:rFonts w:cs="仿宋"/>
          <w:szCs w:val="24"/>
        </w:rPr>
      </w:pPr>
      <w:r>
        <w:rPr>
          <w:rFonts w:ascii="宋体" w:hAnsi="宋体" w:eastAsia="宋体" w:cs="仿宋"/>
          <w:szCs w:val="24"/>
        </w:rPr>
        <w:t>(1)</w:t>
      </w:r>
      <w:r>
        <w:rPr>
          <w:rFonts w:hint="eastAsia" w:cs="仿宋"/>
          <w:szCs w:val="24"/>
        </w:rPr>
        <w:t>学生宿舍、食堂、实训楼于</w:t>
      </w:r>
      <w:r>
        <w:rPr>
          <w:rFonts w:cs="仿宋"/>
          <w:szCs w:val="24"/>
        </w:rPr>
        <w:t>2023年4月11日验收主体框架部分。</w:t>
      </w:r>
    </w:p>
    <w:p>
      <w:pPr>
        <w:ind w:firstLine="480"/>
        <w:rPr>
          <w:rFonts w:cs="仿宋"/>
          <w:szCs w:val="24"/>
        </w:rPr>
      </w:pPr>
      <w:r>
        <w:rPr>
          <w:rFonts w:hint="eastAsia" w:cs="仿宋"/>
          <w:szCs w:val="24"/>
        </w:rPr>
        <w:t>上述1、2项目</w:t>
      </w:r>
      <w:r>
        <w:rPr>
          <w:rFonts w:cs="仿宋"/>
          <w:szCs w:val="24"/>
        </w:rPr>
        <w:t>至绩效评价现场结束日，</w:t>
      </w:r>
      <w:r>
        <w:rPr>
          <w:rFonts w:hint="eastAsia" w:cs="仿宋"/>
          <w:szCs w:val="24"/>
        </w:rPr>
        <w:t>尚</w:t>
      </w:r>
      <w:r>
        <w:rPr>
          <w:rFonts w:cs="仿宋"/>
          <w:szCs w:val="24"/>
        </w:rPr>
        <w:t>未进行</w:t>
      </w:r>
      <w:r>
        <w:rPr>
          <w:rFonts w:hint="eastAsia" w:cs="仿宋"/>
          <w:szCs w:val="24"/>
        </w:rPr>
        <w:t>包括技术、质量等在内的</w:t>
      </w:r>
      <w:r>
        <w:rPr>
          <w:rFonts w:cs="仿宋"/>
          <w:szCs w:val="24"/>
        </w:rPr>
        <w:t>项目综合验收。</w:t>
      </w:r>
    </w:p>
    <w:p>
      <w:pPr>
        <w:ind w:firstLine="480"/>
        <w:rPr>
          <w:rFonts w:cs="仿宋"/>
          <w:szCs w:val="24"/>
        </w:rPr>
      </w:pPr>
      <w:r>
        <w:rPr>
          <w:rFonts w:cs="仿宋"/>
          <w:szCs w:val="24"/>
        </w:rPr>
        <w:t>截止2022年12月31日，项目</w:t>
      </w:r>
      <w:r>
        <w:rPr>
          <w:rFonts w:hint="eastAsia" w:cs="仿宋"/>
          <w:szCs w:val="24"/>
        </w:rPr>
        <w:t>仍为建设实施期间，尚未</w:t>
      </w:r>
      <w:r>
        <w:rPr>
          <w:rFonts w:cs="仿宋"/>
          <w:szCs w:val="24"/>
        </w:rPr>
        <w:t>进行</w:t>
      </w:r>
      <w:r>
        <w:rPr>
          <w:rFonts w:hint="eastAsia" w:cs="仿宋"/>
          <w:szCs w:val="24"/>
        </w:rPr>
        <w:t>工程竣工总体</w:t>
      </w:r>
      <w:r>
        <w:rPr>
          <w:rFonts w:cs="仿宋"/>
          <w:szCs w:val="24"/>
        </w:rPr>
        <w:t>结算</w:t>
      </w:r>
      <w:r>
        <w:rPr>
          <w:rFonts w:hint="eastAsia" w:cs="仿宋"/>
          <w:szCs w:val="24"/>
        </w:rPr>
        <w:t>和工程竣工财务决算审计</w:t>
      </w:r>
      <w:r>
        <w:rPr>
          <w:rFonts w:cs="仿宋"/>
          <w:szCs w:val="24"/>
        </w:rPr>
        <w:t>，无法判断项目</w:t>
      </w:r>
      <w:r>
        <w:rPr>
          <w:rFonts w:hint="eastAsia" w:cs="仿宋"/>
          <w:szCs w:val="24"/>
        </w:rPr>
        <w:t>实际</w:t>
      </w:r>
      <w:r>
        <w:rPr>
          <w:rFonts w:cs="仿宋"/>
          <w:szCs w:val="24"/>
        </w:rPr>
        <w:t>总</w:t>
      </w:r>
      <w:r>
        <w:rPr>
          <w:rFonts w:hint="eastAsia" w:cs="仿宋"/>
          <w:szCs w:val="24"/>
        </w:rPr>
        <w:t>投资</w:t>
      </w:r>
      <w:r>
        <w:rPr>
          <w:rFonts w:cs="仿宋"/>
          <w:szCs w:val="24"/>
        </w:rPr>
        <w:t>情况。</w:t>
      </w:r>
      <w:r>
        <w:rPr>
          <w:rFonts w:hint="eastAsia" w:cs="仿宋"/>
          <w:szCs w:val="24"/>
        </w:rPr>
        <w:t>但</w:t>
      </w:r>
      <w:r>
        <w:rPr>
          <w:rFonts w:cs="仿宋"/>
          <w:szCs w:val="24"/>
        </w:rPr>
        <w:t>从合同</w:t>
      </w:r>
      <w:r>
        <w:rPr>
          <w:rFonts w:hint="eastAsia" w:cs="仿宋"/>
          <w:szCs w:val="24"/>
        </w:rPr>
        <w:t>价</w:t>
      </w:r>
      <w:r>
        <w:rPr>
          <w:rFonts w:cs="仿宋"/>
          <w:szCs w:val="24"/>
        </w:rPr>
        <w:t>层面分析，该项目为EPC总承包</w:t>
      </w:r>
      <w:r>
        <w:rPr>
          <w:rFonts w:hint="eastAsia" w:cs="仿宋"/>
          <w:szCs w:val="24"/>
        </w:rPr>
        <w:t>，已签订的</w:t>
      </w:r>
      <w:r>
        <w:rPr>
          <w:rFonts w:cs="仿宋"/>
          <w:szCs w:val="24"/>
        </w:rPr>
        <w:t>合同总价</w:t>
      </w:r>
      <w:r>
        <w:rPr>
          <w:rFonts w:hint="eastAsia" w:cs="仿宋"/>
          <w:szCs w:val="24"/>
        </w:rPr>
        <w:t>（暂定）</w:t>
      </w:r>
      <w:r>
        <w:rPr>
          <w:rFonts w:cs="仿宋"/>
          <w:szCs w:val="24"/>
        </w:rPr>
        <w:t>为151,454,814.35元（设计、采购、施工总承包合同暂定146,660,000.00元、</w:t>
      </w:r>
      <w:r>
        <w:rPr>
          <w:rFonts w:hint="eastAsia" w:cs="仿宋"/>
          <w:szCs w:val="24"/>
        </w:rPr>
        <w:t>临电</w:t>
      </w:r>
      <w:r>
        <w:rPr>
          <w:rFonts w:cs="仿宋"/>
          <w:szCs w:val="24"/>
        </w:rPr>
        <w:t>工程施工合同1,350,189.35元、建设工程咨询合同1,589,625.00元、建设工程监理合同1,800,000.00元、临时用电设计合同书15,000.00元、水土保持检测验收服务合同40,000.00元），从合同价层面分析该项目投入已超150,000,000.00元，且不包括代建管理费暂定1,900,000.00元</w:t>
      </w:r>
      <w:r>
        <w:rPr>
          <w:rFonts w:hint="eastAsia" w:cs="仿宋"/>
          <w:szCs w:val="24"/>
        </w:rPr>
        <w:t>和单价合同（如《建设工程施工图审查合同》）</w:t>
      </w:r>
      <w:r>
        <w:rPr>
          <w:rFonts w:cs="仿宋"/>
          <w:szCs w:val="24"/>
        </w:rPr>
        <w:t>。</w:t>
      </w:r>
    </w:p>
    <w:p>
      <w:pPr>
        <w:ind w:firstLine="480"/>
        <w:rPr>
          <w:rFonts w:ascii="楷体" w:hAnsi="楷体" w:eastAsia="楷体" w:cs="楷体"/>
          <w:szCs w:val="24"/>
        </w:rPr>
      </w:pPr>
      <w:r>
        <w:rPr>
          <w:rFonts w:hint="eastAsia" w:ascii="楷体" w:hAnsi="楷体" w:eastAsia="楷体" w:cs="楷体"/>
          <w:szCs w:val="24"/>
        </w:rPr>
        <w:t>(四)项目绩效情况分析</w:t>
      </w:r>
      <w:bookmarkEnd w:id="52"/>
      <w:bookmarkEnd w:id="53"/>
      <w:bookmarkStart w:id="58" w:name="_Toc502134870"/>
      <w:bookmarkStart w:id="59" w:name="_Toc498009787"/>
    </w:p>
    <w:p>
      <w:pPr>
        <w:ind w:firstLine="480"/>
        <w:rPr>
          <w:rFonts w:cs="仿宋"/>
          <w:szCs w:val="24"/>
        </w:rPr>
      </w:pPr>
      <w:r>
        <w:rPr>
          <w:rFonts w:hint="eastAsia" w:cs="仿宋"/>
          <w:szCs w:val="24"/>
        </w:rPr>
        <w:t>项目绩效指标满分</w:t>
      </w:r>
      <w:r>
        <w:rPr>
          <w:rFonts w:cs="仿宋"/>
          <w:szCs w:val="24"/>
        </w:rPr>
        <w:t>2</w:t>
      </w:r>
      <w:r>
        <w:rPr>
          <w:rFonts w:hint="eastAsia" w:cs="仿宋"/>
          <w:szCs w:val="24"/>
        </w:rPr>
        <w:t>0分，评价综合评分</w:t>
      </w:r>
      <w:r>
        <w:rPr>
          <w:rFonts w:cs="仿宋"/>
          <w:szCs w:val="24"/>
        </w:rPr>
        <w:t>15.25</w:t>
      </w:r>
      <w:r>
        <w:rPr>
          <w:rFonts w:hint="eastAsia" w:cs="仿宋"/>
          <w:szCs w:val="24"/>
        </w:rPr>
        <w:t>分（占该项满分值的</w:t>
      </w:r>
      <w:r>
        <w:rPr>
          <w:rFonts w:cs="仿宋"/>
          <w:szCs w:val="24"/>
        </w:rPr>
        <w:t>76.25</w:t>
      </w:r>
      <w:r>
        <w:rPr>
          <w:rFonts w:hint="eastAsia" w:cs="仿宋"/>
          <w:szCs w:val="24"/>
        </w:rPr>
        <w:t>%），具体情况如下：</w:t>
      </w:r>
    </w:p>
    <w:bookmarkEnd w:id="58"/>
    <w:bookmarkEnd w:id="59"/>
    <w:p>
      <w:pPr>
        <w:ind w:firstLine="480"/>
      </w:pPr>
      <w:bookmarkStart w:id="60" w:name="_Toc502134871"/>
      <w:bookmarkStart w:id="61" w:name="_Toc498009788"/>
      <w:r>
        <w:rPr>
          <w:rFonts w:hint="eastAsia"/>
        </w:rPr>
        <w:t>2</w:t>
      </w:r>
      <w:r>
        <w:t>022</w:t>
      </w:r>
      <w:r>
        <w:rPr>
          <w:rFonts w:hint="eastAsia"/>
        </w:rPr>
        <w:t>年度为项目实施期间，项目施工过程中规范施工程序，安全措施基本得力，未发生安全事故。建设单位基本按规定执行了项目法人制、监理制、招投标制、合同制的建设项目“四制”基本规范，</w:t>
      </w:r>
      <w:bookmarkStart w:id="62" w:name="_Hlk145001823"/>
      <w:r>
        <w:rPr>
          <w:rFonts w:hint="eastAsia"/>
        </w:rPr>
        <w:t>但未建立合同台账专人规范管理。项目基本建设程序执行比较规范，但存在未报批初设概算书、环评、建设用地和获取施工许可证等基本建设程序执行不完整的情况。</w:t>
      </w:r>
      <w:bookmarkEnd w:id="62"/>
    </w:p>
    <w:p>
      <w:pPr>
        <w:ind w:firstLine="480"/>
      </w:pPr>
      <w:r>
        <w:rPr>
          <w:rFonts w:hint="eastAsia"/>
        </w:rPr>
        <w:t>通过对20份社会公众或服务对象满意度调查问卷统计分析，社会公众对</w:t>
      </w:r>
      <w:bookmarkStart w:id="63" w:name="_Hlk144923361"/>
      <w:r>
        <w:rPr>
          <w:rFonts w:hint="eastAsia"/>
        </w:rPr>
        <w:t>教体局</w:t>
      </w:r>
      <w:bookmarkEnd w:id="63"/>
      <w:r>
        <w:rPr>
          <w:rFonts w:hint="eastAsia"/>
        </w:rPr>
        <w:t>职业中学新建实训楼项目开展情况的综合满意度为</w:t>
      </w:r>
      <w:r>
        <w:t>85.50%</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60"/>
      <w:bookmarkEnd w:id="61"/>
    </w:p>
    <w:p>
      <w:pPr>
        <w:ind w:firstLine="480"/>
        <w:rPr>
          <w:rFonts w:cs="仿宋"/>
          <w:szCs w:val="24"/>
        </w:rPr>
      </w:pPr>
      <w:bookmarkStart w:id="64" w:name="_Toc502134872"/>
      <w:bookmarkStart w:id="65" w:name="_Toc498009789"/>
      <w:r>
        <w:rPr>
          <w:rFonts w:hint="eastAsia" w:cs="仿宋"/>
          <w:szCs w:val="24"/>
        </w:rPr>
        <w:t>1</w:t>
      </w:r>
      <w:r>
        <w:rPr>
          <w:rFonts w:cs="仿宋"/>
          <w:szCs w:val="24"/>
        </w:rPr>
        <w:t>.</w:t>
      </w:r>
      <w:r>
        <w:rPr>
          <w:rFonts w:hint="eastAsia" w:cs="仿宋"/>
          <w:szCs w:val="24"/>
        </w:rPr>
        <w:t>严格执行资金管理办法，彻实预算资金使用效益，加强资金支付流程和审批监督，保障资金使用安全、高效。</w:t>
      </w:r>
    </w:p>
    <w:p>
      <w:pPr>
        <w:ind w:firstLine="480"/>
        <w:rPr>
          <w:rFonts w:ascii="仿宋_GB2312" w:eastAsia="仿宋_GB2312" w:cs="仿宋"/>
          <w:szCs w:val="24"/>
        </w:rPr>
      </w:pPr>
      <w:r>
        <w:rPr>
          <w:rFonts w:hint="eastAsia" w:cs="仿宋"/>
          <w:szCs w:val="24"/>
        </w:rPr>
        <w:t>2</w:t>
      </w:r>
      <w:r>
        <w:rPr>
          <w:rFonts w:cs="仿宋"/>
          <w:szCs w:val="24"/>
        </w:rPr>
        <w:t>.</w:t>
      </w:r>
      <w:r>
        <w:rPr>
          <w:rFonts w:hint="eastAsia" w:cs="仿宋"/>
          <w:szCs w:val="24"/>
        </w:rPr>
        <w:t>成立综合协调、进度、安全等领导小组，统筹协调项目各项工作顺利推进，专题会议研究项目推进，现场督导项目实施，监督项目资金流向，确保安全施工和资金专款专用，确保良好的工程质量。</w:t>
      </w:r>
    </w:p>
    <w:p>
      <w:pPr>
        <w:ind w:firstLine="480"/>
        <w:rPr>
          <w:rFonts w:ascii="黑体" w:hAnsi="黑体" w:eastAsia="黑体" w:cs="黑体"/>
          <w:szCs w:val="24"/>
        </w:rPr>
      </w:pPr>
      <w:r>
        <w:rPr>
          <w:rFonts w:hint="eastAsia" w:ascii="黑体" w:hAnsi="黑体" w:eastAsia="黑体" w:cs="黑体"/>
          <w:szCs w:val="24"/>
        </w:rPr>
        <w:t>七、存在的主要问题</w:t>
      </w:r>
      <w:bookmarkEnd w:id="64"/>
      <w:bookmarkEnd w:id="65"/>
    </w:p>
    <w:p>
      <w:pPr>
        <w:ind w:firstLine="480"/>
        <w:rPr>
          <w:rFonts w:ascii="楷体" w:hAnsi="楷体" w:eastAsia="楷体" w:cs="楷体"/>
          <w:bCs/>
          <w:szCs w:val="24"/>
        </w:rPr>
      </w:pPr>
      <w:bookmarkStart w:id="66" w:name="_Toc502134873"/>
      <w:bookmarkStart w:id="67" w:name="_Toc500364179"/>
      <w:bookmarkStart w:id="68" w:name="_Toc500202563"/>
      <w:bookmarkStart w:id="69" w:name="_Toc500589022"/>
      <w:bookmarkStart w:id="70" w:name="_Toc500849310"/>
      <w:bookmarkStart w:id="71" w:name="_Toc500440025"/>
      <w:r>
        <w:rPr>
          <w:rFonts w:ascii="楷体" w:hAnsi="楷体" w:eastAsia="楷体" w:cs="楷体"/>
          <w:bCs/>
          <w:szCs w:val="24"/>
        </w:rPr>
        <w:t>(一)</w:t>
      </w:r>
      <w:r>
        <w:rPr>
          <w:rFonts w:hint="eastAsia" w:ascii="楷体" w:hAnsi="楷体" w:eastAsia="楷体" w:cs="楷体"/>
          <w:bCs/>
          <w:szCs w:val="24"/>
        </w:rPr>
        <w:t>项目绩效</w:t>
      </w:r>
      <w:r>
        <w:rPr>
          <w:rFonts w:ascii="楷体" w:hAnsi="楷体" w:eastAsia="楷体" w:cs="楷体"/>
          <w:bCs/>
          <w:szCs w:val="24"/>
        </w:rPr>
        <w:t>目标管理不到位</w:t>
      </w:r>
    </w:p>
    <w:p>
      <w:pPr>
        <w:ind w:firstLine="480"/>
        <w:rPr>
          <w:rFonts w:cs="仿宋"/>
          <w:szCs w:val="24"/>
        </w:rPr>
      </w:pPr>
      <w:r>
        <w:rPr>
          <w:rFonts w:hint="eastAsia" w:cs="仿宋"/>
          <w:szCs w:val="24"/>
        </w:rPr>
        <w:t>教体局预算申报</w:t>
      </w:r>
      <w:r>
        <w:rPr>
          <w:rFonts w:cs="仿宋"/>
          <w:szCs w:val="24"/>
        </w:rPr>
        <w:t>的</w:t>
      </w:r>
      <w:r>
        <w:rPr>
          <w:rFonts w:hint="eastAsia" w:cs="仿宋"/>
          <w:szCs w:val="24"/>
        </w:rPr>
        <w:t>项目总体目标、年度绩效目标和设定预算绩效指标内容详见“一、(四</w:t>
      </w:r>
      <w:r>
        <w:rPr>
          <w:rFonts w:cs="仿宋"/>
          <w:szCs w:val="24"/>
        </w:rPr>
        <w:t>)</w:t>
      </w:r>
      <w:r>
        <w:rPr>
          <w:rFonts w:hint="eastAsia" w:cs="仿宋"/>
          <w:szCs w:val="24"/>
        </w:rPr>
        <w:t>项目绩效目标设定情况”，存在的主要问题：</w:t>
      </w:r>
    </w:p>
    <w:p>
      <w:pPr>
        <w:ind w:firstLine="456"/>
        <w:rPr>
          <w:rFonts w:cs="仿宋"/>
          <w:spacing w:val="-6"/>
          <w:szCs w:val="24"/>
        </w:rPr>
      </w:pPr>
      <w:r>
        <w:rPr>
          <w:rFonts w:hint="eastAsia" w:cs="仿宋"/>
          <w:spacing w:val="-6"/>
          <w:szCs w:val="24"/>
        </w:rPr>
        <w:t>1</w:t>
      </w:r>
      <w:r>
        <w:rPr>
          <w:rFonts w:cs="仿宋"/>
          <w:spacing w:val="-6"/>
          <w:szCs w:val="24"/>
        </w:rPr>
        <w:t>.</w:t>
      </w:r>
      <w:r>
        <w:rPr>
          <w:rFonts w:hint="eastAsia" w:cs="仿宋"/>
          <w:spacing w:val="-6"/>
          <w:szCs w:val="24"/>
        </w:rPr>
        <w:t>预算年度绩效目标设定不规范，未清晰明确项目总体实施内容及年度具体的工作内容和数量，未清晰明确在项目批复建设期内、在总体目标下，2</w:t>
      </w:r>
      <w:r>
        <w:rPr>
          <w:rFonts w:cs="仿宋"/>
          <w:spacing w:val="-6"/>
          <w:szCs w:val="24"/>
        </w:rPr>
        <w:t>022</w:t>
      </w:r>
      <w:r>
        <w:rPr>
          <w:rFonts w:hint="eastAsia" w:cs="仿宋"/>
          <w:spacing w:val="-6"/>
          <w:szCs w:val="24"/>
        </w:rPr>
        <w:t>年度的具体工作内容和数量。</w:t>
      </w:r>
    </w:p>
    <w:p>
      <w:pPr>
        <w:ind w:firstLine="480"/>
        <w:rPr>
          <w:rFonts w:cs="仿宋"/>
          <w:szCs w:val="24"/>
        </w:rPr>
      </w:pPr>
      <w:r>
        <w:rPr>
          <w:rFonts w:hint="eastAsia" w:cs="仿宋"/>
          <w:szCs w:val="24"/>
        </w:rPr>
        <w:t>2</w:t>
      </w:r>
      <w:r>
        <w:rPr>
          <w:rFonts w:cs="仿宋"/>
          <w:szCs w:val="24"/>
        </w:rPr>
        <w:t>.</w:t>
      </w:r>
      <w:bookmarkStart w:id="72" w:name="_Hlk144923860"/>
      <w:r>
        <w:rPr>
          <w:rFonts w:hint="eastAsia" w:cs="仿宋"/>
          <w:szCs w:val="24"/>
        </w:rPr>
        <w:t>产出指标设定不科学、不充分</w:t>
      </w:r>
      <w:bookmarkEnd w:id="72"/>
      <w:r>
        <w:rPr>
          <w:rFonts w:hint="eastAsia" w:cs="仿宋"/>
          <w:szCs w:val="24"/>
        </w:rPr>
        <w:t>：数量指标设定未将项目的绩效目标细化分解为具体的工作任务和数量，未清晰反映项目的主要内容和数量；时效指标设定繁冗，关键的和非关键不分重点设定；成本指标仅设定项目建成后的运营成本，未设定关键的、重要的项目投资成本指标。</w:t>
      </w:r>
    </w:p>
    <w:p>
      <w:pPr>
        <w:ind w:firstLine="480"/>
        <w:rPr>
          <w:rFonts w:cs="仿宋"/>
          <w:szCs w:val="24"/>
        </w:rPr>
      </w:pPr>
      <w:r>
        <w:rPr>
          <w:rFonts w:hint="eastAsia" w:cs="仿宋"/>
          <w:szCs w:val="24"/>
        </w:rPr>
        <w:t>3</w:t>
      </w:r>
      <w:r>
        <w:rPr>
          <w:rFonts w:cs="仿宋"/>
          <w:szCs w:val="24"/>
        </w:rPr>
        <w:t>.</w:t>
      </w:r>
      <w:r>
        <w:rPr>
          <w:rFonts w:hint="eastAsia" w:cs="仿宋"/>
          <w:szCs w:val="24"/>
        </w:rPr>
        <w:t>教育设施的建设，主要体现应为社会效益，但教体局仅设定1个“提高办学水平，为教育事业发展注入强劲动力”定性指标，未就项目建设对社会发展方面，选取最能体现总体目标实现程度的关键性、最具代表性的社会效益指标，未通过清晰、可衡量的指标及指标值细化、量化并分解项目社会效益，社会效益指标设定不科学。</w:t>
      </w:r>
    </w:p>
    <w:p>
      <w:pPr>
        <w:ind w:firstLine="480"/>
      </w:pPr>
      <w:r>
        <w:rPr>
          <w:rFonts w:hint="eastAsia"/>
        </w:rPr>
        <w:t>4</w:t>
      </w:r>
      <w:r>
        <w:t>.</w:t>
      </w:r>
      <w:r>
        <w:rPr>
          <w:rFonts w:hint="eastAsia"/>
        </w:rPr>
        <w:t>指标设定不具有相关性，如：教体局设定的“可持续性影响”指标及指标值为“偿债能力=按期偿债”，与项目建成后对经济、社会、生态发展的影响期不相关。</w:t>
      </w:r>
    </w:p>
    <w:p>
      <w:pPr>
        <w:ind w:firstLine="480"/>
        <w:rPr>
          <w:rFonts w:cs="仿宋"/>
          <w:szCs w:val="24"/>
        </w:rPr>
      </w:pPr>
      <w:r>
        <w:rPr>
          <w:rFonts w:hint="eastAsia" w:cs="仿宋"/>
          <w:szCs w:val="24"/>
        </w:rPr>
        <w:t>上述情况不符合《中华人民共和国预算法》第三十二条“……各部门、各单位应当按照……以及绩效目标管理等预算编制规定，……编制本部门、本单位预算草案。”、《中共中央、国务院关于全面实施预算绩效管理的意见》（中发〔</w:t>
      </w:r>
      <w:r>
        <w:rPr>
          <w:rFonts w:cs="仿宋"/>
          <w:szCs w:val="24"/>
        </w:rPr>
        <w:t>2018〕34号）第四条第（七）项“强化绩效目标管理。各地区各部门编制预算时要……全面设置部门和单位整体绩效目标、政策及项目绩效目标。绩效目标不仅要包括产出、成本，还要包括经济效益、社会效益、生态效益、可持续影响和服务对象满意度等绩效指标。……。”</w:t>
      </w:r>
      <w:r>
        <w:rPr>
          <w:rFonts w:hint="eastAsia" w:cs="仿宋"/>
          <w:szCs w:val="24"/>
        </w:rPr>
        <w:t>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cs="仿宋"/>
          <w:szCs w:val="24"/>
        </w:rPr>
      </w:pPr>
      <w:r>
        <w:rPr>
          <w:rFonts w:hint="eastAsia" w:ascii="楷体" w:hAnsi="楷体" w:eastAsia="楷体" w:cs="楷体"/>
          <w:bCs/>
          <w:szCs w:val="24"/>
        </w:rPr>
        <w:t>(二</w:t>
      </w:r>
      <w:r>
        <w:rPr>
          <w:rFonts w:ascii="楷体" w:hAnsi="楷体" w:eastAsia="楷体" w:cs="楷体"/>
          <w:bCs/>
          <w:szCs w:val="24"/>
        </w:rPr>
        <w:t>)</w:t>
      </w:r>
      <w:r>
        <w:rPr>
          <w:rFonts w:hint="eastAsia" w:ascii="楷体" w:hAnsi="楷体" w:eastAsia="楷体" w:cs="楷体"/>
          <w:bCs/>
          <w:szCs w:val="24"/>
        </w:rPr>
        <w:t>教体局专债资金“以拨代支”</w:t>
      </w:r>
    </w:p>
    <w:p>
      <w:pPr>
        <w:ind w:firstLine="480"/>
        <w:rPr>
          <w:rFonts w:cs="仿宋"/>
          <w:szCs w:val="24"/>
        </w:rPr>
      </w:pPr>
      <w:r>
        <w:rPr>
          <w:rFonts w:hint="eastAsia" w:cs="仿宋"/>
          <w:szCs w:val="24"/>
        </w:rPr>
        <w:t>抽查发现，</w:t>
      </w:r>
      <w:r>
        <w:rPr>
          <w:rFonts w:cs="仿宋"/>
          <w:szCs w:val="24"/>
        </w:rPr>
        <w:t>2022年教体局存在以拨代支的情况，如：2022年4月记账1号凭证“支付职业中学新建实训楼项目工程款”30,000,000.00元，2022年5月记账10号凭证“支付职业中学新建实训楼项目工程款”45,000,000.00元。截止2022年12月31日累计支付项目代建单位寻甸城乡投资开发集团有限公司寻甸县职业中学新建实训楼项目工程款150,000,000.00元，财务会计账记“预付账款-基本建设项目-预付工程款”、预算会计账记“行政支出-财政拨款支出-项目支出”。该资金为2021年第二批新增专</w:t>
      </w:r>
      <w:r>
        <w:rPr>
          <w:rFonts w:hint="eastAsia" w:cs="仿宋"/>
          <w:szCs w:val="24"/>
        </w:rPr>
        <w:t>项债券资金</w:t>
      </w:r>
      <w:r>
        <w:rPr>
          <w:rFonts w:cs="仿宋"/>
          <w:szCs w:val="24"/>
        </w:rPr>
        <w:t>150,000,000.00元（寻甸县职业中学新建实训楼项目），教体局在没有任何经第三方审核的《工程计量清单》等项目实施进度证据资料和未取得合法发票的情况下，仅根据寻甸县职业中学新建实训楼项目专项债券资金拨付申请表一次性拨款至项目代建单位寻甸城乡投资开发集团有限公司，并列支“行政支出”，形成“以拨代支”违规行为。</w:t>
      </w:r>
    </w:p>
    <w:p>
      <w:pPr>
        <w:ind w:firstLine="480"/>
        <w:rPr>
          <w:rFonts w:cs="仿宋"/>
          <w:szCs w:val="24"/>
        </w:rPr>
      </w:pPr>
      <w:r>
        <w:rPr>
          <w:rFonts w:hint="eastAsia" w:cs="仿宋"/>
          <w:szCs w:val="24"/>
        </w:rPr>
        <w:t>截止</w:t>
      </w:r>
      <w:r>
        <w:rPr>
          <w:rFonts w:cs="仿宋"/>
          <w:szCs w:val="24"/>
        </w:rPr>
        <w:t>2022年12月31日，寻甸城乡投资开发集团有限公司共收到150,000,000.00元，共支付项目资金42,623,706.81元，余107,376,293.19元结转在项目代建单位。</w:t>
      </w:r>
    </w:p>
    <w:p>
      <w:pPr>
        <w:ind w:firstLine="480"/>
        <w:rPr>
          <w:rFonts w:cs="仿宋"/>
          <w:szCs w:val="24"/>
        </w:rPr>
      </w:pPr>
      <w:r>
        <w:rPr>
          <w:rFonts w:hint="eastAsia" w:cs="仿宋"/>
          <w:szCs w:val="24"/>
        </w:rPr>
        <w:t>上述以拨代支的违规行为，不符合《中华人民共和国预算法》第九条“……政府性基金预算应当根据基金项目收入情况和实际支出需要，按基金项目编制，做到以收定支。”、第五十七条“……各级政府、各部门、各单位的支出必须按照预算执行，不得虚假列支。”、《国务院关于进一步深化预算管理制度改革的意见》（国发〔</w:t>
      </w:r>
      <w:r>
        <w:rPr>
          <w:rFonts w:cs="仿宋"/>
          <w:szCs w:val="24"/>
        </w:rPr>
        <w:t>2021〕5号）第五条第（十六）项“……严禁以拨代支，进一步加强地方财政暂付性款项管理，……。”</w:t>
      </w:r>
      <w:r>
        <w:rPr>
          <w:rFonts w:hint="eastAsia" w:cs="仿宋"/>
          <w:szCs w:val="24"/>
        </w:rPr>
        <w:t>和</w:t>
      </w:r>
      <w:r>
        <w:rPr>
          <w:rFonts w:cs="仿宋"/>
          <w:szCs w:val="24"/>
        </w:rPr>
        <w:t>《地方政府专项债务预算管理办法》（财预〔2016〕155号）第二十三条“地方各级财政部门应当依据预算调整方案及专项债券发行规</w:t>
      </w:r>
      <w:r>
        <w:rPr>
          <w:rFonts w:hint="eastAsia" w:cs="仿宋"/>
          <w:szCs w:val="24"/>
        </w:rPr>
        <w:t>定的预算科目和用途，使用专项债券资金。”的规定。</w:t>
      </w:r>
    </w:p>
    <w:p>
      <w:pPr>
        <w:ind w:firstLine="480"/>
        <w:rPr>
          <w:rFonts w:cs="仿宋"/>
          <w:szCs w:val="24"/>
        </w:rPr>
      </w:pPr>
      <w:r>
        <w:rPr>
          <w:rFonts w:hint="eastAsia" w:ascii="楷体" w:hAnsi="楷体" w:eastAsia="楷体" w:cs="楷体"/>
          <w:bCs/>
          <w:szCs w:val="24"/>
        </w:rPr>
        <w:t>(三</w:t>
      </w:r>
      <w:r>
        <w:rPr>
          <w:rFonts w:ascii="楷体" w:hAnsi="楷体" w:eastAsia="楷体" w:cs="楷体"/>
          <w:bCs/>
          <w:szCs w:val="24"/>
        </w:rPr>
        <w:t>)</w:t>
      </w:r>
      <w:bookmarkStart w:id="73" w:name="_Hlk145008862"/>
      <w:r>
        <w:rPr>
          <w:rFonts w:hint="eastAsia" w:ascii="楷体" w:hAnsi="楷体" w:eastAsia="楷体" w:cs="楷体"/>
          <w:bCs/>
          <w:szCs w:val="24"/>
        </w:rPr>
        <w:t>基本建设程序执行不完整</w:t>
      </w:r>
      <w:bookmarkEnd w:id="73"/>
    </w:p>
    <w:p>
      <w:pPr>
        <w:ind w:firstLine="480"/>
        <w:rPr>
          <w:rFonts w:cs="仿宋"/>
          <w:szCs w:val="24"/>
        </w:rPr>
      </w:pPr>
      <w:r>
        <w:rPr>
          <w:rFonts w:hint="eastAsia" w:cs="仿宋"/>
          <w:szCs w:val="24"/>
        </w:rPr>
        <w:t>项目未提供初步设计概算书及批、环评及批复、项目用地及批复和获取施工许可证等，基本建设程序执行不完整，不符合《关于重申严格执行基本建设程序和审批规定的通知》（计投资〔1999</w:t>
      </w:r>
      <w:r>
        <w:rPr>
          <w:rFonts w:cs="仿宋"/>
          <w:szCs w:val="24"/>
        </w:rPr>
        <w:t>〕693号</w:t>
      </w:r>
      <w:r>
        <w:rPr>
          <w:rFonts w:hint="eastAsia" w:cs="仿宋"/>
          <w:szCs w:val="24"/>
        </w:rPr>
        <w:t>）第一条“严格执行基本建设程序。尤其是在建设项目前期工作阶段，必须严格按照现行建设程序执行。现行基本建设前期工作程序包括：项目建议书、可行性研究报告、初步设计、开工报告等工作环节。只有在完成上一环节工作后方可转入下一环节。除国家特别批准外，各地方、部门和企业不得简化项目建设程序。”和《中华人民共和国建筑法》第七条“</w:t>
      </w:r>
      <w:r>
        <w:rPr>
          <w:rFonts w:cs="仿宋"/>
          <w:szCs w:val="24"/>
        </w:rPr>
        <w:t>建筑工程开工前，建设单位应当按照国家有关规定向工程所在地县级以上人民政府建设行政主管部门申请领取施工许可证；</w:t>
      </w:r>
      <w:r>
        <w:rPr>
          <w:rFonts w:hint="eastAsia" w:cs="仿宋"/>
          <w:szCs w:val="24"/>
        </w:rPr>
        <w:t>……。”的规定。</w:t>
      </w:r>
    </w:p>
    <w:bookmarkEnd w:id="66"/>
    <w:bookmarkEnd w:id="67"/>
    <w:bookmarkEnd w:id="68"/>
    <w:bookmarkEnd w:id="69"/>
    <w:bookmarkEnd w:id="70"/>
    <w:bookmarkEnd w:id="71"/>
    <w:p>
      <w:pPr>
        <w:ind w:firstLine="480"/>
        <w:rPr>
          <w:rFonts w:ascii="黑体" w:hAnsi="黑体" w:eastAsia="黑体" w:cs="黑体"/>
          <w:szCs w:val="24"/>
        </w:rPr>
      </w:pPr>
      <w:bookmarkStart w:id="74" w:name="_Toc498009790"/>
      <w:bookmarkStart w:id="75" w:name="_Toc502134879"/>
      <w:r>
        <w:rPr>
          <w:rFonts w:hint="eastAsia" w:ascii="黑体" w:hAnsi="黑体" w:eastAsia="黑体" w:cs="黑体"/>
          <w:szCs w:val="24"/>
        </w:rPr>
        <w:t>八、建议</w:t>
      </w:r>
      <w:bookmarkEnd w:id="74"/>
      <w:bookmarkEnd w:id="75"/>
      <w:bookmarkStart w:id="76" w:name="_Toc500364185"/>
      <w:bookmarkStart w:id="77" w:name="_Toc502134880"/>
      <w:bookmarkStart w:id="78" w:name="_Toc500849317"/>
      <w:bookmarkStart w:id="79" w:name="_Toc500589028"/>
      <w:bookmarkStart w:id="80" w:name="_Toc500202569"/>
      <w:bookmarkStart w:id="81" w:name="_Toc500440031"/>
      <w:bookmarkStart w:id="82" w:name="_Toc498009791"/>
    </w:p>
    <w:bookmarkEnd w:id="76"/>
    <w:bookmarkEnd w:id="77"/>
    <w:bookmarkEnd w:id="78"/>
    <w:bookmarkEnd w:id="79"/>
    <w:bookmarkEnd w:id="80"/>
    <w:bookmarkEnd w:id="81"/>
    <w:p>
      <w:pPr>
        <w:ind w:firstLine="480"/>
        <w:rPr>
          <w:rFonts w:ascii="楷体" w:hAnsi="楷体" w:eastAsia="楷体" w:cs="仿宋"/>
          <w:szCs w:val="24"/>
        </w:rPr>
      </w:pPr>
      <w:bookmarkStart w:id="83"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82"/>
      <w:bookmarkEnd w:id="83"/>
    </w:p>
    <w:p>
      <w:pPr>
        <w:ind w:firstLine="480"/>
        <w:rPr>
          <w:rFonts w:cs="仿宋"/>
          <w:szCs w:val="24"/>
        </w:rPr>
      </w:pPr>
      <w:r>
        <w:rPr>
          <w:rFonts w:hint="eastAsia" w:cs="仿宋"/>
          <w:szCs w:val="24"/>
        </w:rPr>
        <w:t>(四</w:t>
      </w:r>
      <w:r>
        <w:rPr>
          <w:rFonts w:cs="仿宋"/>
          <w:szCs w:val="24"/>
        </w:rPr>
        <w:t>)</w:t>
      </w:r>
      <w:r>
        <w:rPr>
          <w:rFonts w:hint="eastAsia" w:cs="仿宋"/>
          <w:szCs w:val="24"/>
        </w:rPr>
        <w:t>对“以拨代支”的情况，建议教体局调整相关账务，以实际发生的投资成本确认项目建设成本。对“基本建设程序执行不完整”的问题，建议教体局补充完善。</w:t>
      </w:r>
    </w:p>
    <w:p>
      <w:pPr>
        <w:ind w:firstLine="480"/>
        <w:rPr>
          <w:rFonts w:cs="仿宋"/>
          <w:szCs w:val="24"/>
        </w:rPr>
      </w:pPr>
    </w:p>
    <w:p>
      <w:pPr>
        <w:ind w:firstLine="480"/>
        <w:rPr>
          <w:rFonts w:cs="仿宋"/>
        </w:rPr>
      </w:pPr>
      <w:r>
        <w:rPr>
          <w:rFonts w:hint="eastAsia" w:cs="仿宋"/>
          <w:szCs w:val="24"/>
        </w:rPr>
        <w:t>附件：</w:t>
      </w:r>
      <w:r>
        <w:rPr>
          <w:rFonts w:cs="仿宋"/>
          <w:szCs w:val="24"/>
        </w:rPr>
        <w:t>寻甸县教育体育局寻甸县职业中学新建实训楼项目支出绩效评价指标体系及评分表</w:t>
      </w:r>
    </w:p>
    <w:p>
      <w:pPr>
        <w:ind w:firstLine="480"/>
      </w:pPr>
    </w:p>
    <w:p>
      <w:pPr>
        <w:ind w:firstLine="424" w:firstLineChars="177"/>
        <w:rPr>
          <w:rFonts w:cs="仿宋"/>
        </w:rPr>
      </w:pPr>
      <w:r>
        <w:rPr>
          <w:rFonts w:hint="eastAsia" w:cs="仿宋"/>
        </w:rPr>
        <w:t xml:space="preserve">                           </w:t>
      </w:r>
    </w:p>
    <w:p>
      <w:pPr>
        <w:ind w:firstLine="0" w:firstLineChars="0"/>
        <w:rPr>
          <w:rFonts w:cs="仿宋"/>
          <w:szCs w:val="24"/>
        </w:rPr>
      </w:pPr>
      <w:r>
        <w:rPr>
          <w:rFonts w:hint="eastAsia" w:cs="仿宋"/>
          <w:szCs w:val="24"/>
        </w:rPr>
        <w:t>云南京健会计师事务所（普通合伙）      中国注册会计师：</w:t>
      </w:r>
    </w:p>
    <w:p>
      <w:pPr>
        <w:ind w:firstLine="480"/>
        <w:rPr>
          <w:rFonts w:cs="仿宋"/>
          <w:szCs w:val="24"/>
        </w:rPr>
      </w:pPr>
    </w:p>
    <w:p>
      <w:pPr>
        <w:ind w:firstLine="5040" w:firstLineChars="2100"/>
        <w:rPr>
          <w:rFonts w:cs="仿宋"/>
          <w:szCs w:val="24"/>
        </w:rPr>
      </w:pPr>
    </w:p>
    <w:p>
      <w:pPr>
        <w:ind w:firstLine="960" w:firstLineChars="4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二〇二三年九月二十七日</w:t>
      </w:r>
    </w:p>
    <w:sectPr>
      <w:footerReference r:id="rId11" w:type="default"/>
      <w:pgSz w:w="11906" w:h="16838"/>
      <w:pgMar w:top="1440" w:right="1803" w:bottom="1440" w:left="1803" w:header="1077" w:footer="992" w:gutter="0"/>
      <w:pgBorders>
        <w:top w:val="single" w:color="auto" w:sz="4" w:space="1"/>
        <w:bottom w:val="single" w:color="auto" w:sz="4" w:space="1"/>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 w:val="18"/>
        <w:szCs w:val="18"/>
      </w:rPr>
      <mc:AlternateContent>
        <mc:Choice Requires="wps">
          <w:drawing>
            <wp:anchor distT="0" distB="0" distL="114300" distR="114300" simplePos="0" relativeHeight="251662336"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2336;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D3OM5d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3360"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7" name="文本框 7"/>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3360;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KYPgL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mc:AlternateContent>
        <mc:Choice Requires="wps">
          <w:drawing>
            <wp:anchor distT="0" distB="0" distL="114300" distR="114300" simplePos="0" relativeHeight="251659264"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59264;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BWAd4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0288"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ind w:firstLine="48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0288;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htChnxAEAAIkDAAAOAAAAAAAAAAEAIAAAACYBAABkcnMvZTJv&#10;RG9jLnhtbFBLBQYAAAAABgAGAFkBAABcBQAAAAA=&#10;">
              <v:fill on="f" focussize="0,0"/>
              <v:stroke on="f"/>
              <v:imagedata o:title=""/>
              <o:lock v:ext="edit" aspectratio="f"/>
              <v:textbox inset="0mm,0mm,0mm,0mm">
                <w:txbxContent>
                  <w:p>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2060575</wp:posOffset>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w:t>
                          </w:r>
                          <w:r>
                            <w:t>2页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2.25pt;margin-top:0pt;height:144pt;width:144pt;mso-position-horizontal-relative:margin;mso-wrap-style:none;z-index:251668480;mso-width-relative:page;mso-height-relative:page;" filled="f" stroked="f" coordsize="21600,21600" o:gfxdata="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HdZITVAAAACAEAAA8AAAAAAAAAAQAgAAAAIgAAAGRycy9kb3ducmV2LnhtbFBLAQIUABQA&#10;AAAIAIdO4kCxNXjQLAIAAFcEAAAOAAAAAAAAAAEAIAAAACQBAABkcnMvZTJvRG9jLnhtbFBLBQYA&#10;AAAABgAGAFkBAADCBQ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w:t>
                    </w:r>
                    <w:r>
                      <w:t>2页</w:t>
                    </w: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posOffset>2517775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8.25pt;margin-top:0pt;height:144pt;width:144pt;mso-position-horizontal-relative:margin;mso-wrap-style:none;z-index:251667456;mso-width-relative:page;mso-height-relative:page;" filled="f" stroked="f" coordsize="21600,21600" o:gfxdata="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evbmb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 w:val="18"/>
        <w:szCs w:val="18"/>
      </w:rPr>
      <mc:AlternateContent>
        <mc:Choice Requires="wps">
          <w:drawing>
            <wp:anchor distT="0" distB="0" distL="114300" distR="114300" simplePos="0" relativeHeight="251666432"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6432;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Dw0IXZMAIAAFU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ascii="Calibri" w:hAnsi="Calibri" w:cs="Calibri"/>
        <w:sz w:val="18"/>
        <w:szCs w:val="18"/>
      </w:rPr>
      <mc:AlternateContent>
        <mc:Choice Requires="wps">
          <w:drawing>
            <wp:anchor distT="0" distB="0" distL="114300" distR="114300" simplePos="0" relativeHeight="251665408" behindDoc="0" locked="0" layoutInCell="1" allowOverlap="1">
              <wp:simplePos x="0" y="0"/>
              <wp:positionH relativeFrom="margin">
                <wp:posOffset>2517775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8.25pt;margin-top:0pt;height:144pt;width:144pt;mso-position-horizontal-relative:margin;mso-wrap-style:none;z-index:251665408;mso-width-relative:page;mso-height-relative:page;" filled="f" stroked="f" coordsize="21600,21600" o:gfxdata="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69uZtUAAAAIAQAADwAAAAAAAAABACAAAAAiAAAAZHJzL2Rvd25yZXYueG1sUEsBAhQAFAAA&#10;AAgAh07iQEm63mMrAgAAVwQAAA4AAAAAAAAAAQAgAAAAJAEAAGRycy9lMm9Eb2MueG1sUEsFBgAA&#10;AAAGAAYAWQEAAMEFA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4384"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4384;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N5JApMAIAAFU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rPr>
        <w:rFonts w:ascii="隶书" w:eastAsia="隶书"/>
      </w:rPr>
    </w:pPr>
    <w:r>
      <w:rPr>
        <w:rFonts w:hint="eastAsia" w:ascii="隶书" w:eastAsia="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2219"/>
    <w:rsid w:val="000038D4"/>
    <w:rsid w:val="00005169"/>
    <w:rsid w:val="00011C57"/>
    <w:rsid w:val="00015509"/>
    <w:rsid w:val="00024B3C"/>
    <w:rsid w:val="0003307D"/>
    <w:rsid w:val="00033BE3"/>
    <w:rsid w:val="000361C1"/>
    <w:rsid w:val="00044C9E"/>
    <w:rsid w:val="0005055D"/>
    <w:rsid w:val="00064E98"/>
    <w:rsid w:val="000B6965"/>
    <w:rsid w:val="000D1D34"/>
    <w:rsid w:val="000E2072"/>
    <w:rsid w:val="000F72F8"/>
    <w:rsid w:val="001239EA"/>
    <w:rsid w:val="001264B1"/>
    <w:rsid w:val="001572F5"/>
    <w:rsid w:val="00166060"/>
    <w:rsid w:val="001B0A62"/>
    <w:rsid w:val="001D2167"/>
    <w:rsid w:val="001E5BB7"/>
    <w:rsid w:val="001E74EE"/>
    <w:rsid w:val="001F2A85"/>
    <w:rsid w:val="00202A6A"/>
    <w:rsid w:val="00214176"/>
    <w:rsid w:val="002415BB"/>
    <w:rsid w:val="0025552D"/>
    <w:rsid w:val="002712A3"/>
    <w:rsid w:val="002715D8"/>
    <w:rsid w:val="00275F57"/>
    <w:rsid w:val="002C2048"/>
    <w:rsid w:val="002D2828"/>
    <w:rsid w:val="002F42E5"/>
    <w:rsid w:val="00326965"/>
    <w:rsid w:val="00352558"/>
    <w:rsid w:val="003712D1"/>
    <w:rsid w:val="003722B5"/>
    <w:rsid w:val="00374C05"/>
    <w:rsid w:val="003756BB"/>
    <w:rsid w:val="003856E2"/>
    <w:rsid w:val="00391CCA"/>
    <w:rsid w:val="003935FA"/>
    <w:rsid w:val="003A1E68"/>
    <w:rsid w:val="003A2646"/>
    <w:rsid w:val="003A27F7"/>
    <w:rsid w:val="003B05DD"/>
    <w:rsid w:val="003B32E5"/>
    <w:rsid w:val="003B3D37"/>
    <w:rsid w:val="003B4DEF"/>
    <w:rsid w:val="003C273F"/>
    <w:rsid w:val="003D39DD"/>
    <w:rsid w:val="003E11E1"/>
    <w:rsid w:val="003F052C"/>
    <w:rsid w:val="00403F6D"/>
    <w:rsid w:val="0042036D"/>
    <w:rsid w:val="00422D75"/>
    <w:rsid w:val="00431574"/>
    <w:rsid w:val="004329B0"/>
    <w:rsid w:val="0044645E"/>
    <w:rsid w:val="004503E8"/>
    <w:rsid w:val="00483509"/>
    <w:rsid w:val="0048737F"/>
    <w:rsid w:val="00493D71"/>
    <w:rsid w:val="004A457C"/>
    <w:rsid w:val="004B0346"/>
    <w:rsid w:val="004D6964"/>
    <w:rsid w:val="004E26CD"/>
    <w:rsid w:val="00511D5C"/>
    <w:rsid w:val="00515092"/>
    <w:rsid w:val="005220D0"/>
    <w:rsid w:val="00532715"/>
    <w:rsid w:val="00533749"/>
    <w:rsid w:val="00571DF9"/>
    <w:rsid w:val="00586C37"/>
    <w:rsid w:val="005927C2"/>
    <w:rsid w:val="005B2093"/>
    <w:rsid w:val="005B639E"/>
    <w:rsid w:val="005C43AC"/>
    <w:rsid w:val="005C573E"/>
    <w:rsid w:val="005D6324"/>
    <w:rsid w:val="005E15A2"/>
    <w:rsid w:val="005E6414"/>
    <w:rsid w:val="005E6E6C"/>
    <w:rsid w:val="00604810"/>
    <w:rsid w:val="00611E60"/>
    <w:rsid w:val="006149C5"/>
    <w:rsid w:val="00640D04"/>
    <w:rsid w:val="0064231A"/>
    <w:rsid w:val="0066613F"/>
    <w:rsid w:val="0066677A"/>
    <w:rsid w:val="006703CD"/>
    <w:rsid w:val="0067124D"/>
    <w:rsid w:val="0068706F"/>
    <w:rsid w:val="006B193F"/>
    <w:rsid w:val="006B4261"/>
    <w:rsid w:val="006C257B"/>
    <w:rsid w:val="006C43D2"/>
    <w:rsid w:val="006C5BA8"/>
    <w:rsid w:val="006C798D"/>
    <w:rsid w:val="006E438B"/>
    <w:rsid w:val="006E5D1A"/>
    <w:rsid w:val="006E6946"/>
    <w:rsid w:val="0071483A"/>
    <w:rsid w:val="00730ADF"/>
    <w:rsid w:val="00731A35"/>
    <w:rsid w:val="00763E3C"/>
    <w:rsid w:val="00770054"/>
    <w:rsid w:val="007701F9"/>
    <w:rsid w:val="0077314F"/>
    <w:rsid w:val="007926C2"/>
    <w:rsid w:val="007A2B55"/>
    <w:rsid w:val="007B2524"/>
    <w:rsid w:val="007C45FD"/>
    <w:rsid w:val="007D06F9"/>
    <w:rsid w:val="007D29F6"/>
    <w:rsid w:val="007F143F"/>
    <w:rsid w:val="007F5A7A"/>
    <w:rsid w:val="008041E4"/>
    <w:rsid w:val="008071AD"/>
    <w:rsid w:val="008113A7"/>
    <w:rsid w:val="0081361F"/>
    <w:rsid w:val="008362BE"/>
    <w:rsid w:val="00841B15"/>
    <w:rsid w:val="008438CF"/>
    <w:rsid w:val="008445D5"/>
    <w:rsid w:val="00854DF0"/>
    <w:rsid w:val="00857009"/>
    <w:rsid w:val="00861AF7"/>
    <w:rsid w:val="00864C20"/>
    <w:rsid w:val="008A6E93"/>
    <w:rsid w:val="008B0C94"/>
    <w:rsid w:val="008B79EC"/>
    <w:rsid w:val="008C6B4A"/>
    <w:rsid w:val="008D6685"/>
    <w:rsid w:val="00913BC2"/>
    <w:rsid w:val="009223AD"/>
    <w:rsid w:val="00932AF3"/>
    <w:rsid w:val="00932D0E"/>
    <w:rsid w:val="009444DF"/>
    <w:rsid w:val="009654AB"/>
    <w:rsid w:val="009850B8"/>
    <w:rsid w:val="00986C3F"/>
    <w:rsid w:val="009B15DF"/>
    <w:rsid w:val="009B4B58"/>
    <w:rsid w:val="009C0BE2"/>
    <w:rsid w:val="009C4DF1"/>
    <w:rsid w:val="009F5083"/>
    <w:rsid w:val="009F65C5"/>
    <w:rsid w:val="00A007BA"/>
    <w:rsid w:val="00A01C88"/>
    <w:rsid w:val="00A13752"/>
    <w:rsid w:val="00A1491F"/>
    <w:rsid w:val="00A22A0E"/>
    <w:rsid w:val="00A240C9"/>
    <w:rsid w:val="00A32982"/>
    <w:rsid w:val="00A4267B"/>
    <w:rsid w:val="00A46FBA"/>
    <w:rsid w:val="00A53BC4"/>
    <w:rsid w:val="00A623BE"/>
    <w:rsid w:val="00A65A75"/>
    <w:rsid w:val="00A809BB"/>
    <w:rsid w:val="00A929E4"/>
    <w:rsid w:val="00A95766"/>
    <w:rsid w:val="00A975BA"/>
    <w:rsid w:val="00A978AE"/>
    <w:rsid w:val="00AC33F7"/>
    <w:rsid w:val="00AE21DE"/>
    <w:rsid w:val="00AE6716"/>
    <w:rsid w:val="00AE7FDF"/>
    <w:rsid w:val="00B0066B"/>
    <w:rsid w:val="00B01956"/>
    <w:rsid w:val="00B22112"/>
    <w:rsid w:val="00B2454C"/>
    <w:rsid w:val="00B35908"/>
    <w:rsid w:val="00B45F98"/>
    <w:rsid w:val="00B46E5F"/>
    <w:rsid w:val="00B5312E"/>
    <w:rsid w:val="00B7097B"/>
    <w:rsid w:val="00B709E3"/>
    <w:rsid w:val="00B90069"/>
    <w:rsid w:val="00B95049"/>
    <w:rsid w:val="00B95EE7"/>
    <w:rsid w:val="00BA7A3B"/>
    <w:rsid w:val="00BB69B2"/>
    <w:rsid w:val="00BC4075"/>
    <w:rsid w:val="00BC7EDA"/>
    <w:rsid w:val="00BD2F72"/>
    <w:rsid w:val="00BD6B55"/>
    <w:rsid w:val="00BF04C3"/>
    <w:rsid w:val="00C14398"/>
    <w:rsid w:val="00C36906"/>
    <w:rsid w:val="00C3762A"/>
    <w:rsid w:val="00C45671"/>
    <w:rsid w:val="00C56F4D"/>
    <w:rsid w:val="00C71063"/>
    <w:rsid w:val="00C76CBF"/>
    <w:rsid w:val="00C91185"/>
    <w:rsid w:val="00C956F9"/>
    <w:rsid w:val="00CB52C5"/>
    <w:rsid w:val="00CE2AD0"/>
    <w:rsid w:val="00D00525"/>
    <w:rsid w:val="00D10B47"/>
    <w:rsid w:val="00D10C8C"/>
    <w:rsid w:val="00D12103"/>
    <w:rsid w:val="00D161F4"/>
    <w:rsid w:val="00D1717B"/>
    <w:rsid w:val="00D25417"/>
    <w:rsid w:val="00D27FD0"/>
    <w:rsid w:val="00DB350C"/>
    <w:rsid w:val="00DB458C"/>
    <w:rsid w:val="00DB612D"/>
    <w:rsid w:val="00DD64BC"/>
    <w:rsid w:val="00DE352C"/>
    <w:rsid w:val="00DE7A9A"/>
    <w:rsid w:val="00DF324C"/>
    <w:rsid w:val="00DF49F8"/>
    <w:rsid w:val="00E35CAE"/>
    <w:rsid w:val="00E35F11"/>
    <w:rsid w:val="00E42ADD"/>
    <w:rsid w:val="00E526BF"/>
    <w:rsid w:val="00E55609"/>
    <w:rsid w:val="00E6085D"/>
    <w:rsid w:val="00E8619D"/>
    <w:rsid w:val="00E959D8"/>
    <w:rsid w:val="00E97E57"/>
    <w:rsid w:val="00EA47EA"/>
    <w:rsid w:val="00EB2875"/>
    <w:rsid w:val="00EB637E"/>
    <w:rsid w:val="00EC0F7D"/>
    <w:rsid w:val="00EC490D"/>
    <w:rsid w:val="00ED5C39"/>
    <w:rsid w:val="00F048D4"/>
    <w:rsid w:val="00F1335B"/>
    <w:rsid w:val="00F538C0"/>
    <w:rsid w:val="00F55E9E"/>
    <w:rsid w:val="00F65635"/>
    <w:rsid w:val="00F66CE9"/>
    <w:rsid w:val="00FB1D37"/>
    <w:rsid w:val="00FB218F"/>
    <w:rsid w:val="00FC52C9"/>
    <w:rsid w:val="00FD7511"/>
    <w:rsid w:val="00FE4897"/>
    <w:rsid w:val="00FF2222"/>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232B60"/>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215071"/>
    <w:rsid w:val="36314683"/>
    <w:rsid w:val="36472C7B"/>
    <w:rsid w:val="36753A20"/>
    <w:rsid w:val="36B0540D"/>
    <w:rsid w:val="36B326B4"/>
    <w:rsid w:val="36C17BFE"/>
    <w:rsid w:val="36CE2123"/>
    <w:rsid w:val="36D60122"/>
    <w:rsid w:val="36D9255D"/>
    <w:rsid w:val="37020263"/>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1065"/>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072541"/>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43014A"/>
    <w:rsid w:val="796608A4"/>
    <w:rsid w:val="7999176C"/>
    <w:rsid w:val="79AB2DAA"/>
    <w:rsid w:val="79B661E6"/>
    <w:rsid w:val="79CA7D83"/>
    <w:rsid w:val="79D77004"/>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1520</Words>
  <Characters>8669</Characters>
  <Lines>72</Lines>
  <Paragraphs>20</Paragraphs>
  <TotalTime>95</TotalTime>
  <ScaleCrop>false</ScaleCrop>
  <LinksUpToDate>false</LinksUpToDate>
  <CharactersWithSpaces>10169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2022-09-27T01:49:00Z</cp:lastPrinted>
  <dcterms:modified xsi:type="dcterms:W3CDTF">2023-10-25T04:42:54Z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9E4FEDDC0F54436D8DD072BB9EE19449_13</vt:lpwstr>
  </property>
</Properties>
</file>