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2.vsd" ContentType="application/vnd.visio"/>
  <Override PartName="/word/embeddings/Microsoft_Visio___1.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sz w:val="36"/>
          <w:szCs w:val="36"/>
          <w:lang w:eastAsia="zh-CN"/>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jc w:val="center"/>
        <w:outlineLvl w:val="0"/>
        <w:rPr>
          <w:rFonts w:ascii="方正小标宋_GBK" w:eastAsia="方正小标宋_GBK"/>
          <w:bCs/>
          <w:sz w:val="72"/>
          <w:szCs w:val="72"/>
        </w:rPr>
      </w:pPr>
      <w:bookmarkStart w:id="0" w:name="_Toc140937500"/>
      <w:r>
        <w:rPr>
          <w:rFonts w:hint="eastAsia" w:ascii="方正小标宋_GBK" w:eastAsia="方正小标宋_GBK"/>
          <w:bCs/>
          <w:sz w:val="72"/>
          <w:szCs w:val="72"/>
        </w:rPr>
        <w:t>建设项目环境影响报告表</w:t>
      </w:r>
      <w:bookmarkEnd w:id="0"/>
    </w:p>
    <w:p>
      <w:pPr>
        <w:adjustRightInd w:val="0"/>
        <w:spacing w:before="192" w:beforeLines="80" w:line="360" w:lineRule="auto"/>
        <w:jc w:val="center"/>
        <w:rPr>
          <w:rFonts w:ascii="楷体_GB2312" w:eastAsia="楷体_GB2312"/>
          <w:bCs/>
          <w:sz w:val="48"/>
          <w:szCs w:val="48"/>
        </w:rPr>
      </w:pPr>
      <w:r>
        <w:rPr>
          <w:rFonts w:hint="eastAsia" w:ascii="楷体_GB2312" w:eastAsia="楷体_GB2312"/>
          <w:bCs/>
          <w:sz w:val="48"/>
          <w:szCs w:val="48"/>
        </w:rPr>
        <w:t>（污染影响类）</w:t>
      </w:r>
    </w:p>
    <w:p>
      <w:pPr>
        <w:pStyle w:val="68"/>
        <w:spacing w:line="360" w:lineRule="auto"/>
        <w:jc w:val="center"/>
        <w:rPr>
          <w:sz w:val="36"/>
          <w:szCs w:val="36"/>
        </w:rPr>
      </w:pPr>
      <w:r>
        <w:rPr>
          <w:rFonts w:hint="eastAsia"/>
          <w:sz w:val="36"/>
          <w:szCs w:val="36"/>
          <w:highlight w:val="green"/>
        </w:rPr>
        <w:t>（送审稿）</w:t>
      </w:r>
    </w:p>
    <w:p>
      <w:pPr>
        <w:spacing w:line="360" w:lineRule="auto"/>
        <w:jc w:val="center"/>
        <w:rPr>
          <w:rFonts w:eastAsia="仿宋"/>
          <w:sz w:val="36"/>
          <w:szCs w:val="36"/>
        </w:rPr>
      </w:pPr>
    </w:p>
    <w:p>
      <w:pPr>
        <w:spacing w:line="360" w:lineRule="auto"/>
        <w:jc w:val="center"/>
        <w:rPr>
          <w:rFonts w:eastAsia="仿宋"/>
          <w:sz w:val="36"/>
          <w:szCs w:val="36"/>
        </w:rPr>
      </w:pPr>
    </w:p>
    <w:p>
      <w:pPr>
        <w:spacing w:line="360" w:lineRule="auto"/>
        <w:jc w:val="center"/>
        <w:rPr>
          <w:rFonts w:eastAsia="仿宋"/>
          <w:sz w:val="36"/>
          <w:szCs w:val="36"/>
        </w:rPr>
      </w:pPr>
    </w:p>
    <w:p>
      <w:pPr>
        <w:spacing w:line="360" w:lineRule="auto"/>
        <w:jc w:val="center"/>
        <w:rPr>
          <w:rFonts w:eastAsia="仿宋"/>
          <w:sz w:val="36"/>
          <w:szCs w:val="36"/>
        </w:rPr>
      </w:pPr>
    </w:p>
    <w:p>
      <w:pPr>
        <w:adjustRightInd w:val="0"/>
        <w:spacing w:line="288" w:lineRule="auto"/>
        <w:rPr>
          <w:rFonts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 xml:space="preserve">    昆明市澳松人造板制造有限责任公司   </w:t>
      </w:r>
    </w:p>
    <w:p>
      <w:pPr>
        <w:adjustRightInd w:val="0"/>
        <w:spacing w:line="288" w:lineRule="auto"/>
        <w:ind w:firstLine="1800" w:firstLineChars="500"/>
        <w:rPr>
          <w:rFonts w:ascii="仿宋_GB2312" w:eastAsia="仿宋_GB2312"/>
          <w:sz w:val="36"/>
          <w:szCs w:val="36"/>
          <w:u w:val="single"/>
        </w:rPr>
      </w:pPr>
      <w:r>
        <w:rPr>
          <w:rFonts w:hint="eastAsia" w:ascii="仿宋_GB2312" w:eastAsia="仿宋_GB2312"/>
          <w:sz w:val="36"/>
          <w:szCs w:val="36"/>
          <w:u w:val="single"/>
        </w:rPr>
        <w:t xml:space="preserve">    年产5万立方米木质刨花板技改项目   </w:t>
      </w:r>
    </w:p>
    <w:p>
      <w:pPr>
        <w:adjustRightInd w:val="0"/>
        <w:spacing w:line="288" w:lineRule="auto"/>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昆明市澳松人造板制造有限责任公司</w:t>
      </w:r>
    </w:p>
    <w:p>
      <w:pPr>
        <w:adjustRightInd w:val="0"/>
        <w:spacing w:line="288" w:lineRule="auto"/>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hint="eastAsia" w:ascii="仿宋_GB2312" w:eastAsia="仿宋_GB2312"/>
          <w:sz w:val="36"/>
          <w:szCs w:val="36"/>
          <w:highlight w:val="green"/>
          <w:u w:val="single"/>
        </w:rPr>
        <w:t>2023年10月</w:t>
      </w:r>
      <w:r>
        <w:rPr>
          <w:rFonts w:ascii="仿宋_GB2312" w:eastAsia="仿宋_GB2312"/>
          <w:sz w:val="36"/>
          <w:szCs w:val="36"/>
          <w:u w:val="single"/>
        </w:rPr>
        <w:t xml:space="preserve">                </w:t>
      </w:r>
    </w:p>
    <w:p>
      <w:pPr>
        <w:adjustRightInd w:val="0"/>
        <w:spacing w:line="288" w:lineRule="auto"/>
        <w:ind w:firstLine="1040"/>
        <w:jc w:val="center"/>
        <w:rPr>
          <w:rFonts w:ascii="仿宋_GB2312" w:eastAsia="仿宋_GB2312"/>
          <w:sz w:val="36"/>
          <w:szCs w:val="36"/>
          <w:u w:val="single"/>
        </w:rPr>
      </w:pPr>
      <w:bookmarkStart w:id="1" w:name="_Hlk57884087"/>
    </w:p>
    <w:p>
      <w:pPr>
        <w:adjustRightInd w:val="0"/>
        <w:spacing w:line="288" w:lineRule="auto"/>
        <w:ind w:firstLine="1040"/>
        <w:jc w:val="center"/>
        <w:rPr>
          <w:rFonts w:ascii="仿宋_GB2312" w:eastAsia="仿宋_GB2312"/>
          <w:sz w:val="36"/>
          <w:szCs w:val="36"/>
        </w:rPr>
      </w:pPr>
    </w:p>
    <w:p>
      <w:pPr>
        <w:adjustRightInd w:val="0"/>
        <w:spacing w:line="288" w:lineRule="auto"/>
        <w:ind w:firstLine="1040"/>
        <w:jc w:val="center"/>
        <w:rPr>
          <w:rFonts w:ascii="仿宋_GB2312" w:eastAsia="仿宋_GB2312"/>
          <w:sz w:val="36"/>
          <w:szCs w:val="36"/>
        </w:rPr>
      </w:pPr>
    </w:p>
    <w:p>
      <w:pPr>
        <w:adjustRightInd w:val="0"/>
        <w:spacing w:line="288" w:lineRule="auto"/>
        <w:ind w:firstLine="1040"/>
        <w:jc w:val="center"/>
        <w:rPr>
          <w:rFonts w:ascii="仿宋_GB2312" w:eastAsia="仿宋_GB2312"/>
          <w:sz w:val="36"/>
          <w:szCs w:val="36"/>
        </w:rPr>
      </w:pPr>
    </w:p>
    <w:p>
      <w:pPr>
        <w:adjustRightInd w:val="0"/>
        <w:spacing w:line="288" w:lineRule="auto"/>
        <w:ind w:firstLine="1040"/>
        <w:jc w:val="center"/>
        <w:rPr>
          <w:rFonts w:ascii="仿宋_GB2312" w:eastAsia="仿宋_GB2312"/>
          <w:sz w:val="36"/>
          <w:szCs w:val="36"/>
        </w:rPr>
      </w:pPr>
    </w:p>
    <w:bookmarkEnd w:id="1"/>
    <w:p>
      <w:pPr>
        <w:adjustRightIn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pacing w:line="480" w:lineRule="auto"/>
        <w:ind w:firstLine="723" w:firstLineChars="200"/>
        <w:jc w:val="center"/>
        <w:rPr>
          <w:b/>
          <w:bCs/>
          <w:sz w:val="36"/>
          <w:szCs w:val="72"/>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adjustRightInd w:val="0"/>
        <w:spacing w:before="240" w:beforeLines="100" w:line="480" w:lineRule="auto"/>
        <w:jc w:val="center"/>
        <w:rPr>
          <w:b/>
          <w:bCs/>
          <w:sz w:val="36"/>
          <w:szCs w:val="72"/>
        </w:rPr>
      </w:pPr>
      <w:r>
        <w:rPr>
          <w:b/>
          <w:bCs/>
          <w:sz w:val="36"/>
          <w:szCs w:val="72"/>
        </w:rPr>
        <w:t>目录</w:t>
      </w:r>
    </w:p>
    <w:p>
      <w:pPr>
        <w:pStyle w:val="22"/>
        <w:tabs>
          <w:tab w:val="right" w:leader="dot" w:pos="8834"/>
        </w:tabs>
        <w:spacing w:line="360" w:lineRule="auto"/>
        <w:rPr>
          <w:rFonts w:asciiTheme="minorHAnsi" w:hAnsiTheme="minorHAnsi" w:eastAsiaTheme="minorEastAsia" w:cstheme="minorBidi"/>
          <w:sz w:val="24"/>
          <w14:ligatures w14:val="standardContextual"/>
        </w:rPr>
      </w:pPr>
      <w:r>
        <w:rPr>
          <w:rFonts w:cs="仿宋_GB2312"/>
          <w:sz w:val="24"/>
        </w:rPr>
        <w:fldChar w:fldCharType="begin"/>
      </w:r>
      <w:r>
        <w:rPr>
          <w:rFonts w:cs="仿宋_GB2312"/>
          <w:sz w:val="24"/>
        </w:rPr>
        <w:instrText xml:space="preserve">TOC \o "1-1" \h \u </w:instrText>
      </w:r>
      <w:r>
        <w:rPr>
          <w:rFonts w:cs="仿宋_GB2312"/>
          <w:sz w:val="24"/>
        </w:rPr>
        <w:fldChar w:fldCharType="separate"/>
      </w:r>
      <w:r>
        <w:fldChar w:fldCharType="begin"/>
      </w:r>
      <w:r>
        <w:instrText xml:space="preserve"> HYPERLINK \l "_Toc140937501" </w:instrText>
      </w:r>
      <w:r>
        <w:fldChar w:fldCharType="separate"/>
      </w:r>
      <w:r>
        <w:rPr>
          <w:rStyle w:val="37"/>
          <w:rFonts w:ascii="黑体" w:hAnsi="黑体" w:eastAsia="黑体"/>
          <w:snapToGrid w:val="0"/>
          <w:sz w:val="24"/>
        </w:rPr>
        <w:t>一、建设项目基本情况</w:t>
      </w:r>
      <w:r>
        <w:rPr>
          <w:sz w:val="24"/>
        </w:rPr>
        <w:tab/>
      </w:r>
      <w:r>
        <w:rPr>
          <w:sz w:val="24"/>
        </w:rPr>
        <w:fldChar w:fldCharType="begin"/>
      </w:r>
      <w:r>
        <w:rPr>
          <w:sz w:val="24"/>
        </w:rPr>
        <w:instrText xml:space="preserve"> PAGEREF _Toc140937501 \h </w:instrText>
      </w:r>
      <w:r>
        <w:rPr>
          <w:sz w:val="24"/>
        </w:rPr>
        <w:fldChar w:fldCharType="separate"/>
      </w:r>
      <w:r>
        <w:rPr>
          <w:sz w:val="24"/>
        </w:rPr>
        <w:t>1</w:t>
      </w:r>
      <w:r>
        <w:rPr>
          <w:sz w:val="24"/>
        </w:rPr>
        <w:fldChar w:fldCharType="end"/>
      </w:r>
      <w:r>
        <w:rPr>
          <w:sz w:val="24"/>
        </w:rPr>
        <w:fldChar w:fldCharType="end"/>
      </w:r>
    </w:p>
    <w:p>
      <w:pPr>
        <w:pStyle w:val="22"/>
        <w:tabs>
          <w:tab w:val="right" w:leader="dot" w:pos="8834"/>
        </w:tabs>
        <w:spacing w:line="360" w:lineRule="auto"/>
        <w:rPr>
          <w:rFonts w:asciiTheme="minorHAnsi" w:hAnsiTheme="minorHAnsi" w:eastAsiaTheme="minorEastAsia" w:cstheme="minorBidi"/>
          <w:sz w:val="24"/>
          <w14:ligatures w14:val="standardContextual"/>
        </w:rPr>
      </w:pPr>
      <w:r>
        <w:fldChar w:fldCharType="begin"/>
      </w:r>
      <w:r>
        <w:instrText xml:space="preserve"> HYPERLINK \l "_Toc140937502" </w:instrText>
      </w:r>
      <w:r>
        <w:fldChar w:fldCharType="separate"/>
      </w:r>
      <w:r>
        <w:rPr>
          <w:rStyle w:val="37"/>
          <w:rFonts w:ascii="黑体" w:hAnsi="黑体" w:eastAsia="黑体"/>
          <w:snapToGrid w:val="0"/>
          <w:sz w:val="24"/>
        </w:rPr>
        <w:t>二、建设项目工程分析</w:t>
      </w:r>
      <w:r>
        <w:rPr>
          <w:sz w:val="24"/>
        </w:rPr>
        <w:tab/>
      </w:r>
      <w:r>
        <w:rPr>
          <w:sz w:val="24"/>
        </w:rPr>
        <w:fldChar w:fldCharType="begin"/>
      </w:r>
      <w:r>
        <w:rPr>
          <w:sz w:val="24"/>
        </w:rPr>
        <w:instrText xml:space="preserve"> PAGEREF _Toc140937502 \h </w:instrText>
      </w:r>
      <w:r>
        <w:rPr>
          <w:sz w:val="24"/>
        </w:rPr>
        <w:fldChar w:fldCharType="separate"/>
      </w:r>
      <w:r>
        <w:rPr>
          <w:sz w:val="24"/>
        </w:rPr>
        <w:t>31</w:t>
      </w:r>
      <w:r>
        <w:rPr>
          <w:sz w:val="24"/>
        </w:rPr>
        <w:fldChar w:fldCharType="end"/>
      </w:r>
      <w:r>
        <w:rPr>
          <w:sz w:val="24"/>
        </w:rPr>
        <w:fldChar w:fldCharType="end"/>
      </w:r>
    </w:p>
    <w:p>
      <w:pPr>
        <w:pStyle w:val="22"/>
        <w:tabs>
          <w:tab w:val="right" w:leader="dot" w:pos="8834"/>
        </w:tabs>
        <w:spacing w:line="360" w:lineRule="auto"/>
        <w:rPr>
          <w:rFonts w:asciiTheme="minorHAnsi" w:hAnsiTheme="minorHAnsi" w:eastAsiaTheme="minorEastAsia" w:cstheme="minorBidi"/>
          <w:sz w:val="24"/>
          <w14:ligatures w14:val="standardContextual"/>
        </w:rPr>
      </w:pPr>
      <w:r>
        <w:fldChar w:fldCharType="begin"/>
      </w:r>
      <w:r>
        <w:instrText xml:space="preserve"> HYPERLINK \l "_Toc140937503" </w:instrText>
      </w:r>
      <w:r>
        <w:fldChar w:fldCharType="separate"/>
      </w:r>
      <w:r>
        <w:rPr>
          <w:rStyle w:val="37"/>
          <w:rFonts w:ascii="黑体" w:hAnsi="黑体" w:eastAsia="黑体"/>
          <w:snapToGrid w:val="0"/>
          <w:sz w:val="24"/>
        </w:rPr>
        <w:t>三、区域环境质量现状、环境保护目标及评价标准</w:t>
      </w:r>
      <w:r>
        <w:rPr>
          <w:sz w:val="24"/>
        </w:rPr>
        <w:tab/>
      </w:r>
      <w:r>
        <w:rPr>
          <w:sz w:val="24"/>
        </w:rPr>
        <w:fldChar w:fldCharType="begin"/>
      </w:r>
      <w:r>
        <w:rPr>
          <w:sz w:val="24"/>
        </w:rPr>
        <w:instrText xml:space="preserve"> PAGEREF _Toc140937503 \h </w:instrText>
      </w:r>
      <w:r>
        <w:rPr>
          <w:sz w:val="24"/>
        </w:rPr>
        <w:fldChar w:fldCharType="separate"/>
      </w:r>
      <w:r>
        <w:rPr>
          <w:sz w:val="24"/>
        </w:rPr>
        <w:t>69</w:t>
      </w:r>
      <w:r>
        <w:rPr>
          <w:sz w:val="24"/>
        </w:rPr>
        <w:fldChar w:fldCharType="end"/>
      </w:r>
      <w:r>
        <w:rPr>
          <w:sz w:val="24"/>
        </w:rPr>
        <w:fldChar w:fldCharType="end"/>
      </w:r>
    </w:p>
    <w:p>
      <w:pPr>
        <w:pStyle w:val="22"/>
        <w:tabs>
          <w:tab w:val="right" w:leader="dot" w:pos="8834"/>
        </w:tabs>
        <w:spacing w:line="360" w:lineRule="auto"/>
        <w:rPr>
          <w:rFonts w:asciiTheme="minorHAnsi" w:hAnsiTheme="minorHAnsi" w:eastAsiaTheme="minorEastAsia" w:cstheme="minorBidi"/>
          <w:sz w:val="24"/>
          <w14:ligatures w14:val="standardContextual"/>
        </w:rPr>
      </w:pPr>
      <w:r>
        <w:fldChar w:fldCharType="begin"/>
      </w:r>
      <w:r>
        <w:instrText xml:space="preserve"> HYPERLINK \l "_Toc140937504" </w:instrText>
      </w:r>
      <w:r>
        <w:fldChar w:fldCharType="separate"/>
      </w:r>
      <w:r>
        <w:rPr>
          <w:rStyle w:val="37"/>
          <w:rFonts w:ascii="黑体" w:hAnsi="黑体" w:eastAsia="黑体"/>
          <w:snapToGrid w:val="0"/>
          <w:sz w:val="24"/>
        </w:rPr>
        <w:t>四、主要环境影响和保护措施</w:t>
      </w:r>
      <w:r>
        <w:rPr>
          <w:sz w:val="24"/>
        </w:rPr>
        <w:tab/>
      </w:r>
      <w:r>
        <w:rPr>
          <w:sz w:val="24"/>
        </w:rPr>
        <w:fldChar w:fldCharType="begin"/>
      </w:r>
      <w:r>
        <w:rPr>
          <w:sz w:val="24"/>
        </w:rPr>
        <w:instrText xml:space="preserve"> PAGEREF _Toc140937504 \h </w:instrText>
      </w:r>
      <w:r>
        <w:rPr>
          <w:sz w:val="24"/>
        </w:rPr>
        <w:fldChar w:fldCharType="separate"/>
      </w:r>
      <w:r>
        <w:rPr>
          <w:sz w:val="24"/>
        </w:rPr>
        <w:t>78</w:t>
      </w:r>
      <w:r>
        <w:rPr>
          <w:sz w:val="24"/>
        </w:rPr>
        <w:fldChar w:fldCharType="end"/>
      </w:r>
      <w:r>
        <w:rPr>
          <w:sz w:val="24"/>
        </w:rPr>
        <w:fldChar w:fldCharType="end"/>
      </w:r>
    </w:p>
    <w:p>
      <w:pPr>
        <w:pStyle w:val="22"/>
        <w:tabs>
          <w:tab w:val="right" w:leader="dot" w:pos="8834"/>
        </w:tabs>
        <w:spacing w:line="360" w:lineRule="auto"/>
        <w:rPr>
          <w:rFonts w:asciiTheme="minorHAnsi" w:hAnsiTheme="minorHAnsi" w:eastAsiaTheme="minorEastAsia" w:cstheme="minorBidi"/>
          <w:sz w:val="24"/>
          <w14:ligatures w14:val="standardContextual"/>
        </w:rPr>
      </w:pPr>
      <w:r>
        <w:fldChar w:fldCharType="begin"/>
      </w:r>
      <w:r>
        <w:instrText xml:space="preserve"> HYPERLINK \l "_Toc140937505" </w:instrText>
      </w:r>
      <w:r>
        <w:fldChar w:fldCharType="separate"/>
      </w:r>
      <w:r>
        <w:rPr>
          <w:rStyle w:val="37"/>
          <w:rFonts w:ascii="黑体" w:hAnsi="黑体" w:eastAsia="黑体"/>
          <w:snapToGrid w:val="0"/>
          <w:sz w:val="24"/>
        </w:rPr>
        <w:t>五、环境保护措施监督检查清单</w:t>
      </w:r>
      <w:r>
        <w:rPr>
          <w:sz w:val="24"/>
        </w:rPr>
        <w:tab/>
      </w:r>
      <w:r>
        <w:rPr>
          <w:sz w:val="24"/>
        </w:rPr>
        <w:fldChar w:fldCharType="begin"/>
      </w:r>
      <w:r>
        <w:rPr>
          <w:sz w:val="24"/>
        </w:rPr>
        <w:instrText xml:space="preserve"> PAGEREF _Toc140937505 \h </w:instrText>
      </w:r>
      <w:r>
        <w:rPr>
          <w:sz w:val="24"/>
        </w:rPr>
        <w:fldChar w:fldCharType="separate"/>
      </w:r>
      <w:r>
        <w:rPr>
          <w:sz w:val="24"/>
        </w:rPr>
        <w:t>105</w:t>
      </w:r>
      <w:r>
        <w:rPr>
          <w:sz w:val="24"/>
        </w:rPr>
        <w:fldChar w:fldCharType="end"/>
      </w:r>
      <w:r>
        <w:rPr>
          <w:sz w:val="24"/>
        </w:rPr>
        <w:fldChar w:fldCharType="end"/>
      </w:r>
    </w:p>
    <w:p>
      <w:pPr>
        <w:pStyle w:val="22"/>
        <w:tabs>
          <w:tab w:val="right" w:leader="dot" w:pos="8834"/>
        </w:tabs>
        <w:spacing w:line="360" w:lineRule="auto"/>
        <w:rPr>
          <w:rFonts w:asciiTheme="minorHAnsi" w:hAnsiTheme="minorHAnsi" w:eastAsiaTheme="minorEastAsia" w:cstheme="minorBidi"/>
          <w:sz w:val="24"/>
          <w14:ligatures w14:val="standardContextual"/>
        </w:rPr>
      </w:pPr>
      <w:r>
        <w:fldChar w:fldCharType="begin"/>
      </w:r>
      <w:r>
        <w:instrText xml:space="preserve"> HYPERLINK \l "_Toc140937506" </w:instrText>
      </w:r>
      <w:r>
        <w:fldChar w:fldCharType="separate"/>
      </w:r>
      <w:r>
        <w:rPr>
          <w:rStyle w:val="37"/>
          <w:rFonts w:ascii="黑体" w:hAnsi="黑体" w:eastAsia="黑体"/>
          <w:snapToGrid w:val="0"/>
          <w:sz w:val="24"/>
        </w:rPr>
        <w:t>六、结论</w:t>
      </w:r>
      <w:r>
        <w:rPr>
          <w:sz w:val="24"/>
        </w:rPr>
        <w:tab/>
      </w:r>
      <w:r>
        <w:rPr>
          <w:sz w:val="24"/>
        </w:rPr>
        <w:fldChar w:fldCharType="begin"/>
      </w:r>
      <w:r>
        <w:rPr>
          <w:sz w:val="24"/>
        </w:rPr>
        <w:instrText xml:space="preserve"> PAGEREF _Toc140937506 \h </w:instrText>
      </w:r>
      <w:r>
        <w:rPr>
          <w:sz w:val="24"/>
        </w:rPr>
        <w:fldChar w:fldCharType="separate"/>
      </w:r>
      <w:r>
        <w:rPr>
          <w:sz w:val="24"/>
        </w:rPr>
        <w:t>107</w:t>
      </w:r>
      <w:r>
        <w:rPr>
          <w:sz w:val="24"/>
        </w:rPr>
        <w:fldChar w:fldCharType="end"/>
      </w:r>
      <w:r>
        <w:rPr>
          <w:sz w:val="24"/>
        </w:rPr>
        <w:fldChar w:fldCharType="end"/>
      </w:r>
    </w:p>
    <w:p>
      <w:pPr>
        <w:pStyle w:val="22"/>
        <w:tabs>
          <w:tab w:val="right" w:leader="dot" w:pos="8834"/>
        </w:tabs>
        <w:spacing w:line="360" w:lineRule="auto"/>
        <w:rPr>
          <w:rFonts w:asciiTheme="minorHAnsi" w:hAnsiTheme="minorHAnsi" w:eastAsiaTheme="minorEastAsia" w:cstheme="minorBidi"/>
          <w:sz w:val="24"/>
          <w14:ligatures w14:val="standardContextual"/>
        </w:rPr>
      </w:pPr>
      <w:r>
        <w:fldChar w:fldCharType="begin"/>
      </w:r>
      <w:r>
        <w:instrText xml:space="preserve"> HYPERLINK \l "_Toc140937507" </w:instrText>
      </w:r>
      <w:r>
        <w:fldChar w:fldCharType="separate"/>
      </w:r>
      <w:r>
        <w:rPr>
          <w:rStyle w:val="37"/>
          <w:rFonts w:ascii="黑体" w:hAnsi="黑体" w:eastAsia="黑体"/>
          <w:snapToGrid w:val="0"/>
          <w:sz w:val="24"/>
        </w:rPr>
        <w:t>建设项目污染物排放量汇总表</w:t>
      </w:r>
      <w:r>
        <w:rPr>
          <w:sz w:val="24"/>
        </w:rPr>
        <w:tab/>
      </w:r>
      <w:r>
        <w:rPr>
          <w:sz w:val="24"/>
        </w:rPr>
        <w:fldChar w:fldCharType="begin"/>
      </w:r>
      <w:r>
        <w:rPr>
          <w:sz w:val="24"/>
        </w:rPr>
        <w:instrText xml:space="preserve"> PAGEREF _Toc140937507 \h </w:instrText>
      </w:r>
      <w:r>
        <w:rPr>
          <w:sz w:val="24"/>
        </w:rPr>
        <w:fldChar w:fldCharType="separate"/>
      </w:r>
      <w:r>
        <w:rPr>
          <w:sz w:val="24"/>
        </w:rPr>
        <w:t>108</w:t>
      </w:r>
      <w:r>
        <w:rPr>
          <w:sz w:val="24"/>
        </w:rPr>
        <w:fldChar w:fldCharType="end"/>
      </w:r>
      <w:r>
        <w:rPr>
          <w:sz w:val="24"/>
        </w:rPr>
        <w:fldChar w:fldCharType="end"/>
      </w:r>
    </w:p>
    <w:p>
      <w:pPr>
        <w:adjustRightInd w:val="0"/>
        <w:spacing w:line="360" w:lineRule="auto"/>
        <w:rPr>
          <w:rFonts w:ascii="黑体" w:hAnsi="黑体" w:eastAsia="黑体"/>
          <w:b/>
          <w:bCs/>
          <w:sz w:val="24"/>
        </w:rPr>
      </w:pPr>
      <w:r>
        <w:rPr>
          <w:rFonts w:cs="仿宋_GB2312"/>
          <w:sz w:val="24"/>
        </w:rPr>
        <w:fldChar w:fldCharType="end"/>
      </w:r>
      <w:r>
        <w:rPr>
          <w:rFonts w:ascii="黑体" w:hAnsi="黑体" w:eastAsia="黑体"/>
          <w:b/>
          <w:bCs/>
          <w:sz w:val="24"/>
        </w:rPr>
        <w:t>附件</w:t>
      </w:r>
    </w:p>
    <w:p>
      <w:pPr>
        <w:adjustRightInd w:val="0"/>
        <w:spacing w:line="360" w:lineRule="auto"/>
        <w:ind w:firstLine="480" w:firstLineChars="200"/>
        <w:rPr>
          <w:rFonts w:ascii="黑体" w:hAnsi="黑体" w:eastAsia="黑体"/>
          <w:sz w:val="24"/>
          <w:szCs w:val="21"/>
        </w:rPr>
      </w:pPr>
      <w:r>
        <w:rPr>
          <w:rFonts w:ascii="黑体" w:hAnsi="黑体" w:eastAsia="黑体"/>
          <w:sz w:val="24"/>
          <w:szCs w:val="21"/>
        </w:rPr>
        <w:t>附件1 环评</w:t>
      </w:r>
      <w:r>
        <w:rPr>
          <w:rFonts w:hint="eastAsia" w:ascii="黑体" w:hAnsi="黑体" w:eastAsia="黑体"/>
          <w:sz w:val="24"/>
          <w:szCs w:val="21"/>
        </w:rPr>
        <w:t>工作</w:t>
      </w:r>
      <w:r>
        <w:rPr>
          <w:rFonts w:ascii="黑体" w:hAnsi="黑体" w:eastAsia="黑体"/>
          <w:sz w:val="24"/>
          <w:szCs w:val="21"/>
        </w:rPr>
        <w:t>委托书</w:t>
      </w:r>
      <w:r>
        <w:rPr>
          <w:rFonts w:hint="eastAsia" w:ascii="黑体" w:hAnsi="黑体" w:eastAsia="黑体"/>
          <w:sz w:val="24"/>
          <w:szCs w:val="21"/>
        </w:rPr>
        <w:t>；</w:t>
      </w:r>
    </w:p>
    <w:p>
      <w:pPr>
        <w:adjustRightInd w:val="0"/>
        <w:spacing w:line="360" w:lineRule="auto"/>
        <w:ind w:firstLine="480" w:firstLineChars="200"/>
        <w:rPr>
          <w:rFonts w:ascii="黑体" w:hAnsi="黑体" w:eastAsia="黑体"/>
          <w:sz w:val="24"/>
          <w:szCs w:val="21"/>
        </w:rPr>
      </w:pPr>
      <w:r>
        <w:rPr>
          <w:rFonts w:ascii="黑体" w:hAnsi="黑体" w:eastAsia="黑体"/>
          <w:sz w:val="24"/>
          <w:szCs w:val="21"/>
        </w:rPr>
        <w:t xml:space="preserve">附件2 </w:t>
      </w:r>
      <w:r>
        <w:rPr>
          <w:rFonts w:hint="eastAsia" w:ascii="黑体" w:hAnsi="黑体" w:eastAsia="黑体"/>
          <w:sz w:val="24"/>
          <w:szCs w:val="21"/>
        </w:rPr>
        <w:t>建设单位营业执照副本；</w:t>
      </w:r>
    </w:p>
    <w:p>
      <w:pPr>
        <w:pStyle w:val="61"/>
        <w:adjustRightInd w:val="0"/>
        <w:ind w:left="0" w:right="0" w:firstLine="480" w:firstLineChars="200"/>
        <w:jc w:val="both"/>
        <w:rPr>
          <w:rFonts w:ascii="黑体" w:eastAsia="黑体"/>
          <w:sz w:val="24"/>
          <w:szCs w:val="21"/>
        </w:rPr>
      </w:pPr>
      <w:r>
        <w:rPr>
          <w:rFonts w:hint="eastAsia" w:ascii="黑体" w:eastAsia="黑体"/>
          <w:sz w:val="24"/>
          <w:szCs w:val="21"/>
        </w:rPr>
        <w:t>附件3 原有项目环评批复</w:t>
      </w:r>
    </w:p>
    <w:p>
      <w:pPr>
        <w:adjustRightInd w:val="0"/>
        <w:spacing w:line="360" w:lineRule="auto"/>
        <w:ind w:firstLine="480" w:firstLineChars="200"/>
        <w:rPr>
          <w:rFonts w:ascii="黑体" w:hAnsi="黑体" w:eastAsia="黑体"/>
          <w:sz w:val="24"/>
          <w:szCs w:val="21"/>
        </w:rPr>
      </w:pPr>
      <w:r>
        <w:rPr>
          <w:rFonts w:ascii="黑体" w:hAnsi="黑体" w:eastAsia="黑体"/>
          <w:sz w:val="24"/>
          <w:szCs w:val="21"/>
        </w:rPr>
        <w:t>附件</w:t>
      </w:r>
      <w:r>
        <w:rPr>
          <w:rFonts w:hint="eastAsia" w:ascii="黑体" w:hAnsi="黑体" w:eastAsia="黑体"/>
          <w:sz w:val="24"/>
          <w:szCs w:val="21"/>
        </w:rPr>
        <w:t>4</w:t>
      </w:r>
      <w:r>
        <w:rPr>
          <w:rFonts w:ascii="黑体" w:hAnsi="黑体" w:eastAsia="黑体"/>
          <w:sz w:val="24"/>
          <w:szCs w:val="21"/>
        </w:rPr>
        <w:t xml:space="preserve"> </w:t>
      </w:r>
      <w:r>
        <w:rPr>
          <w:rFonts w:hint="eastAsia" w:ascii="黑体" w:hAnsi="黑体" w:eastAsia="黑体"/>
          <w:sz w:val="24"/>
          <w:szCs w:val="21"/>
        </w:rPr>
        <w:t>原有项目验收意见及签到表；</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附件5 不动产权证书；</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附件6</w:t>
      </w:r>
      <w:r>
        <w:rPr>
          <w:rFonts w:ascii="黑体" w:hAnsi="黑体" w:eastAsia="黑体"/>
          <w:sz w:val="24"/>
          <w:szCs w:val="21"/>
        </w:rPr>
        <w:t xml:space="preserve"> </w:t>
      </w:r>
      <w:r>
        <w:rPr>
          <w:rFonts w:hint="eastAsia" w:ascii="黑体" w:hAnsi="黑体" w:eastAsia="黑体"/>
          <w:sz w:val="24"/>
          <w:szCs w:val="21"/>
        </w:rPr>
        <w:t>项目备案证；</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附件7 寻甸特色产业园区总体规划修编环境影响报告审查意见函；</w:t>
      </w:r>
    </w:p>
    <w:p>
      <w:pPr>
        <w:adjustRightInd w:val="0"/>
        <w:spacing w:line="360" w:lineRule="auto"/>
        <w:ind w:firstLine="480" w:firstLineChars="200"/>
        <w:rPr>
          <w:rFonts w:ascii="黑体" w:hAnsi="黑体" w:eastAsia="黑体"/>
          <w:sz w:val="24"/>
        </w:rPr>
      </w:pPr>
      <w:r>
        <w:rPr>
          <w:rFonts w:hint="eastAsia" w:ascii="黑体" w:hAnsi="黑体" w:eastAsia="黑体"/>
          <w:sz w:val="24"/>
          <w:szCs w:val="21"/>
        </w:rPr>
        <w:t>附件8 排污许可证；</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附件9 危废处置合同及资质；</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附件10 垃圾清运协议；</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11</w:t>
      </w:r>
      <w:r>
        <w:rPr>
          <w:rFonts w:hint="eastAsia" w:ascii="黑体" w:hAnsi="黑体" w:eastAsia="黑体"/>
          <w:sz w:val="24"/>
          <w:szCs w:val="21"/>
        </w:rPr>
        <w:t xml:space="preserve"> 现有项目2021年3月自行监测报告；</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12</w:t>
      </w:r>
      <w:r>
        <w:rPr>
          <w:rFonts w:hint="eastAsia" w:ascii="黑体" w:hAnsi="黑体" w:eastAsia="黑体"/>
          <w:sz w:val="24"/>
          <w:szCs w:val="21"/>
        </w:rPr>
        <w:t xml:space="preserve"> 现有项目2022年8月自行监测报告；</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13</w:t>
      </w:r>
      <w:r>
        <w:rPr>
          <w:rFonts w:hint="eastAsia" w:ascii="黑体" w:hAnsi="黑体" w:eastAsia="黑体"/>
          <w:sz w:val="24"/>
          <w:szCs w:val="21"/>
        </w:rPr>
        <w:t xml:space="preserve"> 现有项目2022年9月自行监测报告；</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14</w:t>
      </w:r>
      <w:r>
        <w:rPr>
          <w:rFonts w:hint="eastAsia" w:ascii="黑体" w:hAnsi="黑体" w:eastAsia="黑体"/>
          <w:sz w:val="24"/>
          <w:szCs w:val="21"/>
        </w:rPr>
        <w:t xml:space="preserve"> 现有项目2022年10月自行监测报告；</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15</w:t>
      </w:r>
      <w:r>
        <w:rPr>
          <w:rFonts w:hint="eastAsia" w:ascii="黑体" w:hAnsi="黑体" w:eastAsia="黑体"/>
          <w:sz w:val="24"/>
          <w:szCs w:val="21"/>
        </w:rPr>
        <w:t xml:space="preserve"> 现有项目2022年11月自行监测报告；</w:t>
      </w:r>
    </w:p>
    <w:p>
      <w:pPr>
        <w:adjustRightInd w:val="0"/>
        <w:spacing w:line="360" w:lineRule="auto"/>
        <w:ind w:firstLine="480" w:firstLineChars="200"/>
        <w:rPr>
          <w:rFonts w:ascii="黑体" w:hAnsi="黑体" w:eastAsia="黑体"/>
          <w:sz w:val="24"/>
        </w:rPr>
      </w:pPr>
      <w:r>
        <w:rPr>
          <w:rFonts w:hint="eastAsia" w:ascii="黑体" w:hAnsi="黑体" w:eastAsia="黑体"/>
          <w:sz w:val="24"/>
          <w:szCs w:val="21"/>
        </w:rPr>
        <w:t>附件</w:t>
      </w:r>
      <w:r>
        <w:rPr>
          <w:rFonts w:ascii="黑体" w:hAnsi="黑体" w:eastAsia="黑体"/>
          <w:sz w:val="24"/>
          <w:szCs w:val="21"/>
        </w:rPr>
        <w:t>16</w:t>
      </w:r>
      <w:r>
        <w:rPr>
          <w:rFonts w:hint="eastAsia" w:ascii="黑体" w:hAnsi="黑体" w:eastAsia="黑体"/>
          <w:sz w:val="24"/>
          <w:szCs w:val="21"/>
        </w:rPr>
        <w:t xml:space="preserve"> 现有项目2022年12月自行监测报告；</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17</w:t>
      </w:r>
      <w:r>
        <w:rPr>
          <w:rFonts w:hint="eastAsia" w:ascii="黑体" w:hAnsi="黑体" w:eastAsia="黑体"/>
          <w:sz w:val="24"/>
          <w:szCs w:val="21"/>
        </w:rPr>
        <w:t xml:space="preserve"> 项目危废台账；</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18</w:t>
      </w:r>
      <w:r>
        <w:rPr>
          <w:rFonts w:hint="eastAsia" w:ascii="黑体" w:hAnsi="黑体" w:eastAsia="黑体"/>
          <w:sz w:val="24"/>
          <w:szCs w:val="21"/>
        </w:rPr>
        <w:t xml:space="preserve"> 甲醛检测报告单；</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19</w:t>
      </w:r>
      <w:r>
        <w:rPr>
          <w:rFonts w:hint="eastAsia" w:ascii="黑体" w:hAnsi="黑体" w:eastAsia="黑体"/>
          <w:sz w:val="24"/>
          <w:szCs w:val="21"/>
        </w:rPr>
        <w:t xml:space="preserve"> 环评审核表和记录表；</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20</w:t>
      </w:r>
      <w:r>
        <w:rPr>
          <w:rFonts w:hint="eastAsia" w:ascii="黑体" w:hAnsi="黑体" w:eastAsia="黑体"/>
          <w:sz w:val="24"/>
          <w:szCs w:val="21"/>
        </w:rPr>
        <w:t xml:space="preserve"> 项目技术咨询服务合同；</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21</w:t>
      </w:r>
      <w:r>
        <w:rPr>
          <w:rFonts w:hint="eastAsia" w:ascii="黑体" w:hAnsi="黑体" w:eastAsia="黑体"/>
          <w:sz w:val="24"/>
          <w:szCs w:val="21"/>
        </w:rPr>
        <w:t xml:space="preserve"> 全本信息公示截图；</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 xml:space="preserve">22 </w:t>
      </w:r>
      <w:r>
        <w:rPr>
          <w:rFonts w:hint="eastAsia" w:ascii="黑体" w:hAnsi="黑体" w:eastAsia="黑体"/>
          <w:sz w:val="24"/>
          <w:szCs w:val="21"/>
        </w:rPr>
        <w:t>引用T</w:t>
      </w:r>
      <w:r>
        <w:rPr>
          <w:rFonts w:ascii="黑体" w:hAnsi="黑体" w:eastAsia="黑体"/>
          <w:sz w:val="24"/>
          <w:szCs w:val="21"/>
        </w:rPr>
        <w:t>SP</w:t>
      </w:r>
      <w:r>
        <w:rPr>
          <w:rFonts w:hint="eastAsia" w:ascii="黑体" w:hAnsi="黑体" w:eastAsia="黑体"/>
          <w:sz w:val="24"/>
          <w:szCs w:val="21"/>
        </w:rPr>
        <w:t>检测报告</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 xml:space="preserve">23 </w:t>
      </w:r>
      <w:r>
        <w:rPr>
          <w:rFonts w:hint="eastAsia" w:ascii="黑体" w:hAnsi="黑体" w:eastAsia="黑体"/>
          <w:sz w:val="24"/>
          <w:szCs w:val="21"/>
        </w:rPr>
        <w:t>引用N</w:t>
      </w:r>
      <w:r>
        <w:rPr>
          <w:rFonts w:ascii="黑体" w:hAnsi="黑体" w:eastAsia="黑体"/>
          <w:sz w:val="24"/>
          <w:szCs w:val="21"/>
        </w:rPr>
        <w:t>O</w:t>
      </w:r>
      <w:r>
        <w:rPr>
          <w:rFonts w:ascii="黑体" w:hAnsi="黑体" w:eastAsia="黑体"/>
          <w:sz w:val="24"/>
          <w:szCs w:val="21"/>
          <w:vertAlign w:val="subscript"/>
        </w:rPr>
        <w:t>X</w:t>
      </w:r>
      <w:r>
        <w:rPr>
          <w:rFonts w:hint="eastAsia" w:ascii="黑体" w:hAnsi="黑体" w:eastAsia="黑体"/>
          <w:sz w:val="24"/>
          <w:szCs w:val="21"/>
        </w:rPr>
        <w:t>检测报告</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 xml:space="preserve">24 </w:t>
      </w:r>
      <w:r>
        <w:rPr>
          <w:rFonts w:hint="eastAsia" w:ascii="黑体" w:hAnsi="黑体" w:eastAsia="黑体"/>
          <w:sz w:val="24"/>
          <w:szCs w:val="21"/>
        </w:rPr>
        <w:t>会议纪要；</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附件</w:t>
      </w:r>
      <w:r>
        <w:rPr>
          <w:rFonts w:ascii="黑体" w:hAnsi="黑体" w:eastAsia="黑体"/>
          <w:sz w:val="24"/>
          <w:szCs w:val="21"/>
        </w:rPr>
        <w:t xml:space="preserve">25 </w:t>
      </w:r>
      <w:r>
        <w:rPr>
          <w:rFonts w:hint="eastAsia" w:ascii="黑体" w:hAnsi="黑体" w:eastAsia="黑体"/>
          <w:sz w:val="24"/>
          <w:szCs w:val="21"/>
        </w:rPr>
        <w:t>修改说明；</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highlight w:val="green"/>
        </w:rPr>
        <w:t>附件2</w:t>
      </w:r>
      <w:r>
        <w:rPr>
          <w:rFonts w:ascii="黑体" w:hAnsi="黑体" w:eastAsia="黑体"/>
          <w:sz w:val="24"/>
          <w:szCs w:val="21"/>
          <w:highlight w:val="green"/>
        </w:rPr>
        <w:t xml:space="preserve">6 </w:t>
      </w:r>
      <w:r>
        <w:rPr>
          <w:rFonts w:hint="eastAsia" w:ascii="黑体" w:hAnsi="黑体" w:eastAsia="黑体"/>
          <w:sz w:val="24"/>
          <w:szCs w:val="21"/>
          <w:highlight w:val="green"/>
        </w:rPr>
        <w:t>行政处罚及罚款缴纳证明；</w:t>
      </w:r>
    </w:p>
    <w:p>
      <w:pPr>
        <w:spacing w:line="360" w:lineRule="auto"/>
        <w:rPr>
          <w:rFonts w:ascii="黑体" w:hAnsi="黑体" w:eastAsia="黑体"/>
          <w:b/>
          <w:bCs/>
          <w:sz w:val="24"/>
        </w:rPr>
      </w:pPr>
      <w:r>
        <w:rPr>
          <w:rFonts w:ascii="黑体" w:hAnsi="黑体" w:eastAsia="黑体"/>
          <w:b/>
          <w:bCs/>
          <w:sz w:val="24"/>
        </w:rPr>
        <w:t>附图</w:t>
      </w:r>
    </w:p>
    <w:p>
      <w:pPr>
        <w:adjustRightInd w:val="0"/>
        <w:spacing w:line="360" w:lineRule="auto"/>
        <w:ind w:firstLine="480" w:firstLineChars="200"/>
        <w:rPr>
          <w:rFonts w:ascii="黑体" w:hAnsi="黑体" w:eastAsia="黑体"/>
          <w:sz w:val="24"/>
          <w:szCs w:val="21"/>
        </w:rPr>
      </w:pPr>
      <w:r>
        <w:rPr>
          <w:rFonts w:ascii="黑体" w:hAnsi="黑体" w:eastAsia="黑体"/>
          <w:sz w:val="24"/>
          <w:szCs w:val="21"/>
        </w:rPr>
        <w:t>附图1 地理</w:t>
      </w:r>
      <w:r>
        <w:rPr>
          <w:rFonts w:hint="eastAsia" w:ascii="黑体" w:hAnsi="黑体" w:eastAsia="黑体"/>
          <w:sz w:val="24"/>
          <w:szCs w:val="21"/>
        </w:rPr>
        <w:t>位置</w:t>
      </w:r>
      <w:r>
        <w:rPr>
          <w:rFonts w:ascii="黑体" w:hAnsi="黑体" w:eastAsia="黑体"/>
          <w:sz w:val="24"/>
          <w:szCs w:val="21"/>
        </w:rPr>
        <w:t>图</w:t>
      </w:r>
      <w:r>
        <w:rPr>
          <w:rFonts w:hint="eastAsia" w:ascii="黑体" w:hAnsi="黑体" w:eastAsia="黑体"/>
          <w:sz w:val="24"/>
          <w:szCs w:val="21"/>
        </w:rPr>
        <w:t>；</w:t>
      </w:r>
    </w:p>
    <w:p>
      <w:pPr>
        <w:adjustRightInd w:val="0"/>
        <w:spacing w:line="360" w:lineRule="auto"/>
        <w:ind w:firstLine="480" w:firstLineChars="200"/>
        <w:rPr>
          <w:rFonts w:ascii="黑体" w:hAnsi="黑体" w:eastAsia="黑体"/>
          <w:sz w:val="24"/>
          <w:szCs w:val="21"/>
        </w:rPr>
      </w:pPr>
      <w:r>
        <w:rPr>
          <w:rFonts w:ascii="黑体" w:hAnsi="黑体" w:eastAsia="黑体"/>
          <w:sz w:val="24"/>
          <w:szCs w:val="21"/>
        </w:rPr>
        <w:t>附图2 项目区水系图</w:t>
      </w:r>
      <w:r>
        <w:rPr>
          <w:rFonts w:hint="eastAsia" w:ascii="黑体" w:hAnsi="黑体" w:eastAsia="黑体"/>
          <w:sz w:val="24"/>
          <w:szCs w:val="21"/>
        </w:rPr>
        <w:t>；</w:t>
      </w:r>
    </w:p>
    <w:p>
      <w:pPr>
        <w:adjustRightInd w:val="0"/>
        <w:spacing w:line="360" w:lineRule="auto"/>
        <w:ind w:firstLine="480" w:firstLineChars="200"/>
        <w:rPr>
          <w:rFonts w:ascii="黑体" w:hAnsi="黑体" w:eastAsia="黑体"/>
          <w:sz w:val="24"/>
          <w:szCs w:val="21"/>
        </w:rPr>
      </w:pPr>
      <w:r>
        <w:rPr>
          <w:rFonts w:ascii="黑体" w:hAnsi="黑体" w:eastAsia="黑体"/>
          <w:sz w:val="24"/>
          <w:szCs w:val="21"/>
        </w:rPr>
        <w:t xml:space="preserve">附图3 </w:t>
      </w:r>
      <w:r>
        <w:rPr>
          <w:rFonts w:hint="eastAsia" w:ascii="黑体" w:hAnsi="黑体" w:eastAsia="黑体"/>
          <w:sz w:val="24"/>
          <w:szCs w:val="21"/>
        </w:rPr>
        <w:t>项目总</w:t>
      </w:r>
      <w:r>
        <w:rPr>
          <w:rFonts w:ascii="黑体" w:hAnsi="黑体" w:eastAsia="黑体"/>
          <w:sz w:val="24"/>
          <w:szCs w:val="21"/>
        </w:rPr>
        <w:t>平面布置图</w:t>
      </w:r>
      <w:r>
        <w:rPr>
          <w:rFonts w:hint="eastAsia" w:ascii="黑体" w:hAnsi="黑体" w:eastAsia="黑体"/>
          <w:sz w:val="24"/>
          <w:szCs w:val="21"/>
        </w:rPr>
        <w:t>；</w:t>
      </w:r>
    </w:p>
    <w:p>
      <w:pPr>
        <w:adjustRightInd w:val="0"/>
        <w:spacing w:line="360" w:lineRule="auto"/>
        <w:ind w:firstLine="480" w:firstLineChars="200"/>
        <w:rPr>
          <w:rFonts w:ascii="黑体" w:hAnsi="黑体" w:eastAsia="黑体"/>
          <w:sz w:val="24"/>
          <w:szCs w:val="21"/>
        </w:rPr>
      </w:pPr>
      <w:r>
        <w:rPr>
          <w:rFonts w:ascii="黑体" w:hAnsi="黑体" w:eastAsia="黑体"/>
          <w:sz w:val="24"/>
          <w:szCs w:val="21"/>
        </w:rPr>
        <w:t>附图4 项目</w:t>
      </w:r>
      <w:r>
        <w:rPr>
          <w:rFonts w:hint="eastAsia" w:ascii="黑体" w:hAnsi="黑体" w:eastAsia="黑体"/>
          <w:sz w:val="24"/>
          <w:szCs w:val="21"/>
        </w:rPr>
        <w:t>周边环境保护目标关系图；</w:t>
      </w:r>
    </w:p>
    <w:p>
      <w:pPr>
        <w:adjustRightInd w:val="0"/>
        <w:spacing w:line="360" w:lineRule="auto"/>
        <w:ind w:firstLine="480" w:firstLineChars="200"/>
        <w:rPr>
          <w:rFonts w:ascii="黑体" w:hAnsi="黑体" w:eastAsia="黑体"/>
          <w:sz w:val="24"/>
          <w:szCs w:val="21"/>
        </w:rPr>
      </w:pPr>
      <w:r>
        <w:rPr>
          <w:rFonts w:ascii="黑体" w:hAnsi="黑体" w:eastAsia="黑体"/>
          <w:sz w:val="24"/>
          <w:szCs w:val="21"/>
        </w:rPr>
        <w:t>附图</w:t>
      </w:r>
      <w:r>
        <w:rPr>
          <w:rFonts w:hint="eastAsia" w:ascii="黑体" w:hAnsi="黑体" w:eastAsia="黑体"/>
          <w:sz w:val="24"/>
          <w:szCs w:val="21"/>
        </w:rPr>
        <w:t>5</w:t>
      </w:r>
      <w:r>
        <w:rPr>
          <w:rFonts w:ascii="黑体" w:hAnsi="黑体" w:eastAsia="黑体"/>
          <w:sz w:val="24"/>
          <w:szCs w:val="21"/>
        </w:rPr>
        <w:t xml:space="preserve"> </w:t>
      </w:r>
      <w:r>
        <w:rPr>
          <w:rFonts w:hint="eastAsia" w:ascii="黑体" w:hAnsi="黑体" w:eastAsia="黑体"/>
          <w:sz w:val="24"/>
          <w:szCs w:val="21"/>
        </w:rPr>
        <w:t>羊街片区用地规划图；</w:t>
      </w:r>
    </w:p>
    <w:p>
      <w:pPr>
        <w:adjustRightInd w:val="0"/>
        <w:spacing w:line="360" w:lineRule="auto"/>
        <w:ind w:firstLine="480" w:firstLineChars="200"/>
        <w:rPr>
          <w:rFonts w:ascii="黑体" w:hAnsi="黑体" w:eastAsia="黑体"/>
          <w:sz w:val="24"/>
          <w:szCs w:val="21"/>
        </w:rPr>
      </w:pPr>
      <w:r>
        <w:rPr>
          <w:rFonts w:hint="eastAsia" w:ascii="黑体" w:hAnsi="黑体" w:eastAsia="黑体"/>
          <w:sz w:val="24"/>
          <w:szCs w:val="21"/>
        </w:rPr>
        <w:t>附图6 项目与牛栏江流域（云南段）的位置关系图；</w:t>
      </w:r>
    </w:p>
    <w:p>
      <w:pPr>
        <w:adjustRightInd w:val="0"/>
        <w:spacing w:line="360" w:lineRule="auto"/>
        <w:ind w:firstLine="480" w:firstLineChars="200"/>
        <w:sectPr>
          <w:footerReference r:id="rId5" w:type="default"/>
          <w:pgSz w:w="11906" w:h="16838"/>
          <w:pgMar w:top="1701" w:right="1531" w:bottom="1701" w:left="1531" w:header="851" w:footer="1077" w:gutter="0"/>
          <w:pgNumType w:start="1"/>
          <w:cols w:space="720" w:num="1"/>
          <w:docGrid w:linePitch="312" w:charSpace="0"/>
        </w:sectPr>
      </w:pPr>
      <w:r>
        <w:rPr>
          <w:rFonts w:hint="eastAsia" w:ascii="黑体" w:hAnsi="黑体" w:eastAsia="黑体"/>
          <w:sz w:val="24"/>
          <w:szCs w:val="21"/>
        </w:rPr>
        <w:t>附图7</w:t>
      </w:r>
      <w:r>
        <w:rPr>
          <w:rFonts w:ascii="黑体" w:hAnsi="黑体" w:eastAsia="黑体"/>
          <w:sz w:val="24"/>
          <w:szCs w:val="21"/>
        </w:rPr>
        <w:t xml:space="preserve"> </w:t>
      </w:r>
      <w:r>
        <w:rPr>
          <w:rFonts w:hint="eastAsia" w:ascii="黑体" w:hAnsi="黑体" w:eastAsia="黑体"/>
          <w:sz w:val="24"/>
          <w:szCs w:val="21"/>
        </w:rPr>
        <w:t>项目与牛栏江（寻甸段）水环境保护分区位置关系图</w:t>
      </w:r>
      <w:r>
        <w:rPr>
          <w:rFonts w:hint="eastAsia"/>
          <w:sz w:val="24"/>
          <w:szCs w:val="21"/>
        </w:rPr>
        <w:t>；</w:t>
      </w:r>
    </w:p>
    <w:p>
      <w:pPr>
        <w:pStyle w:val="28"/>
        <w:jc w:val="center"/>
        <w:outlineLvl w:val="0"/>
        <w:rPr>
          <w:rFonts w:ascii="黑体" w:hAnsi="黑体" w:eastAsia="黑体"/>
          <w:snapToGrid w:val="0"/>
          <w:sz w:val="30"/>
          <w:szCs w:val="30"/>
        </w:rPr>
      </w:pPr>
      <w:bookmarkStart w:id="2" w:name="_Toc140937501"/>
      <w:r>
        <w:rPr>
          <w:rFonts w:hint="eastAsia" w:ascii="黑体" w:hAnsi="黑体" w:eastAsia="黑体"/>
          <w:snapToGrid w:val="0"/>
          <w:sz w:val="30"/>
          <w:szCs w:val="30"/>
        </w:rPr>
        <w:t>一、建设项目基本情况</w:t>
      </w:r>
      <w:bookmarkEnd w:id="2"/>
    </w:p>
    <w:tbl>
      <w:tblPr>
        <w:tblStyle w:val="32"/>
        <w:tblW w:w="523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273"/>
        <w:gridCol w:w="2505"/>
        <w:gridCol w:w="1643"/>
        <w:gridCol w:w="39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建设项目名称</w:t>
            </w:r>
          </w:p>
        </w:tc>
        <w:tc>
          <w:tcPr>
            <w:tcW w:w="4315" w:type="pct"/>
            <w:gridSpan w:val="3"/>
            <w:vAlign w:val="center"/>
          </w:tcPr>
          <w:p>
            <w:pPr>
              <w:adjustRightInd w:val="0"/>
              <w:jc w:val="center"/>
              <w:rPr>
                <w:rFonts w:cs="宋体"/>
                <w:sz w:val="24"/>
                <w:szCs w:val="21"/>
              </w:rPr>
            </w:pPr>
            <w:r>
              <w:rPr>
                <w:rFonts w:hint="eastAsia" w:cs="宋体"/>
                <w:sz w:val="24"/>
                <w:szCs w:val="21"/>
              </w:rPr>
              <w:t>昆明市澳松人造板制造有限责任公司年产5万立方米木质刨花板技改项目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0"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项目代码</w:t>
            </w:r>
          </w:p>
        </w:tc>
        <w:tc>
          <w:tcPr>
            <w:tcW w:w="4315" w:type="pct"/>
            <w:gridSpan w:val="3"/>
            <w:vAlign w:val="center"/>
          </w:tcPr>
          <w:p>
            <w:pPr>
              <w:adjustRightInd w:val="0"/>
              <w:jc w:val="center"/>
              <w:rPr>
                <w:rFonts w:cs="宋体"/>
                <w:sz w:val="24"/>
                <w:szCs w:val="21"/>
              </w:rPr>
            </w:pPr>
            <w:r>
              <w:rPr>
                <w:rFonts w:hint="eastAsia" w:cs="宋体"/>
                <w:sz w:val="24"/>
                <w:szCs w:val="21"/>
              </w:rPr>
              <w:t>2211-530129-04-02-521840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33"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建设单位联系人</w:t>
            </w:r>
          </w:p>
        </w:tc>
        <w:tc>
          <w:tcPr>
            <w:tcW w:w="1340" w:type="pct"/>
            <w:vAlign w:val="center"/>
          </w:tcPr>
          <w:p>
            <w:pPr>
              <w:adjustRightInd w:val="0"/>
              <w:jc w:val="center"/>
              <w:rPr>
                <w:rFonts w:cs="宋体"/>
                <w:sz w:val="24"/>
                <w:szCs w:val="21"/>
              </w:rPr>
            </w:pPr>
            <w:r>
              <w:rPr>
                <w:rFonts w:hint="eastAsia" w:cs="宋体"/>
                <w:sz w:val="24"/>
                <w:szCs w:val="21"/>
              </w:rPr>
              <w:t>梁悦</w:t>
            </w:r>
          </w:p>
        </w:tc>
        <w:tc>
          <w:tcPr>
            <w:tcW w:w="879" w:type="pct"/>
            <w:vAlign w:val="center"/>
          </w:tcPr>
          <w:p>
            <w:pPr>
              <w:adjustRightInd w:val="0"/>
              <w:jc w:val="center"/>
              <w:rPr>
                <w:rFonts w:cs="宋体"/>
                <w:sz w:val="24"/>
                <w:szCs w:val="21"/>
              </w:rPr>
            </w:pPr>
            <w:r>
              <w:rPr>
                <w:rFonts w:hint="eastAsia" w:cs="宋体"/>
                <w:sz w:val="24"/>
                <w:szCs w:val="21"/>
              </w:rPr>
              <w:t>联系方式</w:t>
            </w:r>
          </w:p>
        </w:tc>
        <w:tc>
          <w:tcPr>
            <w:tcW w:w="2096" w:type="pct"/>
            <w:vAlign w:val="center"/>
          </w:tcPr>
          <w:p>
            <w:pPr>
              <w:adjustRightInd w:val="0"/>
              <w:jc w:val="center"/>
              <w:rPr>
                <w:rFonts w:cs="宋体"/>
                <w:sz w:val="24"/>
                <w:szCs w:val="21"/>
              </w:rPr>
            </w:pPr>
            <w:r>
              <w:rPr>
                <w:rFonts w:hint="eastAsia" w:cs="宋体"/>
                <w:sz w:val="24"/>
                <w:szCs w:val="21"/>
              </w:rPr>
              <w:t>189</w:t>
            </w:r>
            <w:r>
              <w:rPr>
                <w:rFonts w:hint="eastAsia" w:cs="宋体"/>
                <w:sz w:val="24"/>
                <w:szCs w:val="21"/>
                <w:lang w:val="en-US" w:eastAsia="zh-CN"/>
              </w:rPr>
              <w:t>****</w:t>
            </w:r>
            <w:r>
              <w:rPr>
                <w:rFonts w:hint="eastAsia" w:cs="宋体"/>
                <w:sz w:val="24"/>
                <w:szCs w:val="21"/>
              </w:rPr>
              <w:t>6130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建设地点</w:t>
            </w:r>
          </w:p>
        </w:tc>
        <w:tc>
          <w:tcPr>
            <w:tcW w:w="4315" w:type="pct"/>
            <w:gridSpan w:val="3"/>
            <w:vAlign w:val="center"/>
          </w:tcPr>
          <w:p>
            <w:pPr>
              <w:adjustRightInd w:val="0"/>
              <w:jc w:val="center"/>
              <w:rPr>
                <w:rFonts w:cs="宋体"/>
                <w:sz w:val="24"/>
                <w:szCs w:val="21"/>
              </w:rPr>
            </w:pPr>
            <w:r>
              <w:rPr>
                <w:rFonts w:hint="eastAsia" w:cs="宋体"/>
                <w:sz w:val="24"/>
                <w:szCs w:val="21"/>
                <w:u w:val="single"/>
              </w:rPr>
              <w:t xml:space="preserve"> 云南</w:t>
            </w:r>
            <w:r>
              <w:rPr>
                <w:rFonts w:cs="宋体"/>
                <w:sz w:val="24"/>
                <w:szCs w:val="21"/>
                <w:u w:val="single"/>
              </w:rPr>
              <w:t xml:space="preserve"> </w:t>
            </w:r>
            <w:r>
              <w:rPr>
                <w:rFonts w:hint="eastAsia" w:cs="宋体"/>
                <w:sz w:val="24"/>
                <w:szCs w:val="21"/>
              </w:rPr>
              <w:t>省</w:t>
            </w:r>
            <w:r>
              <w:rPr>
                <w:rFonts w:cs="宋体"/>
                <w:sz w:val="24"/>
                <w:szCs w:val="21"/>
                <w:u w:val="single"/>
              </w:rPr>
              <w:t xml:space="preserve"> </w:t>
            </w:r>
            <w:r>
              <w:rPr>
                <w:rFonts w:hint="eastAsia" w:cs="宋体"/>
                <w:sz w:val="24"/>
                <w:szCs w:val="21"/>
                <w:u w:val="single"/>
              </w:rPr>
              <w:t>昆明</w:t>
            </w:r>
            <w:r>
              <w:rPr>
                <w:rFonts w:cs="宋体"/>
                <w:sz w:val="24"/>
                <w:szCs w:val="21"/>
                <w:u w:val="single"/>
              </w:rPr>
              <w:t xml:space="preserve"> </w:t>
            </w:r>
            <w:r>
              <w:rPr>
                <w:rFonts w:hint="eastAsia" w:cs="宋体"/>
                <w:sz w:val="24"/>
                <w:szCs w:val="21"/>
              </w:rPr>
              <w:t>市</w:t>
            </w:r>
            <w:r>
              <w:rPr>
                <w:rFonts w:cs="宋体"/>
                <w:sz w:val="24"/>
                <w:szCs w:val="21"/>
                <w:u w:val="single"/>
              </w:rPr>
              <w:t xml:space="preserve"> </w:t>
            </w:r>
            <w:r>
              <w:rPr>
                <w:rFonts w:hint="eastAsia" w:cs="宋体"/>
                <w:sz w:val="24"/>
                <w:szCs w:val="21"/>
                <w:u w:val="single"/>
              </w:rPr>
              <w:t>寻甸</w:t>
            </w:r>
            <w:r>
              <w:rPr>
                <w:rFonts w:cs="宋体"/>
                <w:sz w:val="24"/>
                <w:szCs w:val="21"/>
                <w:u w:val="single"/>
              </w:rPr>
              <w:t xml:space="preserve"> </w:t>
            </w:r>
            <w:r>
              <w:rPr>
                <w:rFonts w:hint="eastAsia" w:cs="宋体"/>
                <w:sz w:val="24"/>
                <w:szCs w:val="21"/>
              </w:rPr>
              <w:t>县</w:t>
            </w:r>
            <w:r>
              <w:rPr>
                <w:rFonts w:cs="宋体"/>
                <w:sz w:val="24"/>
                <w:szCs w:val="21"/>
                <w:u w:val="single"/>
              </w:rPr>
              <w:t xml:space="preserve"> </w:t>
            </w:r>
            <w:r>
              <w:rPr>
                <w:rFonts w:hint="eastAsia" w:cs="宋体"/>
                <w:sz w:val="24"/>
                <w:szCs w:val="21"/>
                <w:u w:val="single"/>
              </w:rPr>
              <w:t xml:space="preserve">寻甸特色产业园区羊街片区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04"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地理坐标</w:t>
            </w:r>
          </w:p>
        </w:tc>
        <w:tc>
          <w:tcPr>
            <w:tcW w:w="4315" w:type="pct"/>
            <w:gridSpan w:val="3"/>
            <w:vAlign w:val="center"/>
          </w:tcPr>
          <w:p>
            <w:pPr>
              <w:jc w:val="center"/>
              <w:rPr>
                <w:rFonts w:cs="宋体"/>
                <w:sz w:val="24"/>
                <w:szCs w:val="21"/>
              </w:rPr>
            </w:pPr>
            <w:r>
              <w:rPr>
                <w:rFonts w:hint="eastAsia" w:cs="宋体"/>
                <w:sz w:val="24"/>
                <w:szCs w:val="21"/>
              </w:rPr>
              <w:t>（</w:t>
            </w:r>
            <w:r>
              <w:rPr>
                <w:rFonts w:cs="宋体"/>
                <w:sz w:val="24"/>
                <w:szCs w:val="21"/>
                <w:u w:val="single"/>
              </w:rPr>
              <w:t xml:space="preserve"> </w:t>
            </w:r>
            <w:r>
              <w:rPr>
                <w:rFonts w:hint="eastAsia" w:cs="宋体"/>
                <w:sz w:val="24"/>
                <w:szCs w:val="21"/>
                <w:u w:val="single"/>
              </w:rPr>
              <w:t>103</w:t>
            </w:r>
            <w:r>
              <w:rPr>
                <w:rFonts w:cs="宋体"/>
                <w:sz w:val="24"/>
                <w:szCs w:val="21"/>
                <w:u w:val="single"/>
              </w:rPr>
              <w:t xml:space="preserve"> </w:t>
            </w:r>
            <w:r>
              <w:rPr>
                <w:rFonts w:hint="eastAsia" w:cs="宋体"/>
                <w:sz w:val="24"/>
                <w:szCs w:val="21"/>
              </w:rPr>
              <w:t>度</w:t>
            </w:r>
            <w:r>
              <w:rPr>
                <w:rFonts w:cs="宋体"/>
                <w:sz w:val="24"/>
                <w:szCs w:val="21"/>
                <w:u w:val="single"/>
              </w:rPr>
              <w:t xml:space="preserve"> </w:t>
            </w:r>
            <w:r>
              <w:rPr>
                <w:rFonts w:hint="eastAsia" w:cs="宋体"/>
                <w:sz w:val="24"/>
                <w:szCs w:val="21"/>
                <w:u w:val="single"/>
              </w:rPr>
              <w:t>09</w:t>
            </w:r>
            <w:r>
              <w:rPr>
                <w:rFonts w:cs="宋体"/>
                <w:sz w:val="24"/>
                <w:szCs w:val="21"/>
                <w:u w:val="single"/>
              </w:rPr>
              <w:t xml:space="preserve"> </w:t>
            </w:r>
            <w:r>
              <w:rPr>
                <w:rFonts w:hint="eastAsia" w:cs="宋体"/>
                <w:sz w:val="24"/>
                <w:szCs w:val="21"/>
              </w:rPr>
              <w:t>分</w:t>
            </w:r>
            <w:r>
              <w:rPr>
                <w:rFonts w:cs="宋体"/>
                <w:sz w:val="24"/>
                <w:szCs w:val="21"/>
                <w:u w:val="single"/>
              </w:rPr>
              <w:t xml:space="preserve"> </w:t>
            </w:r>
            <w:r>
              <w:rPr>
                <w:rFonts w:hint="eastAsia" w:cs="宋体"/>
                <w:sz w:val="24"/>
                <w:szCs w:val="21"/>
                <w:u w:val="single"/>
              </w:rPr>
              <w:t>20.747</w:t>
            </w:r>
            <w:r>
              <w:rPr>
                <w:rFonts w:cs="宋体"/>
                <w:sz w:val="24"/>
                <w:szCs w:val="21"/>
                <w:u w:val="single"/>
              </w:rPr>
              <w:t xml:space="preserve"> </w:t>
            </w:r>
            <w:r>
              <w:rPr>
                <w:rFonts w:hint="eastAsia" w:cs="宋体"/>
                <w:sz w:val="24"/>
                <w:szCs w:val="21"/>
              </w:rPr>
              <w:t>秒，</w:t>
            </w:r>
            <w:r>
              <w:rPr>
                <w:rFonts w:cs="宋体"/>
                <w:sz w:val="24"/>
                <w:szCs w:val="21"/>
                <w:u w:val="single"/>
              </w:rPr>
              <w:t xml:space="preserve"> </w:t>
            </w:r>
            <w:r>
              <w:rPr>
                <w:rFonts w:hint="eastAsia" w:cs="宋体"/>
                <w:sz w:val="24"/>
                <w:szCs w:val="21"/>
                <w:u w:val="single"/>
              </w:rPr>
              <w:t>25</w:t>
            </w:r>
            <w:r>
              <w:rPr>
                <w:rFonts w:cs="宋体"/>
                <w:sz w:val="24"/>
                <w:szCs w:val="21"/>
                <w:u w:val="single"/>
              </w:rPr>
              <w:t xml:space="preserve"> </w:t>
            </w:r>
            <w:r>
              <w:rPr>
                <w:rFonts w:hint="eastAsia" w:cs="宋体"/>
                <w:sz w:val="24"/>
                <w:szCs w:val="21"/>
              </w:rPr>
              <w:t>度</w:t>
            </w:r>
            <w:r>
              <w:rPr>
                <w:rFonts w:cs="宋体"/>
                <w:sz w:val="24"/>
                <w:szCs w:val="21"/>
                <w:u w:val="single"/>
              </w:rPr>
              <w:t xml:space="preserve"> </w:t>
            </w:r>
            <w:r>
              <w:rPr>
                <w:rFonts w:hint="eastAsia" w:cs="宋体"/>
                <w:sz w:val="24"/>
                <w:szCs w:val="21"/>
                <w:u w:val="single"/>
              </w:rPr>
              <w:t>27</w:t>
            </w:r>
            <w:r>
              <w:rPr>
                <w:rFonts w:cs="宋体"/>
                <w:sz w:val="24"/>
                <w:szCs w:val="21"/>
                <w:u w:val="single"/>
              </w:rPr>
              <w:t xml:space="preserve"> </w:t>
            </w:r>
            <w:r>
              <w:rPr>
                <w:rFonts w:hint="eastAsia" w:cs="宋体"/>
                <w:sz w:val="24"/>
                <w:szCs w:val="21"/>
              </w:rPr>
              <w:t>分</w:t>
            </w:r>
            <w:r>
              <w:rPr>
                <w:rFonts w:cs="宋体"/>
                <w:sz w:val="24"/>
                <w:szCs w:val="21"/>
                <w:u w:val="single"/>
              </w:rPr>
              <w:t xml:space="preserve"> </w:t>
            </w:r>
            <w:r>
              <w:rPr>
                <w:rFonts w:hint="eastAsia" w:cs="宋体"/>
                <w:sz w:val="24"/>
                <w:szCs w:val="21"/>
                <w:u w:val="single"/>
              </w:rPr>
              <w:t>52.269</w:t>
            </w:r>
            <w:r>
              <w:rPr>
                <w:rFonts w:cs="宋体"/>
                <w:sz w:val="24"/>
                <w:szCs w:val="21"/>
                <w:u w:val="single"/>
              </w:rPr>
              <w:t xml:space="preserve"> </w:t>
            </w:r>
            <w:r>
              <w:rPr>
                <w:rFonts w:hint="eastAsia" w:cs="宋体"/>
                <w:sz w:val="24"/>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国民经济行业类别</w:t>
            </w:r>
          </w:p>
        </w:tc>
        <w:tc>
          <w:tcPr>
            <w:tcW w:w="1340" w:type="pct"/>
            <w:vAlign w:val="center"/>
          </w:tcPr>
          <w:p>
            <w:pPr>
              <w:adjustRightInd w:val="0"/>
              <w:jc w:val="center"/>
              <w:rPr>
                <w:rFonts w:cs="宋体"/>
                <w:sz w:val="24"/>
                <w:szCs w:val="21"/>
              </w:rPr>
            </w:pPr>
            <w:r>
              <w:rPr>
                <w:rFonts w:hint="eastAsia" w:cs="宋体"/>
                <w:sz w:val="24"/>
                <w:szCs w:val="21"/>
              </w:rPr>
              <w:t>D4430热力生产和供应</w:t>
            </w:r>
          </w:p>
        </w:tc>
        <w:tc>
          <w:tcPr>
            <w:tcW w:w="879" w:type="pct"/>
            <w:vAlign w:val="center"/>
          </w:tcPr>
          <w:p>
            <w:pPr>
              <w:adjustRightInd w:val="0"/>
              <w:jc w:val="center"/>
              <w:rPr>
                <w:rFonts w:cs="宋体"/>
                <w:sz w:val="24"/>
                <w:szCs w:val="21"/>
              </w:rPr>
            </w:pPr>
            <w:bookmarkStart w:id="3" w:name="_Hlk49843745"/>
            <w:r>
              <w:rPr>
                <w:rFonts w:hint="eastAsia" w:cs="宋体"/>
                <w:sz w:val="24"/>
                <w:szCs w:val="21"/>
              </w:rPr>
              <w:t>建设项目</w:t>
            </w:r>
          </w:p>
          <w:p>
            <w:pPr>
              <w:adjustRightInd w:val="0"/>
              <w:jc w:val="center"/>
              <w:rPr>
                <w:rFonts w:cs="宋体"/>
                <w:sz w:val="24"/>
                <w:szCs w:val="21"/>
              </w:rPr>
            </w:pPr>
            <w:r>
              <w:rPr>
                <w:rFonts w:hint="eastAsia" w:cs="宋体"/>
                <w:sz w:val="24"/>
                <w:szCs w:val="21"/>
              </w:rPr>
              <w:t>行业类别</w:t>
            </w:r>
            <w:bookmarkEnd w:id="3"/>
          </w:p>
        </w:tc>
        <w:tc>
          <w:tcPr>
            <w:tcW w:w="2096" w:type="pct"/>
            <w:vAlign w:val="center"/>
          </w:tcPr>
          <w:p>
            <w:pPr>
              <w:adjustRightInd w:val="0"/>
              <w:jc w:val="center"/>
              <w:rPr>
                <w:rFonts w:cs="宋体"/>
                <w:sz w:val="24"/>
                <w:szCs w:val="21"/>
              </w:rPr>
            </w:pPr>
            <w:r>
              <w:rPr>
                <w:rFonts w:hint="eastAsia"/>
                <w:sz w:val="24"/>
                <w:szCs w:val="21"/>
              </w:rPr>
              <w:t>四十一、电力、热力生产和供应业91热力生产和供应工程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建设性质</w:t>
            </w:r>
          </w:p>
        </w:tc>
        <w:tc>
          <w:tcPr>
            <w:tcW w:w="1340" w:type="pct"/>
            <w:vAlign w:val="center"/>
          </w:tcPr>
          <w:p>
            <w:pPr>
              <w:jc w:val="left"/>
              <w:rPr>
                <w:rFonts w:cs="宋体"/>
                <w:sz w:val="24"/>
                <w:szCs w:val="21"/>
              </w:rPr>
            </w:pPr>
            <w:r>
              <w:rPr>
                <w:rFonts w:hint="eastAsia" w:cs="宋体"/>
                <w:sz w:val="24"/>
                <w:szCs w:val="21"/>
              </w:rPr>
              <w:t>□新建（迁建）</w:t>
            </w:r>
          </w:p>
          <w:p>
            <w:pPr>
              <w:jc w:val="left"/>
              <w:rPr>
                <w:rFonts w:cs="宋体"/>
                <w:sz w:val="24"/>
                <w:szCs w:val="21"/>
              </w:rPr>
            </w:pPr>
            <w:r>
              <w:rPr>
                <w:rFonts w:hint="eastAsia" w:cs="宋体"/>
                <w:sz w:val="24"/>
                <w:szCs w:val="21"/>
              </w:rPr>
              <w:t>□改建</w:t>
            </w:r>
          </w:p>
          <w:p>
            <w:pPr>
              <w:jc w:val="left"/>
              <w:rPr>
                <w:rFonts w:cs="宋体"/>
                <w:sz w:val="24"/>
                <w:szCs w:val="21"/>
              </w:rPr>
            </w:pPr>
            <w:r>
              <w:rPr>
                <w:rFonts w:hint="eastAsia" w:cs="宋体"/>
                <w:sz w:val="24"/>
                <w:szCs w:val="21"/>
              </w:rPr>
              <w:t>□扩建</w:t>
            </w:r>
          </w:p>
          <w:p>
            <w:pPr>
              <w:jc w:val="left"/>
              <w:rPr>
                <w:rFonts w:cs="宋体"/>
                <w:sz w:val="24"/>
                <w:szCs w:val="21"/>
              </w:rPr>
            </w:pPr>
            <w:r>
              <w:rPr>
                <w:rFonts w:hint="eastAsia" w:cs="宋体"/>
                <w:sz w:val="24"/>
                <w:szCs w:val="21"/>
              </w:rPr>
              <w:sym w:font="Wingdings 2" w:char="0052"/>
            </w:r>
            <w:r>
              <w:rPr>
                <w:rFonts w:hint="eastAsia" w:cs="宋体"/>
                <w:sz w:val="24"/>
                <w:szCs w:val="21"/>
              </w:rPr>
              <w:t>技术改造</w:t>
            </w:r>
          </w:p>
        </w:tc>
        <w:tc>
          <w:tcPr>
            <w:tcW w:w="879" w:type="pct"/>
            <w:vAlign w:val="center"/>
          </w:tcPr>
          <w:p>
            <w:pPr>
              <w:adjustRightInd w:val="0"/>
              <w:jc w:val="center"/>
              <w:rPr>
                <w:rFonts w:cs="宋体"/>
                <w:sz w:val="24"/>
                <w:szCs w:val="21"/>
              </w:rPr>
            </w:pPr>
            <w:r>
              <w:rPr>
                <w:rFonts w:hint="eastAsia" w:cs="宋体"/>
                <w:sz w:val="24"/>
                <w:szCs w:val="21"/>
              </w:rPr>
              <w:t>建设项目</w:t>
            </w:r>
          </w:p>
          <w:p>
            <w:pPr>
              <w:adjustRightInd w:val="0"/>
              <w:jc w:val="center"/>
              <w:rPr>
                <w:rFonts w:cs="宋体"/>
                <w:sz w:val="24"/>
                <w:szCs w:val="21"/>
              </w:rPr>
            </w:pPr>
            <w:r>
              <w:rPr>
                <w:rFonts w:hint="eastAsia" w:cs="宋体"/>
                <w:sz w:val="24"/>
                <w:szCs w:val="21"/>
              </w:rPr>
              <w:t>申报情形</w:t>
            </w:r>
          </w:p>
        </w:tc>
        <w:tc>
          <w:tcPr>
            <w:tcW w:w="2096" w:type="pct"/>
            <w:vAlign w:val="center"/>
          </w:tcPr>
          <w:p>
            <w:pPr>
              <w:jc w:val="left"/>
              <w:rPr>
                <w:rFonts w:cs="宋体"/>
                <w:sz w:val="24"/>
                <w:szCs w:val="21"/>
              </w:rPr>
            </w:pPr>
            <w:r>
              <w:rPr>
                <w:rFonts w:hint="eastAsia" w:cs="宋体"/>
                <w:sz w:val="24"/>
                <w:szCs w:val="21"/>
              </w:rPr>
              <w:sym w:font="Wingdings 2" w:char="0052"/>
            </w:r>
            <w:r>
              <w:rPr>
                <w:rFonts w:hint="eastAsia" w:cs="宋体"/>
                <w:sz w:val="24"/>
                <w:szCs w:val="21"/>
              </w:rPr>
              <w:t>首次申报项目</w:t>
            </w:r>
          </w:p>
          <w:p>
            <w:pPr>
              <w:jc w:val="left"/>
              <w:rPr>
                <w:rFonts w:cs="宋体"/>
                <w:sz w:val="24"/>
                <w:szCs w:val="21"/>
              </w:rPr>
            </w:pPr>
            <w:r>
              <w:rPr>
                <w:rFonts w:hint="eastAsia" w:cs="宋体"/>
                <w:sz w:val="24"/>
                <w:szCs w:val="21"/>
              </w:rPr>
              <w:t>□不予批准后再次申报项目</w:t>
            </w:r>
          </w:p>
          <w:p>
            <w:pPr>
              <w:jc w:val="left"/>
              <w:rPr>
                <w:rFonts w:cs="宋体"/>
                <w:sz w:val="24"/>
                <w:szCs w:val="21"/>
              </w:rPr>
            </w:pPr>
            <w:r>
              <w:rPr>
                <w:rFonts w:hint="eastAsia" w:cs="宋体"/>
                <w:sz w:val="24"/>
                <w:szCs w:val="21"/>
              </w:rPr>
              <w:t>□超五年重新审核项目</w:t>
            </w:r>
          </w:p>
          <w:p>
            <w:pPr>
              <w:jc w:val="left"/>
              <w:rPr>
                <w:rFonts w:cs="宋体"/>
                <w:sz w:val="24"/>
                <w:szCs w:val="21"/>
              </w:rPr>
            </w:pPr>
            <w:r>
              <w:rPr>
                <w:rFonts w:hint="eastAsia" w:cs="宋体"/>
                <w:sz w:val="24"/>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项目审批（核准</w:t>
            </w:r>
            <w:r>
              <w:rPr>
                <w:rFonts w:cs="宋体"/>
                <w:sz w:val="24"/>
                <w:szCs w:val="21"/>
              </w:rPr>
              <w:t>/</w:t>
            </w:r>
            <w:r>
              <w:rPr>
                <w:rFonts w:hint="eastAsia" w:cs="宋体"/>
                <w:sz w:val="24"/>
                <w:szCs w:val="21"/>
              </w:rPr>
              <w:t>备案）部门（选填）</w:t>
            </w:r>
          </w:p>
        </w:tc>
        <w:tc>
          <w:tcPr>
            <w:tcW w:w="1340" w:type="pct"/>
            <w:vAlign w:val="center"/>
          </w:tcPr>
          <w:p>
            <w:pPr>
              <w:adjustRightInd w:val="0"/>
              <w:jc w:val="center"/>
              <w:rPr>
                <w:rFonts w:cs="宋体"/>
                <w:sz w:val="24"/>
                <w:szCs w:val="21"/>
              </w:rPr>
            </w:pPr>
            <w:r>
              <w:rPr>
                <w:rFonts w:hint="eastAsia" w:cs="宋体"/>
                <w:sz w:val="24"/>
                <w:szCs w:val="21"/>
              </w:rPr>
              <w:t>寻甸回族彝族自治县发展和改革局</w:t>
            </w:r>
          </w:p>
        </w:tc>
        <w:tc>
          <w:tcPr>
            <w:tcW w:w="879" w:type="pct"/>
            <w:vAlign w:val="center"/>
          </w:tcPr>
          <w:p>
            <w:pPr>
              <w:adjustRightInd w:val="0"/>
              <w:jc w:val="center"/>
              <w:rPr>
                <w:rFonts w:cs="宋体"/>
                <w:sz w:val="24"/>
                <w:szCs w:val="21"/>
              </w:rPr>
            </w:pPr>
            <w:r>
              <w:rPr>
                <w:rFonts w:hint="eastAsia" w:cs="宋体"/>
                <w:sz w:val="24"/>
                <w:szCs w:val="21"/>
              </w:rPr>
              <w:t>项目审批（核准</w:t>
            </w:r>
            <w:r>
              <w:rPr>
                <w:rFonts w:cs="宋体"/>
                <w:sz w:val="24"/>
                <w:szCs w:val="21"/>
              </w:rPr>
              <w:t>/</w:t>
            </w:r>
            <w:r>
              <w:rPr>
                <w:rFonts w:hint="eastAsia" w:cs="宋体"/>
                <w:sz w:val="24"/>
                <w:szCs w:val="21"/>
              </w:rPr>
              <w:t>备案）文号（选填）</w:t>
            </w:r>
          </w:p>
        </w:tc>
        <w:tc>
          <w:tcPr>
            <w:tcW w:w="2096" w:type="pct"/>
            <w:vAlign w:val="center"/>
          </w:tcPr>
          <w:p>
            <w:pPr>
              <w:adjustRightInd w:val="0"/>
              <w:jc w:val="center"/>
              <w:rPr>
                <w:rFonts w:cs="宋体"/>
                <w:sz w:val="24"/>
                <w:szCs w:val="21"/>
              </w:rPr>
            </w:pPr>
            <w:r>
              <w:rPr>
                <w:rFonts w:hint="eastAsia" w:cs="宋体"/>
                <w:sz w:val="24"/>
                <w:szCs w:val="21"/>
              </w:rPr>
              <w:t>2211-530129-04-02-521840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总投资（万元）</w:t>
            </w:r>
          </w:p>
        </w:tc>
        <w:tc>
          <w:tcPr>
            <w:tcW w:w="1340" w:type="pct"/>
            <w:vAlign w:val="center"/>
          </w:tcPr>
          <w:p>
            <w:pPr>
              <w:adjustRightInd w:val="0"/>
              <w:jc w:val="center"/>
              <w:rPr>
                <w:rFonts w:cs="宋体"/>
                <w:sz w:val="24"/>
                <w:szCs w:val="21"/>
              </w:rPr>
            </w:pPr>
            <w:r>
              <w:rPr>
                <w:rFonts w:hint="eastAsia" w:cs="宋体"/>
                <w:sz w:val="24"/>
                <w:szCs w:val="21"/>
              </w:rPr>
              <w:t>717.53</w:t>
            </w:r>
          </w:p>
        </w:tc>
        <w:tc>
          <w:tcPr>
            <w:tcW w:w="879"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环保投资（万元）</w:t>
            </w:r>
          </w:p>
        </w:tc>
        <w:tc>
          <w:tcPr>
            <w:tcW w:w="2096" w:type="pct"/>
            <w:vAlign w:val="center"/>
          </w:tcPr>
          <w:p>
            <w:pPr>
              <w:adjustRightInd w:val="0"/>
              <w:jc w:val="center"/>
              <w:rPr>
                <w:rFonts w:cs="宋体"/>
                <w:sz w:val="24"/>
                <w:szCs w:val="21"/>
              </w:rPr>
            </w:pPr>
            <w:r>
              <w:rPr>
                <w:rFonts w:cs="宋体"/>
                <w:sz w:val="24"/>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环保投资占比（</w:t>
            </w:r>
            <w:r>
              <w:rPr>
                <w:rFonts w:cs="宋体"/>
                <w:sz w:val="24"/>
                <w:szCs w:val="21"/>
              </w:rPr>
              <w:t>%</w:t>
            </w:r>
            <w:r>
              <w:rPr>
                <w:rFonts w:hint="eastAsia" w:cs="宋体"/>
                <w:sz w:val="24"/>
                <w:szCs w:val="21"/>
              </w:rPr>
              <w:t>）</w:t>
            </w:r>
          </w:p>
        </w:tc>
        <w:tc>
          <w:tcPr>
            <w:tcW w:w="1340" w:type="pct"/>
            <w:vAlign w:val="center"/>
          </w:tcPr>
          <w:p>
            <w:pPr>
              <w:adjustRightInd w:val="0"/>
              <w:jc w:val="center"/>
              <w:rPr>
                <w:rFonts w:cs="宋体"/>
                <w:sz w:val="24"/>
                <w:szCs w:val="21"/>
              </w:rPr>
            </w:pPr>
            <w:r>
              <w:rPr>
                <w:rFonts w:cs="宋体"/>
                <w:sz w:val="24"/>
                <w:szCs w:val="21"/>
              </w:rPr>
              <w:t>5.57</w:t>
            </w:r>
          </w:p>
        </w:tc>
        <w:tc>
          <w:tcPr>
            <w:tcW w:w="879"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施工工期</w:t>
            </w:r>
          </w:p>
        </w:tc>
        <w:tc>
          <w:tcPr>
            <w:tcW w:w="2096" w:type="pct"/>
            <w:vAlign w:val="center"/>
          </w:tcPr>
          <w:p>
            <w:pPr>
              <w:adjustRightInd w:val="0"/>
              <w:jc w:val="center"/>
              <w:rPr>
                <w:rFonts w:cs="宋体"/>
                <w:sz w:val="24"/>
                <w:szCs w:val="21"/>
              </w:rPr>
            </w:pPr>
            <w:r>
              <w:rPr>
                <w:rFonts w:hint="eastAsia" w:cs="宋体"/>
                <w:sz w:val="24"/>
                <w:szCs w:val="21"/>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685" w:type="pct"/>
            <w:tcMar>
              <w:top w:w="16" w:type="dxa"/>
              <w:left w:w="16" w:type="dxa"/>
              <w:right w:w="16" w:type="dxa"/>
            </w:tcMar>
            <w:vAlign w:val="center"/>
          </w:tcPr>
          <w:p>
            <w:pPr>
              <w:adjustRightInd w:val="0"/>
              <w:jc w:val="center"/>
              <w:rPr>
                <w:rFonts w:cs="宋体"/>
                <w:sz w:val="24"/>
                <w:szCs w:val="21"/>
              </w:rPr>
            </w:pPr>
            <w:r>
              <w:rPr>
                <w:rFonts w:hint="eastAsia" w:cs="宋体"/>
                <w:sz w:val="24"/>
                <w:szCs w:val="21"/>
              </w:rPr>
              <w:t>是否开工建设</w:t>
            </w:r>
          </w:p>
        </w:tc>
        <w:tc>
          <w:tcPr>
            <w:tcW w:w="1340" w:type="pct"/>
            <w:vAlign w:val="center"/>
          </w:tcPr>
          <w:p>
            <w:pPr>
              <w:adjustRightInd w:val="0"/>
              <w:rPr>
                <w:rFonts w:cs="宋体"/>
                <w:sz w:val="24"/>
                <w:szCs w:val="21"/>
              </w:rPr>
            </w:pPr>
            <w:r>
              <w:rPr>
                <w:rFonts w:hint="eastAsia" w:cs="宋体"/>
                <w:sz w:val="24"/>
                <w:szCs w:val="21"/>
              </w:rPr>
              <w:t>□否</w:t>
            </w:r>
          </w:p>
          <w:p>
            <w:pPr>
              <w:adjustRightInd w:val="0"/>
              <w:rPr>
                <w:rFonts w:cs="宋体"/>
                <w:sz w:val="24"/>
                <w:szCs w:val="21"/>
              </w:rPr>
            </w:pPr>
            <w:r>
              <w:rPr>
                <w:rFonts w:hint="eastAsia" w:cs="宋体"/>
                <w:sz w:val="24"/>
                <w:szCs w:val="21"/>
              </w:rPr>
              <w:sym w:font="Wingdings 2" w:char="0052"/>
            </w:r>
            <w:r>
              <w:rPr>
                <w:rFonts w:hint="eastAsia" w:cs="宋体"/>
                <w:sz w:val="24"/>
                <w:szCs w:val="21"/>
              </w:rPr>
              <w:t>是：</w:t>
            </w:r>
            <w:r>
              <w:rPr>
                <w:rFonts w:hint="eastAsia" w:cs="宋体"/>
                <w:szCs w:val="21"/>
                <w:u w:val="single"/>
              </w:rPr>
              <w:t>5t</w:t>
            </w:r>
            <w:r>
              <w:rPr>
                <w:rFonts w:cs="宋体"/>
                <w:szCs w:val="21"/>
                <w:u w:val="single"/>
              </w:rPr>
              <w:t>/h</w:t>
            </w:r>
            <w:r>
              <w:rPr>
                <w:rFonts w:hint="eastAsia" w:cs="宋体"/>
                <w:szCs w:val="21"/>
                <w:u w:val="single"/>
              </w:rPr>
              <w:t>导热油锅炉及配套“多管旋风除尘”设备于2017年建成运行；2台导热油锅炉烟气处理系统中水膜除尘设备、热压凉板工段活性炭吸附装置、筛选打磨工序布袋除尘器等环保设施技改于2022年7月完成。</w:t>
            </w:r>
            <w:r>
              <w:rPr>
                <w:rFonts w:hint="eastAsia" w:cs="宋体"/>
                <w:szCs w:val="21"/>
                <w:highlight w:val="green"/>
                <w:u w:val="single"/>
              </w:rPr>
              <w:t>2</w:t>
            </w:r>
            <w:r>
              <w:rPr>
                <w:rFonts w:cs="宋体"/>
                <w:szCs w:val="21"/>
                <w:highlight w:val="green"/>
                <w:u w:val="single"/>
              </w:rPr>
              <w:t>023</w:t>
            </w:r>
            <w:r>
              <w:rPr>
                <w:rFonts w:hint="eastAsia" w:cs="宋体"/>
                <w:szCs w:val="21"/>
                <w:highlight w:val="green"/>
                <w:u w:val="single"/>
              </w:rPr>
              <w:t>年8月2</w:t>
            </w:r>
            <w:r>
              <w:rPr>
                <w:rFonts w:cs="宋体"/>
                <w:szCs w:val="21"/>
                <w:highlight w:val="green"/>
                <w:u w:val="single"/>
              </w:rPr>
              <w:t>9</w:t>
            </w:r>
            <w:r>
              <w:rPr>
                <w:rFonts w:hint="eastAsia" w:cs="宋体"/>
                <w:szCs w:val="21"/>
                <w:highlight w:val="green"/>
                <w:u w:val="single"/>
              </w:rPr>
              <w:t>日昆明市生态环境局寻甸分局对建设单位“未批先建”行为以昆生环寻罚告（听）字[</w:t>
            </w:r>
            <w:r>
              <w:rPr>
                <w:rFonts w:cs="宋体"/>
                <w:szCs w:val="21"/>
                <w:highlight w:val="green"/>
                <w:u w:val="single"/>
              </w:rPr>
              <w:t>2023]41</w:t>
            </w:r>
            <w:r>
              <w:rPr>
                <w:rFonts w:hint="eastAsia" w:cs="宋体"/>
                <w:szCs w:val="21"/>
                <w:highlight w:val="green"/>
                <w:u w:val="single"/>
              </w:rPr>
              <w:t>号文出具了行政处罚事先（听证）告知书；2023年9月4日建设单位进行了陈述申辩；建设单位于2</w:t>
            </w:r>
            <w:r>
              <w:rPr>
                <w:rFonts w:cs="宋体"/>
                <w:szCs w:val="21"/>
                <w:highlight w:val="green"/>
                <w:u w:val="single"/>
              </w:rPr>
              <w:t>023</w:t>
            </w:r>
            <w:r>
              <w:rPr>
                <w:rFonts w:hint="eastAsia" w:cs="宋体"/>
                <w:szCs w:val="21"/>
                <w:highlight w:val="green"/>
                <w:u w:val="single"/>
              </w:rPr>
              <w:t>年9月2</w:t>
            </w:r>
            <w:r>
              <w:rPr>
                <w:rFonts w:cs="宋体"/>
                <w:szCs w:val="21"/>
                <w:highlight w:val="green"/>
                <w:u w:val="single"/>
              </w:rPr>
              <w:t>2</w:t>
            </w:r>
            <w:r>
              <w:rPr>
                <w:rFonts w:hint="eastAsia" w:cs="宋体"/>
                <w:szCs w:val="21"/>
                <w:highlight w:val="green"/>
                <w:u w:val="single"/>
              </w:rPr>
              <w:t>日缴纳了罚款。（详见附件2</w:t>
            </w:r>
            <w:r>
              <w:rPr>
                <w:rFonts w:cs="宋体"/>
                <w:szCs w:val="21"/>
                <w:highlight w:val="green"/>
                <w:u w:val="single"/>
              </w:rPr>
              <w:t>6</w:t>
            </w:r>
            <w:r>
              <w:rPr>
                <w:rFonts w:hint="eastAsia" w:cs="宋体"/>
                <w:szCs w:val="21"/>
                <w:highlight w:val="green"/>
                <w:u w:val="single"/>
              </w:rPr>
              <w:t>）。</w:t>
            </w:r>
          </w:p>
        </w:tc>
        <w:tc>
          <w:tcPr>
            <w:tcW w:w="879" w:type="pct"/>
            <w:tcMar>
              <w:top w:w="16" w:type="dxa"/>
              <w:left w:w="16" w:type="dxa"/>
              <w:right w:w="16" w:type="dxa"/>
            </w:tcMar>
            <w:vAlign w:val="center"/>
          </w:tcPr>
          <w:p>
            <w:pPr>
              <w:adjustRightInd w:val="0"/>
              <w:jc w:val="center"/>
              <w:rPr>
                <w:rFonts w:cs="宋体"/>
                <w:sz w:val="24"/>
                <w:szCs w:val="21"/>
              </w:rPr>
            </w:pPr>
            <w:r>
              <w:rPr>
                <w:rFonts w:hint="eastAsia" w:cs="宋体"/>
                <w:spacing w:val="-6"/>
                <w:sz w:val="24"/>
                <w:szCs w:val="21"/>
              </w:rPr>
              <w:t>用地（用海）面积（</w:t>
            </w:r>
            <w:r>
              <w:rPr>
                <w:rFonts w:cs="宋体"/>
                <w:spacing w:val="-6"/>
                <w:sz w:val="24"/>
                <w:szCs w:val="21"/>
              </w:rPr>
              <w:t>m</w:t>
            </w:r>
            <w:r>
              <w:rPr>
                <w:rFonts w:cs="宋体"/>
                <w:spacing w:val="-6"/>
                <w:sz w:val="24"/>
                <w:szCs w:val="21"/>
                <w:vertAlign w:val="superscript"/>
              </w:rPr>
              <w:t>2</w:t>
            </w:r>
            <w:r>
              <w:rPr>
                <w:rFonts w:hint="eastAsia" w:cs="宋体"/>
                <w:spacing w:val="-6"/>
                <w:sz w:val="24"/>
                <w:szCs w:val="21"/>
              </w:rPr>
              <w:t>）</w:t>
            </w:r>
          </w:p>
        </w:tc>
        <w:tc>
          <w:tcPr>
            <w:tcW w:w="2096" w:type="pct"/>
            <w:vAlign w:val="center"/>
          </w:tcPr>
          <w:p>
            <w:pPr>
              <w:adjustRightInd w:val="0"/>
              <w:jc w:val="center"/>
              <w:rPr>
                <w:rFonts w:cs="宋体"/>
                <w:sz w:val="24"/>
                <w:szCs w:val="21"/>
              </w:rPr>
            </w:pPr>
            <w:r>
              <w:rPr>
                <w:rFonts w:hint="eastAsia" w:cs="宋体"/>
                <w:sz w:val="24"/>
                <w:szCs w:val="21"/>
              </w:rPr>
              <w:t>16878（本次不新增建设用地）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685" w:type="pct"/>
            <w:vAlign w:val="center"/>
          </w:tcPr>
          <w:p>
            <w:pPr>
              <w:autoSpaceDE w:val="0"/>
              <w:autoSpaceDN w:val="0"/>
              <w:adjustRightInd w:val="0"/>
              <w:jc w:val="center"/>
              <w:rPr>
                <w:rFonts w:cs="宋体"/>
                <w:kern w:val="0"/>
                <w:sz w:val="24"/>
                <w:szCs w:val="21"/>
              </w:rPr>
            </w:pPr>
            <w:r>
              <w:rPr>
                <w:rFonts w:hint="eastAsia" w:cs="宋体"/>
                <w:kern w:val="0"/>
                <w:sz w:val="24"/>
                <w:szCs w:val="21"/>
              </w:rPr>
              <w:t>专项评价设置情况</w:t>
            </w:r>
          </w:p>
        </w:tc>
        <w:tc>
          <w:tcPr>
            <w:tcW w:w="4315" w:type="pct"/>
            <w:gridSpan w:val="3"/>
            <w:vAlign w:val="center"/>
          </w:tcPr>
          <w:p>
            <w:pPr>
              <w:autoSpaceDE w:val="0"/>
              <w:autoSpaceDN w:val="0"/>
              <w:adjustRightInd w:val="0"/>
              <w:spacing w:before="120" w:beforeLines="50" w:line="360" w:lineRule="auto"/>
              <w:ind w:firstLine="480" w:firstLineChars="200"/>
              <w:rPr>
                <w:rFonts w:cs="宋体"/>
                <w:kern w:val="0"/>
                <w:sz w:val="24"/>
                <w:szCs w:val="21"/>
              </w:rPr>
            </w:pPr>
            <w:r>
              <w:rPr>
                <w:sz w:val="24"/>
                <w:szCs w:val="21"/>
              </w:rPr>
              <w:t>本项目</w:t>
            </w:r>
            <w:r>
              <w:rPr>
                <w:sz w:val="24"/>
              </w:rPr>
              <w:t>主要针对</w:t>
            </w:r>
            <w:r>
              <w:rPr>
                <w:rFonts w:hint="eastAsia"/>
                <w:sz w:val="24"/>
                <w:szCs w:val="21"/>
              </w:rPr>
              <w:t>现有年产5万m</w:t>
            </w:r>
            <w:r>
              <w:rPr>
                <w:rFonts w:hint="eastAsia"/>
                <w:sz w:val="24"/>
                <w:szCs w:val="21"/>
                <w:vertAlign w:val="superscript"/>
              </w:rPr>
              <w:t>3</w:t>
            </w:r>
            <w:r>
              <w:rPr>
                <w:rFonts w:hint="eastAsia"/>
                <w:sz w:val="24"/>
                <w:szCs w:val="21"/>
              </w:rPr>
              <w:t>木质刨花板制造项目</w:t>
            </w:r>
            <w:r>
              <w:rPr>
                <w:rFonts w:hint="eastAsia"/>
                <w:sz w:val="24"/>
              </w:rPr>
              <w:t>配套</w:t>
            </w:r>
            <w:r>
              <w:rPr>
                <w:sz w:val="24"/>
              </w:rPr>
              <w:t>供热工程</w:t>
            </w:r>
            <w:r>
              <w:rPr>
                <w:rFonts w:hint="eastAsia"/>
                <w:sz w:val="24"/>
              </w:rPr>
              <w:t>和</w:t>
            </w:r>
            <w:r>
              <w:rPr>
                <w:sz w:val="24"/>
              </w:rPr>
              <w:t>环保工程</w:t>
            </w:r>
            <w:r>
              <w:rPr>
                <w:rFonts w:hint="eastAsia"/>
                <w:sz w:val="24"/>
              </w:rPr>
              <w:t>进行技改</w:t>
            </w:r>
            <w:r>
              <w:rPr>
                <w:sz w:val="24"/>
              </w:rPr>
              <w:t>，</w:t>
            </w:r>
            <w:r>
              <w:rPr>
                <w:rFonts w:hint="eastAsia"/>
                <w:sz w:val="24"/>
              </w:rPr>
              <w:t>现有项目</w:t>
            </w:r>
            <w:r>
              <w:rPr>
                <w:rFonts w:hint="eastAsia" w:cs="宋体"/>
                <w:kern w:val="0"/>
                <w:sz w:val="24"/>
                <w:szCs w:val="21"/>
              </w:rPr>
              <w:t>主体工程、原辅材料、生产工艺及污染物种类、产品及规模等均未发生变化，因此本次环评仅评价技改部分工程，不考虑整个厂区的改扩建。</w:t>
            </w:r>
          </w:p>
          <w:p>
            <w:pPr>
              <w:autoSpaceDE w:val="0"/>
              <w:autoSpaceDN w:val="0"/>
              <w:adjustRightInd w:val="0"/>
              <w:spacing w:line="360" w:lineRule="auto"/>
              <w:ind w:firstLine="480" w:firstLineChars="200"/>
              <w:rPr>
                <w:rFonts w:cs="宋体"/>
                <w:b/>
                <w:bCs/>
                <w:kern w:val="0"/>
                <w:sz w:val="24"/>
                <w:szCs w:val="21"/>
              </w:rPr>
            </w:pPr>
            <w:r>
              <w:rPr>
                <w:rFonts w:hint="eastAsia" w:cs="宋体"/>
                <w:kern w:val="0"/>
                <w:sz w:val="24"/>
                <w:szCs w:val="21"/>
              </w:rPr>
              <w:t>根据《建设项目环境影响报告表编制技术指南（污染影响类）》（试行），本项目专项评价设置情况见下表1</w:t>
            </w:r>
            <w:r>
              <w:rPr>
                <w:rFonts w:cs="宋体"/>
                <w:kern w:val="0"/>
                <w:sz w:val="24"/>
                <w:szCs w:val="21"/>
              </w:rPr>
              <w:t>-1</w:t>
            </w:r>
            <w:r>
              <w:rPr>
                <w:rFonts w:hint="eastAsia" w:cs="宋体"/>
                <w:kern w:val="0"/>
                <w:sz w:val="24"/>
                <w:szCs w:val="21"/>
              </w:rPr>
              <w:t>。</w:t>
            </w:r>
          </w:p>
          <w:p>
            <w:pPr>
              <w:autoSpaceDE w:val="0"/>
              <w:autoSpaceDN w:val="0"/>
              <w:adjustRightInd w:val="0"/>
              <w:spacing w:line="360" w:lineRule="auto"/>
              <w:jc w:val="center"/>
              <w:rPr>
                <w:rFonts w:cs="宋体"/>
                <w:b/>
                <w:bCs/>
                <w:kern w:val="0"/>
                <w:sz w:val="24"/>
                <w:szCs w:val="21"/>
              </w:rPr>
            </w:pPr>
            <w:r>
              <w:rPr>
                <w:rFonts w:hint="eastAsia" w:cs="宋体"/>
                <w:b/>
                <w:bCs/>
                <w:kern w:val="0"/>
                <w:sz w:val="24"/>
                <w:szCs w:val="21"/>
              </w:rPr>
              <w:t>表1-1  本项目专项评价设置情况一览表</w:t>
            </w:r>
          </w:p>
          <w:tbl>
            <w:tblPr>
              <w:tblStyle w:val="3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57" w:type="dxa"/>
                <w:bottom w:w="0" w:type="dxa"/>
                <w:right w:w="57" w:type="dxa"/>
              </w:tblCellMar>
            </w:tblPr>
            <w:tblGrid>
              <w:gridCol w:w="1077"/>
              <w:gridCol w:w="2552"/>
              <w:gridCol w:w="43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90" w:hRule="atLeast"/>
                <w:jc w:val="center"/>
              </w:trPr>
              <w:tc>
                <w:tcPr>
                  <w:tcW w:w="678" w:type="pct"/>
                  <w:vAlign w:val="center"/>
                </w:tcPr>
                <w:p>
                  <w:pPr>
                    <w:autoSpaceDE w:val="0"/>
                    <w:autoSpaceDN w:val="0"/>
                    <w:adjustRightInd w:val="0"/>
                    <w:jc w:val="center"/>
                    <w:rPr>
                      <w:b/>
                      <w:kern w:val="0"/>
                      <w:szCs w:val="21"/>
                    </w:rPr>
                  </w:pPr>
                  <w:r>
                    <w:rPr>
                      <w:b/>
                      <w:kern w:val="0"/>
                      <w:szCs w:val="21"/>
                    </w:rPr>
                    <w:t>专项评价的类别</w:t>
                  </w:r>
                </w:p>
              </w:tc>
              <w:tc>
                <w:tcPr>
                  <w:tcW w:w="1606" w:type="pct"/>
                  <w:vAlign w:val="center"/>
                </w:tcPr>
                <w:p>
                  <w:pPr>
                    <w:autoSpaceDE w:val="0"/>
                    <w:autoSpaceDN w:val="0"/>
                    <w:adjustRightInd w:val="0"/>
                    <w:jc w:val="center"/>
                    <w:rPr>
                      <w:b/>
                      <w:kern w:val="0"/>
                      <w:szCs w:val="21"/>
                    </w:rPr>
                  </w:pPr>
                  <w:r>
                    <w:rPr>
                      <w:rFonts w:cs="宋体"/>
                      <w:b/>
                      <w:szCs w:val="21"/>
                    </w:rPr>
                    <w:t>设置原则</w:t>
                  </w:r>
                </w:p>
              </w:tc>
              <w:tc>
                <w:tcPr>
                  <w:tcW w:w="2716" w:type="pct"/>
                  <w:vAlign w:val="center"/>
                </w:tcPr>
                <w:p>
                  <w:pPr>
                    <w:autoSpaceDE w:val="0"/>
                    <w:autoSpaceDN w:val="0"/>
                    <w:adjustRightInd w:val="0"/>
                    <w:jc w:val="center"/>
                    <w:rPr>
                      <w:b/>
                      <w:kern w:val="0"/>
                      <w:szCs w:val="21"/>
                    </w:rPr>
                  </w:pPr>
                  <w:r>
                    <w:rPr>
                      <w:rFonts w:hint="eastAsia" w:cs="宋体"/>
                      <w:b/>
                      <w:szCs w:val="21"/>
                    </w:rPr>
                    <w:t>本项目情况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jc w:val="center"/>
              </w:trPr>
              <w:tc>
                <w:tcPr>
                  <w:tcW w:w="678" w:type="pct"/>
                  <w:vAlign w:val="center"/>
                </w:tcPr>
                <w:p>
                  <w:pPr>
                    <w:autoSpaceDE w:val="0"/>
                    <w:autoSpaceDN w:val="0"/>
                    <w:adjustRightInd w:val="0"/>
                    <w:jc w:val="center"/>
                    <w:rPr>
                      <w:kern w:val="0"/>
                      <w:szCs w:val="21"/>
                    </w:rPr>
                  </w:pPr>
                  <w:r>
                    <w:rPr>
                      <w:rFonts w:cs="宋体"/>
                      <w:szCs w:val="21"/>
                    </w:rPr>
                    <w:t>大气</w:t>
                  </w:r>
                </w:p>
              </w:tc>
              <w:tc>
                <w:tcPr>
                  <w:tcW w:w="1606" w:type="pct"/>
                  <w:vAlign w:val="center"/>
                </w:tcPr>
                <w:p>
                  <w:pPr>
                    <w:autoSpaceDE w:val="0"/>
                    <w:autoSpaceDN w:val="0"/>
                    <w:adjustRightInd w:val="0"/>
                    <w:ind w:firstLine="420" w:firstLineChars="200"/>
                    <w:rPr>
                      <w:kern w:val="0"/>
                      <w:szCs w:val="21"/>
                    </w:rPr>
                  </w:pPr>
                  <w:r>
                    <w:rPr>
                      <w:kern w:val="0"/>
                      <w:szCs w:val="21"/>
                    </w:rPr>
                    <w:t>废气含有毒有害</w:t>
                  </w:r>
                  <w:r>
                    <w:rPr>
                      <w:rFonts w:hint="eastAsia"/>
                      <w:kern w:val="0"/>
                      <w:szCs w:val="21"/>
                    </w:rPr>
                    <w:t>污染</w:t>
                  </w:r>
                  <w:r>
                    <w:rPr>
                      <w:kern w:val="0"/>
                      <w:szCs w:val="21"/>
                    </w:rPr>
                    <w:t>物、二</w:t>
                  </w:r>
                  <w:r>
                    <w:rPr>
                      <w:rFonts w:hint="eastAsia"/>
                      <w:kern w:val="0"/>
                      <w:szCs w:val="21"/>
                    </w:rPr>
                    <w:t>噁</w:t>
                  </w:r>
                  <w:r>
                    <w:rPr>
                      <w:kern w:val="0"/>
                      <w:szCs w:val="21"/>
                    </w:rPr>
                    <w:t>英、苯并[a]芘、氰化物、氯气且厂界外500米范围内有环境空气保护目标的建设项目。</w:t>
                  </w:r>
                </w:p>
              </w:tc>
              <w:tc>
                <w:tcPr>
                  <w:tcW w:w="2716" w:type="pct"/>
                  <w:vAlign w:val="center"/>
                </w:tcPr>
                <w:p>
                  <w:pPr>
                    <w:autoSpaceDE w:val="0"/>
                    <w:autoSpaceDN w:val="0"/>
                    <w:adjustRightInd w:val="0"/>
                    <w:ind w:firstLine="420" w:firstLineChars="200"/>
                    <w:rPr>
                      <w:rFonts w:cs="宋体"/>
                      <w:szCs w:val="21"/>
                    </w:rPr>
                  </w:pPr>
                  <w:r>
                    <w:rPr>
                      <w:rFonts w:cs="宋体"/>
                      <w:szCs w:val="21"/>
                    </w:rPr>
                    <w:t>本项目</w:t>
                  </w:r>
                  <w:r>
                    <w:rPr>
                      <w:rFonts w:hint="eastAsia" w:cs="宋体"/>
                      <w:szCs w:val="21"/>
                    </w:rPr>
                    <w:t>主要针对现有项目配套供热工程和环保工程进行技改，技改主要内容为：新建1间锅炉房，新增5t/h导热油锅炉及配套废气治理设施；对现有项目7t/h导热油锅炉废气治理设施，筛选打磨工序废气治理设施，热压凉板废气治理设施等技改，</w:t>
                  </w:r>
                  <w:r>
                    <w:rPr>
                      <w:rFonts w:hint="eastAsia" w:cs="宋体"/>
                      <w:szCs w:val="21"/>
                      <w:highlight w:val="green"/>
                    </w:rPr>
                    <w:t>主要污染物为供热工程技改新增5</w:t>
                  </w:r>
                  <w:r>
                    <w:rPr>
                      <w:rFonts w:cs="宋体"/>
                      <w:szCs w:val="21"/>
                      <w:highlight w:val="green"/>
                    </w:rPr>
                    <w:t>t/h</w:t>
                  </w:r>
                  <w:r>
                    <w:rPr>
                      <w:rFonts w:hint="eastAsia" w:cs="宋体"/>
                      <w:szCs w:val="21"/>
                      <w:highlight w:val="green"/>
                    </w:rPr>
                    <w:t>导热油锅炉排放烟尘、S</w:t>
                  </w:r>
                  <w:r>
                    <w:rPr>
                      <w:rFonts w:cs="宋体"/>
                      <w:szCs w:val="21"/>
                      <w:highlight w:val="green"/>
                    </w:rPr>
                    <w:t>O</w:t>
                  </w:r>
                  <w:r>
                    <w:rPr>
                      <w:rFonts w:cs="宋体"/>
                      <w:szCs w:val="21"/>
                      <w:highlight w:val="green"/>
                      <w:vertAlign w:val="subscript"/>
                    </w:rPr>
                    <w:t>2</w:t>
                  </w:r>
                  <w:r>
                    <w:rPr>
                      <w:rFonts w:hint="eastAsia" w:cs="宋体"/>
                      <w:szCs w:val="21"/>
                      <w:highlight w:val="green"/>
                    </w:rPr>
                    <w:t>、N</w:t>
                  </w:r>
                  <w:r>
                    <w:rPr>
                      <w:rFonts w:cs="宋体"/>
                      <w:szCs w:val="21"/>
                      <w:highlight w:val="green"/>
                    </w:rPr>
                    <w:t>O</w:t>
                  </w:r>
                  <w:r>
                    <w:rPr>
                      <w:rFonts w:cs="宋体"/>
                      <w:szCs w:val="21"/>
                      <w:highlight w:val="green"/>
                      <w:vertAlign w:val="subscript"/>
                    </w:rPr>
                    <w:t>x</w:t>
                  </w:r>
                  <w:r>
                    <w:rPr>
                      <w:rFonts w:hint="eastAsia" w:cs="宋体"/>
                      <w:szCs w:val="21"/>
                      <w:highlight w:val="green"/>
                    </w:rPr>
                    <w:t>，环保工程技改新增环保设施本身不产生污染物，仅对现有工序污染物进行削减</w:t>
                  </w:r>
                  <w:r>
                    <w:rPr>
                      <w:rFonts w:hint="eastAsia" w:cs="宋体"/>
                      <w:szCs w:val="21"/>
                    </w:rPr>
                    <w:t>。现有项目主体工程、原辅材料、生产工艺及排放污染物种类、产品及规模均不发生变化</w:t>
                  </w:r>
                  <w:r>
                    <w:rPr>
                      <w:rFonts w:cs="宋体"/>
                      <w:szCs w:val="21"/>
                    </w:rPr>
                    <w:t>，</w:t>
                  </w:r>
                  <w:r>
                    <w:rPr>
                      <w:rFonts w:hint="eastAsia" w:cs="宋体"/>
                      <w:bCs/>
                      <w:szCs w:val="21"/>
                    </w:rPr>
                    <w:t>因此本项目不</w:t>
                  </w:r>
                  <w:r>
                    <w:rPr>
                      <w:rFonts w:cs="宋体"/>
                      <w:bCs/>
                      <w:szCs w:val="21"/>
                    </w:rPr>
                    <w:t>设置大气专项评价</w:t>
                  </w:r>
                  <w:r>
                    <w:rPr>
                      <w:rFonts w:cs="宋体"/>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025" w:hRule="atLeast"/>
                <w:jc w:val="center"/>
              </w:trPr>
              <w:tc>
                <w:tcPr>
                  <w:tcW w:w="678" w:type="pct"/>
                  <w:vAlign w:val="center"/>
                </w:tcPr>
                <w:p>
                  <w:pPr>
                    <w:autoSpaceDE w:val="0"/>
                    <w:autoSpaceDN w:val="0"/>
                    <w:adjustRightInd w:val="0"/>
                    <w:jc w:val="center"/>
                    <w:rPr>
                      <w:rFonts w:cs="宋体"/>
                      <w:szCs w:val="21"/>
                    </w:rPr>
                  </w:pPr>
                  <w:r>
                    <w:rPr>
                      <w:rFonts w:cs="宋体"/>
                      <w:szCs w:val="21"/>
                    </w:rPr>
                    <w:t>地表水</w:t>
                  </w:r>
                </w:p>
              </w:tc>
              <w:tc>
                <w:tcPr>
                  <w:tcW w:w="1606" w:type="pct"/>
                  <w:vAlign w:val="center"/>
                </w:tcPr>
                <w:p>
                  <w:pPr>
                    <w:autoSpaceDE w:val="0"/>
                    <w:autoSpaceDN w:val="0"/>
                    <w:adjustRightInd w:val="0"/>
                    <w:ind w:firstLine="420" w:firstLineChars="200"/>
                    <w:rPr>
                      <w:kern w:val="0"/>
                      <w:szCs w:val="21"/>
                    </w:rPr>
                  </w:pPr>
                  <w:r>
                    <w:rPr>
                      <w:rFonts w:cs="宋体"/>
                      <w:szCs w:val="21"/>
                    </w:rPr>
                    <w:t>新增工业废水直排建设项目</w:t>
                  </w:r>
                  <w:r>
                    <w:rPr>
                      <w:rFonts w:hint="eastAsia" w:cs="宋体"/>
                      <w:szCs w:val="21"/>
                    </w:rPr>
                    <w:t>（</w:t>
                  </w:r>
                  <w:r>
                    <w:rPr>
                      <w:rFonts w:cs="宋体"/>
                      <w:szCs w:val="21"/>
                    </w:rPr>
                    <w:t>槽罐车外送污水处理厂的除外</w:t>
                  </w:r>
                  <w:r>
                    <w:rPr>
                      <w:rFonts w:hint="eastAsia" w:cs="宋体"/>
                      <w:szCs w:val="21"/>
                    </w:rPr>
                    <w:t>）</w:t>
                  </w:r>
                  <w:r>
                    <w:rPr>
                      <w:rFonts w:cs="宋体"/>
                      <w:szCs w:val="21"/>
                    </w:rPr>
                    <w:t>；新增废水直排的污水集中处理厂。</w:t>
                  </w:r>
                </w:p>
              </w:tc>
              <w:tc>
                <w:tcPr>
                  <w:tcW w:w="2716" w:type="pct"/>
                  <w:vAlign w:val="center"/>
                </w:tcPr>
                <w:p>
                  <w:pPr>
                    <w:autoSpaceDE w:val="0"/>
                    <w:autoSpaceDN w:val="0"/>
                    <w:adjustRightInd w:val="0"/>
                    <w:ind w:firstLine="420" w:firstLineChars="200"/>
                    <w:rPr>
                      <w:rFonts w:cs="宋体"/>
                      <w:szCs w:val="21"/>
                    </w:rPr>
                  </w:pPr>
                  <w:r>
                    <w:rPr>
                      <w:rFonts w:hint="eastAsia" w:cs="宋体"/>
                      <w:kern w:val="0"/>
                      <w:szCs w:val="20"/>
                      <w:lang w:bidi="ar"/>
                    </w:rPr>
                    <w:t>本项目新增5</w:t>
                  </w:r>
                  <w:r>
                    <w:rPr>
                      <w:rFonts w:cs="宋体"/>
                      <w:kern w:val="0"/>
                      <w:szCs w:val="20"/>
                      <w:lang w:bidi="ar"/>
                    </w:rPr>
                    <w:t>t/h</w:t>
                  </w:r>
                  <w:r>
                    <w:rPr>
                      <w:rFonts w:hint="eastAsia" w:cs="宋体"/>
                      <w:kern w:val="0"/>
                      <w:szCs w:val="20"/>
                      <w:lang w:bidi="ar"/>
                    </w:rPr>
                    <w:t>导热油锅炉废气处理设施水膜除尘废水，经沉淀池沉淀后循环使用，不外排</w:t>
                  </w:r>
                  <w:r>
                    <w:rPr>
                      <w:rFonts w:hint="eastAsia" w:cs="宋体"/>
                      <w:szCs w:val="21"/>
                    </w:rPr>
                    <w:t>，因此不需要设置地表水</w:t>
                  </w:r>
                  <w:r>
                    <w:rPr>
                      <w:rFonts w:cs="宋体"/>
                      <w:szCs w:val="21"/>
                    </w:rPr>
                    <w:t>专项评价。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479" w:hRule="atLeast"/>
                <w:jc w:val="center"/>
              </w:trPr>
              <w:tc>
                <w:tcPr>
                  <w:tcW w:w="678" w:type="pct"/>
                  <w:vAlign w:val="center"/>
                </w:tcPr>
                <w:p>
                  <w:pPr>
                    <w:autoSpaceDE w:val="0"/>
                    <w:autoSpaceDN w:val="0"/>
                    <w:adjustRightInd w:val="0"/>
                    <w:jc w:val="center"/>
                    <w:rPr>
                      <w:rFonts w:cs="宋体"/>
                      <w:szCs w:val="21"/>
                    </w:rPr>
                  </w:pPr>
                  <w:r>
                    <w:rPr>
                      <w:rFonts w:cs="宋体"/>
                      <w:szCs w:val="21"/>
                    </w:rPr>
                    <w:t>环境风险</w:t>
                  </w:r>
                </w:p>
              </w:tc>
              <w:tc>
                <w:tcPr>
                  <w:tcW w:w="1606" w:type="pct"/>
                  <w:vAlign w:val="center"/>
                </w:tcPr>
                <w:p>
                  <w:pPr>
                    <w:autoSpaceDE w:val="0"/>
                    <w:autoSpaceDN w:val="0"/>
                    <w:adjustRightInd w:val="0"/>
                    <w:ind w:firstLine="420" w:firstLineChars="200"/>
                    <w:rPr>
                      <w:rFonts w:cs="宋体"/>
                      <w:szCs w:val="21"/>
                    </w:rPr>
                  </w:pPr>
                  <w:r>
                    <w:rPr>
                      <w:rFonts w:cs="宋体"/>
                      <w:szCs w:val="21"/>
                    </w:rPr>
                    <w:t>有毒有害和易燃易爆危险物质存储量超过临界量的建设项目。</w:t>
                  </w:r>
                </w:p>
              </w:tc>
              <w:tc>
                <w:tcPr>
                  <w:tcW w:w="2716" w:type="pct"/>
                  <w:vAlign w:val="center"/>
                </w:tcPr>
                <w:p>
                  <w:pPr>
                    <w:autoSpaceDE w:val="0"/>
                    <w:autoSpaceDN w:val="0"/>
                    <w:adjustRightInd w:val="0"/>
                    <w:ind w:firstLine="420" w:firstLineChars="200"/>
                    <w:rPr>
                      <w:rFonts w:cs="宋体"/>
                      <w:szCs w:val="21"/>
                    </w:rPr>
                  </w:pPr>
                  <w:r>
                    <w:rPr>
                      <w:rFonts w:hint="eastAsia" w:cs="宋体"/>
                      <w:szCs w:val="21"/>
                    </w:rPr>
                    <w:t>现有项目厂区</w:t>
                  </w:r>
                  <w:r>
                    <w:rPr>
                      <w:rFonts w:cs="宋体"/>
                      <w:szCs w:val="21"/>
                    </w:rPr>
                    <w:t>涉及《建设项目环境风险评价技术导则》（HJ/T169-2018）附录B中表B.1中的</w:t>
                  </w:r>
                  <w:r>
                    <w:rPr>
                      <w:rFonts w:hint="eastAsia" w:cs="宋体"/>
                      <w:szCs w:val="21"/>
                    </w:rPr>
                    <w:t>突发环境事件</w:t>
                  </w:r>
                  <w:r>
                    <w:rPr>
                      <w:rFonts w:cs="宋体"/>
                      <w:szCs w:val="21"/>
                    </w:rPr>
                    <w:t>环境风险物质</w:t>
                  </w:r>
                  <w:r>
                    <w:rPr>
                      <w:rFonts w:hint="eastAsia" w:cs="宋体"/>
                      <w:szCs w:val="21"/>
                    </w:rPr>
                    <w:t>有甲醛（存储量1</w:t>
                  </w:r>
                  <w:r>
                    <w:rPr>
                      <w:rFonts w:cs="宋体"/>
                      <w:szCs w:val="21"/>
                    </w:rPr>
                    <w:t>1t</w:t>
                  </w:r>
                  <w:r>
                    <w:rPr>
                      <w:rFonts w:hint="eastAsia" w:cs="宋体"/>
                      <w:szCs w:val="21"/>
                    </w:rPr>
                    <w:t>）、甲酸（存储量0</w:t>
                  </w:r>
                  <w:r>
                    <w:rPr>
                      <w:rFonts w:cs="宋体"/>
                      <w:szCs w:val="21"/>
                    </w:rPr>
                    <w:t>.02t</w:t>
                  </w:r>
                  <w:r>
                    <w:rPr>
                      <w:rFonts w:hint="eastAsia" w:cs="宋体"/>
                      <w:szCs w:val="21"/>
                    </w:rPr>
                    <w:t>）、导热油（存储量8</w:t>
                  </w:r>
                  <w:r>
                    <w:rPr>
                      <w:rFonts w:cs="宋体"/>
                      <w:szCs w:val="21"/>
                    </w:rPr>
                    <w:t>t</w:t>
                  </w:r>
                  <w:r>
                    <w:rPr>
                      <w:rFonts w:hint="eastAsia" w:cs="宋体"/>
                      <w:szCs w:val="21"/>
                    </w:rPr>
                    <w:t>）、废矿物油（包含废导热油及废机油，存储量共1</w:t>
                  </w:r>
                  <w:r>
                    <w:rPr>
                      <w:rFonts w:cs="宋体"/>
                      <w:szCs w:val="21"/>
                    </w:rPr>
                    <w:t>.2t</w:t>
                  </w:r>
                  <w:r>
                    <w:rPr>
                      <w:rFonts w:hint="eastAsia" w:cs="宋体"/>
                      <w:szCs w:val="21"/>
                    </w:rPr>
                    <w:t>）等，现有项目环评已针对厂区现有危险物质环境风险进行预测分析并提出完善的环境风险防范措施；本次技改项目不新增风险物质种类，仅新增5t/h导热油锅炉所需6</w:t>
                  </w:r>
                  <w:r>
                    <w:rPr>
                      <w:rFonts w:cs="宋体"/>
                      <w:szCs w:val="21"/>
                    </w:rPr>
                    <w:t>.5t</w:t>
                  </w:r>
                  <w:r>
                    <w:rPr>
                      <w:rFonts w:hint="eastAsia" w:cs="宋体"/>
                      <w:szCs w:val="21"/>
                    </w:rPr>
                    <w:t>导热油存储量，未超过临界量（2</w:t>
                  </w:r>
                  <w:r>
                    <w:rPr>
                      <w:rFonts w:cs="宋体"/>
                      <w:szCs w:val="21"/>
                    </w:rPr>
                    <w:t>500t</w:t>
                  </w:r>
                  <w:r>
                    <w:rPr>
                      <w:rFonts w:hint="eastAsia" w:cs="宋体"/>
                      <w:szCs w:val="21"/>
                    </w:rPr>
                    <w:t>）。因此本次评价不考虑</w:t>
                  </w:r>
                  <w:r>
                    <w:rPr>
                      <w:rFonts w:cs="宋体"/>
                      <w:bCs/>
                      <w:szCs w:val="21"/>
                    </w:rPr>
                    <w:t>设置环境风险专项评价</w:t>
                  </w:r>
                  <w:r>
                    <w:rPr>
                      <w:rFonts w:cs="宋体"/>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jc w:val="center"/>
              </w:trPr>
              <w:tc>
                <w:tcPr>
                  <w:tcW w:w="678" w:type="pct"/>
                  <w:vAlign w:val="center"/>
                </w:tcPr>
                <w:p>
                  <w:pPr>
                    <w:autoSpaceDE w:val="0"/>
                    <w:autoSpaceDN w:val="0"/>
                    <w:adjustRightInd w:val="0"/>
                    <w:jc w:val="center"/>
                    <w:rPr>
                      <w:rFonts w:cs="宋体"/>
                      <w:szCs w:val="21"/>
                    </w:rPr>
                  </w:pPr>
                  <w:r>
                    <w:rPr>
                      <w:rFonts w:cs="宋体"/>
                      <w:szCs w:val="21"/>
                    </w:rPr>
                    <w:t>生态</w:t>
                  </w:r>
                </w:p>
              </w:tc>
              <w:tc>
                <w:tcPr>
                  <w:tcW w:w="1606" w:type="pct"/>
                  <w:vAlign w:val="center"/>
                </w:tcPr>
                <w:p>
                  <w:pPr>
                    <w:autoSpaceDE w:val="0"/>
                    <w:autoSpaceDN w:val="0"/>
                    <w:adjustRightInd w:val="0"/>
                    <w:ind w:firstLine="420" w:firstLineChars="200"/>
                    <w:rPr>
                      <w:rFonts w:cs="宋体"/>
                      <w:szCs w:val="21"/>
                    </w:rPr>
                  </w:pPr>
                  <w:r>
                    <w:rPr>
                      <w:rFonts w:cs="宋体"/>
                      <w:szCs w:val="21"/>
                    </w:rPr>
                    <w:t>取水口下游500米范围内有重要水生生物的自然产卵场、素饵场，越冬场和洄游通道的新增河道取水的污染类建设项目。</w:t>
                  </w:r>
                </w:p>
              </w:tc>
              <w:tc>
                <w:tcPr>
                  <w:tcW w:w="2716" w:type="pct"/>
                  <w:vAlign w:val="center"/>
                </w:tcPr>
                <w:p>
                  <w:pPr>
                    <w:autoSpaceDE w:val="0"/>
                    <w:autoSpaceDN w:val="0"/>
                    <w:adjustRightInd w:val="0"/>
                    <w:ind w:firstLine="420" w:firstLineChars="200"/>
                    <w:rPr>
                      <w:rFonts w:cs="宋体"/>
                      <w:szCs w:val="21"/>
                    </w:rPr>
                  </w:pPr>
                  <w:r>
                    <w:rPr>
                      <w:rFonts w:hint="eastAsia" w:cs="宋体"/>
                      <w:szCs w:val="21"/>
                    </w:rPr>
                    <w:t>本</w:t>
                  </w:r>
                  <w:r>
                    <w:rPr>
                      <w:rFonts w:cs="宋体"/>
                      <w:szCs w:val="21"/>
                    </w:rPr>
                    <w:t>项目用水来源为市政供水管网，不涉及取水口，故不需要设置生态专项评价。</w:t>
                  </w:r>
                </w:p>
              </w:tc>
            </w:tr>
          </w:tbl>
          <w:p>
            <w:pPr>
              <w:autoSpaceDE w:val="0"/>
              <w:autoSpaceDN w:val="0"/>
              <w:adjustRightInd w:val="0"/>
              <w:spacing w:before="120" w:beforeLines="50" w:line="360" w:lineRule="auto"/>
              <w:ind w:firstLine="480" w:firstLineChars="200"/>
              <w:rPr>
                <w:rFonts w:cs="宋体"/>
                <w:kern w:val="0"/>
                <w:sz w:val="24"/>
                <w:szCs w:val="21"/>
              </w:rPr>
            </w:pPr>
            <w:r>
              <w:rPr>
                <w:rFonts w:hint="eastAsia" w:cs="宋体"/>
                <w:kern w:val="0"/>
                <w:sz w:val="24"/>
                <w:szCs w:val="21"/>
              </w:rPr>
              <w:t>综上所述，本项目不设置专项评价。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9" w:hRule="atLeast"/>
          <w:jc w:val="center"/>
        </w:trPr>
        <w:tc>
          <w:tcPr>
            <w:tcW w:w="685" w:type="pct"/>
            <w:vAlign w:val="center"/>
          </w:tcPr>
          <w:p>
            <w:pPr>
              <w:autoSpaceDE w:val="0"/>
              <w:autoSpaceDN w:val="0"/>
              <w:adjustRightInd w:val="0"/>
              <w:jc w:val="center"/>
              <w:rPr>
                <w:rFonts w:cs="宋体"/>
                <w:kern w:val="0"/>
                <w:sz w:val="24"/>
                <w:szCs w:val="21"/>
              </w:rPr>
            </w:pPr>
            <w:r>
              <w:rPr>
                <w:rFonts w:hint="eastAsia" w:cs="宋体"/>
                <w:sz w:val="24"/>
                <w:szCs w:val="21"/>
              </w:rPr>
              <w:t>规划情况</w:t>
            </w:r>
          </w:p>
        </w:tc>
        <w:tc>
          <w:tcPr>
            <w:tcW w:w="4315" w:type="pct"/>
            <w:gridSpan w:val="3"/>
            <w:vAlign w:val="center"/>
          </w:tcPr>
          <w:p>
            <w:pPr>
              <w:widowControl/>
              <w:spacing w:before="120" w:beforeLines="50" w:line="360" w:lineRule="auto"/>
              <w:ind w:firstLine="482" w:firstLineChars="200"/>
              <w:rPr>
                <w:rFonts w:ascii="宋体" w:hAnsi="宋体" w:cs="宋体"/>
                <w:kern w:val="0"/>
                <w:sz w:val="24"/>
                <w:lang w:bidi="ar"/>
              </w:rPr>
            </w:pPr>
            <w:r>
              <w:rPr>
                <w:rFonts w:hint="eastAsia" w:ascii="宋体" w:hAnsi="宋体" w:cs="宋体"/>
                <w:b/>
                <w:bCs/>
                <w:kern w:val="0"/>
                <w:sz w:val="24"/>
                <w:lang w:bidi="ar"/>
              </w:rPr>
              <w:t>《寻甸特色产业园区总体规划【修编】（</w:t>
            </w:r>
            <w:r>
              <w:rPr>
                <w:b/>
                <w:bCs/>
                <w:kern w:val="0"/>
                <w:sz w:val="24"/>
                <w:lang w:bidi="ar"/>
              </w:rPr>
              <w:t>2018</w:t>
            </w:r>
            <w:r>
              <w:rPr>
                <w:rFonts w:hint="eastAsia"/>
                <w:b/>
                <w:bCs/>
                <w:kern w:val="0"/>
                <w:sz w:val="24"/>
                <w:lang w:bidi="ar"/>
              </w:rPr>
              <w:t>-</w:t>
            </w:r>
            <w:r>
              <w:rPr>
                <w:b/>
                <w:bCs/>
                <w:kern w:val="0"/>
                <w:sz w:val="24"/>
                <w:lang w:bidi="ar"/>
              </w:rPr>
              <w:t>2035</w:t>
            </w:r>
            <w:r>
              <w:rPr>
                <w:rFonts w:hint="eastAsia" w:ascii="宋体" w:hAnsi="宋体" w:cs="宋体"/>
                <w:b/>
                <w:bCs/>
                <w:kern w:val="0"/>
                <w:sz w:val="24"/>
                <w:lang w:bidi="ar"/>
              </w:rPr>
              <w:t>年）》</w:t>
            </w:r>
            <w:r>
              <w:rPr>
                <w:rFonts w:hint="eastAsia" w:ascii="宋体" w:hAnsi="宋体" w:cs="宋体"/>
                <w:kern w:val="0"/>
                <w:sz w:val="24"/>
                <w:lang w:bidi="ar"/>
              </w:rPr>
              <w:t>：</w:t>
            </w:r>
          </w:p>
          <w:p>
            <w:pPr>
              <w:widowControl/>
              <w:spacing w:line="360" w:lineRule="auto"/>
              <w:ind w:firstLine="482" w:firstLineChars="200"/>
              <w:rPr>
                <w:sz w:val="24"/>
              </w:rPr>
            </w:pPr>
            <w:r>
              <w:rPr>
                <w:rFonts w:hint="eastAsia" w:cs="宋体"/>
                <w:b/>
                <w:bCs/>
                <w:kern w:val="0"/>
                <w:sz w:val="24"/>
                <w:lang w:bidi="ar"/>
              </w:rPr>
              <w:t>（</w:t>
            </w:r>
            <w:r>
              <w:rPr>
                <w:b/>
                <w:bCs/>
                <w:kern w:val="0"/>
                <w:sz w:val="24"/>
                <w:lang w:bidi="ar"/>
              </w:rPr>
              <w:t>1</w:t>
            </w:r>
            <w:r>
              <w:rPr>
                <w:rFonts w:hint="eastAsia" w:cs="宋体"/>
                <w:b/>
                <w:bCs/>
                <w:kern w:val="0"/>
                <w:sz w:val="24"/>
                <w:lang w:bidi="ar"/>
              </w:rPr>
              <w:t>）规划简介</w:t>
            </w:r>
          </w:p>
          <w:p>
            <w:pPr>
              <w:widowControl/>
              <w:spacing w:line="360" w:lineRule="auto"/>
              <w:ind w:firstLine="480" w:firstLineChars="200"/>
              <w:rPr>
                <w:sz w:val="24"/>
              </w:rPr>
            </w:pPr>
            <w:r>
              <w:rPr>
                <w:rFonts w:hint="eastAsia" w:cs="宋体"/>
                <w:kern w:val="0"/>
                <w:sz w:val="24"/>
                <w:lang w:bidi="ar"/>
              </w:rPr>
              <w:t>根据中共云南省政府《云南省人民政府关于推动产业园区转型升级的意见》、《云南省牛栏江保护条例》和《牛栏江流域（云南段）水环境保护规划》的要求，以保护生态环境为前提，发展县域工业经济；云南省融入国家“一带一路”倡议</w:t>
            </w:r>
            <w:bookmarkStart w:id="21" w:name="_GoBack"/>
            <w:bookmarkEnd w:id="21"/>
            <w:r>
              <w:rPr>
                <w:rFonts w:hint="eastAsia" w:cs="宋体"/>
                <w:kern w:val="0"/>
                <w:sz w:val="24"/>
                <w:lang w:bidi="ar"/>
              </w:rPr>
              <w:t>，实施</w:t>
            </w:r>
            <w:r>
              <w:rPr>
                <w:rFonts w:hint="eastAsia"/>
                <w:kern w:val="0"/>
                <w:sz w:val="24"/>
                <w:lang w:bidi="ar"/>
              </w:rPr>
              <w:t>“</w:t>
            </w:r>
            <w:r>
              <w:rPr>
                <w:rFonts w:hint="eastAsia" w:cs="宋体"/>
                <w:kern w:val="0"/>
                <w:sz w:val="24"/>
                <w:lang w:bidi="ar"/>
              </w:rPr>
              <w:t>一核两翼三轴两区</w:t>
            </w:r>
            <w:r>
              <w:rPr>
                <w:rFonts w:hint="eastAsia"/>
                <w:kern w:val="0"/>
                <w:sz w:val="24"/>
                <w:lang w:bidi="ar"/>
              </w:rPr>
              <w:t>”</w:t>
            </w:r>
            <w:r>
              <w:rPr>
                <w:rFonts w:hint="eastAsia" w:cs="宋体"/>
                <w:kern w:val="0"/>
                <w:sz w:val="24"/>
                <w:lang w:bidi="ar"/>
              </w:rPr>
              <w:t>工业发展格局，为了与《寻甸县国民经济</w:t>
            </w:r>
            <w:r>
              <w:rPr>
                <w:rFonts w:hint="eastAsia"/>
                <w:kern w:val="0"/>
                <w:sz w:val="24"/>
                <w:lang w:bidi="ar"/>
              </w:rPr>
              <w:t>“</w:t>
            </w:r>
            <w:r>
              <w:rPr>
                <w:rFonts w:hint="eastAsia" w:cs="宋体"/>
                <w:kern w:val="0"/>
                <w:sz w:val="24"/>
                <w:lang w:bidi="ar"/>
              </w:rPr>
              <w:t>十三五</w:t>
            </w:r>
            <w:r>
              <w:rPr>
                <w:rFonts w:hint="eastAsia"/>
                <w:kern w:val="0"/>
                <w:sz w:val="24"/>
                <w:lang w:bidi="ar"/>
              </w:rPr>
              <w:t>”</w:t>
            </w:r>
            <w:r>
              <w:rPr>
                <w:rFonts w:hint="eastAsia" w:cs="宋体"/>
                <w:kern w:val="0"/>
                <w:sz w:val="24"/>
                <w:lang w:bidi="ar"/>
              </w:rPr>
              <w:t>发展规划纲要》相符合，寻甸县委、县政府决定对原有的两个规划进行修编，由寻甸特色产业园区管理委员会委托昆明开发规划设计院在《寻甸特色产业园区总体规划（</w:t>
            </w:r>
            <w:r>
              <w:rPr>
                <w:kern w:val="0"/>
                <w:sz w:val="24"/>
                <w:lang w:bidi="ar"/>
              </w:rPr>
              <w:t>2006-2020</w:t>
            </w:r>
            <w:r>
              <w:rPr>
                <w:rFonts w:hint="eastAsia" w:cs="宋体"/>
                <w:kern w:val="0"/>
                <w:sz w:val="24"/>
                <w:lang w:bidi="ar"/>
              </w:rPr>
              <w:t>）》和《寻甸特色产业园区装备制造园专项规划（</w:t>
            </w:r>
            <w:r>
              <w:rPr>
                <w:kern w:val="0"/>
                <w:sz w:val="24"/>
                <w:lang w:bidi="ar"/>
              </w:rPr>
              <w:t>2009-2025</w:t>
            </w:r>
            <w:r>
              <w:rPr>
                <w:rFonts w:hint="eastAsia" w:cs="宋体"/>
                <w:kern w:val="0"/>
                <w:sz w:val="24"/>
                <w:lang w:bidi="ar"/>
              </w:rPr>
              <w:t>）》的基础上编制了《寻甸特色产业园区总体规划</w:t>
            </w:r>
            <w:r>
              <w:rPr>
                <w:rFonts w:hint="eastAsia" w:ascii="宋体" w:hAnsi="宋体" w:cs="宋体"/>
                <w:kern w:val="0"/>
                <w:sz w:val="24"/>
                <w:lang w:bidi="ar"/>
              </w:rPr>
              <w:t>【修编】</w:t>
            </w:r>
            <w:r>
              <w:rPr>
                <w:rFonts w:hint="eastAsia" w:cs="宋体"/>
                <w:kern w:val="0"/>
                <w:sz w:val="24"/>
                <w:lang w:bidi="ar"/>
              </w:rPr>
              <w:t>（</w:t>
            </w:r>
            <w:r>
              <w:rPr>
                <w:kern w:val="0"/>
                <w:sz w:val="24"/>
                <w:lang w:bidi="ar"/>
              </w:rPr>
              <w:t>2018-2035</w:t>
            </w:r>
            <w:r>
              <w:rPr>
                <w:rFonts w:hint="eastAsia" w:cs="宋体"/>
                <w:kern w:val="0"/>
                <w:sz w:val="24"/>
                <w:lang w:bidi="ar"/>
              </w:rPr>
              <w:t>年）》。</w:t>
            </w:r>
          </w:p>
          <w:p>
            <w:pPr>
              <w:widowControl/>
              <w:spacing w:line="360" w:lineRule="auto"/>
              <w:ind w:firstLine="482" w:firstLineChars="200"/>
              <w:rPr>
                <w:sz w:val="24"/>
              </w:rPr>
            </w:pPr>
            <w:r>
              <w:rPr>
                <w:rFonts w:hint="eastAsia" w:cs="宋体"/>
                <w:b/>
                <w:bCs/>
                <w:kern w:val="0"/>
                <w:sz w:val="24"/>
                <w:lang w:bidi="ar"/>
              </w:rPr>
              <w:t>（</w:t>
            </w:r>
            <w:r>
              <w:rPr>
                <w:b/>
                <w:bCs/>
                <w:kern w:val="0"/>
                <w:sz w:val="24"/>
                <w:lang w:bidi="ar"/>
              </w:rPr>
              <w:t>2</w:t>
            </w:r>
            <w:r>
              <w:rPr>
                <w:rFonts w:hint="eastAsia" w:cs="宋体"/>
                <w:b/>
                <w:bCs/>
                <w:kern w:val="0"/>
                <w:sz w:val="24"/>
                <w:lang w:bidi="ar"/>
              </w:rPr>
              <w:t>）规划相关内容</w:t>
            </w:r>
          </w:p>
          <w:p>
            <w:pPr>
              <w:widowControl/>
              <w:spacing w:line="360" w:lineRule="auto"/>
              <w:ind w:firstLine="480" w:firstLineChars="200"/>
              <w:rPr>
                <w:sz w:val="24"/>
              </w:rPr>
            </w:pPr>
            <w:r>
              <w:rPr>
                <w:kern w:val="0"/>
                <w:sz w:val="24"/>
                <w:lang w:bidi="ar"/>
              </w:rPr>
              <w:t>1</w:t>
            </w:r>
            <w:r>
              <w:rPr>
                <w:rFonts w:hint="eastAsia" w:cs="宋体"/>
                <w:kern w:val="0"/>
                <w:sz w:val="24"/>
                <w:lang w:bidi="ar"/>
              </w:rPr>
              <w:t>）规划空间结构</w:t>
            </w:r>
          </w:p>
          <w:p>
            <w:pPr>
              <w:widowControl/>
              <w:spacing w:line="360" w:lineRule="auto"/>
              <w:ind w:firstLine="480" w:firstLineChars="200"/>
              <w:rPr>
                <w:sz w:val="24"/>
              </w:rPr>
            </w:pPr>
            <w:r>
              <w:rPr>
                <w:rFonts w:hint="eastAsia" w:cs="宋体"/>
                <w:kern w:val="0"/>
                <w:sz w:val="24"/>
                <w:lang w:bidi="ar"/>
              </w:rPr>
              <w:t>结合云南省对工业园区的</w:t>
            </w:r>
            <w:r>
              <w:rPr>
                <w:rFonts w:hint="eastAsia"/>
                <w:kern w:val="0"/>
                <w:sz w:val="24"/>
                <w:lang w:bidi="ar"/>
              </w:rPr>
              <w:t>“</w:t>
            </w:r>
            <w:r>
              <w:rPr>
                <w:rFonts w:hint="eastAsia" w:cs="宋体"/>
                <w:kern w:val="0"/>
                <w:sz w:val="24"/>
                <w:lang w:bidi="ar"/>
              </w:rPr>
              <w:t>瘦身强体</w:t>
            </w:r>
            <w:r>
              <w:rPr>
                <w:rFonts w:hint="eastAsia"/>
                <w:kern w:val="0"/>
                <w:sz w:val="24"/>
                <w:lang w:bidi="ar"/>
              </w:rPr>
              <w:t>”</w:t>
            </w:r>
            <w:r>
              <w:rPr>
                <w:rFonts w:hint="eastAsia" w:cs="宋体"/>
                <w:kern w:val="0"/>
                <w:sz w:val="24"/>
                <w:lang w:bidi="ar"/>
              </w:rPr>
              <w:t>，集中精力做好核心区的发展要求，寻甸特色产业园区规划为</w:t>
            </w:r>
            <w:r>
              <w:rPr>
                <w:rFonts w:hint="eastAsia"/>
                <w:kern w:val="0"/>
                <w:sz w:val="24"/>
                <w:lang w:bidi="ar"/>
              </w:rPr>
              <w:t>“</w:t>
            </w:r>
            <w:r>
              <w:rPr>
                <w:rFonts w:hint="eastAsia" w:cs="宋体"/>
                <w:kern w:val="0"/>
                <w:sz w:val="24"/>
                <w:lang w:bidi="ar"/>
              </w:rPr>
              <w:t>一园两片区</w:t>
            </w:r>
            <w:r>
              <w:rPr>
                <w:rFonts w:hint="eastAsia"/>
                <w:kern w:val="0"/>
                <w:sz w:val="24"/>
                <w:lang w:bidi="ar"/>
              </w:rPr>
              <w:t>”</w:t>
            </w:r>
            <w:r>
              <w:rPr>
                <w:rFonts w:hint="eastAsia" w:cs="宋体"/>
                <w:kern w:val="0"/>
                <w:sz w:val="24"/>
                <w:lang w:bidi="ar"/>
              </w:rPr>
              <w:t>的空间结构：一园：即寻甸特色产业园区；两片区：金所片区、羊街片区。</w:t>
            </w:r>
          </w:p>
          <w:p>
            <w:pPr>
              <w:widowControl/>
              <w:spacing w:line="360" w:lineRule="auto"/>
              <w:ind w:firstLine="480" w:firstLineChars="200"/>
              <w:rPr>
                <w:sz w:val="24"/>
              </w:rPr>
            </w:pPr>
            <w:r>
              <w:rPr>
                <w:kern w:val="0"/>
                <w:sz w:val="24"/>
                <w:lang w:bidi="ar"/>
              </w:rPr>
              <w:t>2</w:t>
            </w:r>
            <w:r>
              <w:rPr>
                <w:rFonts w:hint="eastAsia" w:cs="宋体"/>
                <w:kern w:val="0"/>
                <w:sz w:val="24"/>
                <w:lang w:bidi="ar"/>
              </w:rPr>
              <w:t>）规划范围</w:t>
            </w:r>
          </w:p>
          <w:p>
            <w:pPr>
              <w:widowControl/>
              <w:spacing w:line="360" w:lineRule="auto"/>
              <w:ind w:firstLine="480" w:firstLineChars="200"/>
              <w:rPr>
                <w:sz w:val="24"/>
              </w:rPr>
            </w:pPr>
            <w:r>
              <w:rPr>
                <w:rFonts w:hint="eastAsia" w:cs="宋体"/>
                <w:kern w:val="0"/>
                <w:sz w:val="24"/>
                <w:lang w:bidi="ar"/>
              </w:rPr>
              <w:t>寻甸特色产业园区规划总用地面积为</w:t>
            </w:r>
            <w:r>
              <w:rPr>
                <w:kern w:val="0"/>
                <w:sz w:val="24"/>
                <w:lang w:bidi="ar"/>
              </w:rPr>
              <w:t>18.23</w:t>
            </w:r>
            <w:r>
              <w:rPr>
                <w:rFonts w:hint="eastAsia" w:cs="宋体"/>
                <w:kern w:val="0"/>
                <w:sz w:val="24"/>
                <w:lang w:bidi="ar"/>
              </w:rPr>
              <w:t>平方公里（</w:t>
            </w:r>
            <w:r>
              <w:rPr>
                <w:kern w:val="0"/>
                <w:sz w:val="24"/>
                <w:lang w:bidi="ar"/>
              </w:rPr>
              <w:t>1822.84hm</w:t>
            </w:r>
            <w:r>
              <w:rPr>
                <w:kern w:val="0"/>
                <w:sz w:val="24"/>
                <w:szCs w:val="15"/>
                <w:vertAlign w:val="superscript"/>
                <w:lang w:bidi="ar"/>
              </w:rPr>
              <w:t>2</w:t>
            </w:r>
            <w:r>
              <w:rPr>
                <w:rFonts w:hint="eastAsia" w:cs="宋体"/>
                <w:kern w:val="0"/>
                <w:sz w:val="24"/>
                <w:lang w:bidi="ar"/>
              </w:rPr>
              <w:t>），包括两个片区，具体范围如下：</w:t>
            </w:r>
          </w:p>
          <w:p>
            <w:pPr>
              <w:widowControl/>
              <w:spacing w:line="360" w:lineRule="auto"/>
              <w:ind w:firstLine="480" w:firstLineChars="200"/>
              <w:rPr>
                <w:rFonts w:cs="宋体"/>
                <w:kern w:val="0"/>
                <w:sz w:val="24"/>
                <w:lang w:bidi="ar"/>
              </w:rPr>
            </w:pPr>
            <w:r>
              <w:rPr>
                <w:rFonts w:hint="eastAsia" w:cs="宋体"/>
                <w:kern w:val="0"/>
                <w:sz w:val="24"/>
                <w:lang w:bidi="ar"/>
              </w:rPr>
              <w:t>①金所片区</w:t>
            </w:r>
          </w:p>
          <w:p>
            <w:pPr>
              <w:widowControl/>
              <w:spacing w:line="360" w:lineRule="auto"/>
              <w:ind w:firstLine="480" w:firstLineChars="200"/>
              <w:rPr>
                <w:sz w:val="24"/>
              </w:rPr>
            </w:pPr>
            <w:r>
              <w:rPr>
                <w:rFonts w:hint="eastAsia" w:cs="宋体"/>
                <w:kern w:val="0"/>
                <w:sz w:val="24"/>
                <w:lang w:bidi="ar"/>
              </w:rPr>
              <w:t>规划范围</w:t>
            </w:r>
            <w:r>
              <w:rPr>
                <w:rFonts w:hint="eastAsia"/>
                <w:kern w:val="0"/>
                <w:sz w:val="24"/>
                <w:lang w:bidi="ar"/>
              </w:rPr>
              <w:t>：</w:t>
            </w:r>
            <w:r>
              <w:rPr>
                <w:rFonts w:hint="eastAsia" w:cs="宋体"/>
                <w:kern w:val="0"/>
                <w:sz w:val="24"/>
                <w:lang w:bidi="ar"/>
              </w:rPr>
              <w:t>位于金所街道办事处北侧，东至渝昆高速，南至金所收费站及金柯线一带，西至谓所村，北至种羊场围栏，规划占地面积</w:t>
            </w:r>
            <w:r>
              <w:rPr>
                <w:kern w:val="0"/>
                <w:sz w:val="24"/>
                <w:lang w:bidi="ar"/>
              </w:rPr>
              <w:t>9.59</w:t>
            </w:r>
            <w:r>
              <w:rPr>
                <w:rFonts w:hint="eastAsia" w:cs="宋体"/>
                <w:kern w:val="0"/>
                <w:sz w:val="24"/>
                <w:lang w:bidi="ar"/>
              </w:rPr>
              <w:t>平方公里。</w:t>
            </w:r>
          </w:p>
          <w:p>
            <w:pPr>
              <w:widowControl/>
              <w:spacing w:line="360" w:lineRule="auto"/>
              <w:ind w:firstLine="480" w:firstLineChars="200"/>
              <w:rPr>
                <w:sz w:val="24"/>
              </w:rPr>
            </w:pPr>
            <w:r>
              <w:rPr>
                <w:rFonts w:hint="eastAsia" w:cs="宋体"/>
                <w:kern w:val="0"/>
                <w:sz w:val="24"/>
                <w:lang w:bidi="ar"/>
              </w:rPr>
              <w:t>功能定位</w:t>
            </w:r>
            <w:r>
              <w:rPr>
                <w:rFonts w:hint="eastAsia"/>
                <w:kern w:val="0"/>
                <w:sz w:val="24"/>
                <w:lang w:bidi="ar"/>
              </w:rPr>
              <w:t>：</w:t>
            </w:r>
            <w:r>
              <w:rPr>
                <w:rFonts w:hint="eastAsia" w:cs="宋体"/>
                <w:kern w:val="0"/>
                <w:sz w:val="24"/>
                <w:lang w:bidi="ar"/>
              </w:rPr>
              <w:t>以服务现状企业、发展新型建材、现代家居制造、新型能源产业为主。</w:t>
            </w:r>
          </w:p>
          <w:p>
            <w:pPr>
              <w:widowControl/>
              <w:spacing w:line="360" w:lineRule="auto"/>
              <w:ind w:firstLine="480" w:firstLineChars="200"/>
              <w:rPr>
                <w:sz w:val="24"/>
              </w:rPr>
            </w:pPr>
            <w:r>
              <w:rPr>
                <w:rFonts w:hint="eastAsia" w:cs="宋体"/>
                <w:kern w:val="0"/>
                <w:sz w:val="24"/>
                <w:lang w:bidi="ar"/>
              </w:rPr>
              <w:t>②羊街片区</w:t>
            </w:r>
          </w:p>
          <w:p>
            <w:pPr>
              <w:widowControl/>
              <w:spacing w:line="360" w:lineRule="auto"/>
              <w:ind w:firstLine="480" w:firstLineChars="200"/>
              <w:rPr>
                <w:sz w:val="24"/>
              </w:rPr>
            </w:pPr>
            <w:r>
              <w:rPr>
                <w:rFonts w:hint="eastAsia" w:cs="宋体"/>
                <w:kern w:val="0"/>
                <w:sz w:val="24"/>
                <w:lang w:bidi="ar"/>
              </w:rPr>
              <w:t>规划范围</w:t>
            </w:r>
            <w:r>
              <w:rPr>
                <w:rFonts w:hint="eastAsia"/>
                <w:kern w:val="0"/>
                <w:sz w:val="24"/>
                <w:lang w:bidi="ar"/>
              </w:rPr>
              <w:t>：</w:t>
            </w:r>
            <w:r>
              <w:rPr>
                <w:rFonts w:hint="eastAsia" w:cs="宋体"/>
                <w:kern w:val="0"/>
                <w:sz w:val="24"/>
                <w:lang w:bidi="ar"/>
              </w:rPr>
              <w:t>位于羊街镇东北侧，规划区东至丰乐村一带，南至观音山，西邻渝昆高速，北至狮子山脚下，规划占地面积</w:t>
            </w:r>
            <w:r>
              <w:rPr>
                <w:kern w:val="0"/>
                <w:sz w:val="24"/>
                <w:lang w:bidi="ar"/>
              </w:rPr>
              <w:t>8.64</w:t>
            </w:r>
            <w:r>
              <w:rPr>
                <w:rFonts w:hint="eastAsia" w:cs="宋体"/>
                <w:kern w:val="0"/>
                <w:sz w:val="24"/>
                <w:lang w:bidi="ar"/>
              </w:rPr>
              <w:t>平方公里。</w:t>
            </w:r>
          </w:p>
          <w:p>
            <w:pPr>
              <w:widowControl/>
              <w:spacing w:line="360" w:lineRule="auto"/>
              <w:ind w:firstLine="480" w:firstLineChars="200"/>
              <w:rPr>
                <w:sz w:val="24"/>
              </w:rPr>
            </w:pPr>
            <w:r>
              <w:rPr>
                <w:rFonts w:hint="eastAsia" w:cs="宋体"/>
                <w:kern w:val="0"/>
                <w:sz w:val="24"/>
                <w:lang w:bidi="ar"/>
              </w:rPr>
              <w:t>功能定位</w:t>
            </w:r>
            <w:r>
              <w:rPr>
                <w:rFonts w:hint="eastAsia"/>
                <w:kern w:val="0"/>
                <w:sz w:val="24"/>
                <w:lang w:bidi="ar"/>
              </w:rPr>
              <w:t>：</w:t>
            </w:r>
            <w:r>
              <w:rPr>
                <w:rFonts w:hint="eastAsia" w:cs="宋体"/>
                <w:kern w:val="0"/>
                <w:sz w:val="24"/>
                <w:lang w:bidi="ar"/>
              </w:rPr>
              <w:t>以先进装备制造和家居制造产业为主。</w:t>
            </w:r>
          </w:p>
          <w:p>
            <w:pPr>
              <w:widowControl/>
              <w:spacing w:line="360" w:lineRule="auto"/>
              <w:ind w:firstLine="480" w:firstLineChars="200"/>
              <w:rPr>
                <w:sz w:val="24"/>
              </w:rPr>
            </w:pPr>
            <w:r>
              <w:rPr>
                <w:kern w:val="0"/>
                <w:sz w:val="24"/>
                <w:lang w:bidi="ar"/>
              </w:rPr>
              <w:t>3</w:t>
            </w:r>
            <w:r>
              <w:rPr>
                <w:rFonts w:hint="eastAsia" w:cs="宋体"/>
                <w:kern w:val="0"/>
                <w:sz w:val="24"/>
                <w:lang w:bidi="ar"/>
              </w:rPr>
              <w:t>）园区总体定位</w:t>
            </w:r>
          </w:p>
          <w:p>
            <w:pPr>
              <w:widowControl/>
              <w:spacing w:line="360" w:lineRule="auto"/>
              <w:ind w:firstLine="480" w:firstLineChars="200"/>
              <w:rPr>
                <w:sz w:val="24"/>
              </w:rPr>
            </w:pPr>
            <w:r>
              <w:rPr>
                <w:rFonts w:hint="eastAsia" w:cs="宋体"/>
                <w:kern w:val="0"/>
                <w:sz w:val="24"/>
                <w:lang w:bidi="ar"/>
              </w:rPr>
              <w:t>云南省重要的新能源及有关配套先进装备制造基地，是以先进装备制造为主导、特色消费品制造为辅助的现代化特色产业园区。</w:t>
            </w:r>
          </w:p>
          <w:p>
            <w:pPr>
              <w:widowControl/>
              <w:spacing w:line="360" w:lineRule="auto"/>
              <w:ind w:firstLine="480" w:firstLineChars="200"/>
              <w:rPr>
                <w:sz w:val="24"/>
              </w:rPr>
            </w:pPr>
            <w:r>
              <w:rPr>
                <w:kern w:val="0"/>
                <w:sz w:val="24"/>
                <w:lang w:bidi="ar"/>
              </w:rPr>
              <w:t>4</w:t>
            </w:r>
            <w:r>
              <w:rPr>
                <w:rFonts w:hint="eastAsia" w:cs="宋体"/>
                <w:kern w:val="0"/>
                <w:sz w:val="24"/>
                <w:lang w:bidi="ar"/>
              </w:rPr>
              <w:t>）规划功能布局及产业发展方向</w:t>
            </w:r>
          </w:p>
          <w:p>
            <w:pPr>
              <w:widowControl/>
              <w:spacing w:line="360" w:lineRule="auto"/>
              <w:ind w:firstLine="480" w:firstLineChars="200"/>
              <w:rPr>
                <w:sz w:val="24"/>
              </w:rPr>
            </w:pPr>
            <w:r>
              <w:rPr>
                <w:rFonts w:hint="eastAsia" w:cs="宋体"/>
                <w:kern w:val="0"/>
                <w:sz w:val="24"/>
                <w:lang w:bidi="ar"/>
              </w:rPr>
              <w:t>金所片区：以现状煤、磷、盐化工产业和新型建材、现代家居制造产业为主。依照产业功能分为现状产业区、新型建材、现代家居制造产业区，规划一个综合配套服务中心。</w:t>
            </w:r>
          </w:p>
          <w:p>
            <w:pPr>
              <w:widowControl/>
              <w:spacing w:line="360" w:lineRule="auto"/>
              <w:ind w:firstLine="480" w:firstLineChars="200"/>
              <w:rPr>
                <w:rFonts w:cs="宋体"/>
                <w:kern w:val="0"/>
                <w:sz w:val="24"/>
                <w:szCs w:val="21"/>
              </w:rPr>
            </w:pPr>
            <w:r>
              <w:rPr>
                <w:rFonts w:hint="eastAsia" w:cs="宋体"/>
                <w:kern w:val="0"/>
                <w:sz w:val="24"/>
                <w:lang w:bidi="ar"/>
              </w:rPr>
              <w:t>羊街片区：羊街片区规划分为三个区，分别为先进装备制造区、家居制造区和一个配套服务区</w:t>
            </w:r>
            <w:r>
              <w:rPr>
                <w:rFonts w:hint="eastAsia" w:ascii="宋体" w:hAnsi="宋体" w:cs="宋体"/>
                <w:kern w:val="0"/>
                <w:sz w:val="24"/>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81" w:hRule="atLeast"/>
          <w:jc w:val="center"/>
        </w:trPr>
        <w:tc>
          <w:tcPr>
            <w:tcW w:w="685" w:type="pct"/>
            <w:vAlign w:val="center"/>
          </w:tcPr>
          <w:p>
            <w:pPr>
              <w:adjustRightInd w:val="0"/>
              <w:jc w:val="center"/>
              <w:rPr>
                <w:rFonts w:cs="宋体"/>
                <w:kern w:val="0"/>
                <w:sz w:val="24"/>
                <w:szCs w:val="21"/>
              </w:rPr>
            </w:pPr>
            <w:r>
              <w:rPr>
                <w:rFonts w:hint="eastAsia" w:cs="宋体"/>
                <w:sz w:val="24"/>
                <w:szCs w:val="21"/>
              </w:rPr>
              <w:t>规划环境影响评价情况</w:t>
            </w:r>
          </w:p>
        </w:tc>
        <w:tc>
          <w:tcPr>
            <w:tcW w:w="4315" w:type="pct"/>
            <w:gridSpan w:val="3"/>
            <w:vAlign w:val="center"/>
          </w:tcPr>
          <w:p>
            <w:pPr>
              <w:widowControl/>
              <w:spacing w:before="120" w:beforeLines="50" w:line="360" w:lineRule="auto"/>
              <w:ind w:firstLine="482" w:firstLineChars="200"/>
              <w:rPr>
                <w:sz w:val="24"/>
              </w:rPr>
            </w:pPr>
            <w:r>
              <w:rPr>
                <w:b/>
                <w:bCs/>
                <w:kern w:val="0"/>
                <w:sz w:val="24"/>
                <w:lang w:bidi="ar"/>
              </w:rPr>
              <w:t>1</w:t>
            </w:r>
            <w:r>
              <w:rPr>
                <w:rFonts w:hint="eastAsia" w:cs="宋体"/>
                <w:b/>
                <w:bCs/>
                <w:kern w:val="0"/>
                <w:sz w:val="24"/>
                <w:lang w:bidi="ar"/>
              </w:rPr>
              <w:t>、规划环境影响评价文件名称：</w:t>
            </w:r>
            <w:r>
              <w:rPr>
                <w:rFonts w:hint="eastAsia" w:cs="宋体"/>
                <w:kern w:val="0"/>
                <w:sz w:val="24"/>
                <w:lang w:bidi="ar"/>
              </w:rPr>
              <w:t>《寻甸特色产业园区总体规划</w:t>
            </w:r>
            <w:r>
              <w:rPr>
                <w:rFonts w:hint="eastAsia" w:ascii="宋体" w:hAnsi="宋体" w:cs="宋体"/>
                <w:kern w:val="0"/>
                <w:sz w:val="24"/>
                <w:lang w:bidi="ar"/>
              </w:rPr>
              <w:t>【修编】</w:t>
            </w:r>
            <w:r>
              <w:rPr>
                <w:rFonts w:hint="eastAsia" w:cs="宋体"/>
                <w:kern w:val="0"/>
                <w:sz w:val="24"/>
                <w:lang w:bidi="ar"/>
              </w:rPr>
              <w:t>（</w:t>
            </w:r>
            <w:r>
              <w:rPr>
                <w:kern w:val="0"/>
                <w:sz w:val="24"/>
                <w:lang w:bidi="ar"/>
              </w:rPr>
              <w:t>2018-2035</w:t>
            </w:r>
            <w:r>
              <w:rPr>
                <w:rFonts w:hint="eastAsia" w:cs="宋体"/>
                <w:kern w:val="0"/>
                <w:sz w:val="24"/>
                <w:lang w:bidi="ar"/>
              </w:rPr>
              <w:t>年）环境影响报告书》；</w:t>
            </w:r>
          </w:p>
          <w:p>
            <w:pPr>
              <w:widowControl/>
              <w:spacing w:line="360" w:lineRule="auto"/>
              <w:ind w:firstLine="482" w:firstLineChars="200"/>
              <w:rPr>
                <w:sz w:val="24"/>
              </w:rPr>
            </w:pPr>
            <w:r>
              <w:rPr>
                <w:b/>
                <w:bCs/>
                <w:kern w:val="0"/>
                <w:sz w:val="24"/>
                <w:lang w:bidi="ar"/>
              </w:rPr>
              <w:t>2</w:t>
            </w:r>
            <w:r>
              <w:rPr>
                <w:rFonts w:hint="eastAsia" w:cs="宋体"/>
                <w:b/>
                <w:bCs/>
                <w:kern w:val="0"/>
                <w:sz w:val="24"/>
                <w:lang w:bidi="ar"/>
              </w:rPr>
              <w:t>、审查机关：</w:t>
            </w:r>
            <w:r>
              <w:rPr>
                <w:rFonts w:hint="eastAsia" w:cs="宋体"/>
                <w:kern w:val="0"/>
                <w:sz w:val="24"/>
                <w:lang w:bidi="ar"/>
              </w:rPr>
              <w:t>云南省生态环境厅；</w:t>
            </w:r>
          </w:p>
          <w:p>
            <w:pPr>
              <w:widowControl/>
              <w:spacing w:line="360" w:lineRule="auto"/>
              <w:ind w:firstLine="482" w:firstLineChars="200"/>
              <w:rPr>
                <w:rFonts w:cs="宋体"/>
                <w:kern w:val="0"/>
                <w:sz w:val="24"/>
                <w:szCs w:val="21"/>
              </w:rPr>
            </w:pPr>
            <w:r>
              <w:rPr>
                <w:b/>
                <w:bCs/>
                <w:kern w:val="0"/>
                <w:sz w:val="24"/>
                <w:lang w:bidi="ar"/>
              </w:rPr>
              <w:t>3</w:t>
            </w:r>
            <w:r>
              <w:rPr>
                <w:rFonts w:hint="eastAsia" w:cs="宋体"/>
                <w:b/>
                <w:bCs/>
                <w:kern w:val="0"/>
                <w:sz w:val="24"/>
                <w:lang w:bidi="ar"/>
              </w:rPr>
              <w:t>、审查文件名称及文号：</w:t>
            </w:r>
            <w:r>
              <w:rPr>
                <w:rFonts w:hint="eastAsia" w:cs="宋体"/>
                <w:kern w:val="0"/>
                <w:sz w:val="24"/>
                <w:lang w:bidi="ar"/>
              </w:rPr>
              <w:t>云南省生态环境厅关于《寻甸特色产业园区总体规划</w:t>
            </w:r>
            <w:r>
              <w:rPr>
                <w:rFonts w:hint="eastAsia" w:cs="宋体"/>
                <w:bCs/>
                <w:kern w:val="0"/>
                <w:sz w:val="24"/>
                <w:lang w:bidi="ar"/>
              </w:rPr>
              <w:t>修编</w:t>
            </w:r>
            <w:r>
              <w:rPr>
                <w:rFonts w:hint="eastAsia" w:cs="宋体"/>
                <w:kern w:val="0"/>
                <w:sz w:val="24"/>
                <w:lang w:bidi="ar"/>
              </w:rPr>
              <w:t>（</w:t>
            </w:r>
            <w:r>
              <w:rPr>
                <w:kern w:val="0"/>
                <w:sz w:val="24"/>
                <w:lang w:bidi="ar"/>
              </w:rPr>
              <w:t>2018-2035</w:t>
            </w:r>
            <w:r>
              <w:rPr>
                <w:rFonts w:hint="eastAsia" w:cs="宋体"/>
                <w:kern w:val="0"/>
                <w:sz w:val="24"/>
                <w:lang w:bidi="ar"/>
              </w:rPr>
              <w:t>年）环境影响报告书》审查意见的函（云环函</w:t>
            </w:r>
            <w:r>
              <w:rPr>
                <w:rFonts w:hint="eastAsia" w:cs="宋体"/>
                <w:bCs/>
                <w:kern w:val="0"/>
                <w:sz w:val="24"/>
                <w:lang w:bidi="ar"/>
              </w:rPr>
              <w:t>〔</w:t>
            </w:r>
            <w:r>
              <w:rPr>
                <w:bCs/>
                <w:kern w:val="0"/>
                <w:sz w:val="24"/>
                <w:lang w:bidi="ar"/>
              </w:rPr>
              <w:t>2020</w:t>
            </w:r>
            <w:r>
              <w:rPr>
                <w:rFonts w:hint="eastAsia"/>
                <w:bCs/>
                <w:kern w:val="0"/>
                <w:sz w:val="24"/>
                <w:lang w:bidi="ar"/>
              </w:rPr>
              <w:t>〕</w:t>
            </w:r>
            <w:r>
              <w:rPr>
                <w:kern w:val="0"/>
                <w:sz w:val="24"/>
                <w:lang w:bidi="ar"/>
              </w:rPr>
              <w:t>261</w:t>
            </w:r>
            <w:r>
              <w:rPr>
                <w:rFonts w:hint="eastAsia" w:cs="宋体"/>
                <w:kern w:val="0"/>
                <w:sz w:val="24"/>
                <w:lang w:bidi="ar"/>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79" w:hRule="atLeast"/>
          <w:jc w:val="center"/>
        </w:trPr>
        <w:tc>
          <w:tcPr>
            <w:tcW w:w="685" w:type="pct"/>
            <w:vAlign w:val="center"/>
          </w:tcPr>
          <w:p>
            <w:pPr>
              <w:autoSpaceDE w:val="0"/>
              <w:autoSpaceDN w:val="0"/>
              <w:adjustRightInd w:val="0"/>
              <w:jc w:val="center"/>
              <w:rPr>
                <w:rFonts w:cs="宋体"/>
                <w:kern w:val="0"/>
                <w:sz w:val="24"/>
                <w:szCs w:val="21"/>
              </w:rPr>
            </w:pPr>
            <w:r>
              <w:rPr>
                <w:rFonts w:hint="eastAsia" w:cs="宋体"/>
                <w:kern w:val="0"/>
                <w:sz w:val="24"/>
                <w:szCs w:val="21"/>
              </w:rPr>
              <w:t>规划及规划环境影响评价符合性分析</w:t>
            </w:r>
          </w:p>
        </w:tc>
        <w:tc>
          <w:tcPr>
            <w:tcW w:w="4315" w:type="pct"/>
            <w:gridSpan w:val="3"/>
            <w:vAlign w:val="center"/>
          </w:tcPr>
          <w:p>
            <w:pPr>
              <w:widowControl/>
              <w:spacing w:before="120" w:beforeLines="50" w:line="360" w:lineRule="auto"/>
              <w:ind w:firstLine="482" w:firstLineChars="200"/>
              <w:rPr>
                <w:sz w:val="24"/>
              </w:rPr>
            </w:pPr>
            <w:r>
              <w:rPr>
                <w:b/>
                <w:bCs/>
                <w:kern w:val="0"/>
                <w:sz w:val="24"/>
                <w:lang w:bidi="ar"/>
              </w:rPr>
              <w:t>1</w:t>
            </w:r>
            <w:r>
              <w:rPr>
                <w:rFonts w:hint="eastAsia" w:cs="宋体"/>
                <w:b/>
                <w:bCs/>
                <w:kern w:val="0"/>
                <w:sz w:val="24"/>
                <w:lang w:bidi="ar"/>
              </w:rPr>
              <w:t>、与《寻甸特色产业园区总体规划【修编】（</w:t>
            </w:r>
            <w:r>
              <w:rPr>
                <w:b/>
                <w:bCs/>
                <w:kern w:val="0"/>
                <w:sz w:val="24"/>
                <w:lang w:bidi="ar"/>
              </w:rPr>
              <w:t>2018-2035</w:t>
            </w:r>
            <w:r>
              <w:rPr>
                <w:rFonts w:hint="eastAsia" w:cs="宋体"/>
                <w:b/>
                <w:bCs/>
                <w:kern w:val="0"/>
                <w:sz w:val="24"/>
                <w:lang w:bidi="ar"/>
              </w:rPr>
              <w:t>年）》的符合性分析</w:t>
            </w:r>
          </w:p>
          <w:p>
            <w:pPr>
              <w:widowControl/>
              <w:spacing w:line="360" w:lineRule="auto"/>
              <w:ind w:firstLine="480" w:firstLineChars="200"/>
              <w:rPr>
                <w:sz w:val="24"/>
              </w:rPr>
            </w:pPr>
            <w:r>
              <w:rPr>
                <w:sz w:val="24"/>
                <w:szCs w:val="21"/>
              </w:rPr>
              <w:t>本项目</w:t>
            </w:r>
            <w:r>
              <w:rPr>
                <w:sz w:val="24"/>
              </w:rPr>
              <w:t>主要针对</w:t>
            </w:r>
            <w:r>
              <w:rPr>
                <w:rFonts w:hint="eastAsia"/>
                <w:sz w:val="24"/>
                <w:szCs w:val="21"/>
              </w:rPr>
              <w:t>现有年产5万m</w:t>
            </w:r>
            <w:r>
              <w:rPr>
                <w:rFonts w:hint="eastAsia"/>
                <w:sz w:val="24"/>
                <w:szCs w:val="21"/>
                <w:vertAlign w:val="superscript"/>
              </w:rPr>
              <w:t>3</w:t>
            </w:r>
            <w:r>
              <w:rPr>
                <w:rFonts w:hint="eastAsia"/>
                <w:sz w:val="24"/>
                <w:szCs w:val="21"/>
              </w:rPr>
              <w:t>木质刨花板制造项目</w:t>
            </w:r>
            <w:r>
              <w:rPr>
                <w:rFonts w:hint="eastAsia"/>
                <w:sz w:val="24"/>
              </w:rPr>
              <w:t>配套</w:t>
            </w:r>
            <w:r>
              <w:rPr>
                <w:sz w:val="24"/>
              </w:rPr>
              <w:t>供热工程</w:t>
            </w:r>
            <w:r>
              <w:rPr>
                <w:rFonts w:hint="eastAsia"/>
                <w:sz w:val="24"/>
              </w:rPr>
              <w:t>和</w:t>
            </w:r>
            <w:r>
              <w:rPr>
                <w:sz w:val="24"/>
              </w:rPr>
              <w:t>环保工程</w:t>
            </w:r>
            <w:r>
              <w:rPr>
                <w:rFonts w:hint="eastAsia"/>
                <w:sz w:val="24"/>
              </w:rPr>
              <w:t>进行技改</w:t>
            </w:r>
            <w:r>
              <w:rPr>
                <w:sz w:val="24"/>
              </w:rPr>
              <w:t>，</w:t>
            </w:r>
            <w:r>
              <w:rPr>
                <w:rFonts w:hint="eastAsia" w:cs="宋体"/>
                <w:kern w:val="0"/>
                <w:sz w:val="24"/>
                <w:lang w:bidi="ar"/>
              </w:rPr>
              <w:t>位于寻甸特色产业园区羊街片区现有厂区内，不新增用地，现有项目用地已规划为工业用地，羊街片区以先进装备制造和家居制造产业为主。现有项目为木质刨花板生产，刨花板主要用于生产家居制品，属于家居制造产业。</w:t>
            </w:r>
          </w:p>
          <w:p>
            <w:pPr>
              <w:widowControl/>
              <w:spacing w:line="360" w:lineRule="auto"/>
              <w:ind w:firstLine="480" w:firstLineChars="200"/>
              <w:rPr>
                <w:sz w:val="24"/>
              </w:rPr>
            </w:pPr>
            <w:r>
              <w:rPr>
                <w:rFonts w:hint="eastAsia" w:cs="宋体"/>
                <w:kern w:val="0"/>
                <w:sz w:val="24"/>
                <w:lang w:bidi="ar"/>
              </w:rPr>
              <w:t>综上分析，本项目建设与《寻甸特色产业园区总体规划（修编）（</w:t>
            </w:r>
            <w:r>
              <w:rPr>
                <w:kern w:val="0"/>
                <w:sz w:val="24"/>
                <w:lang w:bidi="ar"/>
              </w:rPr>
              <w:t>2018-2035</w:t>
            </w:r>
            <w:r>
              <w:rPr>
                <w:rFonts w:hint="eastAsia" w:cs="宋体"/>
                <w:kern w:val="0"/>
                <w:sz w:val="24"/>
                <w:lang w:bidi="ar"/>
              </w:rPr>
              <w:t>年）》不冲突。</w:t>
            </w:r>
          </w:p>
          <w:p>
            <w:pPr>
              <w:widowControl/>
              <w:spacing w:line="360" w:lineRule="auto"/>
              <w:ind w:firstLine="482" w:firstLineChars="200"/>
              <w:rPr>
                <w:sz w:val="24"/>
              </w:rPr>
            </w:pPr>
            <w:r>
              <w:rPr>
                <w:b/>
                <w:bCs/>
                <w:kern w:val="0"/>
                <w:sz w:val="24"/>
                <w:lang w:bidi="ar"/>
              </w:rPr>
              <w:t>2</w:t>
            </w:r>
            <w:r>
              <w:rPr>
                <w:rFonts w:hint="eastAsia" w:cs="宋体"/>
                <w:b/>
                <w:bCs/>
                <w:kern w:val="0"/>
                <w:sz w:val="24"/>
                <w:lang w:bidi="ar"/>
              </w:rPr>
              <w:t>、与《寻甸特色产业园区总体规划</w:t>
            </w:r>
            <w:r>
              <w:rPr>
                <w:rFonts w:hint="eastAsia" w:ascii="宋体" w:hAnsi="宋体" w:cs="宋体"/>
                <w:kern w:val="0"/>
                <w:sz w:val="24"/>
                <w:lang w:bidi="ar"/>
              </w:rPr>
              <w:t>【</w:t>
            </w:r>
            <w:r>
              <w:rPr>
                <w:rFonts w:hint="eastAsia" w:ascii="宋体" w:hAnsi="宋体" w:cs="宋体"/>
                <w:b/>
                <w:kern w:val="0"/>
                <w:sz w:val="24"/>
                <w:lang w:bidi="ar"/>
              </w:rPr>
              <w:t>修编</w:t>
            </w:r>
            <w:r>
              <w:rPr>
                <w:rFonts w:hint="eastAsia" w:ascii="宋体" w:hAnsi="宋体" w:cs="宋体"/>
                <w:kern w:val="0"/>
                <w:sz w:val="24"/>
                <w:lang w:bidi="ar"/>
              </w:rPr>
              <w:t>】</w:t>
            </w:r>
            <w:r>
              <w:rPr>
                <w:rFonts w:hint="eastAsia" w:cs="宋体"/>
                <w:b/>
                <w:bCs/>
                <w:kern w:val="0"/>
                <w:sz w:val="24"/>
                <w:lang w:bidi="ar"/>
              </w:rPr>
              <w:t>（</w:t>
            </w:r>
            <w:r>
              <w:rPr>
                <w:b/>
                <w:bCs/>
                <w:kern w:val="0"/>
                <w:sz w:val="24"/>
                <w:lang w:bidi="ar"/>
              </w:rPr>
              <w:t>2018-2035</w:t>
            </w:r>
            <w:r>
              <w:rPr>
                <w:rFonts w:hint="eastAsia" w:cs="宋体"/>
                <w:b/>
                <w:bCs/>
                <w:kern w:val="0"/>
                <w:sz w:val="24"/>
                <w:lang w:bidi="ar"/>
              </w:rPr>
              <w:t>年）环境影响报告书》及其审查意见（云环函〔</w:t>
            </w:r>
            <w:r>
              <w:rPr>
                <w:b/>
                <w:bCs/>
                <w:kern w:val="0"/>
                <w:sz w:val="24"/>
                <w:lang w:bidi="ar"/>
              </w:rPr>
              <w:t>2020</w:t>
            </w:r>
            <w:r>
              <w:rPr>
                <w:rFonts w:hint="eastAsia"/>
                <w:b/>
                <w:bCs/>
                <w:kern w:val="0"/>
                <w:sz w:val="24"/>
                <w:lang w:bidi="ar"/>
              </w:rPr>
              <w:t>〕</w:t>
            </w:r>
            <w:r>
              <w:rPr>
                <w:b/>
                <w:bCs/>
                <w:kern w:val="0"/>
                <w:sz w:val="24"/>
                <w:lang w:bidi="ar"/>
              </w:rPr>
              <w:t>261</w:t>
            </w:r>
            <w:r>
              <w:rPr>
                <w:rFonts w:hint="eastAsia" w:cs="宋体"/>
                <w:b/>
                <w:bCs/>
                <w:kern w:val="0"/>
                <w:sz w:val="24"/>
                <w:lang w:bidi="ar"/>
              </w:rPr>
              <w:t>号）符合性分析</w:t>
            </w:r>
          </w:p>
          <w:p>
            <w:pPr>
              <w:pStyle w:val="9"/>
              <w:adjustRightInd w:val="0"/>
              <w:spacing w:line="360" w:lineRule="auto"/>
              <w:ind w:firstLine="482" w:firstLineChars="200"/>
              <w:jc w:val="both"/>
            </w:pPr>
            <w:r>
              <w:rPr>
                <w:rFonts w:hint="eastAsia" w:cs="宋体"/>
                <w:b/>
                <w:bCs/>
                <w:szCs w:val="24"/>
                <w:lang w:bidi="ar"/>
              </w:rPr>
              <w:t>（</w:t>
            </w:r>
            <w:r>
              <w:rPr>
                <w:b/>
                <w:bCs/>
                <w:szCs w:val="24"/>
                <w:lang w:bidi="ar"/>
              </w:rPr>
              <w:t>1</w:t>
            </w:r>
            <w:r>
              <w:rPr>
                <w:rFonts w:hint="eastAsia" w:cs="宋体"/>
                <w:b/>
                <w:bCs/>
                <w:szCs w:val="24"/>
                <w:lang w:bidi="ar"/>
              </w:rPr>
              <w:t>）</w:t>
            </w:r>
            <w:r>
              <w:rPr>
                <w:rFonts w:hint="eastAsia" w:cs="宋体"/>
                <w:b/>
                <w:bCs/>
                <w:lang w:bidi="ar"/>
              </w:rPr>
              <w:t>与《寻甸特色产业园区总体规划</w:t>
            </w:r>
            <w:r>
              <w:rPr>
                <w:rFonts w:hint="eastAsia" w:ascii="宋体" w:hAnsi="宋体" w:cs="宋体"/>
                <w:lang w:bidi="ar"/>
              </w:rPr>
              <w:t>【修编】</w:t>
            </w:r>
            <w:r>
              <w:rPr>
                <w:rFonts w:hint="eastAsia" w:cs="宋体"/>
                <w:b/>
                <w:bCs/>
                <w:lang w:bidi="ar"/>
              </w:rPr>
              <w:t>（</w:t>
            </w:r>
            <w:r>
              <w:rPr>
                <w:b/>
                <w:bCs/>
                <w:lang w:bidi="ar"/>
              </w:rPr>
              <w:t>2018-2035</w:t>
            </w:r>
            <w:r>
              <w:rPr>
                <w:rFonts w:hint="eastAsia" w:cs="宋体"/>
                <w:b/>
                <w:bCs/>
                <w:lang w:bidi="ar"/>
              </w:rPr>
              <w:t>年）环境影响报告书》符合性</w:t>
            </w:r>
            <w:r>
              <w:rPr>
                <w:rFonts w:cs="宋体"/>
                <w:b/>
                <w:bCs/>
                <w:lang w:bidi="ar"/>
              </w:rPr>
              <w:t>分析</w:t>
            </w:r>
          </w:p>
          <w:p>
            <w:pPr>
              <w:pStyle w:val="9"/>
              <w:adjustRightInd w:val="0"/>
              <w:spacing w:before="120" w:beforeLines="50" w:line="360" w:lineRule="auto"/>
              <w:ind w:firstLine="482" w:firstLineChars="200"/>
              <w:jc w:val="both"/>
              <w:rPr>
                <w:b/>
                <w:bCs/>
              </w:rPr>
            </w:pPr>
            <w:r>
              <w:rPr>
                <w:rFonts w:hint="eastAsia"/>
                <w:b/>
                <w:bCs/>
              </w:rPr>
              <w:t>1）与报告书结论符合性分析</w:t>
            </w:r>
          </w:p>
          <w:p>
            <w:pPr>
              <w:pStyle w:val="9"/>
              <w:adjustRightInd w:val="0"/>
              <w:spacing w:line="360" w:lineRule="auto"/>
              <w:ind w:firstLine="480" w:firstLineChars="200"/>
              <w:jc w:val="both"/>
            </w:pPr>
            <w:r>
              <w:rPr>
                <w:rFonts w:hint="eastAsia"/>
              </w:rPr>
              <w:t>本项目与报告书结论符合性分析见下表1-</w:t>
            </w:r>
            <w:r>
              <w:t>2</w:t>
            </w:r>
            <w:r>
              <w:rPr>
                <w:rFonts w:hint="eastAsia"/>
              </w:rPr>
              <w:t>。</w:t>
            </w:r>
          </w:p>
          <w:p>
            <w:pPr>
              <w:pStyle w:val="9"/>
              <w:adjustRightInd w:val="0"/>
              <w:spacing w:line="360" w:lineRule="auto"/>
              <w:jc w:val="center"/>
              <w:rPr>
                <w:b/>
              </w:rPr>
            </w:pPr>
            <w:r>
              <w:rPr>
                <w:rFonts w:hint="eastAsia"/>
                <w:b/>
              </w:rPr>
              <w:t>表1-</w:t>
            </w:r>
            <w:r>
              <w:rPr>
                <w:b/>
              </w:rPr>
              <w:t xml:space="preserve">2  </w:t>
            </w:r>
            <w:r>
              <w:rPr>
                <w:rFonts w:hint="eastAsia"/>
                <w:b/>
              </w:rPr>
              <w:t>与报告书结论符合性分析一览表</w:t>
            </w:r>
          </w:p>
          <w:tbl>
            <w:tblPr>
              <w:tblStyle w:val="32"/>
              <w:tblW w:w="7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52"/>
              <w:gridCol w:w="2770"/>
              <w:gridCol w:w="3544"/>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3" w:hRule="atLeast"/>
                <w:jc w:val="center"/>
              </w:trPr>
              <w:tc>
                <w:tcPr>
                  <w:tcW w:w="852" w:type="dxa"/>
                  <w:shd w:val="clear" w:color="auto" w:fill="auto"/>
                  <w:tcMar>
                    <w:left w:w="57" w:type="dxa"/>
                    <w:right w:w="57" w:type="dxa"/>
                  </w:tcMar>
                  <w:vAlign w:val="center"/>
                </w:tcPr>
                <w:p>
                  <w:pPr>
                    <w:pStyle w:val="9"/>
                    <w:adjustRightInd w:val="0"/>
                    <w:jc w:val="center"/>
                    <w:rPr>
                      <w:b/>
                      <w:sz w:val="21"/>
                      <w:szCs w:val="21"/>
                    </w:rPr>
                  </w:pPr>
                  <w:r>
                    <w:rPr>
                      <w:b/>
                      <w:sz w:val="21"/>
                      <w:szCs w:val="21"/>
                    </w:rPr>
                    <w:t>类别</w:t>
                  </w:r>
                </w:p>
              </w:tc>
              <w:tc>
                <w:tcPr>
                  <w:tcW w:w="2770" w:type="dxa"/>
                  <w:vAlign w:val="center"/>
                </w:tcPr>
                <w:p>
                  <w:pPr>
                    <w:pStyle w:val="9"/>
                    <w:adjustRightInd w:val="0"/>
                    <w:jc w:val="center"/>
                    <w:rPr>
                      <w:b/>
                      <w:sz w:val="21"/>
                      <w:szCs w:val="21"/>
                    </w:rPr>
                  </w:pPr>
                  <w:r>
                    <w:rPr>
                      <w:b/>
                      <w:sz w:val="21"/>
                      <w:szCs w:val="21"/>
                    </w:rPr>
                    <w:t>内容要求</w:t>
                  </w:r>
                </w:p>
              </w:tc>
              <w:tc>
                <w:tcPr>
                  <w:tcW w:w="3544" w:type="dxa"/>
                  <w:shd w:val="clear" w:color="auto" w:fill="auto"/>
                  <w:tcMar>
                    <w:left w:w="57" w:type="dxa"/>
                    <w:right w:w="57" w:type="dxa"/>
                  </w:tcMar>
                  <w:vAlign w:val="center"/>
                </w:tcPr>
                <w:p>
                  <w:pPr>
                    <w:pStyle w:val="9"/>
                    <w:adjustRightInd w:val="0"/>
                    <w:jc w:val="center"/>
                    <w:rPr>
                      <w:b/>
                      <w:sz w:val="21"/>
                      <w:szCs w:val="21"/>
                    </w:rPr>
                  </w:pPr>
                  <w:r>
                    <w:rPr>
                      <w:b/>
                      <w:sz w:val="21"/>
                      <w:szCs w:val="21"/>
                    </w:rPr>
                    <w:t>本项目概况</w:t>
                  </w:r>
                </w:p>
              </w:tc>
              <w:tc>
                <w:tcPr>
                  <w:tcW w:w="775" w:type="dxa"/>
                  <w:shd w:val="clear" w:color="auto" w:fill="auto"/>
                  <w:tcMar>
                    <w:left w:w="57" w:type="dxa"/>
                    <w:right w:w="57" w:type="dxa"/>
                  </w:tcMar>
                  <w:vAlign w:val="center"/>
                </w:tcPr>
                <w:p>
                  <w:pPr>
                    <w:pStyle w:val="9"/>
                    <w:adjustRightInd w:val="0"/>
                    <w:jc w:val="center"/>
                    <w:rPr>
                      <w:b/>
                      <w:sz w:val="21"/>
                      <w:szCs w:val="21"/>
                    </w:rPr>
                  </w:pPr>
                  <w:r>
                    <w:rPr>
                      <w:b/>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3" w:hRule="atLeast"/>
                <w:jc w:val="center"/>
              </w:trPr>
              <w:tc>
                <w:tcPr>
                  <w:tcW w:w="852" w:type="dxa"/>
                  <w:shd w:val="clear" w:color="auto" w:fill="auto"/>
                  <w:tcMar>
                    <w:left w:w="57" w:type="dxa"/>
                    <w:right w:w="57" w:type="dxa"/>
                  </w:tcMar>
                  <w:vAlign w:val="center"/>
                </w:tcPr>
                <w:p>
                  <w:pPr>
                    <w:pStyle w:val="9"/>
                    <w:adjustRightInd w:val="0"/>
                    <w:jc w:val="center"/>
                    <w:rPr>
                      <w:b/>
                      <w:sz w:val="21"/>
                      <w:szCs w:val="21"/>
                    </w:rPr>
                  </w:pPr>
                  <w:r>
                    <w:rPr>
                      <w:sz w:val="21"/>
                      <w:szCs w:val="21"/>
                    </w:rPr>
                    <w:t>性质定位</w:t>
                  </w:r>
                </w:p>
              </w:tc>
              <w:tc>
                <w:tcPr>
                  <w:tcW w:w="2770" w:type="dxa"/>
                  <w:vAlign w:val="center"/>
                </w:tcPr>
                <w:p>
                  <w:pPr>
                    <w:pStyle w:val="9"/>
                    <w:adjustRightInd w:val="0"/>
                    <w:ind w:firstLine="420" w:firstLineChars="200"/>
                    <w:jc w:val="both"/>
                    <w:rPr>
                      <w:b/>
                      <w:sz w:val="21"/>
                      <w:szCs w:val="21"/>
                    </w:rPr>
                  </w:pPr>
                  <w:r>
                    <w:rPr>
                      <w:sz w:val="21"/>
                      <w:szCs w:val="21"/>
                    </w:rPr>
                    <w:t>以现状煤、磷、盐化工产业和新型建材、现代家居制造产业为主。</w:t>
                  </w:r>
                </w:p>
              </w:tc>
              <w:tc>
                <w:tcPr>
                  <w:tcW w:w="3544" w:type="dxa"/>
                  <w:shd w:val="clear" w:color="auto" w:fill="auto"/>
                  <w:tcMar>
                    <w:left w:w="57" w:type="dxa"/>
                    <w:right w:w="57" w:type="dxa"/>
                  </w:tcMar>
                  <w:vAlign w:val="center"/>
                </w:tcPr>
                <w:p>
                  <w:pPr>
                    <w:pStyle w:val="9"/>
                    <w:adjustRightInd w:val="0"/>
                    <w:ind w:firstLine="420" w:firstLineChars="200"/>
                    <w:jc w:val="both"/>
                    <w:rPr>
                      <w:bCs/>
                      <w:sz w:val="21"/>
                      <w:szCs w:val="21"/>
                    </w:rPr>
                  </w:pPr>
                  <w:r>
                    <w:rPr>
                      <w:sz w:val="21"/>
                      <w:szCs w:val="21"/>
                    </w:rPr>
                    <w:t>本项目主要针对现有</w:t>
                  </w:r>
                  <w:r>
                    <w:rPr>
                      <w:rFonts w:hint="eastAsia"/>
                      <w:sz w:val="21"/>
                      <w:szCs w:val="21"/>
                    </w:rPr>
                    <w:t>项目</w:t>
                  </w:r>
                  <w:r>
                    <w:rPr>
                      <w:sz w:val="21"/>
                      <w:szCs w:val="21"/>
                    </w:rPr>
                    <w:t>配套供热工程和环保工程进行技改</w:t>
                  </w:r>
                  <w:r>
                    <w:rPr>
                      <w:sz w:val="21"/>
                      <w:szCs w:val="21"/>
                      <w:lang w:bidi="ar"/>
                    </w:rPr>
                    <w:t>，现有</w:t>
                  </w:r>
                  <w:r>
                    <w:rPr>
                      <w:rFonts w:hint="eastAsia"/>
                      <w:sz w:val="21"/>
                      <w:szCs w:val="21"/>
                      <w:lang w:bidi="ar"/>
                    </w:rPr>
                    <w:t>项目主体工程、生产工艺及生产产品规模等均不发生改变，现有项目主要</w:t>
                  </w:r>
                  <w:r>
                    <w:rPr>
                      <w:sz w:val="21"/>
                      <w:szCs w:val="21"/>
                      <w:lang w:bidi="ar"/>
                    </w:rPr>
                    <w:t>为木质刨花板生产，</w:t>
                  </w:r>
                  <w:r>
                    <w:rPr>
                      <w:rFonts w:hint="eastAsia"/>
                      <w:sz w:val="21"/>
                      <w:szCs w:val="21"/>
                      <w:lang w:bidi="ar"/>
                    </w:rPr>
                    <w:t>刨花板主要用于生产家居制品，</w:t>
                  </w:r>
                  <w:r>
                    <w:rPr>
                      <w:sz w:val="21"/>
                      <w:szCs w:val="21"/>
                      <w:lang w:bidi="ar"/>
                    </w:rPr>
                    <w:t>属于</w:t>
                  </w:r>
                  <w:r>
                    <w:rPr>
                      <w:rFonts w:hint="eastAsia"/>
                      <w:sz w:val="21"/>
                      <w:szCs w:val="21"/>
                      <w:lang w:bidi="ar"/>
                    </w:rPr>
                    <w:t>现在</w:t>
                  </w:r>
                  <w:r>
                    <w:rPr>
                      <w:sz w:val="21"/>
                      <w:szCs w:val="21"/>
                      <w:lang w:bidi="ar"/>
                    </w:rPr>
                    <w:t>家居制造产业</w:t>
                  </w:r>
                  <w:r>
                    <w:rPr>
                      <w:rFonts w:hint="eastAsia"/>
                      <w:sz w:val="21"/>
                      <w:szCs w:val="21"/>
                      <w:lang w:bidi="ar"/>
                    </w:rPr>
                    <w:t>类</w:t>
                  </w:r>
                  <w:r>
                    <w:rPr>
                      <w:bCs/>
                      <w:sz w:val="21"/>
                      <w:szCs w:val="21"/>
                    </w:rPr>
                    <w:t>，与园区规划定位不冲突。</w:t>
                  </w:r>
                </w:p>
              </w:tc>
              <w:tc>
                <w:tcPr>
                  <w:tcW w:w="775" w:type="dxa"/>
                  <w:shd w:val="clear" w:color="auto" w:fill="auto"/>
                  <w:tcMar>
                    <w:left w:w="57" w:type="dxa"/>
                    <w:right w:w="57" w:type="dxa"/>
                  </w:tcMar>
                  <w:vAlign w:val="center"/>
                </w:tcPr>
                <w:p>
                  <w:pPr>
                    <w:pStyle w:val="9"/>
                    <w:adjustRightInd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10" w:hRule="atLeast"/>
                <w:jc w:val="center"/>
              </w:trPr>
              <w:tc>
                <w:tcPr>
                  <w:tcW w:w="852" w:type="dxa"/>
                  <w:shd w:val="clear" w:color="auto" w:fill="auto"/>
                  <w:tcMar>
                    <w:left w:w="57" w:type="dxa"/>
                    <w:right w:w="57" w:type="dxa"/>
                  </w:tcMar>
                  <w:vAlign w:val="center"/>
                </w:tcPr>
                <w:p>
                  <w:pPr>
                    <w:pStyle w:val="9"/>
                    <w:adjustRightInd w:val="0"/>
                    <w:jc w:val="center"/>
                    <w:rPr>
                      <w:sz w:val="21"/>
                      <w:szCs w:val="21"/>
                    </w:rPr>
                  </w:pPr>
                  <w:r>
                    <w:rPr>
                      <w:sz w:val="21"/>
                      <w:szCs w:val="21"/>
                    </w:rPr>
                    <w:t>地表水</w:t>
                  </w:r>
                </w:p>
              </w:tc>
              <w:tc>
                <w:tcPr>
                  <w:tcW w:w="2770" w:type="dxa"/>
                  <w:vAlign w:val="center"/>
                </w:tcPr>
                <w:p>
                  <w:pPr>
                    <w:pStyle w:val="9"/>
                    <w:adjustRightInd w:val="0"/>
                    <w:ind w:firstLine="420" w:firstLineChars="200"/>
                    <w:jc w:val="both"/>
                    <w:rPr>
                      <w:sz w:val="21"/>
                      <w:szCs w:val="21"/>
                    </w:rPr>
                  </w:pPr>
                  <w:r>
                    <w:rPr>
                      <w:sz w:val="21"/>
                      <w:szCs w:val="21"/>
                    </w:rPr>
                    <w:t>减缓措施：根据《规划修编》实施对水环境的影响分析，规划建设覆盖规划区范围的“雨污分流”排水体制。园区雨水经过雨水管网收集后汇入附近地表水体；后期入驻企业，要求企业自建污水处理设施，生产废水处理后循环回用不外排，生活污水处理达到《污水排入城市下水道水质标准》</w:t>
                  </w:r>
                  <w:r>
                    <w:rPr>
                      <w:rFonts w:hint="eastAsia"/>
                      <w:sz w:val="21"/>
                      <w:szCs w:val="21"/>
                    </w:rPr>
                    <w:t>（</w:t>
                  </w:r>
                  <w:r>
                    <w:rPr>
                      <w:sz w:val="21"/>
                      <w:szCs w:val="21"/>
                    </w:rPr>
                    <w:t>GB/T31962-2015</w:t>
                  </w:r>
                  <w:r>
                    <w:rPr>
                      <w:rFonts w:hint="eastAsia"/>
                      <w:sz w:val="21"/>
                      <w:szCs w:val="21"/>
                    </w:rPr>
                    <w:t>）</w:t>
                  </w:r>
                  <w:r>
                    <w:rPr>
                      <w:sz w:val="21"/>
                      <w:szCs w:val="21"/>
                    </w:rPr>
                    <w:t>A等级限值要求后，进入金所、羊街集镇污水处理厂，部分深度处理达标后回用于工业用水、绿化、道路、广场浇洒等，不能回用部分达到《城镇污水处理厂污染物排放标准》</w:t>
                  </w:r>
                  <w:r>
                    <w:rPr>
                      <w:rFonts w:hint="eastAsia"/>
                      <w:sz w:val="21"/>
                      <w:szCs w:val="21"/>
                    </w:rPr>
                    <w:t>（</w:t>
                  </w:r>
                  <w:r>
                    <w:rPr>
                      <w:sz w:val="21"/>
                      <w:szCs w:val="21"/>
                    </w:rPr>
                    <w:t>GB18918-2002</w:t>
                  </w:r>
                  <w:r>
                    <w:rPr>
                      <w:rFonts w:hint="eastAsia"/>
                      <w:sz w:val="21"/>
                      <w:szCs w:val="21"/>
                    </w:rPr>
                    <w:t>）</w:t>
                  </w:r>
                  <w:r>
                    <w:rPr>
                      <w:sz w:val="21"/>
                      <w:szCs w:val="21"/>
                    </w:rPr>
                    <w:t>一级A标准后再外排。</w:t>
                  </w:r>
                </w:p>
              </w:tc>
              <w:tc>
                <w:tcPr>
                  <w:tcW w:w="3544" w:type="dxa"/>
                  <w:shd w:val="clear" w:color="auto" w:fill="auto"/>
                  <w:tcMar>
                    <w:left w:w="57" w:type="dxa"/>
                    <w:right w:w="57" w:type="dxa"/>
                  </w:tcMar>
                  <w:vAlign w:val="center"/>
                </w:tcPr>
                <w:p>
                  <w:pPr>
                    <w:pStyle w:val="9"/>
                    <w:adjustRightInd w:val="0"/>
                    <w:ind w:firstLine="420" w:firstLineChars="200"/>
                    <w:jc w:val="both"/>
                    <w:rPr>
                      <w:sz w:val="21"/>
                      <w:szCs w:val="21"/>
                    </w:rPr>
                  </w:pPr>
                  <w:r>
                    <w:rPr>
                      <w:sz w:val="21"/>
                      <w:szCs w:val="21"/>
                    </w:rPr>
                    <w:t>本项目</w:t>
                  </w:r>
                  <w:r>
                    <w:rPr>
                      <w:rFonts w:hint="eastAsia"/>
                      <w:sz w:val="21"/>
                      <w:szCs w:val="21"/>
                    </w:rPr>
                    <w:t>针对</w:t>
                  </w:r>
                  <w:r>
                    <w:rPr>
                      <w:sz w:val="21"/>
                      <w:szCs w:val="21"/>
                    </w:rPr>
                    <w:t>现有项目配套供热工程和环保工程技改</w:t>
                  </w:r>
                  <w:r>
                    <w:rPr>
                      <w:sz w:val="21"/>
                      <w:szCs w:val="21"/>
                      <w:lang w:bidi="ar"/>
                    </w:rPr>
                    <w:t>，现有</w:t>
                  </w:r>
                  <w:r>
                    <w:rPr>
                      <w:rFonts w:hint="eastAsia"/>
                      <w:sz w:val="21"/>
                      <w:szCs w:val="21"/>
                      <w:lang w:bidi="ar"/>
                    </w:rPr>
                    <w:t>项目主体工程、生产工艺及生产产品规模等均不发生改变，</w:t>
                  </w:r>
                  <w:r>
                    <w:rPr>
                      <w:sz w:val="21"/>
                      <w:szCs w:val="21"/>
                    </w:rPr>
                    <w:t>本项目</w:t>
                  </w:r>
                  <w:r>
                    <w:rPr>
                      <w:rFonts w:hint="eastAsia"/>
                      <w:sz w:val="21"/>
                      <w:szCs w:val="21"/>
                    </w:rPr>
                    <w:t>新增导热油锅炉废气处理设施水膜除尘废水</w:t>
                  </w:r>
                  <w:r>
                    <w:rPr>
                      <w:sz w:val="21"/>
                      <w:szCs w:val="21"/>
                      <w:lang w:bidi="ar"/>
                    </w:rPr>
                    <w:t>经沉淀池沉淀后循环使用，不外排</w:t>
                  </w:r>
                  <w:r>
                    <w:rPr>
                      <w:sz w:val="21"/>
                      <w:szCs w:val="21"/>
                    </w:rPr>
                    <w:t>。</w:t>
                  </w:r>
                </w:p>
              </w:tc>
              <w:tc>
                <w:tcPr>
                  <w:tcW w:w="775" w:type="dxa"/>
                  <w:shd w:val="clear" w:color="auto" w:fill="auto"/>
                  <w:tcMar>
                    <w:left w:w="57" w:type="dxa"/>
                    <w:right w:w="57" w:type="dxa"/>
                  </w:tcMar>
                  <w:vAlign w:val="center"/>
                </w:tcPr>
                <w:p>
                  <w:pPr>
                    <w:pStyle w:val="9"/>
                    <w:adjustRightInd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852" w:type="dxa"/>
                  <w:shd w:val="clear" w:color="auto" w:fill="auto"/>
                  <w:tcMar>
                    <w:left w:w="57" w:type="dxa"/>
                    <w:right w:w="57" w:type="dxa"/>
                  </w:tcMar>
                  <w:vAlign w:val="center"/>
                </w:tcPr>
                <w:p>
                  <w:pPr>
                    <w:pStyle w:val="9"/>
                    <w:adjustRightInd w:val="0"/>
                    <w:jc w:val="center"/>
                    <w:rPr>
                      <w:sz w:val="21"/>
                      <w:szCs w:val="21"/>
                    </w:rPr>
                  </w:pPr>
                  <w:r>
                    <w:rPr>
                      <w:sz w:val="21"/>
                      <w:szCs w:val="21"/>
                    </w:rPr>
                    <w:t>大气环境</w:t>
                  </w:r>
                </w:p>
              </w:tc>
              <w:tc>
                <w:tcPr>
                  <w:tcW w:w="2770" w:type="dxa"/>
                  <w:vAlign w:val="center"/>
                </w:tcPr>
                <w:p>
                  <w:pPr>
                    <w:pStyle w:val="9"/>
                    <w:adjustRightInd w:val="0"/>
                    <w:ind w:firstLine="420" w:firstLineChars="200"/>
                    <w:jc w:val="both"/>
                    <w:rPr>
                      <w:sz w:val="21"/>
                      <w:szCs w:val="21"/>
                    </w:rPr>
                  </w:pPr>
                  <w:r>
                    <w:rPr>
                      <w:sz w:val="21"/>
                      <w:szCs w:val="21"/>
                    </w:rPr>
                    <w:t>减缓措施：推行清洁能源，建议考虑集中供热，实施循环经济，并对大气污染物实行总量控制。</w:t>
                  </w:r>
                </w:p>
              </w:tc>
              <w:tc>
                <w:tcPr>
                  <w:tcW w:w="3544" w:type="dxa"/>
                  <w:shd w:val="clear" w:color="auto" w:fill="auto"/>
                  <w:tcMar>
                    <w:left w:w="57" w:type="dxa"/>
                    <w:right w:w="57" w:type="dxa"/>
                  </w:tcMar>
                  <w:vAlign w:val="center"/>
                </w:tcPr>
                <w:p>
                  <w:pPr>
                    <w:pStyle w:val="9"/>
                    <w:adjustRightInd w:val="0"/>
                    <w:ind w:firstLine="420" w:firstLineChars="200"/>
                    <w:jc w:val="both"/>
                    <w:rPr>
                      <w:sz w:val="21"/>
                      <w:szCs w:val="21"/>
                    </w:rPr>
                  </w:pPr>
                  <w:r>
                    <w:rPr>
                      <w:sz w:val="21"/>
                      <w:szCs w:val="21"/>
                    </w:rPr>
                    <w:t>本项目</w:t>
                  </w:r>
                  <w:r>
                    <w:rPr>
                      <w:rFonts w:hint="eastAsia"/>
                      <w:sz w:val="21"/>
                      <w:szCs w:val="21"/>
                    </w:rPr>
                    <w:t>主要针对现有项目配套供热工程和环保工程进行技改，项目主体工程原辅材料、生产工艺及污染物种类、产品及规模等均未发生变化</w:t>
                  </w:r>
                  <w:r>
                    <w:rPr>
                      <w:sz w:val="21"/>
                      <w:szCs w:val="21"/>
                    </w:rPr>
                    <w:t>。</w:t>
                  </w:r>
                  <w:r>
                    <w:rPr>
                      <w:rFonts w:hint="eastAsia"/>
                      <w:sz w:val="21"/>
                      <w:szCs w:val="21"/>
                      <w:highlight w:val="green"/>
                    </w:rPr>
                    <w:t>本项目供热工程技改废气</w:t>
                  </w:r>
                  <w:r>
                    <w:rPr>
                      <w:sz w:val="21"/>
                      <w:szCs w:val="21"/>
                      <w:highlight w:val="green"/>
                    </w:rPr>
                    <w:t>主要污染物为SO</w:t>
                  </w:r>
                  <w:r>
                    <w:rPr>
                      <w:sz w:val="21"/>
                      <w:szCs w:val="21"/>
                      <w:highlight w:val="green"/>
                      <w:vertAlign w:val="subscript"/>
                    </w:rPr>
                    <w:t>2</w:t>
                  </w:r>
                  <w:r>
                    <w:rPr>
                      <w:sz w:val="21"/>
                      <w:szCs w:val="21"/>
                      <w:highlight w:val="green"/>
                    </w:rPr>
                    <w:t>、NOx、</w:t>
                  </w:r>
                  <w:r>
                    <w:rPr>
                      <w:rFonts w:hint="eastAsia"/>
                      <w:sz w:val="21"/>
                      <w:szCs w:val="21"/>
                      <w:highlight w:val="green"/>
                    </w:rPr>
                    <w:t>颗粒物；环保工程技改新增治理设施本身不产生污染物，对现有排放污染物进行了削减。</w:t>
                  </w:r>
                  <w:r>
                    <w:rPr>
                      <w:sz w:val="21"/>
                      <w:szCs w:val="21"/>
                    </w:rPr>
                    <w:t>根据估算结果，</w:t>
                  </w:r>
                  <w:r>
                    <w:rPr>
                      <w:rFonts w:hint="eastAsia"/>
                      <w:sz w:val="21"/>
                      <w:szCs w:val="21"/>
                      <w:highlight w:val="green"/>
                    </w:rPr>
                    <w:t>本</w:t>
                  </w:r>
                  <w:r>
                    <w:rPr>
                      <w:sz w:val="21"/>
                      <w:szCs w:val="21"/>
                      <w:highlight w:val="green"/>
                    </w:rPr>
                    <w:t>项目</w:t>
                  </w:r>
                  <w:r>
                    <w:rPr>
                      <w:rFonts w:hint="eastAsia"/>
                      <w:sz w:val="21"/>
                      <w:szCs w:val="21"/>
                      <w:highlight w:val="green"/>
                    </w:rPr>
                    <w:t>供热工程技改新增5t/h锅炉</w:t>
                  </w:r>
                  <w:r>
                    <w:rPr>
                      <w:sz w:val="21"/>
                      <w:szCs w:val="21"/>
                    </w:rPr>
                    <w:t>排放污染物均能满足《环境空气质量标准》（GB3095-2012）中二级标准要求</w:t>
                  </w:r>
                  <w:r>
                    <w:rPr>
                      <w:sz w:val="21"/>
                      <w:szCs w:val="21"/>
                      <w:lang w:bidi="ar"/>
                    </w:rPr>
                    <w:t>。</w:t>
                  </w:r>
                  <w:r>
                    <w:rPr>
                      <w:sz w:val="21"/>
                      <w:szCs w:val="21"/>
                    </w:rPr>
                    <w:t>因此本项目废气对周边大气环境影响较小</w:t>
                  </w:r>
                  <w:r>
                    <w:rPr>
                      <w:rFonts w:hint="eastAsia"/>
                      <w:sz w:val="21"/>
                      <w:szCs w:val="21"/>
                    </w:rPr>
                    <w:t>，企业已申请排污许可证，</w:t>
                  </w:r>
                  <w:r>
                    <w:rPr>
                      <w:rFonts w:hint="eastAsia"/>
                      <w:sz w:val="21"/>
                      <w:szCs w:val="21"/>
                      <w:highlight w:val="green"/>
                    </w:rPr>
                    <w:t>本项目环保工程技改，对外排污染物量有一定的削减</w:t>
                  </w:r>
                  <w:r>
                    <w:rPr>
                      <w:rFonts w:hint="eastAsia"/>
                      <w:sz w:val="21"/>
                      <w:szCs w:val="21"/>
                    </w:rPr>
                    <w:t>，</w:t>
                  </w:r>
                  <w:r>
                    <w:rPr>
                      <w:rFonts w:hint="eastAsia"/>
                      <w:sz w:val="21"/>
                      <w:szCs w:val="21"/>
                      <w:lang w:bidi="ar"/>
                    </w:rPr>
                    <w:t>企业将重新申领排污许可，对大气污染物实行总量控制。</w:t>
                  </w:r>
                </w:p>
              </w:tc>
              <w:tc>
                <w:tcPr>
                  <w:tcW w:w="775" w:type="dxa"/>
                  <w:shd w:val="clear" w:color="auto" w:fill="auto"/>
                  <w:tcMar>
                    <w:left w:w="57" w:type="dxa"/>
                    <w:right w:w="57" w:type="dxa"/>
                  </w:tcMar>
                  <w:vAlign w:val="center"/>
                </w:tcPr>
                <w:p>
                  <w:pPr>
                    <w:pStyle w:val="9"/>
                    <w:adjustRightInd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18" w:hRule="atLeast"/>
                <w:jc w:val="center"/>
              </w:trPr>
              <w:tc>
                <w:tcPr>
                  <w:tcW w:w="852" w:type="dxa"/>
                  <w:shd w:val="clear" w:color="auto" w:fill="auto"/>
                  <w:tcMar>
                    <w:left w:w="57" w:type="dxa"/>
                    <w:right w:w="57" w:type="dxa"/>
                  </w:tcMar>
                  <w:vAlign w:val="center"/>
                </w:tcPr>
                <w:p>
                  <w:pPr>
                    <w:pStyle w:val="9"/>
                    <w:adjustRightInd w:val="0"/>
                    <w:jc w:val="center"/>
                    <w:rPr>
                      <w:sz w:val="21"/>
                      <w:szCs w:val="21"/>
                    </w:rPr>
                  </w:pPr>
                  <w:r>
                    <w:rPr>
                      <w:sz w:val="21"/>
                      <w:szCs w:val="21"/>
                    </w:rPr>
                    <w:t>声环境</w:t>
                  </w:r>
                </w:p>
              </w:tc>
              <w:tc>
                <w:tcPr>
                  <w:tcW w:w="2770" w:type="dxa"/>
                  <w:vAlign w:val="center"/>
                </w:tcPr>
                <w:p>
                  <w:pPr>
                    <w:pStyle w:val="9"/>
                    <w:adjustRightInd w:val="0"/>
                    <w:ind w:firstLine="420" w:firstLineChars="200"/>
                    <w:jc w:val="both"/>
                    <w:rPr>
                      <w:sz w:val="21"/>
                      <w:szCs w:val="21"/>
                      <w:lang w:bidi="ar"/>
                    </w:rPr>
                  </w:pPr>
                  <w:r>
                    <w:rPr>
                      <w:sz w:val="21"/>
                      <w:szCs w:val="21"/>
                    </w:rPr>
                    <w:t>减缓措施：根据规划实施后对声环境的影响分析，提出规划区应合理布局各企业位置，尽量远离居民点，加强园区内企业噪声环境管理，在村庄及居住区等噪声敏感目标与工业企业之间留出足够的退让距离，并在工业用地与居住区域之间设置绿化带以减小噪声影响；园区主要交通干道两侧与居住区之间应保持35m以上的退让距离，并在道路两侧布置绿化隔离带，从噪声传播途径中减小交通噪声对沿线敏感目标的影响。</w:t>
                  </w:r>
                </w:p>
              </w:tc>
              <w:tc>
                <w:tcPr>
                  <w:tcW w:w="3544" w:type="dxa"/>
                  <w:shd w:val="clear" w:color="auto" w:fill="auto"/>
                  <w:tcMar>
                    <w:left w:w="57" w:type="dxa"/>
                    <w:right w:w="57" w:type="dxa"/>
                  </w:tcMar>
                  <w:vAlign w:val="center"/>
                </w:tcPr>
                <w:p>
                  <w:pPr>
                    <w:pStyle w:val="9"/>
                    <w:adjustRightInd w:val="0"/>
                    <w:ind w:firstLine="420" w:firstLineChars="200"/>
                    <w:jc w:val="both"/>
                    <w:rPr>
                      <w:sz w:val="21"/>
                      <w:szCs w:val="21"/>
                    </w:rPr>
                  </w:pPr>
                  <w:r>
                    <w:rPr>
                      <w:sz w:val="21"/>
                      <w:szCs w:val="21"/>
                    </w:rPr>
                    <w:t>根据调查，项目周围50m范围内无村庄等敏感点，距离项目最近的村庄为项目东南侧450m处的深沟村</w:t>
                  </w:r>
                  <w:r>
                    <w:rPr>
                      <w:rFonts w:hint="eastAsia"/>
                      <w:sz w:val="21"/>
                      <w:szCs w:val="21"/>
                    </w:rPr>
                    <w:t>；本项目通过采取选用低噪声设备，隔声、减振，设置在厂房内，加强设备维护等措施来降低生产运行噪声对环境的影响。</w:t>
                  </w:r>
                  <w:r>
                    <w:rPr>
                      <w:sz w:val="21"/>
                      <w:szCs w:val="21"/>
                      <w:lang w:bidi="ar"/>
                    </w:rPr>
                    <w:t>根据</w:t>
                  </w:r>
                  <w:r>
                    <w:rPr>
                      <w:sz w:val="21"/>
                      <w:szCs w:val="21"/>
                    </w:rPr>
                    <w:t>云南健牛环境监测有限公司</w:t>
                  </w:r>
                  <w:r>
                    <w:rPr>
                      <w:sz w:val="21"/>
                      <w:szCs w:val="21"/>
                      <w:lang w:bidi="ar"/>
                    </w:rPr>
                    <w:t>2022年10月30日出具的《自行检测报告》（YNJN检字[2022]-10077号）中的数据</w:t>
                  </w:r>
                  <w:r>
                    <w:rPr>
                      <w:sz w:val="21"/>
                      <w:szCs w:val="21"/>
                    </w:rPr>
                    <w:t>，云南健牛环境监测有限公司于2022年10月24日对厂界噪声进行监测，监测期间已完成技改，项目正常生产，噪声能达到《工业企业厂界环境噪声排放标准》（GB12348-2008）3类标准。</w:t>
                  </w:r>
                </w:p>
                <w:p>
                  <w:pPr>
                    <w:pStyle w:val="9"/>
                    <w:adjustRightInd w:val="0"/>
                    <w:ind w:firstLine="420" w:firstLineChars="200"/>
                    <w:jc w:val="both"/>
                    <w:rPr>
                      <w:sz w:val="21"/>
                      <w:szCs w:val="21"/>
                    </w:rPr>
                  </w:pPr>
                  <w:r>
                    <w:rPr>
                      <w:sz w:val="21"/>
                      <w:szCs w:val="21"/>
                    </w:rPr>
                    <w:t>项目运营过程中产生的噪声环境保护目标影响较小。</w:t>
                  </w:r>
                </w:p>
              </w:tc>
              <w:tc>
                <w:tcPr>
                  <w:tcW w:w="775" w:type="dxa"/>
                  <w:shd w:val="clear" w:color="auto" w:fill="auto"/>
                  <w:tcMar>
                    <w:left w:w="57" w:type="dxa"/>
                    <w:right w:w="57" w:type="dxa"/>
                  </w:tcMar>
                  <w:vAlign w:val="center"/>
                </w:tcPr>
                <w:p>
                  <w:pPr>
                    <w:pStyle w:val="9"/>
                    <w:adjustRightInd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69" w:hRule="atLeast"/>
                <w:jc w:val="center"/>
              </w:trPr>
              <w:tc>
                <w:tcPr>
                  <w:tcW w:w="852" w:type="dxa"/>
                  <w:shd w:val="clear" w:color="auto" w:fill="auto"/>
                  <w:tcMar>
                    <w:left w:w="57" w:type="dxa"/>
                    <w:right w:w="57" w:type="dxa"/>
                  </w:tcMar>
                  <w:vAlign w:val="center"/>
                </w:tcPr>
                <w:p>
                  <w:pPr>
                    <w:pStyle w:val="9"/>
                    <w:adjustRightInd w:val="0"/>
                    <w:jc w:val="center"/>
                    <w:rPr>
                      <w:sz w:val="21"/>
                      <w:szCs w:val="21"/>
                    </w:rPr>
                  </w:pPr>
                  <w:r>
                    <w:rPr>
                      <w:sz w:val="21"/>
                      <w:szCs w:val="21"/>
                    </w:rPr>
                    <w:t>固体废弃物</w:t>
                  </w:r>
                </w:p>
              </w:tc>
              <w:tc>
                <w:tcPr>
                  <w:tcW w:w="2770" w:type="dxa"/>
                  <w:vAlign w:val="center"/>
                </w:tcPr>
                <w:p>
                  <w:pPr>
                    <w:adjustRightInd w:val="0"/>
                    <w:ind w:firstLine="420" w:firstLineChars="200"/>
                    <w:rPr>
                      <w:szCs w:val="21"/>
                    </w:rPr>
                  </w:pPr>
                  <w:r>
                    <w:rPr>
                      <w:szCs w:val="21"/>
                    </w:rPr>
                    <w:t>减缓措施：应设置合理的产业链，实行循环经济，生活垃圾交由环卫部门统一处置；对于园区产生的危险废物，企业应委托有资质的单位进行处置，各企业要设置危险废物临时贮存场所，危险废物临时贮存设施要严格按照GB18597-2001《危险废物贮存污染控制标准》进行建设和管理；一般工业固体废物通过综合利用后，剩余部分根据规范处置要求进行相应处置。</w:t>
                  </w:r>
                </w:p>
              </w:tc>
              <w:tc>
                <w:tcPr>
                  <w:tcW w:w="3544" w:type="dxa"/>
                  <w:shd w:val="clear" w:color="auto" w:fill="auto"/>
                  <w:tcMar>
                    <w:left w:w="57" w:type="dxa"/>
                    <w:right w:w="57" w:type="dxa"/>
                  </w:tcMar>
                  <w:vAlign w:val="center"/>
                </w:tcPr>
                <w:p>
                  <w:pPr>
                    <w:adjustRightInd w:val="0"/>
                    <w:ind w:firstLine="420" w:firstLineChars="200"/>
                    <w:rPr>
                      <w:szCs w:val="21"/>
                    </w:rPr>
                  </w:pPr>
                  <w:r>
                    <w:rPr>
                      <w:szCs w:val="21"/>
                    </w:rPr>
                    <w:t>（1）</w:t>
                  </w:r>
                  <w:r>
                    <w:rPr>
                      <w:rFonts w:hint="eastAsia"/>
                      <w:szCs w:val="21"/>
                    </w:rPr>
                    <w:t>本项目新增5t/h导热油锅炉</w:t>
                  </w:r>
                  <w:r>
                    <w:rPr>
                      <w:szCs w:val="21"/>
                    </w:rPr>
                    <w:t>炉渣、</w:t>
                  </w:r>
                  <w:r>
                    <w:rPr>
                      <w:rFonts w:hint="eastAsia"/>
                      <w:szCs w:val="21"/>
                    </w:rPr>
                    <w:t>多管旋风除尘器收集的除尘灰</w:t>
                  </w:r>
                  <w:r>
                    <w:rPr>
                      <w:szCs w:val="21"/>
                    </w:rPr>
                    <w:t>、水膜除尘装置除尘渣</w:t>
                  </w:r>
                  <w:r>
                    <w:rPr>
                      <w:rFonts w:hint="eastAsia"/>
                      <w:szCs w:val="21"/>
                    </w:rPr>
                    <w:t>、沉淀池污泥经</w:t>
                  </w:r>
                  <w:r>
                    <w:rPr>
                      <w:szCs w:val="21"/>
                    </w:rPr>
                    <w:t>统一收集后暂存于</w:t>
                  </w:r>
                  <w:r>
                    <w:rPr>
                      <w:rFonts w:hint="eastAsia"/>
                      <w:szCs w:val="21"/>
                    </w:rPr>
                    <w:t>现有已建</w:t>
                  </w:r>
                  <w:r>
                    <w:rPr>
                      <w:szCs w:val="21"/>
                    </w:rPr>
                    <w:t>一般固废暂存区</w:t>
                  </w:r>
                  <w:r>
                    <w:rPr>
                      <w:rFonts w:hint="eastAsia"/>
                      <w:szCs w:val="21"/>
                    </w:rPr>
                    <w:t>，</w:t>
                  </w:r>
                  <w:r>
                    <w:rPr>
                      <w:szCs w:val="21"/>
                    </w:rPr>
                    <w:t>定期委托环卫部门清运处置。</w:t>
                  </w:r>
                  <w:r>
                    <w:rPr>
                      <w:rFonts w:hint="eastAsia"/>
                      <w:szCs w:val="21"/>
                    </w:rPr>
                    <w:t>（2）筛选打磨工序新增除尘装置收集除尘灰收集后用作导热油锅炉燃料。</w:t>
                  </w:r>
                  <w:r>
                    <w:rPr>
                      <w:szCs w:val="21"/>
                    </w:rPr>
                    <w:t>（3）</w:t>
                  </w:r>
                  <w:r>
                    <w:rPr>
                      <w:rFonts w:hint="eastAsia"/>
                      <w:szCs w:val="21"/>
                    </w:rPr>
                    <w:t>5</w:t>
                  </w:r>
                  <w:r>
                    <w:rPr>
                      <w:szCs w:val="21"/>
                    </w:rPr>
                    <w:t>t/h</w:t>
                  </w:r>
                  <w:r>
                    <w:rPr>
                      <w:rFonts w:hint="eastAsia"/>
                      <w:szCs w:val="21"/>
                    </w:rPr>
                    <w:t>导热油锅炉更换</w:t>
                  </w:r>
                  <w:r>
                    <w:rPr>
                      <w:szCs w:val="21"/>
                    </w:rPr>
                    <w:t>废导热油收集后暂存于</w:t>
                  </w:r>
                  <w:r>
                    <w:rPr>
                      <w:rFonts w:hint="eastAsia"/>
                      <w:szCs w:val="21"/>
                    </w:rPr>
                    <w:t>现有已建</w:t>
                  </w:r>
                  <w:r>
                    <w:rPr>
                      <w:szCs w:val="21"/>
                    </w:rPr>
                    <w:t>危险废物暂存间，定期委托寻甸同磊再生资源回收有限公司清运处置。（4）</w:t>
                  </w:r>
                  <w:r>
                    <w:rPr>
                      <w:rFonts w:hint="eastAsia"/>
                      <w:szCs w:val="21"/>
                    </w:rPr>
                    <w:t>热压凉板工序新增活性炭吸附装置产生的</w:t>
                  </w:r>
                  <w:r>
                    <w:rPr>
                      <w:szCs w:val="21"/>
                    </w:rPr>
                    <w:t>废活性炭集中收集后暂存于</w:t>
                  </w:r>
                  <w:r>
                    <w:rPr>
                      <w:rFonts w:hint="eastAsia"/>
                      <w:szCs w:val="21"/>
                    </w:rPr>
                    <w:t>现有已建危险废物</w:t>
                  </w:r>
                  <w:r>
                    <w:rPr>
                      <w:szCs w:val="21"/>
                    </w:rPr>
                    <w:t>暂存间内，</w:t>
                  </w:r>
                  <w:r>
                    <w:rPr>
                      <w:rFonts w:hint="eastAsia"/>
                      <w:szCs w:val="21"/>
                    </w:rPr>
                    <w:t>定期</w:t>
                  </w:r>
                  <w:r>
                    <w:rPr>
                      <w:szCs w:val="21"/>
                    </w:rPr>
                    <w:t>委托曲靖银发危险废物集中处置中心有限公司处置。</w:t>
                  </w:r>
                </w:p>
                <w:p>
                  <w:pPr>
                    <w:adjustRightInd w:val="0"/>
                    <w:ind w:firstLine="420" w:firstLineChars="200"/>
                    <w:rPr>
                      <w:szCs w:val="21"/>
                    </w:rPr>
                  </w:pPr>
                  <w:r>
                    <w:rPr>
                      <w:szCs w:val="21"/>
                    </w:rPr>
                    <w:t>固废处置率100%。</w:t>
                  </w:r>
                </w:p>
              </w:tc>
              <w:tc>
                <w:tcPr>
                  <w:tcW w:w="775" w:type="dxa"/>
                  <w:shd w:val="clear" w:color="auto" w:fill="auto"/>
                  <w:tcMar>
                    <w:left w:w="57" w:type="dxa"/>
                    <w:right w:w="57" w:type="dxa"/>
                  </w:tcMar>
                  <w:vAlign w:val="center"/>
                </w:tcPr>
                <w:p>
                  <w:pPr>
                    <w:pStyle w:val="9"/>
                    <w:adjustRightInd w:val="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28" w:hRule="atLeast"/>
                <w:jc w:val="center"/>
              </w:trPr>
              <w:tc>
                <w:tcPr>
                  <w:tcW w:w="852" w:type="dxa"/>
                  <w:shd w:val="clear" w:color="auto" w:fill="auto"/>
                  <w:tcMar>
                    <w:left w:w="57" w:type="dxa"/>
                    <w:right w:w="57" w:type="dxa"/>
                  </w:tcMar>
                  <w:vAlign w:val="center"/>
                </w:tcPr>
                <w:p>
                  <w:pPr>
                    <w:pStyle w:val="9"/>
                    <w:adjustRightInd w:val="0"/>
                    <w:jc w:val="center"/>
                    <w:rPr>
                      <w:sz w:val="21"/>
                      <w:szCs w:val="21"/>
                    </w:rPr>
                  </w:pPr>
                  <w:r>
                    <w:rPr>
                      <w:sz w:val="21"/>
                      <w:szCs w:val="21"/>
                    </w:rPr>
                    <w:t>环境风险</w:t>
                  </w:r>
                </w:p>
              </w:tc>
              <w:tc>
                <w:tcPr>
                  <w:tcW w:w="2770" w:type="dxa"/>
                  <w:vAlign w:val="center"/>
                </w:tcPr>
                <w:p>
                  <w:pPr>
                    <w:adjustRightInd w:val="0"/>
                    <w:ind w:firstLine="420" w:firstLineChars="200"/>
                    <w:rPr>
                      <w:szCs w:val="21"/>
                    </w:rPr>
                  </w:pPr>
                  <w:r>
                    <w:rPr>
                      <w:szCs w:val="21"/>
                    </w:rPr>
                    <w:t>防范措施：园区各企业需建设风险事故废水排放管道及处置池，如若发生事故，事故废水必须进入事故处置池，并及时处理处置事故废水。</w:t>
                  </w:r>
                </w:p>
              </w:tc>
              <w:tc>
                <w:tcPr>
                  <w:tcW w:w="3544" w:type="dxa"/>
                  <w:shd w:val="clear" w:color="auto" w:fill="auto"/>
                  <w:tcMar>
                    <w:left w:w="57" w:type="dxa"/>
                    <w:right w:w="57" w:type="dxa"/>
                  </w:tcMar>
                  <w:vAlign w:val="center"/>
                </w:tcPr>
                <w:p>
                  <w:pPr>
                    <w:adjustRightInd w:val="0"/>
                    <w:ind w:firstLine="420" w:firstLineChars="200"/>
                    <w:rPr>
                      <w:szCs w:val="21"/>
                    </w:rPr>
                  </w:pPr>
                  <w:r>
                    <w:rPr>
                      <w:szCs w:val="21"/>
                    </w:rPr>
                    <w:t>本</w:t>
                  </w:r>
                  <w:r>
                    <w:rPr>
                      <w:rFonts w:hint="eastAsia"/>
                      <w:szCs w:val="21"/>
                    </w:rPr>
                    <w:t>次</w:t>
                  </w:r>
                  <w:r>
                    <w:rPr>
                      <w:szCs w:val="21"/>
                    </w:rPr>
                    <w:t>技改</w:t>
                  </w:r>
                  <w:r>
                    <w:rPr>
                      <w:rFonts w:hint="eastAsia"/>
                      <w:szCs w:val="21"/>
                    </w:rPr>
                    <w:t>现有项目主体工程原辅材料、生产工艺及污染物种类、产品及规模等均未发生变化，本项目</w:t>
                  </w:r>
                  <w:r>
                    <w:rPr>
                      <w:szCs w:val="21"/>
                    </w:rPr>
                    <w:t>主要风险源为</w:t>
                  </w:r>
                  <w:r>
                    <w:rPr>
                      <w:rFonts w:hint="eastAsia"/>
                      <w:szCs w:val="21"/>
                    </w:rPr>
                    <w:t>5</w:t>
                  </w:r>
                  <w:r>
                    <w:rPr>
                      <w:szCs w:val="21"/>
                    </w:rPr>
                    <w:t>t/h锅炉导热油油槽及输送管道，主要风险类型为锅炉导热油油槽及输送管道破裂，导致导热油发生泄漏，外流至厂区外将会对项目周边地表水体造成污染，下渗对地下水体及土壤环境造成污染。</w:t>
                  </w:r>
                  <w:r>
                    <w:rPr>
                      <w:rFonts w:hint="eastAsia"/>
                      <w:szCs w:val="21"/>
                    </w:rPr>
                    <w:t>现有</w:t>
                  </w:r>
                  <w:r>
                    <w:rPr>
                      <w:szCs w:val="21"/>
                    </w:rPr>
                    <w:t>项目区已设置1个80m</w:t>
                  </w:r>
                  <w:r>
                    <w:rPr>
                      <w:szCs w:val="21"/>
                      <w:vertAlign w:val="superscript"/>
                    </w:rPr>
                    <w:t>3</w:t>
                  </w:r>
                  <w:r>
                    <w:rPr>
                      <w:szCs w:val="21"/>
                    </w:rPr>
                    <w:t>事故水池及4个30m</w:t>
                  </w:r>
                  <w:r>
                    <w:rPr>
                      <w:szCs w:val="21"/>
                      <w:vertAlign w:val="superscript"/>
                    </w:rPr>
                    <w:t>3</w:t>
                  </w:r>
                  <w:r>
                    <w:rPr>
                      <w:szCs w:val="21"/>
                    </w:rPr>
                    <w:t>事故水罐收集事故废水。采取上述措施之后，事故废水能有效进入事故处置池。</w:t>
                  </w:r>
                </w:p>
              </w:tc>
              <w:tc>
                <w:tcPr>
                  <w:tcW w:w="775" w:type="dxa"/>
                  <w:shd w:val="clear" w:color="auto" w:fill="auto"/>
                  <w:tcMar>
                    <w:left w:w="57" w:type="dxa"/>
                    <w:right w:w="57" w:type="dxa"/>
                  </w:tcMar>
                  <w:vAlign w:val="center"/>
                </w:tcPr>
                <w:p>
                  <w:pPr>
                    <w:pStyle w:val="9"/>
                    <w:adjustRightInd w:val="0"/>
                    <w:jc w:val="center"/>
                    <w:rPr>
                      <w:sz w:val="21"/>
                      <w:szCs w:val="21"/>
                    </w:rPr>
                  </w:pPr>
                  <w:r>
                    <w:rPr>
                      <w:sz w:val="21"/>
                      <w:szCs w:val="21"/>
                    </w:rPr>
                    <w:t>符合</w:t>
                  </w:r>
                </w:p>
              </w:tc>
            </w:tr>
          </w:tbl>
          <w:p>
            <w:pPr>
              <w:pStyle w:val="9"/>
              <w:adjustRightInd w:val="0"/>
              <w:spacing w:before="120" w:beforeLines="50" w:line="360" w:lineRule="auto"/>
              <w:ind w:firstLine="482" w:firstLineChars="200"/>
              <w:jc w:val="both"/>
              <w:rPr>
                <w:b/>
                <w:bCs/>
              </w:rPr>
            </w:pPr>
            <w:r>
              <w:rPr>
                <w:rFonts w:hint="eastAsia"/>
                <w:b/>
                <w:bCs/>
              </w:rPr>
              <w:t>2）与</w:t>
            </w:r>
            <w:r>
              <w:rPr>
                <w:rFonts w:hint="eastAsia" w:cs="宋体"/>
                <w:b/>
                <w:bCs/>
                <w:lang w:bidi="ar"/>
              </w:rPr>
              <w:t>报告书中</w:t>
            </w:r>
            <w:r>
              <w:rPr>
                <w:rFonts w:hint="eastAsia"/>
                <w:b/>
                <w:bCs/>
              </w:rPr>
              <w:t>环境准入负面清单符合性分析</w:t>
            </w:r>
          </w:p>
          <w:p>
            <w:pPr>
              <w:pStyle w:val="9"/>
              <w:adjustRightInd w:val="0"/>
              <w:spacing w:line="360" w:lineRule="auto"/>
              <w:ind w:firstLine="480" w:firstLineChars="200"/>
              <w:jc w:val="both"/>
            </w:pPr>
            <w:r>
              <w:rPr>
                <w:rFonts w:hint="eastAsia"/>
              </w:rPr>
              <w:t>本项目与报告书中环境准入负面清单符合性分析见下表。</w:t>
            </w:r>
          </w:p>
          <w:p>
            <w:pPr>
              <w:adjustRightInd w:val="0"/>
              <w:spacing w:line="360" w:lineRule="auto"/>
              <w:jc w:val="center"/>
              <w:rPr>
                <w:b/>
                <w:bCs/>
                <w:sz w:val="24"/>
              </w:rPr>
            </w:pPr>
            <w:r>
              <w:rPr>
                <w:rFonts w:hint="eastAsia"/>
                <w:b/>
                <w:bCs/>
                <w:sz w:val="24"/>
              </w:rPr>
              <w:t>表1-</w:t>
            </w:r>
            <w:r>
              <w:rPr>
                <w:b/>
                <w:bCs/>
                <w:sz w:val="24"/>
              </w:rPr>
              <w:t>3</w:t>
            </w:r>
            <w:r>
              <w:rPr>
                <w:rFonts w:hint="eastAsia"/>
                <w:b/>
                <w:bCs/>
                <w:sz w:val="24"/>
              </w:rPr>
              <w:t xml:space="preserve">  与报告书中环境准入负面清单符合性分析</w:t>
            </w:r>
            <w:r>
              <w:rPr>
                <w:b/>
                <w:bCs/>
                <w:sz w:val="24"/>
              </w:rPr>
              <w:t>一览表</w:t>
            </w:r>
          </w:p>
          <w:tbl>
            <w:tblPr>
              <w:tblStyle w:val="32"/>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11"/>
              <w:gridCol w:w="2456"/>
              <w:gridCol w:w="4004"/>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6" w:hRule="atLeast"/>
                <w:jc w:val="center"/>
              </w:trPr>
              <w:tc>
                <w:tcPr>
                  <w:tcW w:w="3167" w:type="dxa"/>
                  <w:gridSpan w:val="2"/>
                  <w:vAlign w:val="center"/>
                </w:tcPr>
                <w:p>
                  <w:pPr>
                    <w:jc w:val="center"/>
                    <w:rPr>
                      <w:b/>
                      <w:szCs w:val="21"/>
                    </w:rPr>
                  </w:pPr>
                  <w:r>
                    <w:rPr>
                      <w:b/>
                      <w:szCs w:val="21"/>
                    </w:rPr>
                    <w:t>限制和禁止引进的项目和行业</w:t>
                  </w:r>
                </w:p>
              </w:tc>
              <w:tc>
                <w:tcPr>
                  <w:tcW w:w="4004" w:type="dxa"/>
                  <w:vAlign w:val="center"/>
                </w:tcPr>
                <w:p>
                  <w:pPr>
                    <w:jc w:val="center"/>
                    <w:rPr>
                      <w:b/>
                      <w:szCs w:val="21"/>
                    </w:rPr>
                  </w:pPr>
                  <w:r>
                    <w:rPr>
                      <w:b/>
                      <w:szCs w:val="21"/>
                    </w:rPr>
                    <w:t>本项目概况</w:t>
                  </w:r>
                </w:p>
              </w:tc>
              <w:tc>
                <w:tcPr>
                  <w:tcW w:w="769" w:type="dxa"/>
                  <w:vAlign w:val="center"/>
                </w:tcPr>
                <w:p>
                  <w:pPr>
                    <w:jc w:val="center"/>
                    <w:rPr>
                      <w:b/>
                      <w:szCs w:val="21"/>
                    </w:rPr>
                  </w:pPr>
                  <w:r>
                    <w:rPr>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711" w:type="dxa"/>
                  <w:vAlign w:val="center"/>
                </w:tcPr>
                <w:p>
                  <w:pPr>
                    <w:jc w:val="center"/>
                    <w:rPr>
                      <w:szCs w:val="21"/>
                    </w:rPr>
                  </w:pPr>
                  <w:r>
                    <w:rPr>
                      <w:szCs w:val="21"/>
                    </w:rPr>
                    <w:t>禁入行业</w:t>
                  </w:r>
                </w:p>
              </w:tc>
              <w:tc>
                <w:tcPr>
                  <w:tcW w:w="2456" w:type="dxa"/>
                  <w:vAlign w:val="center"/>
                </w:tcPr>
                <w:p>
                  <w:pPr>
                    <w:ind w:firstLine="420" w:firstLineChars="200"/>
                    <w:rPr>
                      <w:szCs w:val="21"/>
                    </w:rPr>
                  </w:pPr>
                  <w:r>
                    <w:rPr>
                      <w:szCs w:val="21"/>
                    </w:rPr>
                    <w:t>（1）《产业结构调整指导目录（2011年本）》（2013年修正）（或更新）中禁止、限制类的行业。</w:t>
                  </w:r>
                </w:p>
                <w:p>
                  <w:pPr>
                    <w:ind w:firstLine="420" w:firstLineChars="200"/>
                    <w:rPr>
                      <w:szCs w:val="21"/>
                    </w:rPr>
                  </w:pPr>
                  <w:r>
                    <w:rPr>
                      <w:szCs w:val="21"/>
                    </w:rPr>
                    <w:t>（2）《外商投资产业指导目录（2017年修订）》中禁止类。</w:t>
                  </w:r>
                </w:p>
                <w:p>
                  <w:pPr>
                    <w:ind w:firstLine="420" w:firstLineChars="200"/>
                    <w:rPr>
                      <w:szCs w:val="21"/>
                    </w:rPr>
                  </w:pPr>
                  <w:r>
                    <w:rPr>
                      <w:szCs w:val="21"/>
                    </w:rPr>
                    <w:t>（3）生产《环境保护综合名录（2017年版）》中</w:t>
                  </w:r>
                  <w:r>
                    <w:rPr>
                      <w:rFonts w:hint="eastAsia"/>
                      <w:szCs w:val="21"/>
                    </w:rPr>
                    <w:t>“</w:t>
                  </w:r>
                  <w:r>
                    <w:rPr>
                      <w:szCs w:val="21"/>
                    </w:rPr>
                    <w:t>高污染、环境风险</w:t>
                  </w:r>
                  <w:r>
                    <w:rPr>
                      <w:rFonts w:hint="eastAsia"/>
                      <w:szCs w:val="21"/>
                    </w:rPr>
                    <w:t>”</w:t>
                  </w:r>
                  <w:r>
                    <w:rPr>
                      <w:szCs w:val="21"/>
                    </w:rPr>
                    <w:t>产品。</w:t>
                  </w:r>
                </w:p>
                <w:p>
                  <w:pPr>
                    <w:ind w:firstLine="420" w:firstLineChars="200"/>
                    <w:rPr>
                      <w:szCs w:val="21"/>
                    </w:rPr>
                  </w:pPr>
                  <w:r>
                    <w:rPr>
                      <w:szCs w:val="21"/>
                    </w:rPr>
                    <w:t>（4）禁止引入其他不在园区产业定位、不符合园区环保要求项目，如化工、造纸制浆、印染、染料、制革、电镀、医药、食品、水泥、炼焦、炼硫、炼砷、炼油、电镀、农药、氮肥、有色金属等项目。</w:t>
                  </w:r>
                </w:p>
                <w:p>
                  <w:pPr>
                    <w:ind w:firstLine="420" w:firstLineChars="200"/>
                    <w:rPr>
                      <w:szCs w:val="21"/>
                    </w:rPr>
                  </w:pPr>
                  <w:r>
                    <w:rPr>
                      <w:szCs w:val="21"/>
                    </w:rPr>
                    <w:t>（5）禁止引入造纸、印染、食品饮料、农副产品加工等需水量大，生产废水不能实现循环回用不外排的企业。</w:t>
                  </w:r>
                </w:p>
                <w:p>
                  <w:pPr>
                    <w:ind w:firstLine="420" w:firstLineChars="200"/>
                    <w:rPr>
                      <w:szCs w:val="21"/>
                    </w:rPr>
                  </w:pPr>
                  <w:r>
                    <w:rPr>
                      <w:szCs w:val="21"/>
                    </w:rPr>
                    <w:t>（6）污水成分复杂或废水、废液按现有技术无法妥善处置的产业。</w:t>
                  </w:r>
                </w:p>
                <w:p>
                  <w:pPr>
                    <w:ind w:firstLine="420" w:firstLineChars="200"/>
                    <w:rPr>
                      <w:szCs w:val="21"/>
                    </w:rPr>
                  </w:pPr>
                  <w:r>
                    <w:rPr>
                      <w:szCs w:val="21"/>
                    </w:rPr>
                    <w:t>（7）物耗、能耗相对较高，产生的大气污染类型复杂、环境风险较大的产业、项目或工艺；且产生的大气污染物无法自身治理或妥善处置或处理成本较高的产生。</w:t>
                  </w:r>
                </w:p>
                <w:p>
                  <w:pPr>
                    <w:ind w:firstLine="420" w:firstLineChars="200"/>
                    <w:rPr>
                      <w:szCs w:val="21"/>
                    </w:rPr>
                  </w:pPr>
                  <w:r>
                    <w:rPr>
                      <w:szCs w:val="21"/>
                    </w:rPr>
                    <w:t>（8）不能严格按</w:t>
                  </w:r>
                  <w:r>
                    <w:rPr>
                      <w:rFonts w:hint="eastAsia"/>
                      <w:szCs w:val="21"/>
                    </w:rPr>
                    <w:t>“</w:t>
                  </w:r>
                  <w:r>
                    <w:rPr>
                      <w:szCs w:val="21"/>
                    </w:rPr>
                    <w:t>三同时</w:t>
                  </w:r>
                  <w:r>
                    <w:rPr>
                      <w:rFonts w:hint="eastAsia"/>
                      <w:szCs w:val="21"/>
                    </w:rPr>
                    <w:t>”</w:t>
                  </w:r>
                  <w:r>
                    <w:rPr>
                      <w:szCs w:val="21"/>
                    </w:rPr>
                    <w:t>要求建厂的企业，无法满足卫生防护距离、大气环境防护距离的企业。</w:t>
                  </w:r>
                </w:p>
                <w:p>
                  <w:pPr>
                    <w:ind w:firstLine="420" w:firstLineChars="200"/>
                    <w:rPr>
                      <w:szCs w:val="21"/>
                    </w:rPr>
                  </w:pPr>
                  <w:r>
                    <w:rPr>
                      <w:szCs w:val="21"/>
                    </w:rPr>
                    <w:t>（9）与《云南省牛栏江保护条例》存在冲突的项目。</w:t>
                  </w:r>
                </w:p>
                <w:p>
                  <w:pPr>
                    <w:ind w:firstLine="420" w:firstLineChars="200"/>
                    <w:rPr>
                      <w:szCs w:val="21"/>
                    </w:rPr>
                  </w:pPr>
                  <w:r>
                    <w:rPr>
                      <w:szCs w:val="21"/>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tc>
              <w:tc>
                <w:tcPr>
                  <w:tcW w:w="4004" w:type="dxa"/>
                  <w:vAlign w:val="center"/>
                </w:tcPr>
                <w:p>
                  <w:pPr>
                    <w:ind w:firstLine="420" w:firstLineChars="200"/>
                    <w:rPr>
                      <w:szCs w:val="21"/>
                    </w:rPr>
                  </w:pPr>
                  <w:r>
                    <w:rPr>
                      <w:szCs w:val="21"/>
                    </w:rPr>
                    <w:t>（1）本</w:t>
                  </w:r>
                  <w:r>
                    <w:rPr>
                      <w:rFonts w:hint="eastAsia"/>
                      <w:szCs w:val="21"/>
                    </w:rPr>
                    <w:t>次供热工程技改新增5</w:t>
                  </w:r>
                  <w:r>
                    <w:rPr>
                      <w:szCs w:val="21"/>
                    </w:rPr>
                    <w:t>t/h</w:t>
                  </w:r>
                  <w:r>
                    <w:rPr>
                      <w:rFonts w:hint="eastAsia"/>
                      <w:szCs w:val="21"/>
                    </w:rPr>
                    <w:t>导热油锅炉属于“热力生产和供应”，对照产业结构调整指导目录不属于鼓励类、禁止类和限制类项目，视为允许类；环保工程技改属于“第一类鼓励类”中“四十三、环境保护与资源节约综合利用”中15、“三废”综合利用与治理技术、装备和工程；综上，本项目</w:t>
                  </w:r>
                  <w:r>
                    <w:rPr>
                      <w:szCs w:val="21"/>
                    </w:rPr>
                    <w:t>不属于《产业结构调整指导目录（2019年本）》中禁止、限制类行业。</w:t>
                  </w:r>
                </w:p>
                <w:p>
                  <w:pPr>
                    <w:ind w:firstLine="420" w:firstLineChars="200"/>
                    <w:rPr>
                      <w:szCs w:val="21"/>
                    </w:rPr>
                  </w:pPr>
                  <w:r>
                    <w:rPr>
                      <w:szCs w:val="21"/>
                    </w:rPr>
                    <w:t>（2）</w:t>
                  </w:r>
                  <w:r>
                    <w:rPr>
                      <w:rFonts w:hint="eastAsia"/>
                      <w:szCs w:val="21"/>
                    </w:rPr>
                    <w:t>本</w:t>
                  </w:r>
                  <w:r>
                    <w:rPr>
                      <w:szCs w:val="21"/>
                    </w:rPr>
                    <w:t>项目</w:t>
                  </w:r>
                  <w:r>
                    <w:rPr>
                      <w:rFonts w:hint="eastAsia"/>
                      <w:szCs w:val="21"/>
                    </w:rPr>
                    <w:t>为现有项目技术改造，</w:t>
                  </w:r>
                  <w:r>
                    <w:rPr>
                      <w:szCs w:val="21"/>
                    </w:rPr>
                    <w:t>不属于《外商投资产业指导目录（2017年修订）》中禁止类。</w:t>
                  </w:r>
                </w:p>
                <w:p>
                  <w:pPr>
                    <w:ind w:firstLine="420" w:firstLineChars="200"/>
                    <w:rPr>
                      <w:szCs w:val="21"/>
                    </w:rPr>
                  </w:pPr>
                  <w:r>
                    <w:rPr>
                      <w:szCs w:val="21"/>
                    </w:rPr>
                    <w:t>（3）</w:t>
                  </w:r>
                  <w:r>
                    <w:rPr>
                      <w:rFonts w:hint="eastAsia"/>
                      <w:szCs w:val="21"/>
                      <w:highlight w:val="green"/>
                    </w:rPr>
                    <w:t>本项目属于现有项目供热及环保工程技改，不改变产品种类及规模，现有项目生产产品木质刨花板</w:t>
                  </w:r>
                  <w:r>
                    <w:rPr>
                      <w:szCs w:val="21"/>
                      <w:highlight w:val="green"/>
                    </w:rPr>
                    <w:t>不属于高污染、环境风险产品</w:t>
                  </w:r>
                  <w:r>
                    <w:rPr>
                      <w:szCs w:val="21"/>
                    </w:rPr>
                    <w:t>。</w:t>
                  </w:r>
                </w:p>
                <w:p>
                  <w:pPr>
                    <w:ind w:firstLine="420" w:firstLineChars="200"/>
                    <w:rPr>
                      <w:szCs w:val="21"/>
                    </w:rPr>
                  </w:pPr>
                  <w:r>
                    <w:rPr>
                      <w:szCs w:val="21"/>
                    </w:rPr>
                    <w:t>（4）</w:t>
                  </w:r>
                  <w:r>
                    <w:rPr>
                      <w:rFonts w:hint="eastAsia"/>
                      <w:szCs w:val="21"/>
                      <w:highlight w:val="green"/>
                    </w:rPr>
                    <w:t>本项目属于现有项目供热及环保工程技改，不改变产品种类及规模，现有项目生产产品木质刨花板</w:t>
                  </w:r>
                  <w:r>
                    <w:rPr>
                      <w:szCs w:val="21"/>
                    </w:rPr>
                    <w:t>可用于</w:t>
                  </w:r>
                  <w:r>
                    <w:rPr>
                      <w:rFonts w:hint="eastAsia"/>
                      <w:szCs w:val="21"/>
                    </w:rPr>
                    <w:t>家居制造，</w:t>
                  </w:r>
                  <w:r>
                    <w:rPr>
                      <w:szCs w:val="21"/>
                    </w:rPr>
                    <w:t>与羊街片区产业定位不冲突。</w:t>
                  </w:r>
                </w:p>
                <w:p>
                  <w:pPr>
                    <w:ind w:firstLine="420" w:firstLineChars="200"/>
                    <w:rPr>
                      <w:szCs w:val="21"/>
                    </w:rPr>
                  </w:pPr>
                  <w:r>
                    <w:rPr>
                      <w:szCs w:val="21"/>
                    </w:rPr>
                    <w:t>（5）</w:t>
                  </w:r>
                  <w:r>
                    <w:rPr>
                      <w:rFonts w:hint="eastAsia"/>
                      <w:szCs w:val="21"/>
                    </w:rPr>
                    <w:t>本</w:t>
                  </w:r>
                  <w:r>
                    <w:rPr>
                      <w:szCs w:val="21"/>
                    </w:rPr>
                    <w:t>项目</w:t>
                  </w:r>
                  <w:r>
                    <w:rPr>
                      <w:rFonts w:hint="eastAsia"/>
                      <w:szCs w:val="21"/>
                    </w:rPr>
                    <w:t>属于</w:t>
                  </w:r>
                  <w:r>
                    <w:rPr>
                      <w:rFonts w:hint="eastAsia"/>
                      <w:szCs w:val="21"/>
                      <w:highlight w:val="green"/>
                    </w:rPr>
                    <w:t>现有项目供热及环保工程技改项目，</w:t>
                  </w:r>
                  <w:r>
                    <w:rPr>
                      <w:rFonts w:hint="eastAsia"/>
                      <w:szCs w:val="21"/>
                    </w:rPr>
                    <w:t>新增导热油锅炉废气治理设施水膜除尘器废水经沉淀池沉淀后循环使用，</w:t>
                  </w:r>
                  <w:r>
                    <w:rPr>
                      <w:szCs w:val="21"/>
                    </w:rPr>
                    <w:t>不属于禁止的需水量大，生产废水不能实现循环回用不外排的企业。</w:t>
                  </w:r>
                </w:p>
                <w:p>
                  <w:pPr>
                    <w:ind w:firstLine="420" w:firstLineChars="200"/>
                    <w:rPr>
                      <w:szCs w:val="21"/>
                    </w:rPr>
                  </w:pPr>
                  <w:r>
                    <w:rPr>
                      <w:szCs w:val="21"/>
                    </w:rPr>
                    <w:t>（6）</w:t>
                  </w:r>
                  <w:r>
                    <w:rPr>
                      <w:rFonts w:hint="eastAsia"/>
                      <w:szCs w:val="21"/>
                    </w:rPr>
                    <w:t>本</w:t>
                  </w:r>
                  <w:r>
                    <w:rPr>
                      <w:szCs w:val="21"/>
                    </w:rPr>
                    <w:t>项目</w:t>
                  </w:r>
                  <w:r>
                    <w:rPr>
                      <w:rFonts w:hint="eastAsia"/>
                      <w:szCs w:val="21"/>
                    </w:rPr>
                    <w:t>新增废水主要为水膜除尘器废水，主要污染物为S</w:t>
                  </w:r>
                  <w:r>
                    <w:rPr>
                      <w:szCs w:val="21"/>
                    </w:rPr>
                    <w:t>S</w:t>
                  </w:r>
                  <w:r>
                    <w:rPr>
                      <w:rFonts w:hint="eastAsia"/>
                      <w:szCs w:val="21"/>
                    </w:rPr>
                    <w:t>，污水成分不复杂</w:t>
                  </w:r>
                  <w:r>
                    <w:rPr>
                      <w:szCs w:val="21"/>
                    </w:rPr>
                    <w:t>，</w:t>
                  </w:r>
                  <w:r>
                    <w:rPr>
                      <w:rFonts w:hint="eastAsia"/>
                      <w:szCs w:val="21"/>
                    </w:rPr>
                    <w:t>且循环使用，</w:t>
                  </w:r>
                  <w:r>
                    <w:rPr>
                      <w:szCs w:val="21"/>
                    </w:rPr>
                    <w:t>不外排。</w:t>
                  </w:r>
                </w:p>
                <w:p>
                  <w:pPr>
                    <w:ind w:firstLine="420" w:firstLineChars="200"/>
                    <w:rPr>
                      <w:szCs w:val="21"/>
                    </w:rPr>
                  </w:pPr>
                  <w:r>
                    <w:rPr>
                      <w:szCs w:val="21"/>
                    </w:rPr>
                    <w:t>（7）</w:t>
                  </w:r>
                  <w:r>
                    <w:rPr>
                      <w:rFonts w:hint="eastAsia"/>
                      <w:szCs w:val="21"/>
                      <w:highlight w:val="green"/>
                    </w:rPr>
                    <w:t>本项目属于现有项目供热及环保工程技改</w:t>
                  </w:r>
                  <w:r>
                    <w:rPr>
                      <w:rFonts w:hint="eastAsia"/>
                      <w:szCs w:val="21"/>
                    </w:rPr>
                    <w:t>，现有项目主体工程原辅材料、生产工艺及污染物种类、产品及规模等均未发生变化，</w:t>
                  </w:r>
                  <w:r>
                    <w:rPr>
                      <w:rFonts w:hint="eastAsia"/>
                      <w:szCs w:val="21"/>
                      <w:highlight w:val="green"/>
                    </w:rPr>
                    <w:t>本项目生产物耗主要为5</w:t>
                  </w:r>
                  <w:r>
                    <w:rPr>
                      <w:szCs w:val="21"/>
                      <w:highlight w:val="green"/>
                    </w:rPr>
                    <w:t>t/h</w:t>
                  </w:r>
                  <w:r>
                    <w:rPr>
                      <w:rFonts w:hint="eastAsia"/>
                      <w:szCs w:val="21"/>
                      <w:highlight w:val="green"/>
                    </w:rPr>
                    <w:t>导热油锅炉所需燃料及烟气水膜除尘装置用水，</w:t>
                  </w:r>
                  <w:r>
                    <w:rPr>
                      <w:szCs w:val="21"/>
                    </w:rPr>
                    <w:t>生产物耗、能耗不高，产生的废气主要为</w:t>
                  </w:r>
                  <w:r>
                    <w:rPr>
                      <w:rFonts w:hint="eastAsia"/>
                      <w:szCs w:val="21"/>
                      <w:highlight w:val="green"/>
                    </w:rPr>
                    <w:t>供热工程技改新增5</w:t>
                  </w:r>
                  <w:r>
                    <w:rPr>
                      <w:szCs w:val="21"/>
                      <w:highlight w:val="green"/>
                    </w:rPr>
                    <w:t>t/h</w:t>
                  </w:r>
                  <w:r>
                    <w:rPr>
                      <w:rFonts w:hint="eastAsia"/>
                      <w:szCs w:val="21"/>
                      <w:highlight w:val="green"/>
                    </w:rPr>
                    <w:t>导热油锅炉</w:t>
                  </w:r>
                  <w:r>
                    <w:rPr>
                      <w:rFonts w:hint="eastAsia"/>
                      <w:szCs w:val="21"/>
                    </w:rPr>
                    <w:t>废气（SO</w:t>
                  </w:r>
                  <w:r>
                    <w:rPr>
                      <w:rFonts w:hint="eastAsia"/>
                      <w:szCs w:val="21"/>
                      <w:vertAlign w:val="subscript"/>
                    </w:rPr>
                    <w:t>2</w:t>
                  </w:r>
                  <w:r>
                    <w:rPr>
                      <w:rFonts w:hint="eastAsia"/>
                      <w:szCs w:val="21"/>
                    </w:rPr>
                    <w:t>、NO</w:t>
                  </w:r>
                  <w:r>
                    <w:rPr>
                      <w:rFonts w:hint="eastAsia"/>
                      <w:szCs w:val="21"/>
                      <w:vertAlign w:val="subscript"/>
                    </w:rPr>
                    <w:t>x</w:t>
                  </w:r>
                  <w:r>
                    <w:rPr>
                      <w:rFonts w:hint="eastAsia"/>
                      <w:szCs w:val="21"/>
                    </w:rPr>
                    <w:t>、烟尘）</w:t>
                  </w:r>
                  <w:r>
                    <w:rPr>
                      <w:szCs w:val="21"/>
                    </w:rPr>
                    <w:t>，</w:t>
                  </w:r>
                  <w:r>
                    <w:rPr>
                      <w:rFonts w:hint="eastAsia"/>
                      <w:szCs w:val="21"/>
                    </w:rPr>
                    <w:t>大气污染物类型不复杂；本项目为</w:t>
                  </w:r>
                  <w:r>
                    <w:rPr>
                      <w:rFonts w:hint="eastAsia"/>
                      <w:szCs w:val="21"/>
                      <w:highlight w:val="green"/>
                    </w:rPr>
                    <w:t>供热及环保工程技改，</w:t>
                  </w:r>
                  <w:r>
                    <w:rPr>
                      <w:rFonts w:hint="eastAsia"/>
                      <w:szCs w:val="21"/>
                    </w:rPr>
                    <w:t>现有项目属于家居制造业，不属于环境风险较大的产业、项目及工艺；</w:t>
                  </w:r>
                  <w:r>
                    <w:rPr>
                      <w:rFonts w:hint="eastAsia"/>
                      <w:szCs w:val="21"/>
                      <w:highlight w:val="green"/>
                    </w:rPr>
                    <w:t>本项目供热工程技改新增5</w:t>
                  </w:r>
                  <w:r>
                    <w:rPr>
                      <w:szCs w:val="21"/>
                      <w:highlight w:val="green"/>
                    </w:rPr>
                    <w:t>t/h</w:t>
                  </w:r>
                  <w:r>
                    <w:rPr>
                      <w:rFonts w:hint="eastAsia"/>
                      <w:szCs w:val="21"/>
                      <w:highlight w:val="green"/>
                    </w:rPr>
                    <w:t>导热油锅炉</w:t>
                  </w:r>
                  <w:r>
                    <w:rPr>
                      <w:rFonts w:hint="eastAsia"/>
                      <w:szCs w:val="21"/>
                    </w:rPr>
                    <w:t>产生的锅炉废气采用“旋风多管除尘+水膜除尘”处理后经过35m高排气筒达标排放</w:t>
                  </w:r>
                  <w:r>
                    <w:rPr>
                      <w:rFonts w:hint="eastAsia"/>
                      <w:szCs w:val="21"/>
                      <w:highlight w:val="green"/>
                    </w:rPr>
                    <w:t>；环保工程技改新增环保设施本身不产生废气，现有7t/h导热油锅炉、筛选打磨工序、热压凉板工序排放污染物得到了削减。</w:t>
                  </w:r>
                </w:p>
                <w:p>
                  <w:pPr>
                    <w:ind w:firstLine="420" w:firstLineChars="200"/>
                    <w:rPr>
                      <w:szCs w:val="21"/>
                    </w:rPr>
                  </w:pPr>
                  <w:r>
                    <w:rPr>
                      <w:szCs w:val="21"/>
                    </w:rPr>
                    <w:t>（8）</w:t>
                  </w:r>
                  <w:r>
                    <w:rPr>
                      <w:rFonts w:hint="eastAsia"/>
                      <w:szCs w:val="21"/>
                    </w:rPr>
                    <w:t>本</w:t>
                  </w:r>
                  <w:r>
                    <w:rPr>
                      <w:szCs w:val="21"/>
                    </w:rPr>
                    <w:t>项目位于</w:t>
                  </w:r>
                  <w:r>
                    <w:rPr>
                      <w:rFonts w:hint="eastAsia"/>
                      <w:szCs w:val="21"/>
                    </w:rPr>
                    <w:t>寻甸特色产业园区</w:t>
                  </w:r>
                  <w:r>
                    <w:rPr>
                      <w:szCs w:val="21"/>
                    </w:rPr>
                    <w:t>羊街片区</w:t>
                  </w:r>
                  <w:r>
                    <w:rPr>
                      <w:rFonts w:hint="eastAsia"/>
                      <w:szCs w:val="21"/>
                      <w:highlight w:val="green"/>
                    </w:rPr>
                    <w:t>现有厂区内</w:t>
                  </w:r>
                  <w:r>
                    <w:rPr>
                      <w:szCs w:val="21"/>
                      <w:highlight w:val="green"/>
                    </w:rPr>
                    <w:t>，</w:t>
                  </w:r>
                  <w:r>
                    <w:rPr>
                      <w:rFonts w:hint="eastAsia"/>
                      <w:szCs w:val="21"/>
                      <w:highlight w:val="green"/>
                    </w:rPr>
                    <w:t>不新增占地，</w:t>
                  </w:r>
                  <w:r>
                    <w:rPr>
                      <w:szCs w:val="21"/>
                    </w:rPr>
                    <w:t>属工业园区建设用地，项目周边均为园区内</w:t>
                  </w:r>
                  <w:r>
                    <w:rPr>
                      <w:rFonts w:hint="eastAsia"/>
                      <w:szCs w:val="21"/>
                    </w:rPr>
                    <w:t>其他</w:t>
                  </w:r>
                  <w:r>
                    <w:rPr>
                      <w:szCs w:val="21"/>
                    </w:rPr>
                    <w:t>企业，项目不设卫生防护距离</w:t>
                  </w:r>
                  <w:r>
                    <w:rPr>
                      <w:rFonts w:hint="eastAsia"/>
                      <w:szCs w:val="21"/>
                      <w:highlight w:val="green"/>
                    </w:rPr>
                    <w:t>及大气防护距离</w:t>
                  </w:r>
                  <w:r>
                    <w:rPr>
                      <w:szCs w:val="21"/>
                    </w:rPr>
                    <w:t>要求。</w:t>
                  </w:r>
                </w:p>
                <w:p>
                  <w:pPr>
                    <w:ind w:firstLine="420" w:firstLineChars="200"/>
                    <w:rPr>
                      <w:szCs w:val="21"/>
                    </w:rPr>
                  </w:pPr>
                  <w:r>
                    <w:rPr>
                      <w:szCs w:val="21"/>
                    </w:rPr>
                    <w:t>（9）经</w:t>
                  </w:r>
                  <w:r>
                    <w:rPr>
                      <w:rFonts w:hint="eastAsia"/>
                      <w:szCs w:val="21"/>
                      <w:highlight w:val="green"/>
                    </w:rPr>
                    <w:t>下文</w:t>
                  </w:r>
                  <w:r>
                    <w:rPr>
                      <w:szCs w:val="21"/>
                      <w:highlight w:val="green"/>
                    </w:rPr>
                    <w:t>与《云南省牛栏江保护条例》</w:t>
                  </w:r>
                  <w:r>
                    <w:rPr>
                      <w:rFonts w:hint="eastAsia"/>
                      <w:szCs w:val="21"/>
                      <w:highlight w:val="green"/>
                    </w:rPr>
                    <w:t>对比</w:t>
                  </w:r>
                  <w:r>
                    <w:rPr>
                      <w:szCs w:val="21"/>
                      <w:highlight w:val="green"/>
                    </w:rPr>
                    <w:t>分析</w:t>
                  </w:r>
                  <w:r>
                    <w:rPr>
                      <w:szCs w:val="21"/>
                    </w:rPr>
                    <w:t>，</w:t>
                  </w:r>
                  <w:r>
                    <w:rPr>
                      <w:rFonts w:hint="eastAsia"/>
                      <w:szCs w:val="21"/>
                    </w:rPr>
                    <w:t>本</w:t>
                  </w:r>
                  <w:r>
                    <w:rPr>
                      <w:szCs w:val="21"/>
                    </w:rPr>
                    <w:t>项目与《云南省牛栏江保护条例》不冲突。</w:t>
                  </w:r>
                </w:p>
                <w:p>
                  <w:pPr>
                    <w:ind w:firstLine="420" w:firstLineChars="200"/>
                    <w:rPr>
                      <w:szCs w:val="21"/>
                    </w:rPr>
                  </w:pPr>
                  <w:r>
                    <w:rPr>
                      <w:szCs w:val="21"/>
                    </w:rPr>
                    <w:t>（10）</w:t>
                  </w:r>
                  <w:r>
                    <w:rPr>
                      <w:rFonts w:hint="eastAsia"/>
                      <w:szCs w:val="21"/>
                      <w:highlight w:val="green"/>
                    </w:rPr>
                    <w:t>本项目属于现有项目供热及环保工程技改，生产物耗主要为5</w:t>
                  </w:r>
                  <w:r>
                    <w:rPr>
                      <w:szCs w:val="21"/>
                      <w:highlight w:val="green"/>
                    </w:rPr>
                    <w:t>t/h</w:t>
                  </w:r>
                  <w:r>
                    <w:rPr>
                      <w:rFonts w:hint="eastAsia"/>
                      <w:szCs w:val="21"/>
                      <w:highlight w:val="green"/>
                    </w:rPr>
                    <w:t>导热油锅炉所需燃料及烟气治理水膜除尘装置用水，</w:t>
                  </w:r>
                  <w:r>
                    <w:rPr>
                      <w:szCs w:val="21"/>
                    </w:rPr>
                    <w:t>不属于高能耗、高污染企业，</w:t>
                  </w:r>
                  <w:r>
                    <w:rPr>
                      <w:rFonts w:hint="eastAsia"/>
                      <w:szCs w:val="21"/>
                      <w:highlight w:val="green"/>
                    </w:rPr>
                    <w:t>本项目供热工程技改新增5</w:t>
                  </w:r>
                  <w:r>
                    <w:rPr>
                      <w:szCs w:val="21"/>
                      <w:highlight w:val="green"/>
                    </w:rPr>
                    <w:t>t/h</w:t>
                  </w:r>
                  <w:r>
                    <w:rPr>
                      <w:rFonts w:hint="eastAsia"/>
                      <w:szCs w:val="21"/>
                      <w:highlight w:val="green"/>
                    </w:rPr>
                    <w:t>导热油锅炉产生的锅炉废气采用“旋风多管除尘+水膜除尘”处理后经过35m高排气筒达标排放；锅炉烟气水膜除尘治理设施废水经沉淀池沉淀后循环使用，不外排。环保工程技改新增环保设施本身不产生污染物，现有7t/h导热油锅炉、筛选打磨工序、热压凉板工序排放污染物得到了削减</w:t>
                  </w:r>
                  <w:r>
                    <w:rPr>
                      <w:szCs w:val="21"/>
                      <w:highlight w:val="green"/>
                    </w:rPr>
                    <w:t>。</w:t>
                  </w:r>
                </w:p>
              </w:tc>
              <w:tc>
                <w:tcPr>
                  <w:tcW w:w="769"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6" w:hRule="atLeast"/>
                <w:jc w:val="center"/>
              </w:trPr>
              <w:tc>
                <w:tcPr>
                  <w:tcW w:w="711" w:type="dxa"/>
                  <w:vAlign w:val="center"/>
                </w:tcPr>
                <w:p>
                  <w:pPr>
                    <w:jc w:val="center"/>
                    <w:rPr>
                      <w:szCs w:val="21"/>
                    </w:rPr>
                  </w:pPr>
                  <w:r>
                    <w:rPr>
                      <w:szCs w:val="21"/>
                    </w:rPr>
                    <w:t>禁入</w:t>
                  </w:r>
                </w:p>
                <w:p>
                  <w:pPr>
                    <w:jc w:val="center"/>
                    <w:rPr>
                      <w:szCs w:val="21"/>
                    </w:rPr>
                  </w:pPr>
                  <w:r>
                    <w:rPr>
                      <w:szCs w:val="21"/>
                    </w:rPr>
                    <w:t>工艺</w:t>
                  </w:r>
                </w:p>
              </w:tc>
              <w:tc>
                <w:tcPr>
                  <w:tcW w:w="2456" w:type="dxa"/>
                  <w:vAlign w:val="center"/>
                </w:tcPr>
                <w:p>
                  <w:pPr>
                    <w:ind w:firstLine="420" w:firstLineChars="200"/>
                    <w:rPr>
                      <w:szCs w:val="21"/>
                    </w:rPr>
                  </w:pPr>
                  <w:r>
                    <w:rPr>
                      <w:szCs w:val="21"/>
                    </w:rPr>
                    <w:t>（1）《产业结构调整指导目录（201</w:t>
                  </w:r>
                  <w:r>
                    <w:rPr>
                      <w:rFonts w:hint="eastAsia"/>
                      <w:szCs w:val="21"/>
                    </w:rPr>
                    <w:t>9</w:t>
                  </w:r>
                  <w:r>
                    <w:rPr>
                      <w:szCs w:val="21"/>
                    </w:rPr>
                    <w:t>年本）》中淘汰、落后的生产工艺。</w:t>
                  </w:r>
                </w:p>
                <w:p>
                  <w:pPr>
                    <w:ind w:firstLine="420" w:firstLineChars="200"/>
                    <w:rPr>
                      <w:szCs w:val="21"/>
                    </w:rPr>
                  </w:pPr>
                  <w:r>
                    <w:rPr>
                      <w:szCs w:val="21"/>
                    </w:rPr>
                    <w:t>（2）《部分工业行业淘汰落后生产工艺装备和产品指导目录（2010年本）》的生产工艺；</w:t>
                  </w:r>
                </w:p>
                <w:p>
                  <w:pPr>
                    <w:ind w:firstLine="420" w:firstLineChars="200"/>
                    <w:rPr>
                      <w:szCs w:val="21"/>
                    </w:rPr>
                  </w:pPr>
                  <w:r>
                    <w:rPr>
                      <w:szCs w:val="21"/>
                    </w:rPr>
                    <w:t>（3）现有污染治理技术不成熟，或现有技术经济条件难以承受污染物治理成本的。</w:t>
                  </w:r>
                </w:p>
                <w:p>
                  <w:pPr>
                    <w:ind w:firstLine="420" w:firstLineChars="200"/>
                    <w:rPr>
                      <w:szCs w:val="21"/>
                    </w:rPr>
                  </w:pPr>
                  <w:r>
                    <w:rPr>
                      <w:szCs w:val="21"/>
                    </w:rPr>
                    <w:t>（4）装备制造产业中含电镀、钝化、传统磷化等不能实现工业废水循环回用的企业禁止入驻。</w:t>
                  </w:r>
                </w:p>
                <w:p>
                  <w:pPr>
                    <w:ind w:firstLine="420" w:firstLineChars="200"/>
                    <w:rPr>
                      <w:szCs w:val="21"/>
                    </w:rPr>
                  </w:pPr>
                  <w:r>
                    <w:rPr>
                      <w:szCs w:val="21"/>
                    </w:rPr>
                    <w:t>（5）涂装、印刷、粘合、工业清洗行业中淘汰以三氟氯乙烷、甲基仿和四氯化碳为清洗剂或溶剂的生产工艺。</w:t>
                  </w:r>
                </w:p>
                <w:p>
                  <w:pPr>
                    <w:ind w:firstLine="420" w:firstLineChars="200"/>
                    <w:rPr>
                      <w:szCs w:val="21"/>
                    </w:rPr>
                  </w:pPr>
                  <w:r>
                    <w:rPr>
                      <w:szCs w:val="21"/>
                    </w:rPr>
                    <w:t>（6）园区不再统一规划固废处置场，未来入驻企业禁止在园区内新建永久性工业固废处置场。</w:t>
                  </w:r>
                </w:p>
                <w:p>
                  <w:pPr>
                    <w:ind w:firstLine="420" w:firstLineChars="200"/>
                    <w:rPr>
                      <w:szCs w:val="21"/>
                    </w:rPr>
                  </w:pPr>
                  <w:r>
                    <w:rPr>
                      <w:szCs w:val="21"/>
                    </w:rPr>
                    <w:t>（7）禁止入园企业开采地下水作为生产、生活用水。</w:t>
                  </w:r>
                </w:p>
              </w:tc>
              <w:tc>
                <w:tcPr>
                  <w:tcW w:w="4004" w:type="dxa"/>
                  <w:vAlign w:val="center"/>
                </w:tcPr>
                <w:p>
                  <w:pPr>
                    <w:ind w:firstLine="420" w:firstLineChars="200"/>
                    <w:rPr>
                      <w:szCs w:val="21"/>
                    </w:rPr>
                  </w:pPr>
                  <w:r>
                    <w:rPr>
                      <w:szCs w:val="21"/>
                    </w:rPr>
                    <w:t>（1）本</w:t>
                  </w:r>
                  <w:r>
                    <w:rPr>
                      <w:rFonts w:hint="eastAsia"/>
                      <w:szCs w:val="21"/>
                    </w:rPr>
                    <w:t>次供热工程技改新增5</w:t>
                  </w:r>
                  <w:r>
                    <w:rPr>
                      <w:szCs w:val="21"/>
                    </w:rPr>
                    <w:t>t/h</w:t>
                  </w:r>
                  <w:r>
                    <w:rPr>
                      <w:rFonts w:hint="eastAsia"/>
                      <w:szCs w:val="21"/>
                    </w:rPr>
                    <w:t>导热油锅炉及废气治理工艺；</w:t>
                  </w:r>
                  <w:r>
                    <w:rPr>
                      <w:rFonts w:hint="eastAsia"/>
                      <w:szCs w:val="21"/>
                      <w:highlight w:val="green"/>
                    </w:rPr>
                    <w:t>环保工程技改新增的废气治理工艺</w:t>
                  </w:r>
                  <w:r>
                    <w:rPr>
                      <w:szCs w:val="21"/>
                      <w:highlight w:val="green"/>
                    </w:rPr>
                    <w:t>，</w:t>
                  </w:r>
                  <w:r>
                    <w:rPr>
                      <w:rFonts w:hint="eastAsia"/>
                      <w:szCs w:val="21"/>
                    </w:rPr>
                    <w:t>均</w:t>
                  </w:r>
                  <w:r>
                    <w:rPr>
                      <w:szCs w:val="21"/>
                    </w:rPr>
                    <w:t>不属于《产业结构调整指导目录（2019年本）》中</w:t>
                  </w:r>
                  <w:r>
                    <w:rPr>
                      <w:rFonts w:hint="eastAsia"/>
                      <w:szCs w:val="21"/>
                    </w:rPr>
                    <w:t>淘汰、落后的生产工艺</w:t>
                  </w:r>
                  <w:r>
                    <w:rPr>
                      <w:szCs w:val="21"/>
                    </w:rPr>
                    <w:t>。</w:t>
                  </w:r>
                </w:p>
                <w:p>
                  <w:pPr>
                    <w:ind w:firstLine="420" w:firstLineChars="200"/>
                    <w:rPr>
                      <w:szCs w:val="21"/>
                    </w:rPr>
                  </w:pPr>
                  <w:r>
                    <w:rPr>
                      <w:szCs w:val="21"/>
                    </w:rPr>
                    <w:t>（2）</w:t>
                  </w:r>
                  <w:r>
                    <w:rPr>
                      <w:rFonts w:hint="eastAsia"/>
                      <w:szCs w:val="21"/>
                      <w:highlight w:val="green"/>
                    </w:rPr>
                    <w:t>本项目属于现有项目供热及环保工程技改，</w:t>
                  </w:r>
                  <w:r>
                    <w:rPr>
                      <w:szCs w:val="21"/>
                    </w:rPr>
                    <w:t>不属于《部分工业行业淘汰落后生产工艺装备和产品指导目录（2010年本）》的生产工艺。</w:t>
                  </w:r>
                </w:p>
                <w:p>
                  <w:pPr>
                    <w:ind w:firstLine="420" w:firstLineChars="200"/>
                    <w:rPr>
                      <w:szCs w:val="21"/>
                    </w:rPr>
                  </w:pPr>
                  <w:r>
                    <w:rPr>
                      <w:szCs w:val="21"/>
                    </w:rPr>
                    <w:t>（3）</w:t>
                  </w:r>
                  <w:r>
                    <w:rPr>
                      <w:rFonts w:hint="eastAsia"/>
                      <w:szCs w:val="21"/>
                      <w:highlight w:val="green"/>
                    </w:rPr>
                    <w:t>本项目供热工程技改新增5</w:t>
                  </w:r>
                  <w:r>
                    <w:rPr>
                      <w:szCs w:val="21"/>
                      <w:highlight w:val="green"/>
                    </w:rPr>
                    <w:t>t/h</w:t>
                  </w:r>
                  <w:r>
                    <w:rPr>
                      <w:rFonts w:hint="eastAsia"/>
                      <w:szCs w:val="21"/>
                      <w:highlight w:val="green"/>
                    </w:rPr>
                    <w:t>导热油锅炉</w:t>
                  </w:r>
                  <w:r>
                    <w:rPr>
                      <w:rFonts w:hint="eastAsia"/>
                      <w:szCs w:val="21"/>
                    </w:rPr>
                    <w:t>产生的锅炉废气采用“旋风多管除尘+水膜除尘”处理后经过35m高排气筒达标排放</w:t>
                  </w:r>
                  <w:r>
                    <w:rPr>
                      <w:rFonts w:hint="eastAsia"/>
                      <w:szCs w:val="21"/>
                      <w:highlight w:val="green"/>
                    </w:rPr>
                    <w:t>；环保工程技改新增环保设施本身不产生废气，现有7t/h导热油锅炉、筛选打磨工序、热压凉板工序排放污染物得到了削减。</w:t>
                  </w:r>
                  <w:r>
                    <w:rPr>
                      <w:szCs w:val="21"/>
                    </w:rPr>
                    <w:t xml:space="preserve">废气处理工艺属《排污许可证申请与核发技术规范 </w:t>
                  </w:r>
                  <w:r>
                    <w:rPr>
                      <w:rFonts w:hint="eastAsia"/>
                      <w:szCs w:val="21"/>
                    </w:rPr>
                    <w:t>人造板</w:t>
                  </w:r>
                  <w:r>
                    <w:rPr>
                      <w:szCs w:val="21"/>
                    </w:rPr>
                    <w:t>工业》（HJ103</w:t>
                  </w:r>
                  <w:r>
                    <w:rPr>
                      <w:rFonts w:hint="eastAsia"/>
                      <w:szCs w:val="21"/>
                    </w:rPr>
                    <w:t>2</w:t>
                  </w:r>
                  <w:r>
                    <w:rPr>
                      <w:szCs w:val="21"/>
                    </w:rPr>
                    <w:t>-2019）中</w:t>
                  </w:r>
                  <w:r>
                    <w:rPr>
                      <w:rFonts w:hint="eastAsia"/>
                      <w:szCs w:val="21"/>
                    </w:rPr>
                    <w:t>“</w:t>
                  </w:r>
                  <w:r>
                    <w:rPr>
                      <w:szCs w:val="21"/>
                    </w:rPr>
                    <w:t>污染防治可行技术参考表</w:t>
                  </w:r>
                  <w:r>
                    <w:rPr>
                      <w:rFonts w:hint="eastAsia"/>
                      <w:szCs w:val="21"/>
                    </w:rPr>
                    <w:t>”</w:t>
                  </w:r>
                  <w:r>
                    <w:rPr>
                      <w:szCs w:val="21"/>
                    </w:rPr>
                    <w:t>中推荐的污染防治技术，其处理工艺成熟，成本可控。</w:t>
                  </w:r>
                </w:p>
                <w:p>
                  <w:pPr>
                    <w:ind w:firstLine="420" w:firstLineChars="200"/>
                    <w:rPr>
                      <w:szCs w:val="21"/>
                    </w:rPr>
                  </w:pPr>
                  <w:r>
                    <w:rPr>
                      <w:szCs w:val="21"/>
                    </w:rPr>
                    <w:t>（4）</w:t>
                  </w:r>
                  <w:r>
                    <w:rPr>
                      <w:rFonts w:hint="eastAsia"/>
                      <w:szCs w:val="21"/>
                      <w:highlight w:val="green"/>
                    </w:rPr>
                    <w:t>本项目属于现有项目供热及环保工程技改，</w:t>
                  </w:r>
                  <w:r>
                    <w:rPr>
                      <w:szCs w:val="21"/>
                    </w:rPr>
                    <w:t>不含电镀、钝化、传统磷化等工业废水。</w:t>
                  </w:r>
                </w:p>
                <w:p>
                  <w:pPr>
                    <w:ind w:firstLine="420" w:firstLineChars="200"/>
                    <w:rPr>
                      <w:szCs w:val="21"/>
                    </w:rPr>
                  </w:pPr>
                  <w:r>
                    <w:rPr>
                      <w:szCs w:val="21"/>
                    </w:rPr>
                    <w:t>（5）</w:t>
                  </w:r>
                  <w:r>
                    <w:rPr>
                      <w:rFonts w:hint="eastAsia"/>
                      <w:szCs w:val="21"/>
                      <w:highlight w:val="green"/>
                    </w:rPr>
                    <w:t>本项目属于现有项目供热及环保工程技改，</w:t>
                  </w:r>
                  <w:r>
                    <w:rPr>
                      <w:szCs w:val="21"/>
                    </w:rPr>
                    <w:t>不属于涂装、印刷、粘合、工业清洗行业。</w:t>
                  </w:r>
                </w:p>
                <w:p>
                  <w:pPr>
                    <w:ind w:firstLine="420" w:firstLineChars="200"/>
                    <w:rPr>
                      <w:szCs w:val="21"/>
                    </w:rPr>
                  </w:pPr>
                  <w:r>
                    <w:rPr>
                      <w:szCs w:val="21"/>
                    </w:rPr>
                    <w:t>（6）</w:t>
                  </w:r>
                  <w:r>
                    <w:rPr>
                      <w:rFonts w:hint="eastAsia"/>
                      <w:szCs w:val="21"/>
                    </w:rPr>
                    <w:t>本</w:t>
                  </w:r>
                  <w:r>
                    <w:rPr>
                      <w:szCs w:val="21"/>
                    </w:rPr>
                    <w:t>项目</w:t>
                  </w:r>
                  <w:r>
                    <w:rPr>
                      <w:rFonts w:hint="eastAsia"/>
                      <w:szCs w:val="21"/>
                    </w:rPr>
                    <w:t>依托现有项目已建一般固废暂存区，产生的炉渣等固体废物定期委托环卫部门清运处置</w:t>
                  </w:r>
                  <w:r>
                    <w:rPr>
                      <w:szCs w:val="21"/>
                    </w:rPr>
                    <w:t>。</w:t>
                  </w:r>
                </w:p>
                <w:p>
                  <w:pPr>
                    <w:ind w:firstLine="420" w:firstLineChars="200"/>
                    <w:rPr>
                      <w:szCs w:val="21"/>
                    </w:rPr>
                  </w:pPr>
                  <w:r>
                    <w:rPr>
                      <w:szCs w:val="21"/>
                    </w:rPr>
                    <w:t>（7）</w:t>
                  </w:r>
                  <w:r>
                    <w:rPr>
                      <w:rFonts w:hint="eastAsia"/>
                      <w:szCs w:val="21"/>
                    </w:rPr>
                    <w:t>本</w:t>
                  </w:r>
                  <w:r>
                    <w:rPr>
                      <w:szCs w:val="21"/>
                    </w:rPr>
                    <w:t>项目不开采地下水。</w:t>
                  </w:r>
                </w:p>
              </w:tc>
              <w:tc>
                <w:tcPr>
                  <w:tcW w:w="769"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9" w:hRule="atLeast"/>
                <w:jc w:val="center"/>
              </w:trPr>
              <w:tc>
                <w:tcPr>
                  <w:tcW w:w="711" w:type="dxa"/>
                  <w:vAlign w:val="center"/>
                </w:tcPr>
                <w:p>
                  <w:pPr>
                    <w:jc w:val="center"/>
                    <w:rPr>
                      <w:szCs w:val="21"/>
                    </w:rPr>
                  </w:pPr>
                  <w:r>
                    <w:rPr>
                      <w:szCs w:val="21"/>
                    </w:rPr>
                    <w:t>禁入产品</w:t>
                  </w:r>
                </w:p>
              </w:tc>
              <w:tc>
                <w:tcPr>
                  <w:tcW w:w="2456" w:type="dxa"/>
                  <w:vAlign w:val="center"/>
                </w:tcPr>
                <w:p>
                  <w:pPr>
                    <w:rPr>
                      <w:szCs w:val="21"/>
                    </w:rPr>
                  </w:pPr>
                  <w:r>
                    <w:rPr>
                      <w:szCs w:val="21"/>
                    </w:rPr>
                    <w:t>《部分工业行业淘汰落后生产工艺装备和产品指导目录（2010年本）》的产品。</w:t>
                  </w:r>
                </w:p>
              </w:tc>
              <w:tc>
                <w:tcPr>
                  <w:tcW w:w="4004" w:type="dxa"/>
                  <w:vAlign w:val="center"/>
                </w:tcPr>
                <w:p>
                  <w:pPr>
                    <w:autoSpaceDE w:val="0"/>
                    <w:autoSpaceDN w:val="0"/>
                    <w:ind w:firstLine="420" w:firstLineChars="200"/>
                    <w:rPr>
                      <w:szCs w:val="21"/>
                    </w:rPr>
                  </w:pPr>
                  <w:r>
                    <w:rPr>
                      <w:rFonts w:hint="eastAsia"/>
                      <w:szCs w:val="21"/>
                      <w:highlight w:val="green"/>
                    </w:rPr>
                    <w:t>本项目属于现有项目供热及环保工程技改</w:t>
                  </w:r>
                  <w:r>
                    <w:rPr>
                      <w:rFonts w:hint="eastAsia"/>
                      <w:szCs w:val="21"/>
                    </w:rPr>
                    <w:t>，现有项目主体工程原辅材料、生产工艺及污染物种类、产品及规模等均未发生变化</w:t>
                  </w:r>
                  <w:r>
                    <w:rPr>
                      <w:rFonts w:hint="eastAsia"/>
                      <w:kern w:val="0"/>
                      <w:szCs w:val="21"/>
                    </w:rPr>
                    <w:t>，</w:t>
                  </w:r>
                  <w:r>
                    <w:rPr>
                      <w:kern w:val="0"/>
                      <w:szCs w:val="21"/>
                    </w:rPr>
                    <w:t>生产的</w:t>
                  </w:r>
                  <w:r>
                    <w:rPr>
                      <w:rFonts w:hint="eastAsia"/>
                      <w:kern w:val="0"/>
                      <w:szCs w:val="21"/>
                    </w:rPr>
                    <w:t>木质刨花板</w:t>
                  </w:r>
                  <w:r>
                    <w:rPr>
                      <w:kern w:val="0"/>
                      <w:szCs w:val="21"/>
                    </w:rPr>
                    <w:t>，不属于《部分工业行业淘汰落后生产工艺装备和产品指导目录（2010年本）》的产品</w:t>
                  </w:r>
                  <w:r>
                    <w:rPr>
                      <w:rFonts w:hint="eastAsia"/>
                      <w:kern w:val="0"/>
                      <w:szCs w:val="21"/>
                    </w:rPr>
                    <w:t>。</w:t>
                  </w:r>
                </w:p>
              </w:tc>
              <w:tc>
                <w:tcPr>
                  <w:tcW w:w="769"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21" w:hRule="atLeast"/>
                <w:jc w:val="center"/>
              </w:trPr>
              <w:tc>
                <w:tcPr>
                  <w:tcW w:w="711" w:type="dxa"/>
                  <w:vAlign w:val="center"/>
                </w:tcPr>
                <w:p>
                  <w:pPr>
                    <w:jc w:val="center"/>
                    <w:rPr>
                      <w:szCs w:val="21"/>
                    </w:rPr>
                  </w:pPr>
                  <w:r>
                    <w:rPr>
                      <w:szCs w:val="21"/>
                    </w:rPr>
                    <w:t>限制进入</w:t>
                  </w:r>
                </w:p>
              </w:tc>
              <w:tc>
                <w:tcPr>
                  <w:tcW w:w="2456" w:type="dxa"/>
                  <w:vAlign w:val="center"/>
                </w:tcPr>
                <w:p>
                  <w:pPr>
                    <w:autoSpaceDE w:val="0"/>
                    <w:autoSpaceDN w:val="0"/>
                    <w:ind w:firstLine="420" w:firstLineChars="200"/>
                    <w:rPr>
                      <w:kern w:val="0"/>
                      <w:szCs w:val="21"/>
                    </w:rPr>
                  </w:pPr>
                  <w:r>
                    <w:rPr>
                      <w:kern w:val="0"/>
                      <w:szCs w:val="21"/>
                    </w:rPr>
                    <w:t>（1）严格限制引进《产业结构调整指导目录（2011年本）》（2013年修正）中所列的限制类项目。</w:t>
                  </w:r>
                </w:p>
                <w:p>
                  <w:pPr>
                    <w:ind w:firstLine="420" w:firstLineChars="200"/>
                    <w:rPr>
                      <w:kern w:val="0"/>
                      <w:szCs w:val="21"/>
                    </w:rPr>
                  </w:pPr>
                  <w:r>
                    <w:rPr>
                      <w:kern w:val="0"/>
                      <w:szCs w:val="21"/>
                    </w:rPr>
                    <w:t>（2）《外商投资产业指导目录（2015年修订）》中所列的限制类项目。</w:t>
                  </w:r>
                </w:p>
                <w:p>
                  <w:pPr>
                    <w:ind w:firstLine="420" w:firstLineChars="200"/>
                    <w:rPr>
                      <w:kern w:val="0"/>
                      <w:szCs w:val="21"/>
                    </w:rPr>
                  </w:pPr>
                  <w:r>
                    <w:rPr>
                      <w:kern w:val="0"/>
                      <w:szCs w:val="21"/>
                    </w:rPr>
                    <w:t>（3）严格限制引进涉及《中国严格限制进出口的有毒化学品目录（2012年本）》中所列有毒化学品的项目。</w:t>
                  </w:r>
                </w:p>
                <w:p>
                  <w:pPr>
                    <w:ind w:firstLine="420" w:firstLineChars="200"/>
                    <w:rPr>
                      <w:kern w:val="0"/>
                      <w:szCs w:val="21"/>
                    </w:rPr>
                  </w:pPr>
                  <w:r>
                    <w:rPr>
                      <w:kern w:val="0"/>
                      <w:szCs w:val="21"/>
                    </w:rPr>
                    <w:t>（4）严禁引入技术含量较低的加工类产业。</w:t>
                  </w:r>
                </w:p>
                <w:p>
                  <w:pPr>
                    <w:ind w:firstLine="420" w:firstLineChars="200"/>
                    <w:rPr>
                      <w:szCs w:val="21"/>
                    </w:rPr>
                  </w:pPr>
                  <w:r>
                    <w:rPr>
                      <w:kern w:val="0"/>
                      <w:szCs w:val="21"/>
                    </w:rPr>
                    <w:t>（5）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tc>
              <w:tc>
                <w:tcPr>
                  <w:tcW w:w="4004" w:type="dxa"/>
                  <w:vAlign w:val="center"/>
                </w:tcPr>
                <w:p>
                  <w:pPr>
                    <w:autoSpaceDE w:val="0"/>
                    <w:autoSpaceDN w:val="0"/>
                    <w:ind w:firstLine="420" w:firstLineChars="200"/>
                    <w:rPr>
                      <w:kern w:val="0"/>
                      <w:szCs w:val="21"/>
                    </w:rPr>
                  </w:pPr>
                  <w:r>
                    <w:rPr>
                      <w:kern w:val="0"/>
                      <w:szCs w:val="21"/>
                    </w:rPr>
                    <w:t>（1）</w:t>
                  </w:r>
                  <w:r>
                    <w:rPr>
                      <w:szCs w:val="21"/>
                    </w:rPr>
                    <w:t>本</w:t>
                  </w:r>
                  <w:r>
                    <w:rPr>
                      <w:rFonts w:hint="eastAsia"/>
                      <w:szCs w:val="21"/>
                    </w:rPr>
                    <w:t>次供热工程技改新增5</w:t>
                  </w:r>
                  <w:r>
                    <w:rPr>
                      <w:szCs w:val="21"/>
                    </w:rPr>
                    <w:t>t/h</w:t>
                  </w:r>
                  <w:r>
                    <w:rPr>
                      <w:rFonts w:hint="eastAsia"/>
                      <w:szCs w:val="21"/>
                    </w:rPr>
                    <w:t>导热油锅炉属于热力生产和供应，对照产业结构调整指导目录不属于鼓励类、禁止类和限制类项目，视为允许类；环保工程技改属于“第一类鼓励类”中“四十三、环境保护与资源节约综合利用”中15、“三废”综合利用与治理技术、装备和工程；综上，本项目</w:t>
                  </w:r>
                  <w:r>
                    <w:rPr>
                      <w:szCs w:val="21"/>
                    </w:rPr>
                    <w:t>不属于《产业结构调整指导目录（2019年本）》中禁止、限制类行业</w:t>
                  </w:r>
                  <w:r>
                    <w:rPr>
                      <w:kern w:val="0"/>
                      <w:szCs w:val="21"/>
                    </w:rPr>
                    <w:t>。</w:t>
                  </w:r>
                </w:p>
                <w:p>
                  <w:pPr>
                    <w:autoSpaceDE w:val="0"/>
                    <w:autoSpaceDN w:val="0"/>
                    <w:ind w:firstLine="420" w:firstLineChars="200"/>
                    <w:rPr>
                      <w:kern w:val="0"/>
                      <w:szCs w:val="21"/>
                    </w:rPr>
                  </w:pPr>
                  <w:r>
                    <w:rPr>
                      <w:kern w:val="0"/>
                      <w:szCs w:val="21"/>
                    </w:rPr>
                    <w:t>（2）</w:t>
                  </w:r>
                  <w:r>
                    <w:rPr>
                      <w:rFonts w:hint="eastAsia"/>
                      <w:szCs w:val="21"/>
                      <w:highlight w:val="green"/>
                    </w:rPr>
                    <w:t>本项目属于现有项目供热及环保工程技改，</w:t>
                  </w:r>
                  <w:r>
                    <w:rPr>
                      <w:kern w:val="0"/>
                      <w:szCs w:val="21"/>
                    </w:rPr>
                    <w:t>不属于《外商投资产业指导目录（2017年修订）》中限制类。</w:t>
                  </w:r>
                </w:p>
                <w:p>
                  <w:pPr>
                    <w:autoSpaceDE w:val="0"/>
                    <w:autoSpaceDN w:val="0"/>
                    <w:ind w:firstLine="420" w:firstLineChars="200"/>
                    <w:rPr>
                      <w:kern w:val="0"/>
                      <w:szCs w:val="21"/>
                    </w:rPr>
                  </w:pPr>
                  <w:r>
                    <w:rPr>
                      <w:kern w:val="0"/>
                      <w:szCs w:val="21"/>
                    </w:rPr>
                    <w:t>（3）</w:t>
                  </w:r>
                  <w:r>
                    <w:rPr>
                      <w:rFonts w:hint="eastAsia"/>
                      <w:szCs w:val="21"/>
                      <w:highlight w:val="green"/>
                    </w:rPr>
                    <w:t>本项目属于现有项目供热及环保工程技改，</w:t>
                  </w:r>
                  <w:r>
                    <w:rPr>
                      <w:kern w:val="0"/>
                      <w:szCs w:val="21"/>
                    </w:rPr>
                    <w:t>不涉及《中国严格限制进出口的有毒化学品目录（2012年本）》中所列有毒化学品的项目。</w:t>
                  </w:r>
                </w:p>
                <w:p>
                  <w:pPr>
                    <w:autoSpaceDE w:val="0"/>
                    <w:autoSpaceDN w:val="0"/>
                    <w:ind w:firstLine="420" w:firstLineChars="200"/>
                    <w:rPr>
                      <w:kern w:val="0"/>
                      <w:szCs w:val="21"/>
                    </w:rPr>
                  </w:pPr>
                  <w:r>
                    <w:rPr>
                      <w:kern w:val="0"/>
                      <w:szCs w:val="21"/>
                    </w:rPr>
                    <w:t>（4）</w:t>
                  </w:r>
                  <w:r>
                    <w:rPr>
                      <w:rFonts w:hint="eastAsia"/>
                      <w:szCs w:val="21"/>
                      <w:highlight w:val="green"/>
                    </w:rPr>
                    <w:t>本项目属于现有项目供热及环保工程技改，</w:t>
                  </w:r>
                  <w:r>
                    <w:rPr>
                      <w:kern w:val="0"/>
                      <w:szCs w:val="21"/>
                    </w:rPr>
                    <w:t>不属于技术含量较低的加工类产业。</w:t>
                  </w:r>
                </w:p>
                <w:p>
                  <w:pPr>
                    <w:ind w:firstLine="420" w:firstLineChars="200"/>
                    <w:rPr>
                      <w:szCs w:val="21"/>
                    </w:rPr>
                  </w:pPr>
                  <w:r>
                    <w:rPr>
                      <w:kern w:val="0"/>
                      <w:szCs w:val="21"/>
                    </w:rPr>
                    <w:t>（5）</w:t>
                  </w:r>
                  <w:r>
                    <w:rPr>
                      <w:rFonts w:hint="eastAsia"/>
                      <w:szCs w:val="21"/>
                      <w:highlight w:val="green"/>
                    </w:rPr>
                    <w:t>本项目属于现有项目供热及环保工程技改</w:t>
                  </w:r>
                  <w:r>
                    <w:rPr>
                      <w:rFonts w:hint="eastAsia"/>
                      <w:szCs w:val="21"/>
                    </w:rPr>
                    <w:t>，现有项目主体工程原辅材料、生产工艺及污染物种类、产品及规模等均未发生变化，</w:t>
                  </w:r>
                  <w:r>
                    <w:rPr>
                      <w:rFonts w:hint="eastAsia"/>
                      <w:szCs w:val="21"/>
                      <w:highlight w:val="green"/>
                    </w:rPr>
                    <w:t>本项目生产物耗主要为5</w:t>
                  </w:r>
                  <w:r>
                    <w:rPr>
                      <w:szCs w:val="21"/>
                      <w:highlight w:val="green"/>
                    </w:rPr>
                    <w:t>t/h</w:t>
                  </w:r>
                  <w:r>
                    <w:rPr>
                      <w:rFonts w:hint="eastAsia"/>
                      <w:szCs w:val="21"/>
                      <w:highlight w:val="green"/>
                    </w:rPr>
                    <w:t>导热油锅炉所需燃料及烟气治理水膜除尘装置用水，</w:t>
                  </w:r>
                  <w:r>
                    <w:rPr>
                      <w:szCs w:val="21"/>
                    </w:rPr>
                    <w:t>生产物耗、能耗不高，产生的废气主要为</w:t>
                  </w:r>
                  <w:r>
                    <w:rPr>
                      <w:rFonts w:hint="eastAsia"/>
                      <w:szCs w:val="21"/>
                      <w:highlight w:val="green"/>
                    </w:rPr>
                    <w:t>供热工程技改新增5</w:t>
                  </w:r>
                  <w:r>
                    <w:rPr>
                      <w:szCs w:val="21"/>
                      <w:highlight w:val="green"/>
                    </w:rPr>
                    <w:t>t/h</w:t>
                  </w:r>
                  <w:r>
                    <w:rPr>
                      <w:rFonts w:hint="eastAsia"/>
                      <w:szCs w:val="21"/>
                      <w:highlight w:val="green"/>
                    </w:rPr>
                    <w:t>导热油锅炉</w:t>
                  </w:r>
                  <w:r>
                    <w:rPr>
                      <w:rFonts w:hint="eastAsia"/>
                      <w:szCs w:val="21"/>
                    </w:rPr>
                    <w:t>废气（SO</w:t>
                  </w:r>
                  <w:r>
                    <w:rPr>
                      <w:rFonts w:hint="eastAsia"/>
                      <w:szCs w:val="21"/>
                      <w:vertAlign w:val="subscript"/>
                    </w:rPr>
                    <w:t>2</w:t>
                  </w:r>
                  <w:r>
                    <w:rPr>
                      <w:rFonts w:hint="eastAsia"/>
                      <w:szCs w:val="21"/>
                    </w:rPr>
                    <w:t>、NO</w:t>
                  </w:r>
                  <w:r>
                    <w:rPr>
                      <w:rFonts w:hint="eastAsia"/>
                      <w:szCs w:val="21"/>
                      <w:vertAlign w:val="subscript"/>
                    </w:rPr>
                    <w:t>x</w:t>
                  </w:r>
                  <w:r>
                    <w:rPr>
                      <w:rFonts w:hint="eastAsia"/>
                      <w:szCs w:val="21"/>
                    </w:rPr>
                    <w:t>、烟尘）</w:t>
                  </w:r>
                  <w:r>
                    <w:rPr>
                      <w:szCs w:val="21"/>
                    </w:rPr>
                    <w:t>，</w:t>
                  </w:r>
                  <w:r>
                    <w:rPr>
                      <w:rFonts w:hint="eastAsia"/>
                      <w:szCs w:val="21"/>
                    </w:rPr>
                    <w:t>大气污染物类型不复杂；本项目为</w:t>
                  </w:r>
                  <w:r>
                    <w:rPr>
                      <w:rFonts w:hint="eastAsia"/>
                      <w:szCs w:val="21"/>
                      <w:highlight w:val="green"/>
                    </w:rPr>
                    <w:t>供热及环保工程技改，</w:t>
                  </w:r>
                  <w:r>
                    <w:rPr>
                      <w:rFonts w:hint="eastAsia"/>
                      <w:szCs w:val="21"/>
                    </w:rPr>
                    <w:t>现有项目属于家居制造业，不属于环境风险较大的产业、项目及工艺；</w:t>
                  </w:r>
                  <w:r>
                    <w:rPr>
                      <w:rFonts w:hint="eastAsia"/>
                      <w:szCs w:val="21"/>
                      <w:highlight w:val="green"/>
                    </w:rPr>
                    <w:t>本项目供热工程技改新增5</w:t>
                  </w:r>
                  <w:r>
                    <w:rPr>
                      <w:szCs w:val="21"/>
                      <w:highlight w:val="green"/>
                    </w:rPr>
                    <w:t>t/h</w:t>
                  </w:r>
                  <w:r>
                    <w:rPr>
                      <w:rFonts w:hint="eastAsia"/>
                      <w:szCs w:val="21"/>
                      <w:highlight w:val="green"/>
                    </w:rPr>
                    <w:t>导热油锅炉</w:t>
                  </w:r>
                  <w:r>
                    <w:rPr>
                      <w:rFonts w:hint="eastAsia"/>
                      <w:szCs w:val="21"/>
                    </w:rPr>
                    <w:t>产生的锅炉废气采用“旋风多管除尘+水膜除尘”处理后经过35m高排气筒达标排放</w:t>
                  </w:r>
                  <w:r>
                    <w:rPr>
                      <w:rFonts w:hint="eastAsia"/>
                      <w:szCs w:val="21"/>
                      <w:highlight w:val="green"/>
                    </w:rPr>
                    <w:t>；环保工程技改新增环保设施本身不产生废气，现有7t/h导热油锅炉、筛选打磨工序、热压凉板工序排放污染物得到了削减</w:t>
                  </w:r>
                  <w:r>
                    <w:rPr>
                      <w:kern w:val="0"/>
                      <w:szCs w:val="21"/>
                    </w:rPr>
                    <w:t>。</w:t>
                  </w:r>
                </w:p>
              </w:tc>
              <w:tc>
                <w:tcPr>
                  <w:tcW w:w="769"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48" w:hRule="atLeast"/>
                <w:jc w:val="center"/>
              </w:trPr>
              <w:tc>
                <w:tcPr>
                  <w:tcW w:w="711" w:type="dxa"/>
                  <w:vAlign w:val="center"/>
                </w:tcPr>
                <w:p>
                  <w:pPr>
                    <w:jc w:val="center"/>
                    <w:rPr>
                      <w:szCs w:val="21"/>
                    </w:rPr>
                  </w:pPr>
                  <w:r>
                    <w:rPr>
                      <w:szCs w:val="21"/>
                    </w:rPr>
                    <w:t>现状产业区</w:t>
                  </w:r>
                </w:p>
              </w:tc>
              <w:tc>
                <w:tcPr>
                  <w:tcW w:w="2456" w:type="dxa"/>
                  <w:vAlign w:val="center"/>
                </w:tcPr>
                <w:p>
                  <w:pPr>
                    <w:autoSpaceDE w:val="0"/>
                    <w:autoSpaceDN w:val="0"/>
                    <w:rPr>
                      <w:szCs w:val="21"/>
                    </w:rPr>
                  </w:pPr>
                  <w:r>
                    <w:rPr>
                      <w:kern w:val="0"/>
                      <w:szCs w:val="21"/>
                    </w:rPr>
                    <w:t>现有煤磷盐化工企业、水泥熟料生产企业严禁新增、扩建重污染的煤磷盐化工项目，严禁新增三类工业用地，现有煤磷盐化工项目通过技术改造、产业升级、环保整改等进行节能减排，推行污染物超低排放改造，禁止新的煤、磷、盐化工产业、水泥熟料生产企业入驻。</w:t>
                  </w:r>
                </w:p>
              </w:tc>
              <w:tc>
                <w:tcPr>
                  <w:tcW w:w="4004" w:type="dxa"/>
                  <w:vAlign w:val="center"/>
                </w:tcPr>
                <w:p>
                  <w:pPr>
                    <w:ind w:firstLine="420" w:firstLineChars="200"/>
                    <w:rPr>
                      <w:szCs w:val="21"/>
                    </w:rPr>
                  </w:pPr>
                  <w:r>
                    <w:t>本项目</w:t>
                  </w:r>
                  <w:r>
                    <w:rPr>
                      <w:rFonts w:hint="eastAsia"/>
                    </w:rPr>
                    <w:t>为</w:t>
                  </w:r>
                  <w:r>
                    <w:rPr>
                      <w:szCs w:val="21"/>
                    </w:rPr>
                    <w:t>现有工程的</w:t>
                  </w:r>
                  <w:r>
                    <w:rPr>
                      <w:rFonts w:hint="eastAsia"/>
                      <w:szCs w:val="21"/>
                    </w:rPr>
                    <w:t>配套</w:t>
                  </w:r>
                  <w:r>
                    <w:rPr>
                      <w:szCs w:val="21"/>
                    </w:rPr>
                    <w:t>供热工程</w:t>
                  </w:r>
                  <w:r>
                    <w:rPr>
                      <w:rFonts w:hint="eastAsia"/>
                      <w:szCs w:val="21"/>
                    </w:rPr>
                    <w:t>和</w:t>
                  </w:r>
                  <w:r>
                    <w:rPr>
                      <w:szCs w:val="21"/>
                    </w:rPr>
                    <w:t>环保工程</w:t>
                  </w:r>
                  <w:r>
                    <w:rPr>
                      <w:rFonts w:hint="eastAsia"/>
                      <w:szCs w:val="21"/>
                    </w:rPr>
                    <w:t>进行技改项目</w:t>
                  </w:r>
                  <w:r>
                    <w:rPr>
                      <w:rFonts w:hint="eastAsia"/>
                    </w:rPr>
                    <w:t>，现有项目为家居制造企业，</w:t>
                  </w:r>
                  <w:r>
                    <w:t>不属于所列禁止行业。</w:t>
                  </w:r>
                </w:p>
              </w:tc>
              <w:tc>
                <w:tcPr>
                  <w:tcW w:w="769"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1" w:hRule="atLeast"/>
                <w:jc w:val="center"/>
              </w:trPr>
              <w:tc>
                <w:tcPr>
                  <w:tcW w:w="711" w:type="dxa"/>
                  <w:vAlign w:val="center"/>
                </w:tcPr>
                <w:p>
                  <w:pPr>
                    <w:jc w:val="center"/>
                    <w:rPr>
                      <w:szCs w:val="21"/>
                    </w:rPr>
                  </w:pPr>
                  <w:r>
                    <w:rPr>
                      <w:kern w:val="0"/>
                      <w:szCs w:val="21"/>
                    </w:rPr>
                    <w:t>新型建材产业</w:t>
                  </w:r>
                </w:p>
              </w:tc>
              <w:tc>
                <w:tcPr>
                  <w:tcW w:w="2456" w:type="dxa"/>
                  <w:vAlign w:val="center"/>
                </w:tcPr>
                <w:p>
                  <w:pPr>
                    <w:autoSpaceDE w:val="0"/>
                    <w:autoSpaceDN w:val="0"/>
                    <w:rPr>
                      <w:kern w:val="0"/>
                      <w:szCs w:val="21"/>
                    </w:rPr>
                  </w:pPr>
                  <w:r>
                    <w:rPr>
                      <w:kern w:val="0"/>
                      <w:szCs w:val="21"/>
                    </w:rPr>
                    <w:t>入驻企业为新型墙体材料、新型防水密封材料、新型保温隔热材料和装饰装修材料等新型建材企业，禁止水泥生产、矿渣棉、玻璃棉、手工制作墙板生产线、非烧结、非蒸压粉煤灰生产线企业入驻</w:t>
                  </w:r>
                </w:p>
              </w:tc>
              <w:tc>
                <w:tcPr>
                  <w:tcW w:w="4004" w:type="dxa"/>
                  <w:vAlign w:val="center"/>
                </w:tcPr>
                <w:p>
                  <w:pPr>
                    <w:ind w:firstLine="420" w:firstLineChars="200"/>
                  </w:pPr>
                  <w:r>
                    <w:t>本项目</w:t>
                  </w:r>
                  <w:r>
                    <w:rPr>
                      <w:szCs w:val="21"/>
                    </w:rPr>
                    <w:t>主要针对现有工程的</w:t>
                  </w:r>
                  <w:r>
                    <w:rPr>
                      <w:rFonts w:hint="eastAsia"/>
                      <w:szCs w:val="21"/>
                    </w:rPr>
                    <w:t>配套</w:t>
                  </w:r>
                  <w:r>
                    <w:rPr>
                      <w:szCs w:val="21"/>
                    </w:rPr>
                    <w:t>供热工程</w:t>
                  </w:r>
                  <w:r>
                    <w:rPr>
                      <w:rFonts w:hint="eastAsia"/>
                      <w:szCs w:val="21"/>
                    </w:rPr>
                    <w:t>和</w:t>
                  </w:r>
                  <w:r>
                    <w:rPr>
                      <w:szCs w:val="21"/>
                    </w:rPr>
                    <w:t>环保工程</w:t>
                  </w:r>
                  <w:r>
                    <w:rPr>
                      <w:rFonts w:hint="eastAsia"/>
                      <w:szCs w:val="21"/>
                    </w:rPr>
                    <w:t>进行技改</w:t>
                  </w:r>
                  <w:r>
                    <w:rPr>
                      <w:rFonts w:hint="eastAsia"/>
                    </w:rPr>
                    <w:t>，不属于新型建材企业，不属于所列禁止行业。</w:t>
                  </w:r>
                </w:p>
              </w:tc>
              <w:tc>
                <w:tcPr>
                  <w:tcW w:w="769"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02" w:hRule="atLeast"/>
                <w:jc w:val="center"/>
              </w:trPr>
              <w:tc>
                <w:tcPr>
                  <w:tcW w:w="711" w:type="dxa"/>
                  <w:vAlign w:val="center"/>
                </w:tcPr>
                <w:p>
                  <w:pPr>
                    <w:jc w:val="center"/>
                    <w:rPr>
                      <w:kern w:val="0"/>
                      <w:szCs w:val="21"/>
                    </w:rPr>
                  </w:pPr>
                  <w:r>
                    <w:rPr>
                      <w:kern w:val="0"/>
                      <w:szCs w:val="21"/>
                    </w:rPr>
                    <w:t>先进装备制造产业</w:t>
                  </w:r>
                </w:p>
              </w:tc>
              <w:tc>
                <w:tcPr>
                  <w:tcW w:w="2456" w:type="dxa"/>
                  <w:vAlign w:val="center"/>
                </w:tcPr>
                <w:p>
                  <w:pPr>
                    <w:autoSpaceDE w:val="0"/>
                    <w:autoSpaceDN w:val="0"/>
                    <w:rPr>
                      <w:kern w:val="0"/>
                      <w:szCs w:val="21"/>
                    </w:rPr>
                  </w:pPr>
                  <w:r>
                    <w:rPr>
                      <w:kern w:val="0"/>
                      <w:szCs w:val="21"/>
                    </w:rPr>
                    <w:t>禁止采用电镀、钝化、传统磷化工工艺企业，包括电子器件和电路板生产制造，生产废水不能循环回用的企业入驻</w:t>
                  </w:r>
                </w:p>
              </w:tc>
              <w:tc>
                <w:tcPr>
                  <w:tcW w:w="4004" w:type="dxa"/>
                  <w:vAlign w:val="center"/>
                </w:tcPr>
                <w:p>
                  <w:pPr>
                    <w:ind w:firstLine="420" w:firstLineChars="200"/>
                  </w:pPr>
                  <w:r>
                    <w:rPr>
                      <w:highlight w:val="green"/>
                    </w:rPr>
                    <w:t>本项目</w:t>
                  </w:r>
                  <w:r>
                    <w:rPr>
                      <w:szCs w:val="21"/>
                      <w:highlight w:val="green"/>
                    </w:rPr>
                    <w:t>主要针对现有工程的</w:t>
                  </w:r>
                  <w:r>
                    <w:rPr>
                      <w:rFonts w:hint="eastAsia"/>
                      <w:szCs w:val="21"/>
                      <w:highlight w:val="green"/>
                    </w:rPr>
                    <w:t>配套</w:t>
                  </w:r>
                  <w:r>
                    <w:rPr>
                      <w:szCs w:val="21"/>
                      <w:highlight w:val="green"/>
                    </w:rPr>
                    <w:t>供热工程</w:t>
                  </w:r>
                  <w:r>
                    <w:rPr>
                      <w:rFonts w:hint="eastAsia"/>
                      <w:szCs w:val="21"/>
                      <w:highlight w:val="green"/>
                    </w:rPr>
                    <w:t>和</w:t>
                  </w:r>
                  <w:r>
                    <w:rPr>
                      <w:szCs w:val="21"/>
                      <w:highlight w:val="green"/>
                    </w:rPr>
                    <w:t>环保工程</w:t>
                  </w:r>
                  <w:r>
                    <w:rPr>
                      <w:rFonts w:hint="eastAsia"/>
                      <w:szCs w:val="21"/>
                      <w:highlight w:val="green"/>
                    </w:rPr>
                    <w:t>进行技改</w:t>
                  </w:r>
                  <w:r>
                    <w:rPr>
                      <w:rFonts w:hint="eastAsia"/>
                      <w:highlight w:val="green"/>
                    </w:rPr>
                    <w:t>，</w:t>
                  </w:r>
                  <w:r>
                    <w:rPr>
                      <w:rFonts w:hint="eastAsia"/>
                    </w:rPr>
                    <w:t>不涉及</w:t>
                  </w:r>
                  <w:r>
                    <w:rPr>
                      <w:szCs w:val="21"/>
                    </w:rPr>
                    <w:t>电镀、钝化、传统磷化工工艺</w:t>
                  </w:r>
                  <w:r>
                    <w:rPr>
                      <w:rFonts w:hint="eastAsia"/>
                      <w:szCs w:val="21"/>
                    </w:rPr>
                    <w:t>，不涉及</w:t>
                  </w:r>
                  <w:r>
                    <w:rPr>
                      <w:szCs w:val="21"/>
                    </w:rPr>
                    <w:t>电子器件和电路板</w:t>
                  </w:r>
                  <w:r>
                    <w:rPr>
                      <w:rFonts w:hint="eastAsia"/>
                      <w:szCs w:val="21"/>
                    </w:rPr>
                    <w:t>生产，生产废水全部回用</w:t>
                  </w:r>
                  <w:r>
                    <w:t>。</w:t>
                  </w:r>
                </w:p>
              </w:tc>
              <w:tc>
                <w:tcPr>
                  <w:tcW w:w="769" w:type="dxa"/>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30" w:hRule="atLeast"/>
                <w:jc w:val="center"/>
              </w:trPr>
              <w:tc>
                <w:tcPr>
                  <w:tcW w:w="711" w:type="dxa"/>
                  <w:vAlign w:val="center"/>
                </w:tcPr>
                <w:p>
                  <w:pPr>
                    <w:jc w:val="center"/>
                    <w:rPr>
                      <w:kern w:val="0"/>
                      <w:szCs w:val="21"/>
                    </w:rPr>
                  </w:pPr>
                  <w:r>
                    <w:rPr>
                      <w:kern w:val="0"/>
                      <w:szCs w:val="21"/>
                    </w:rPr>
                    <w:t>家居</w:t>
                  </w:r>
                </w:p>
                <w:p>
                  <w:pPr>
                    <w:jc w:val="center"/>
                    <w:rPr>
                      <w:kern w:val="0"/>
                      <w:szCs w:val="21"/>
                    </w:rPr>
                  </w:pPr>
                  <w:r>
                    <w:rPr>
                      <w:kern w:val="0"/>
                      <w:szCs w:val="21"/>
                    </w:rPr>
                    <w:t>制造</w:t>
                  </w:r>
                </w:p>
              </w:tc>
              <w:tc>
                <w:tcPr>
                  <w:tcW w:w="2456" w:type="dxa"/>
                  <w:vAlign w:val="center"/>
                </w:tcPr>
                <w:p>
                  <w:pPr>
                    <w:autoSpaceDE w:val="0"/>
                    <w:autoSpaceDN w:val="0"/>
                    <w:rPr>
                      <w:kern w:val="0"/>
                      <w:szCs w:val="21"/>
                    </w:rPr>
                  </w:pPr>
                  <w:r>
                    <w:rPr>
                      <w:kern w:val="0"/>
                      <w:szCs w:val="21"/>
                    </w:rPr>
                    <w:t>禁止采用传统制胶工艺，生产废水不能循环回用的企业入驻</w:t>
                  </w:r>
                </w:p>
              </w:tc>
              <w:tc>
                <w:tcPr>
                  <w:tcW w:w="4004" w:type="dxa"/>
                  <w:vAlign w:val="center"/>
                </w:tcPr>
                <w:p>
                  <w:pPr>
                    <w:ind w:firstLine="420" w:firstLineChars="200"/>
                  </w:pPr>
                  <w:r>
                    <w:rPr>
                      <w:highlight w:val="green"/>
                    </w:rPr>
                    <w:t>本项目</w:t>
                  </w:r>
                  <w:r>
                    <w:rPr>
                      <w:szCs w:val="21"/>
                      <w:highlight w:val="green"/>
                    </w:rPr>
                    <w:t>主要针对现有工程的</w:t>
                  </w:r>
                  <w:r>
                    <w:rPr>
                      <w:rFonts w:hint="eastAsia"/>
                      <w:szCs w:val="21"/>
                      <w:highlight w:val="green"/>
                    </w:rPr>
                    <w:t>配套</w:t>
                  </w:r>
                  <w:r>
                    <w:rPr>
                      <w:szCs w:val="21"/>
                      <w:highlight w:val="green"/>
                    </w:rPr>
                    <w:t>供热工程</w:t>
                  </w:r>
                  <w:r>
                    <w:rPr>
                      <w:rFonts w:hint="eastAsia"/>
                      <w:szCs w:val="21"/>
                      <w:highlight w:val="green"/>
                    </w:rPr>
                    <w:t>和</w:t>
                  </w:r>
                  <w:r>
                    <w:rPr>
                      <w:szCs w:val="21"/>
                      <w:highlight w:val="green"/>
                    </w:rPr>
                    <w:t>环保工程</w:t>
                  </w:r>
                  <w:r>
                    <w:rPr>
                      <w:rFonts w:hint="eastAsia"/>
                      <w:szCs w:val="21"/>
                      <w:highlight w:val="green"/>
                    </w:rPr>
                    <w:t>进行技改</w:t>
                  </w:r>
                  <w:r>
                    <w:rPr>
                      <w:rFonts w:hint="eastAsia"/>
                    </w:rPr>
                    <w:t>，项目现有工程已建制胶工艺于2013年9月取得环评批复并进行了验收，本次技改不发生变动。</w:t>
                  </w:r>
                </w:p>
              </w:tc>
              <w:tc>
                <w:tcPr>
                  <w:tcW w:w="769" w:type="dxa"/>
                  <w:vAlign w:val="center"/>
                </w:tcPr>
                <w:p>
                  <w:pPr>
                    <w:jc w:val="center"/>
                    <w:rPr>
                      <w:szCs w:val="21"/>
                    </w:rPr>
                  </w:pPr>
                  <w:r>
                    <w:rPr>
                      <w:szCs w:val="21"/>
                    </w:rPr>
                    <w:t>符合</w:t>
                  </w:r>
                </w:p>
              </w:tc>
            </w:tr>
          </w:tbl>
          <w:p>
            <w:pPr>
              <w:widowControl/>
              <w:spacing w:before="120" w:beforeLines="50" w:line="360" w:lineRule="auto"/>
              <w:ind w:firstLine="482" w:firstLineChars="200"/>
              <w:jc w:val="left"/>
            </w:pPr>
            <w:r>
              <w:rPr>
                <w:rFonts w:hint="eastAsia" w:cs="宋体"/>
                <w:b/>
                <w:bCs/>
                <w:kern w:val="0"/>
                <w:sz w:val="24"/>
                <w:lang w:bidi="ar"/>
              </w:rPr>
              <w:t>（</w:t>
            </w:r>
            <w:r>
              <w:rPr>
                <w:b/>
                <w:bCs/>
                <w:kern w:val="0"/>
                <w:sz w:val="24"/>
                <w:lang w:bidi="ar"/>
              </w:rPr>
              <w:t>2</w:t>
            </w:r>
            <w:r>
              <w:rPr>
                <w:rFonts w:hint="eastAsia" w:cs="宋体"/>
                <w:b/>
                <w:bCs/>
                <w:kern w:val="0"/>
                <w:sz w:val="24"/>
                <w:lang w:bidi="ar"/>
              </w:rPr>
              <w:t>）</w:t>
            </w:r>
            <w:r>
              <w:rPr>
                <w:rFonts w:hint="eastAsia" w:ascii="宋体" w:hAnsi="宋体" w:cs="宋体"/>
                <w:b/>
                <w:bCs/>
                <w:kern w:val="0"/>
                <w:sz w:val="24"/>
                <w:lang w:bidi="ar"/>
              </w:rPr>
              <w:t>与规划环评审查意见（云环函</w:t>
            </w:r>
            <w:r>
              <w:rPr>
                <w:b/>
                <w:bCs/>
                <w:kern w:val="0"/>
                <w:sz w:val="24"/>
                <w:lang w:bidi="ar"/>
              </w:rPr>
              <w:t>[2020]261</w:t>
            </w:r>
            <w:r>
              <w:rPr>
                <w:rFonts w:hint="eastAsia" w:ascii="宋体" w:hAnsi="宋体" w:cs="宋体"/>
                <w:b/>
                <w:bCs/>
                <w:kern w:val="0"/>
                <w:sz w:val="24"/>
                <w:lang w:bidi="ar"/>
              </w:rPr>
              <w:t>号）的符合性分析</w:t>
            </w:r>
          </w:p>
          <w:p>
            <w:pPr>
              <w:widowControl/>
              <w:adjustRightInd w:val="0"/>
              <w:spacing w:line="360" w:lineRule="auto"/>
              <w:ind w:firstLine="480" w:firstLineChars="200"/>
              <w:jc w:val="left"/>
              <w:rPr>
                <w:sz w:val="24"/>
              </w:rPr>
            </w:pPr>
            <w:r>
              <w:rPr>
                <w:rFonts w:hint="eastAsia" w:cs="宋体"/>
                <w:kern w:val="0"/>
                <w:sz w:val="24"/>
                <w:lang w:bidi="ar"/>
              </w:rPr>
              <w:t>本项目与规划环评审查意见对照情况如下：</w:t>
            </w: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line="360" w:lineRule="auto"/>
              <w:jc w:val="center"/>
              <w:rPr>
                <w:rFonts w:cs="宋体"/>
                <w:b/>
                <w:bCs/>
                <w:kern w:val="0"/>
                <w:sz w:val="24"/>
                <w:szCs w:val="20"/>
                <w:lang w:bidi="ar"/>
              </w:rPr>
            </w:pPr>
          </w:p>
          <w:p>
            <w:pPr>
              <w:widowControl/>
              <w:adjustRightInd w:val="0"/>
              <w:spacing w:before="120" w:beforeLines="50" w:line="360" w:lineRule="auto"/>
              <w:jc w:val="center"/>
              <w:rPr>
                <w:sz w:val="24"/>
              </w:rPr>
            </w:pPr>
            <w:r>
              <w:rPr>
                <w:rFonts w:hint="eastAsia" w:cs="宋体"/>
                <w:b/>
                <w:bCs/>
                <w:kern w:val="0"/>
                <w:sz w:val="24"/>
                <w:szCs w:val="20"/>
                <w:lang w:bidi="ar"/>
              </w:rPr>
              <w:t>表</w:t>
            </w:r>
            <w:r>
              <w:rPr>
                <w:b/>
                <w:bCs/>
                <w:kern w:val="0"/>
                <w:sz w:val="24"/>
                <w:szCs w:val="20"/>
                <w:lang w:bidi="ar"/>
              </w:rPr>
              <w:t xml:space="preserve">1-4 </w:t>
            </w:r>
            <w:r>
              <w:rPr>
                <w:rFonts w:hint="eastAsia"/>
                <w:b/>
                <w:bCs/>
                <w:kern w:val="0"/>
                <w:sz w:val="24"/>
                <w:szCs w:val="20"/>
                <w:lang w:bidi="ar"/>
              </w:rPr>
              <w:t xml:space="preserve"> </w:t>
            </w:r>
            <w:r>
              <w:rPr>
                <w:rFonts w:hint="eastAsia" w:cs="宋体"/>
                <w:b/>
                <w:bCs/>
                <w:kern w:val="0"/>
                <w:sz w:val="24"/>
                <w:szCs w:val="20"/>
                <w:lang w:bidi="ar"/>
              </w:rPr>
              <w:t>与审查意见相符性分析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98"/>
              <w:gridCol w:w="257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6" w:hRule="atLeast"/>
                <w:jc w:val="center"/>
              </w:trPr>
              <w:tc>
                <w:tcPr>
                  <w:tcW w:w="4398" w:type="dxa"/>
                  <w:vAlign w:val="center"/>
                </w:tcPr>
                <w:p>
                  <w:pPr>
                    <w:widowControl/>
                    <w:jc w:val="center"/>
                    <w:rPr>
                      <w:b/>
                      <w:bCs/>
                    </w:rPr>
                  </w:pPr>
                  <w:r>
                    <w:rPr>
                      <w:rFonts w:hint="eastAsia"/>
                      <w:b/>
                      <w:bCs/>
                    </w:rPr>
                    <w:t>审查意见要求</w:t>
                  </w:r>
                </w:p>
              </w:tc>
              <w:tc>
                <w:tcPr>
                  <w:tcW w:w="2578" w:type="dxa"/>
                  <w:vAlign w:val="center"/>
                </w:tcPr>
                <w:p>
                  <w:pPr>
                    <w:widowControl/>
                    <w:jc w:val="center"/>
                    <w:rPr>
                      <w:b/>
                      <w:bCs/>
                    </w:rPr>
                  </w:pPr>
                  <w:r>
                    <w:rPr>
                      <w:rFonts w:hint="eastAsia"/>
                      <w:b/>
                      <w:bCs/>
                    </w:rPr>
                    <w:t>本项目情况</w:t>
                  </w:r>
                </w:p>
              </w:tc>
              <w:tc>
                <w:tcPr>
                  <w:tcW w:w="868" w:type="dxa"/>
                  <w:vAlign w:val="center"/>
                </w:tcPr>
                <w:p>
                  <w:pPr>
                    <w:widowControl/>
                    <w:jc w:val="center"/>
                    <w:rPr>
                      <w:b/>
                      <w:bCs/>
                    </w:rPr>
                  </w:pPr>
                  <w:r>
                    <w:rPr>
                      <w:rFonts w:hint="eastAsia"/>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54" w:hRule="atLeast"/>
                <w:jc w:val="center"/>
              </w:trPr>
              <w:tc>
                <w:tcPr>
                  <w:tcW w:w="4398" w:type="dxa"/>
                  <w:vAlign w:val="center"/>
                </w:tcPr>
                <w:p>
                  <w:pPr>
                    <w:widowControl/>
                    <w:ind w:firstLine="420" w:firstLineChars="200"/>
                  </w:pPr>
                  <w:r>
                    <w:rPr>
                      <w:rFonts w:hint="eastAsia" w:cs="宋体"/>
                      <w:kern w:val="0"/>
                      <w:szCs w:val="20"/>
                      <w:lang w:bidi="ar"/>
                    </w:rPr>
                    <w:t>严守环境质量底线，严格入园项目环境管理。根据国家和云南省有关大气、水、土壤污染防治行动计划相关要求，采取有效措施减少主要污染物、挥发性有机物和臭气异味等特征污染物的排放总量，确保实现区域环境质量改善目标。南磷集团处理达标后的废水和先锋化工清净下水由既有管道排至功山河，应当符合污染物排放标准和化学需氧量、氨氮、总磷等重点水污染物排放总量控制指标。园区应当建设污水集中和分散处理设施，工业污水处理达标后，在园区内综合回用，实现工业污水零排放。积极与地方政府沟通协调，强化片区环境综合整治，加强园区生活污水的收集处理，提高污水回用率，有效改善区域水环境质量。规划区金所片区地表水、地下水存在连通关系，区域地下水为岩溶地质构造，是规划区与牛栏江相连的通道，须强化园区地下水污染防控措施。入园企业禁止抽取地下水。加强金所片区现有企业大气污染防治，先锋化工应认真落实异味整治方案，并加强监测监控，切实消除臭气对周围村庄和县城的影响。引进项目应符合国家产业政策和园区规划，并从生产工艺、设备、单位产品能耗、物耗、污染物排放和资源利用等方面，进一步提高清洁生产水平。</w:t>
                  </w:r>
                </w:p>
              </w:tc>
              <w:tc>
                <w:tcPr>
                  <w:tcW w:w="2578" w:type="dxa"/>
                  <w:vAlign w:val="center"/>
                </w:tcPr>
                <w:p>
                  <w:pPr>
                    <w:widowControl/>
                    <w:ind w:firstLine="420" w:firstLineChars="200"/>
                  </w:pPr>
                  <w:r>
                    <w:rPr>
                      <w:rFonts w:hint="eastAsia" w:cs="宋体"/>
                      <w:kern w:val="0"/>
                      <w:szCs w:val="20"/>
                      <w:lang w:bidi="ar"/>
                    </w:rPr>
                    <w:t>本项目</w:t>
                  </w:r>
                  <w:r>
                    <w:rPr>
                      <w:rFonts w:hint="eastAsia" w:cs="宋体"/>
                      <w:kern w:val="0"/>
                      <w:szCs w:val="20"/>
                      <w:highlight w:val="green"/>
                      <w:lang w:bidi="ar"/>
                    </w:rPr>
                    <w:t>供热工程技改新增5</w:t>
                  </w:r>
                  <w:r>
                    <w:rPr>
                      <w:rFonts w:cs="宋体"/>
                      <w:kern w:val="0"/>
                      <w:szCs w:val="20"/>
                      <w:highlight w:val="green"/>
                      <w:lang w:bidi="ar"/>
                    </w:rPr>
                    <w:t>t/h</w:t>
                  </w:r>
                  <w:r>
                    <w:rPr>
                      <w:rFonts w:hint="eastAsia" w:cs="宋体"/>
                      <w:kern w:val="0"/>
                      <w:szCs w:val="20"/>
                      <w:highlight w:val="green"/>
                      <w:lang w:bidi="ar"/>
                    </w:rPr>
                    <w:t>导热油锅炉</w:t>
                  </w:r>
                  <w:r>
                    <w:rPr>
                      <w:rFonts w:hint="eastAsia" w:cs="宋体"/>
                      <w:kern w:val="0"/>
                      <w:szCs w:val="20"/>
                      <w:lang w:bidi="ar"/>
                    </w:rPr>
                    <w:t>废气治理设施水膜除尘废水经沉淀池沉淀后循环使用；</w:t>
                  </w:r>
                  <w:r>
                    <w:rPr>
                      <w:rFonts w:hint="eastAsia" w:cs="宋体"/>
                      <w:kern w:val="0"/>
                      <w:szCs w:val="20"/>
                      <w:highlight w:val="green"/>
                      <w:lang w:bidi="ar"/>
                    </w:rPr>
                    <w:t>环保工程技改新增的环保设施本身不产生污染物，现有</w:t>
                  </w:r>
                  <w:r>
                    <w:rPr>
                      <w:rFonts w:hint="eastAsia"/>
                      <w:szCs w:val="21"/>
                      <w:highlight w:val="green"/>
                    </w:rPr>
                    <w:t>7t/h导热油锅炉、筛选打磨工序、热压凉板工序排放污染物得到了削减</w:t>
                  </w:r>
                  <w:r>
                    <w:rPr>
                      <w:rFonts w:hint="eastAsia" w:cs="宋体"/>
                      <w:kern w:val="0"/>
                      <w:szCs w:val="20"/>
                      <w:highlight w:val="green"/>
                      <w:lang w:bidi="ar"/>
                    </w:rPr>
                    <w:t>。本项目</w:t>
                  </w:r>
                  <w:r>
                    <w:rPr>
                      <w:rFonts w:hint="eastAsia" w:cs="宋体"/>
                      <w:kern w:val="0"/>
                      <w:szCs w:val="20"/>
                      <w:lang w:bidi="ar"/>
                    </w:rPr>
                    <w:t>采取的污染治理措施可有效减少主要污染物、挥发性有机物等特征污染物的排放总量，符合国家和云南省有关大气、水、土壤污染防治行动计划相关要求。</w:t>
                  </w:r>
                  <w:r>
                    <w:rPr>
                      <w:rFonts w:hint="eastAsia" w:cs="宋体"/>
                      <w:kern w:val="0"/>
                      <w:szCs w:val="20"/>
                      <w:highlight w:val="green"/>
                      <w:lang w:bidi="ar"/>
                    </w:rPr>
                    <w:t>本项目用水主要为新增5</w:t>
                  </w:r>
                  <w:r>
                    <w:rPr>
                      <w:rFonts w:cs="宋体"/>
                      <w:kern w:val="0"/>
                      <w:szCs w:val="20"/>
                      <w:highlight w:val="green"/>
                      <w:lang w:bidi="ar"/>
                    </w:rPr>
                    <w:t>t/h</w:t>
                  </w:r>
                  <w:r>
                    <w:rPr>
                      <w:rFonts w:hint="eastAsia" w:cs="宋体"/>
                      <w:kern w:val="0"/>
                      <w:szCs w:val="20"/>
                      <w:highlight w:val="green"/>
                      <w:lang w:bidi="ar"/>
                    </w:rPr>
                    <w:t>导热油锅炉烟气治理水膜除尘装置用水，由园区供水管网接入，</w:t>
                  </w:r>
                  <w:r>
                    <w:rPr>
                      <w:rFonts w:hint="eastAsia" w:cs="宋体"/>
                      <w:kern w:val="0"/>
                      <w:szCs w:val="20"/>
                      <w:lang w:bidi="ar"/>
                    </w:rPr>
                    <w:t>使用自来水，不抽取地下水；本项目符合国家产业政策和园区规划，并从生产工艺、设备、单位产品能耗、物耗、污染物排放和资源利用等方面，进一步提高了清洁生产水平。</w:t>
                  </w:r>
                </w:p>
              </w:tc>
              <w:tc>
                <w:tcPr>
                  <w:tcW w:w="868" w:type="dxa"/>
                  <w:vAlign w:val="center"/>
                </w:tcPr>
                <w:p>
                  <w:pPr>
                    <w:widowControl/>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4398" w:type="dxa"/>
                  <w:vAlign w:val="center"/>
                </w:tcPr>
                <w:p>
                  <w:pPr>
                    <w:widowControl/>
                    <w:ind w:firstLine="420" w:firstLineChars="200"/>
                  </w:pPr>
                  <w:r>
                    <w:rPr>
                      <w:rFonts w:hint="eastAsia" w:cs="宋体"/>
                      <w:kern w:val="0"/>
                      <w:szCs w:val="20"/>
                      <w:lang w:bidi="ar"/>
                    </w:rPr>
                    <w:t>建立健全区域环境风险防范和生态安全保障体系。加强区内重要环境风险源管控，统筹区内污染防治、生态恢复与建设、环境风险防范、环境管理等工作。强化园区危险化学品储运的环境风险管理和金所片区煤、磷、盐化工企业环境风险管控，建立相应的应急联动机制，确保环境安全。</w:t>
                  </w:r>
                </w:p>
              </w:tc>
              <w:tc>
                <w:tcPr>
                  <w:tcW w:w="2578" w:type="dxa"/>
                  <w:vAlign w:val="center"/>
                </w:tcPr>
                <w:p>
                  <w:pPr>
                    <w:widowControl/>
                    <w:ind w:firstLine="420" w:firstLineChars="200"/>
                    <w:rPr>
                      <w:szCs w:val="21"/>
                    </w:rPr>
                  </w:pPr>
                  <w:r>
                    <w:rPr>
                      <w:szCs w:val="21"/>
                    </w:rPr>
                    <w:t>本</w:t>
                  </w:r>
                  <w:r>
                    <w:rPr>
                      <w:rFonts w:hint="eastAsia"/>
                      <w:szCs w:val="21"/>
                    </w:rPr>
                    <w:t>次</w:t>
                  </w:r>
                  <w:r>
                    <w:rPr>
                      <w:szCs w:val="21"/>
                    </w:rPr>
                    <w:t>技改</w:t>
                  </w:r>
                  <w:r>
                    <w:rPr>
                      <w:rFonts w:hint="eastAsia"/>
                      <w:szCs w:val="21"/>
                    </w:rPr>
                    <w:t>现有项目主体工程原辅材料、生产工艺及污染物种类、产品及规模等均未发生变化，本项目</w:t>
                  </w:r>
                  <w:r>
                    <w:rPr>
                      <w:szCs w:val="21"/>
                    </w:rPr>
                    <w:t>主要风险源为</w:t>
                  </w:r>
                  <w:r>
                    <w:rPr>
                      <w:rFonts w:hint="eastAsia"/>
                      <w:szCs w:val="21"/>
                    </w:rPr>
                    <w:t>5</w:t>
                  </w:r>
                  <w:r>
                    <w:rPr>
                      <w:szCs w:val="21"/>
                    </w:rPr>
                    <w:t>t/h锅炉导热油油槽及输送管道，主要风险类型为锅炉导热油油槽及输送管道破裂，导致导热油发生泄漏，外流至厂区外将会对项目周边地表水体造成污染，下渗对地下水体及土壤环境造成污染。</w:t>
                  </w:r>
                  <w:r>
                    <w:rPr>
                      <w:rFonts w:hint="eastAsia"/>
                      <w:szCs w:val="21"/>
                    </w:rPr>
                    <w:t>现有</w:t>
                  </w:r>
                  <w:r>
                    <w:rPr>
                      <w:szCs w:val="21"/>
                    </w:rPr>
                    <w:t>项目区已设置1个80m</w:t>
                  </w:r>
                  <w:r>
                    <w:rPr>
                      <w:szCs w:val="21"/>
                      <w:vertAlign w:val="superscript"/>
                    </w:rPr>
                    <w:t>3</w:t>
                  </w:r>
                  <w:r>
                    <w:rPr>
                      <w:szCs w:val="21"/>
                    </w:rPr>
                    <w:t>事故水池及4个30m</w:t>
                  </w:r>
                  <w:r>
                    <w:rPr>
                      <w:szCs w:val="21"/>
                      <w:vertAlign w:val="superscript"/>
                    </w:rPr>
                    <w:t>3</w:t>
                  </w:r>
                  <w:r>
                    <w:rPr>
                      <w:szCs w:val="21"/>
                    </w:rPr>
                    <w:t>事故水罐收集事故废水。</w:t>
                  </w:r>
                </w:p>
                <w:p>
                  <w:pPr>
                    <w:widowControl/>
                    <w:ind w:firstLine="420" w:firstLineChars="200"/>
                  </w:pPr>
                  <w:r>
                    <w:rPr>
                      <w:rFonts w:hint="eastAsia"/>
                      <w:szCs w:val="21"/>
                    </w:rPr>
                    <w:t>项目</w:t>
                  </w:r>
                  <w:r>
                    <w:rPr>
                      <w:rFonts w:hint="eastAsia" w:cs="宋体"/>
                      <w:kern w:val="0"/>
                      <w:szCs w:val="20"/>
                      <w:lang w:bidi="ar"/>
                    </w:rPr>
                    <w:t>不属于煤、磷、盐化工企业，环境风险一般，在采取相应的措施后，环境风险能达可接受水平。</w:t>
                  </w:r>
                </w:p>
              </w:tc>
              <w:tc>
                <w:tcPr>
                  <w:tcW w:w="868" w:type="dxa"/>
                  <w:vAlign w:val="center"/>
                </w:tcPr>
                <w:p>
                  <w:pPr>
                    <w:widowControl/>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25" w:hRule="atLeast"/>
                <w:jc w:val="center"/>
              </w:trPr>
              <w:tc>
                <w:tcPr>
                  <w:tcW w:w="4398" w:type="dxa"/>
                  <w:vAlign w:val="center"/>
                </w:tcPr>
                <w:p>
                  <w:pPr>
                    <w:widowControl/>
                    <w:ind w:firstLine="420" w:firstLineChars="200"/>
                  </w:pPr>
                  <w:r>
                    <w:rPr>
                      <w:rFonts w:hint="eastAsia" w:cs="宋体"/>
                      <w:kern w:val="0"/>
                      <w:szCs w:val="20"/>
                      <w:lang w:bidi="ar"/>
                    </w:rPr>
                    <w:t>拟入园建设项目，应结合规划环评提出的指导意见做好环境影响评价工作，落实规划环评提出的要求，加强与规划环评的联动，重点开展工程分析、污染物允许排放量测算和环保措施的可行性论证等内容，强化环境监测和环境保护相关措施的落实。规划环评中环境协调性分析、环境现状、污染源调查等资料可供建设项目环评引用，建设项目相应环境影响评价内容可结合实际情况予以简化。</w:t>
                  </w:r>
                </w:p>
              </w:tc>
              <w:tc>
                <w:tcPr>
                  <w:tcW w:w="2578" w:type="dxa"/>
                  <w:vAlign w:val="center"/>
                </w:tcPr>
                <w:p>
                  <w:pPr>
                    <w:widowControl/>
                    <w:ind w:firstLine="420" w:firstLineChars="200"/>
                  </w:pPr>
                  <w:r>
                    <w:rPr>
                      <w:szCs w:val="21"/>
                    </w:rPr>
                    <w:t>本项目主要针对现有</w:t>
                  </w:r>
                  <w:r>
                    <w:rPr>
                      <w:rFonts w:hint="eastAsia"/>
                      <w:szCs w:val="21"/>
                    </w:rPr>
                    <w:t>项目配套</w:t>
                  </w:r>
                  <w:r>
                    <w:rPr>
                      <w:szCs w:val="21"/>
                    </w:rPr>
                    <w:t>供热工程</w:t>
                  </w:r>
                  <w:r>
                    <w:rPr>
                      <w:rFonts w:hint="eastAsia"/>
                      <w:szCs w:val="21"/>
                    </w:rPr>
                    <w:t>和</w:t>
                  </w:r>
                  <w:r>
                    <w:rPr>
                      <w:szCs w:val="21"/>
                    </w:rPr>
                    <w:t>环保工程</w:t>
                  </w:r>
                  <w:r>
                    <w:rPr>
                      <w:rFonts w:hint="eastAsia"/>
                      <w:szCs w:val="21"/>
                    </w:rPr>
                    <w:t>进行技改</w:t>
                  </w:r>
                  <w:r>
                    <w:rPr>
                      <w:szCs w:val="21"/>
                    </w:rPr>
                    <w:t>，</w:t>
                  </w:r>
                  <w:r>
                    <w:rPr>
                      <w:rFonts w:hint="eastAsia"/>
                      <w:szCs w:val="21"/>
                    </w:rPr>
                    <w:t>现有项目</w:t>
                  </w:r>
                  <w:r>
                    <w:rPr>
                      <w:rFonts w:hint="eastAsia" w:cs="宋体"/>
                      <w:kern w:val="0"/>
                      <w:szCs w:val="21"/>
                    </w:rPr>
                    <w:t>主体工程原辅材料、生产工艺及污染物种类、产品及规模等均未发生变化</w:t>
                  </w:r>
                  <w:r>
                    <w:rPr>
                      <w:rFonts w:hint="eastAsia" w:cs="宋体"/>
                      <w:kern w:val="0"/>
                      <w:sz w:val="24"/>
                      <w:szCs w:val="21"/>
                    </w:rPr>
                    <w:t>，</w:t>
                  </w:r>
                  <w:r>
                    <w:rPr>
                      <w:rFonts w:hint="eastAsia" w:cs="宋体"/>
                      <w:kern w:val="0"/>
                      <w:szCs w:val="20"/>
                      <w:lang w:bidi="ar"/>
                    </w:rPr>
                    <w:t>落实了规划环评提出的要求，重点开展了工程分析、污染物允许排放量测算和环保措施的可行性论证等内容，强化环境监测和环境保护相关措施的落实。</w:t>
                  </w:r>
                </w:p>
              </w:tc>
              <w:tc>
                <w:tcPr>
                  <w:tcW w:w="868" w:type="dxa"/>
                  <w:vAlign w:val="center"/>
                </w:tcPr>
                <w:p>
                  <w:pPr>
                    <w:widowControl/>
                    <w:jc w:val="center"/>
                  </w:pPr>
                  <w:r>
                    <w:rPr>
                      <w:rFonts w:hint="eastAsia"/>
                    </w:rPr>
                    <w:t>符合</w:t>
                  </w:r>
                </w:p>
              </w:tc>
            </w:tr>
          </w:tbl>
          <w:p>
            <w:pPr>
              <w:widowControl/>
              <w:spacing w:before="120" w:beforeLines="50" w:line="360" w:lineRule="auto"/>
              <w:ind w:firstLine="480" w:firstLineChars="200"/>
              <w:rPr>
                <w:rFonts w:cs="宋体"/>
                <w:kern w:val="0"/>
                <w:sz w:val="24"/>
                <w:szCs w:val="21"/>
              </w:rPr>
            </w:pPr>
            <w:r>
              <w:rPr>
                <w:rFonts w:hint="eastAsia" w:cs="宋体"/>
                <w:kern w:val="0"/>
                <w:sz w:val="24"/>
                <w:lang w:bidi="ar"/>
              </w:rPr>
              <w:t>综上所述，本项目建设与《寻甸特色产业园区总体规划（修编）（</w:t>
            </w:r>
            <w:r>
              <w:rPr>
                <w:kern w:val="0"/>
                <w:sz w:val="24"/>
                <w:lang w:bidi="ar"/>
              </w:rPr>
              <w:t>2018-2035</w:t>
            </w:r>
            <w:r>
              <w:rPr>
                <w:rFonts w:hint="eastAsia" w:cs="宋体"/>
                <w:kern w:val="0"/>
                <w:sz w:val="24"/>
                <w:lang w:bidi="ar"/>
              </w:rPr>
              <w:t>年）环境影响报告书》及审查意见相符。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685" w:type="pct"/>
            <w:vAlign w:val="center"/>
          </w:tcPr>
          <w:p>
            <w:pPr>
              <w:autoSpaceDE w:val="0"/>
              <w:autoSpaceDN w:val="0"/>
              <w:adjustRightInd w:val="0"/>
              <w:jc w:val="center"/>
              <w:rPr>
                <w:rFonts w:cs="宋体"/>
                <w:kern w:val="0"/>
                <w:sz w:val="24"/>
                <w:szCs w:val="21"/>
              </w:rPr>
            </w:pPr>
            <w:r>
              <w:rPr>
                <w:rFonts w:hint="eastAsia" w:cs="宋体"/>
                <w:kern w:val="0"/>
                <w:sz w:val="24"/>
                <w:szCs w:val="21"/>
              </w:rPr>
              <w:t>其他符合性分析</w:t>
            </w:r>
          </w:p>
        </w:tc>
        <w:tc>
          <w:tcPr>
            <w:tcW w:w="4315" w:type="pct"/>
            <w:gridSpan w:val="3"/>
            <w:vAlign w:val="center"/>
          </w:tcPr>
          <w:p>
            <w:pPr>
              <w:adjustRightInd w:val="0"/>
              <w:spacing w:before="120" w:beforeLines="50" w:line="360" w:lineRule="auto"/>
              <w:ind w:firstLine="482" w:firstLineChars="200"/>
              <w:rPr>
                <w:b/>
                <w:sz w:val="24"/>
                <w:szCs w:val="21"/>
              </w:rPr>
            </w:pPr>
            <w:r>
              <w:rPr>
                <w:b/>
                <w:sz w:val="24"/>
                <w:szCs w:val="21"/>
              </w:rPr>
              <w:t>1、产业政策符合性分析</w:t>
            </w:r>
          </w:p>
          <w:p>
            <w:pPr>
              <w:adjustRightInd w:val="0"/>
              <w:spacing w:line="360" w:lineRule="auto"/>
              <w:ind w:firstLine="480" w:firstLineChars="200"/>
              <w:rPr>
                <w:sz w:val="24"/>
                <w:szCs w:val="21"/>
              </w:rPr>
            </w:pPr>
            <w:r>
              <w:rPr>
                <w:sz w:val="24"/>
                <w:szCs w:val="21"/>
              </w:rPr>
              <w:t>本项目</w:t>
            </w:r>
            <w:r>
              <w:rPr>
                <w:rFonts w:hint="eastAsia"/>
                <w:sz w:val="24"/>
                <w:szCs w:val="21"/>
              </w:rPr>
              <w:t>为“年产5万m</w:t>
            </w:r>
            <w:r>
              <w:rPr>
                <w:rFonts w:hint="eastAsia"/>
                <w:sz w:val="24"/>
                <w:szCs w:val="21"/>
                <w:vertAlign w:val="superscript"/>
              </w:rPr>
              <w:t>3</w:t>
            </w:r>
            <w:r>
              <w:rPr>
                <w:rFonts w:hint="eastAsia"/>
                <w:sz w:val="24"/>
                <w:szCs w:val="21"/>
              </w:rPr>
              <w:t>木质刨花板制造技改</w:t>
            </w:r>
            <w:r>
              <w:rPr>
                <w:sz w:val="24"/>
                <w:szCs w:val="21"/>
              </w:rPr>
              <w:t>项目</w:t>
            </w:r>
            <w:r>
              <w:rPr>
                <w:rFonts w:hint="eastAsia"/>
                <w:sz w:val="24"/>
                <w:szCs w:val="21"/>
              </w:rPr>
              <w:t>”，</w:t>
            </w:r>
            <w:r>
              <w:rPr>
                <w:sz w:val="24"/>
              </w:rPr>
              <w:t>主要针对现有</w:t>
            </w:r>
            <w:r>
              <w:rPr>
                <w:rFonts w:hint="eastAsia"/>
                <w:sz w:val="24"/>
              </w:rPr>
              <w:t>项目配套</w:t>
            </w:r>
            <w:r>
              <w:rPr>
                <w:sz w:val="24"/>
              </w:rPr>
              <w:t>供热工程</w:t>
            </w:r>
            <w:r>
              <w:rPr>
                <w:rFonts w:hint="eastAsia"/>
                <w:sz w:val="24"/>
              </w:rPr>
              <w:t>和</w:t>
            </w:r>
            <w:r>
              <w:rPr>
                <w:sz w:val="24"/>
              </w:rPr>
              <w:t>环保工程</w:t>
            </w:r>
            <w:r>
              <w:rPr>
                <w:rFonts w:hint="eastAsia"/>
                <w:sz w:val="24"/>
              </w:rPr>
              <w:t>进行技改</w:t>
            </w:r>
            <w:r>
              <w:rPr>
                <w:sz w:val="24"/>
              </w:rPr>
              <w:t>，</w:t>
            </w:r>
            <w:r>
              <w:rPr>
                <w:sz w:val="24"/>
                <w:szCs w:val="21"/>
              </w:rPr>
              <w:t>根据《产业结构调整指导目录</w:t>
            </w:r>
            <w:r>
              <w:rPr>
                <w:rFonts w:hint="eastAsia"/>
                <w:sz w:val="24"/>
                <w:szCs w:val="21"/>
              </w:rPr>
              <w:t>（</w:t>
            </w:r>
            <w:r>
              <w:rPr>
                <w:sz w:val="24"/>
                <w:szCs w:val="21"/>
              </w:rPr>
              <w:t>2019年本</w:t>
            </w:r>
            <w:r>
              <w:rPr>
                <w:rFonts w:hint="eastAsia"/>
                <w:sz w:val="24"/>
                <w:szCs w:val="21"/>
              </w:rPr>
              <w:t>）</w:t>
            </w:r>
            <w:r>
              <w:rPr>
                <w:sz w:val="24"/>
                <w:szCs w:val="21"/>
              </w:rPr>
              <w:t>》</w:t>
            </w:r>
            <w:r>
              <w:rPr>
                <w:rFonts w:hint="eastAsia"/>
                <w:sz w:val="24"/>
                <w:szCs w:val="21"/>
              </w:rPr>
              <w:t>（2021年修订），现有项目</w:t>
            </w:r>
            <w:r>
              <w:rPr>
                <w:sz w:val="24"/>
                <w:szCs w:val="21"/>
              </w:rPr>
              <w:t>不属于</w:t>
            </w:r>
            <w:r>
              <w:rPr>
                <w:rFonts w:hint="eastAsia"/>
                <w:sz w:val="24"/>
                <w:szCs w:val="21"/>
              </w:rPr>
              <w:t>限制类3项单线3万立方米/年以下的木质刨花板生产装置；本项目供热工程技改主要新增一台5</w:t>
            </w:r>
            <w:r>
              <w:rPr>
                <w:sz w:val="24"/>
                <w:szCs w:val="21"/>
              </w:rPr>
              <w:t>t/h</w:t>
            </w:r>
            <w:r>
              <w:rPr>
                <w:rFonts w:hint="eastAsia"/>
                <w:sz w:val="24"/>
                <w:szCs w:val="21"/>
              </w:rPr>
              <w:t>导热油锅炉，属于热力生产和供应，对照产业结构调整指导目录不属于鼓励类、禁止类和限制类项目，视为</w:t>
            </w:r>
            <w:r>
              <w:rPr>
                <w:sz w:val="24"/>
                <w:szCs w:val="21"/>
              </w:rPr>
              <w:t>允许类</w:t>
            </w:r>
            <w:r>
              <w:rPr>
                <w:rFonts w:hint="eastAsia"/>
                <w:sz w:val="24"/>
                <w:szCs w:val="21"/>
              </w:rPr>
              <w:t>；环保工程技改主要针对项目筛选工序粉尘、打磨工序粉尘、现有7</w:t>
            </w:r>
            <w:r>
              <w:rPr>
                <w:sz w:val="24"/>
                <w:szCs w:val="21"/>
              </w:rPr>
              <w:t>t/h</w:t>
            </w:r>
            <w:r>
              <w:rPr>
                <w:rFonts w:hint="eastAsia"/>
                <w:sz w:val="24"/>
                <w:szCs w:val="21"/>
              </w:rPr>
              <w:t>导热油锅炉废气、热压凉板环节产生的有机废气治理技术进行技改，提升废气处理效率，保护生态环境，为生态保护和环境治理业，对照产业结构调整指导目录属于“第一类鼓励类”中“四十三、环境保护与资源节约综合利用”中15、“三废”综合利用与治理技术、装备和工程；</w:t>
            </w:r>
            <w:r>
              <w:rPr>
                <w:sz w:val="24"/>
                <w:szCs w:val="21"/>
              </w:rPr>
              <w:t>同时，</w:t>
            </w:r>
            <w:r>
              <w:rPr>
                <w:rFonts w:hint="eastAsia"/>
                <w:sz w:val="24"/>
                <w:szCs w:val="21"/>
              </w:rPr>
              <w:t>本</w:t>
            </w:r>
            <w:r>
              <w:rPr>
                <w:sz w:val="24"/>
                <w:szCs w:val="21"/>
              </w:rPr>
              <w:t>项目已于202</w:t>
            </w:r>
            <w:r>
              <w:rPr>
                <w:rFonts w:hint="eastAsia"/>
                <w:sz w:val="24"/>
                <w:szCs w:val="21"/>
              </w:rPr>
              <w:t>2</w:t>
            </w:r>
            <w:r>
              <w:rPr>
                <w:sz w:val="24"/>
                <w:szCs w:val="21"/>
              </w:rPr>
              <w:t>年</w:t>
            </w:r>
            <w:r>
              <w:rPr>
                <w:rFonts w:hint="eastAsia"/>
                <w:sz w:val="24"/>
                <w:szCs w:val="21"/>
              </w:rPr>
              <w:t>11</w:t>
            </w:r>
            <w:r>
              <w:rPr>
                <w:sz w:val="24"/>
                <w:szCs w:val="21"/>
              </w:rPr>
              <w:t>月2</w:t>
            </w:r>
            <w:r>
              <w:rPr>
                <w:rFonts w:hint="eastAsia"/>
                <w:sz w:val="24"/>
                <w:szCs w:val="21"/>
              </w:rPr>
              <w:t>1</w:t>
            </w:r>
            <w:r>
              <w:rPr>
                <w:sz w:val="24"/>
                <w:szCs w:val="21"/>
              </w:rPr>
              <w:t>日取得了寻甸回族彝族自治县发展和改革局下发的</w:t>
            </w:r>
            <w:r>
              <w:rPr>
                <w:rFonts w:hint="eastAsia"/>
                <w:sz w:val="24"/>
                <w:szCs w:val="21"/>
              </w:rPr>
              <w:t>“</w:t>
            </w:r>
            <w:r>
              <w:rPr>
                <w:sz w:val="24"/>
                <w:szCs w:val="21"/>
              </w:rPr>
              <w:t>投资项目备案证</w:t>
            </w:r>
            <w:r>
              <w:rPr>
                <w:rFonts w:hint="eastAsia"/>
                <w:sz w:val="24"/>
                <w:szCs w:val="21"/>
              </w:rPr>
              <w:t>”</w:t>
            </w:r>
            <w:r>
              <w:rPr>
                <w:sz w:val="24"/>
                <w:szCs w:val="21"/>
              </w:rPr>
              <w:t>。项目代码为：</w:t>
            </w:r>
            <w:r>
              <w:rPr>
                <w:rFonts w:hint="eastAsia" w:cs="宋体"/>
                <w:sz w:val="24"/>
                <w:szCs w:val="21"/>
              </w:rPr>
              <w:t>2211-530129-04-02-521840</w:t>
            </w:r>
            <w:r>
              <w:rPr>
                <w:sz w:val="24"/>
                <w:szCs w:val="21"/>
              </w:rPr>
              <w:t>。</w:t>
            </w:r>
          </w:p>
          <w:p>
            <w:pPr>
              <w:adjustRightInd w:val="0"/>
              <w:spacing w:line="360" w:lineRule="auto"/>
              <w:ind w:firstLine="480" w:firstLineChars="200"/>
              <w:rPr>
                <w:sz w:val="24"/>
                <w:szCs w:val="21"/>
              </w:rPr>
            </w:pPr>
            <w:r>
              <w:rPr>
                <w:rFonts w:hint="eastAsia"/>
                <w:sz w:val="24"/>
                <w:szCs w:val="21"/>
              </w:rPr>
              <w:t>综上，本项目符合国家和地方现行的产业政策。</w:t>
            </w:r>
          </w:p>
          <w:p>
            <w:pPr>
              <w:widowControl/>
              <w:adjustRightInd w:val="0"/>
              <w:spacing w:line="360" w:lineRule="auto"/>
              <w:ind w:firstLine="482" w:firstLineChars="200"/>
              <w:rPr>
                <w:sz w:val="24"/>
              </w:rPr>
            </w:pPr>
            <w:r>
              <w:rPr>
                <w:rFonts w:hint="eastAsia"/>
                <w:b/>
                <w:sz w:val="24"/>
                <w:szCs w:val="21"/>
              </w:rPr>
              <w:t>2</w:t>
            </w:r>
            <w:r>
              <w:rPr>
                <w:b/>
                <w:sz w:val="24"/>
                <w:szCs w:val="21"/>
              </w:rPr>
              <w:t>、</w:t>
            </w:r>
            <w:r>
              <w:rPr>
                <w:rFonts w:hint="eastAsia"/>
                <w:b/>
                <w:sz w:val="24"/>
                <w:szCs w:val="21"/>
              </w:rPr>
              <w:t>本</w:t>
            </w:r>
            <w:r>
              <w:rPr>
                <w:rFonts w:hint="eastAsia" w:cs="宋体"/>
                <w:b/>
                <w:bCs/>
                <w:kern w:val="0"/>
                <w:sz w:val="24"/>
                <w:lang w:bidi="ar"/>
              </w:rPr>
              <w:t>项目与《昆明市人民政府关于昆明市“三线一单”生态环境分区管控的实施意见》（昆政发</w:t>
            </w:r>
            <w:r>
              <w:rPr>
                <w:b/>
                <w:bCs/>
                <w:kern w:val="0"/>
                <w:sz w:val="24"/>
                <w:lang w:bidi="ar"/>
              </w:rPr>
              <w:t>2021[21</w:t>
            </w:r>
            <w:r>
              <w:rPr>
                <w:rFonts w:hint="eastAsia" w:cs="宋体"/>
                <w:b/>
                <w:bCs/>
                <w:kern w:val="0"/>
                <w:sz w:val="24"/>
                <w:lang w:bidi="ar"/>
              </w:rPr>
              <w:t>号</w:t>
            </w:r>
            <w:r>
              <w:rPr>
                <w:b/>
                <w:bCs/>
                <w:kern w:val="0"/>
                <w:sz w:val="24"/>
                <w:lang w:bidi="ar"/>
              </w:rPr>
              <w:t>]</w:t>
            </w:r>
            <w:r>
              <w:rPr>
                <w:rFonts w:hint="eastAsia" w:cs="宋体"/>
                <w:b/>
                <w:bCs/>
                <w:kern w:val="0"/>
                <w:sz w:val="24"/>
                <w:lang w:bidi="ar"/>
              </w:rPr>
              <w:t>）符合性分析</w:t>
            </w:r>
          </w:p>
          <w:p>
            <w:pPr>
              <w:widowControl/>
              <w:adjustRightInd w:val="0"/>
              <w:spacing w:line="360" w:lineRule="auto"/>
              <w:ind w:firstLine="480" w:firstLineChars="200"/>
              <w:rPr>
                <w:sz w:val="24"/>
              </w:rPr>
            </w:pPr>
            <w:r>
              <w:rPr>
                <w:rFonts w:hint="eastAsia" w:cs="宋体"/>
                <w:kern w:val="0"/>
                <w:sz w:val="24"/>
                <w:lang w:bidi="ar"/>
              </w:rPr>
              <w:t>本项目与《昆明市人民政府关于昆明市</w:t>
            </w:r>
            <w:r>
              <w:rPr>
                <w:rFonts w:hint="eastAsia"/>
                <w:kern w:val="0"/>
                <w:sz w:val="24"/>
                <w:lang w:bidi="ar"/>
              </w:rPr>
              <w:t>“</w:t>
            </w:r>
            <w:r>
              <w:rPr>
                <w:rFonts w:hint="eastAsia" w:cs="宋体"/>
                <w:kern w:val="0"/>
                <w:sz w:val="24"/>
                <w:lang w:bidi="ar"/>
              </w:rPr>
              <w:t>三线一单</w:t>
            </w:r>
            <w:r>
              <w:rPr>
                <w:rFonts w:hint="eastAsia"/>
                <w:kern w:val="0"/>
                <w:sz w:val="24"/>
                <w:lang w:bidi="ar"/>
              </w:rPr>
              <w:t>”</w:t>
            </w:r>
            <w:r>
              <w:rPr>
                <w:rFonts w:hint="eastAsia" w:cs="宋体"/>
                <w:kern w:val="0"/>
                <w:sz w:val="24"/>
                <w:lang w:bidi="ar"/>
              </w:rPr>
              <w:t>生态环境分区管控的实施意见》（昆政发</w:t>
            </w:r>
            <w:r>
              <w:rPr>
                <w:kern w:val="0"/>
                <w:sz w:val="24"/>
                <w:lang w:bidi="ar"/>
              </w:rPr>
              <w:t>2021[21</w:t>
            </w:r>
            <w:r>
              <w:rPr>
                <w:rFonts w:hint="eastAsia" w:cs="宋体"/>
                <w:kern w:val="0"/>
                <w:sz w:val="24"/>
                <w:lang w:bidi="ar"/>
              </w:rPr>
              <w:t>号</w:t>
            </w:r>
            <w:r>
              <w:rPr>
                <w:kern w:val="0"/>
                <w:sz w:val="24"/>
                <w:lang w:bidi="ar"/>
              </w:rPr>
              <w:t>]</w:t>
            </w:r>
            <w:r>
              <w:rPr>
                <w:rFonts w:hint="eastAsia" w:cs="宋体"/>
                <w:kern w:val="0"/>
                <w:sz w:val="24"/>
                <w:lang w:bidi="ar"/>
              </w:rPr>
              <w:t>）符合性分析详见下表。</w:t>
            </w:r>
          </w:p>
          <w:p>
            <w:pPr>
              <w:widowControl/>
              <w:adjustRightInd w:val="0"/>
              <w:spacing w:line="360" w:lineRule="auto"/>
              <w:jc w:val="center"/>
              <w:rPr>
                <w:rFonts w:cs="宋体"/>
                <w:b/>
                <w:bCs/>
                <w:kern w:val="0"/>
                <w:sz w:val="24"/>
                <w:szCs w:val="20"/>
                <w:lang w:bidi="ar"/>
              </w:rPr>
            </w:pPr>
          </w:p>
          <w:p>
            <w:pPr>
              <w:widowControl/>
              <w:adjustRightInd w:val="0"/>
              <w:spacing w:before="120" w:beforeLines="50" w:line="360" w:lineRule="auto"/>
              <w:jc w:val="center"/>
              <w:rPr>
                <w:sz w:val="24"/>
              </w:rPr>
            </w:pPr>
            <w:r>
              <w:rPr>
                <w:rFonts w:hint="eastAsia" w:cs="宋体"/>
                <w:b/>
                <w:bCs/>
                <w:kern w:val="0"/>
                <w:sz w:val="24"/>
                <w:szCs w:val="20"/>
                <w:lang w:bidi="ar"/>
              </w:rPr>
              <w:t>表</w:t>
            </w:r>
            <w:r>
              <w:rPr>
                <w:b/>
                <w:bCs/>
                <w:kern w:val="0"/>
                <w:sz w:val="24"/>
                <w:szCs w:val="20"/>
                <w:lang w:bidi="ar"/>
              </w:rPr>
              <w:t>1</w:t>
            </w:r>
            <w:r>
              <w:rPr>
                <w:rFonts w:hint="eastAsia"/>
                <w:b/>
                <w:bCs/>
                <w:kern w:val="0"/>
                <w:sz w:val="24"/>
                <w:szCs w:val="20"/>
                <w:lang w:bidi="ar"/>
              </w:rPr>
              <w:t>-</w:t>
            </w:r>
            <w:r>
              <w:rPr>
                <w:b/>
                <w:bCs/>
                <w:kern w:val="0"/>
                <w:sz w:val="24"/>
                <w:szCs w:val="20"/>
                <w:lang w:bidi="ar"/>
              </w:rPr>
              <w:t>5</w:t>
            </w:r>
            <w:r>
              <w:rPr>
                <w:rFonts w:hint="eastAsia"/>
                <w:b/>
                <w:bCs/>
                <w:kern w:val="0"/>
                <w:sz w:val="24"/>
                <w:szCs w:val="20"/>
                <w:lang w:bidi="ar"/>
              </w:rPr>
              <w:t xml:space="preserve">  </w:t>
            </w:r>
            <w:r>
              <w:rPr>
                <w:rFonts w:hint="eastAsia" w:cs="宋体"/>
                <w:b/>
                <w:bCs/>
                <w:kern w:val="0"/>
                <w:sz w:val="24"/>
                <w:szCs w:val="20"/>
                <w:lang w:bidi="ar"/>
              </w:rPr>
              <w:t>与昆明市</w:t>
            </w:r>
            <w:r>
              <w:rPr>
                <w:rFonts w:hint="eastAsia"/>
                <w:b/>
                <w:bCs/>
                <w:kern w:val="0"/>
                <w:sz w:val="24"/>
                <w:szCs w:val="20"/>
                <w:lang w:bidi="ar"/>
              </w:rPr>
              <w:t>“</w:t>
            </w:r>
            <w:r>
              <w:rPr>
                <w:rFonts w:hint="eastAsia" w:cs="宋体"/>
                <w:b/>
                <w:bCs/>
                <w:kern w:val="0"/>
                <w:sz w:val="24"/>
                <w:szCs w:val="20"/>
                <w:lang w:bidi="ar"/>
              </w:rPr>
              <w:t>三线一单</w:t>
            </w:r>
            <w:r>
              <w:rPr>
                <w:rFonts w:hint="eastAsia"/>
                <w:b/>
                <w:bCs/>
                <w:kern w:val="0"/>
                <w:sz w:val="24"/>
                <w:szCs w:val="20"/>
                <w:lang w:bidi="ar"/>
              </w:rPr>
              <w:t>”</w:t>
            </w:r>
            <w:r>
              <w:rPr>
                <w:rFonts w:hint="eastAsia" w:cs="宋体"/>
                <w:b/>
                <w:bCs/>
                <w:kern w:val="0"/>
                <w:sz w:val="24"/>
                <w:szCs w:val="20"/>
                <w:lang w:bidi="ar"/>
              </w:rPr>
              <w:t>文件相符性分析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48"/>
              <w:gridCol w:w="848"/>
              <w:gridCol w:w="3059"/>
              <w:gridCol w:w="2316"/>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8" w:type="pct"/>
                  <w:gridSpan w:val="2"/>
                  <w:vAlign w:val="center"/>
                </w:tcPr>
                <w:p>
                  <w:pPr>
                    <w:adjustRightInd w:val="0"/>
                    <w:jc w:val="center"/>
                    <w:rPr>
                      <w:b/>
                      <w:bCs/>
                      <w:szCs w:val="21"/>
                    </w:rPr>
                  </w:pPr>
                  <w:r>
                    <w:rPr>
                      <w:rFonts w:hint="eastAsia"/>
                      <w:b/>
                      <w:bCs/>
                      <w:szCs w:val="21"/>
                    </w:rPr>
                    <w:t>类别</w:t>
                  </w:r>
                </w:p>
              </w:tc>
              <w:tc>
                <w:tcPr>
                  <w:tcW w:w="1926" w:type="pct"/>
                  <w:vAlign w:val="center"/>
                </w:tcPr>
                <w:p>
                  <w:pPr>
                    <w:adjustRightInd w:val="0"/>
                    <w:jc w:val="center"/>
                    <w:rPr>
                      <w:b/>
                      <w:bCs/>
                      <w:szCs w:val="21"/>
                    </w:rPr>
                  </w:pPr>
                  <w:r>
                    <w:rPr>
                      <w:rFonts w:hint="eastAsia"/>
                      <w:b/>
                      <w:bCs/>
                      <w:szCs w:val="21"/>
                    </w:rPr>
                    <w:t>文件要求</w:t>
                  </w:r>
                </w:p>
              </w:tc>
              <w:tc>
                <w:tcPr>
                  <w:tcW w:w="1458" w:type="pct"/>
                  <w:vAlign w:val="center"/>
                </w:tcPr>
                <w:p>
                  <w:pPr>
                    <w:adjustRightInd w:val="0"/>
                    <w:jc w:val="center"/>
                    <w:rPr>
                      <w:b/>
                      <w:bCs/>
                      <w:szCs w:val="21"/>
                    </w:rPr>
                  </w:pPr>
                  <w:r>
                    <w:rPr>
                      <w:rFonts w:hint="eastAsia"/>
                      <w:b/>
                      <w:bCs/>
                      <w:szCs w:val="21"/>
                    </w:rPr>
                    <w:t>本项目情况</w:t>
                  </w:r>
                </w:p>
              </w:tc>
              <w:tc>
                <w:tcPr>
                  <w:tcW w:w="548" w:type="pct"/>
                  <w:vAlign w:val="center"/>
                </w:tcPr>
                <w:p>
                  <w:pPr>
                    <w:adjustRightInd w:val="0"/>
                    <w:jc w:val="center"/>
                    <w:rPr>
                      <w:b/>
                      <w:bCs/>
                      <w:szCs w:val="21"/>
                    </w:rPr>
                  </w:pPr>
                  <w:r>
                    <w:rPr>
                      <w:rFonts w:hint="eastAsia"/>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8" w:type="pct"/>
                  <w:gridSpan w:val="2"/>
                  <w:vAlign w:val="center"/>
                </w:tcPr>
                <w:p>
                  <w:pPr>
                    <w:adjustRightInd w:val="0"/>
                    <w:jc w:val="center"/>
                    <w:rPr>
                      <w:szCs w:val="21"/>
                    </w:rPr>
                  </w:pPr>
                  <w:r>
                    <w:rPr>
                      <w:rFonts w:hint="eastAsia"/>
                      <w:b/>
                      <w:bCs/>
                      <w:szCs w:val="21"/>
                    </w:rPr>
                    <w:t>生态保护红线</w:t>
                  </w:r>
                </w:p>
              </w:tc>
              <w:tc>
                <w:tcPr>
                  <w:tcW w:w="1926" w:type="pct"/>
                  <w:vAlign w:val="center"/>
                </w:tcPr>
                <w:p>
                  <w:pPr>
                    <w:widowControl/>
                    <w:adjustRightInd w:val="0"/>
                    <w:ind w:firstLine="420" w:firstLineChars="200"/>
                    <w:rPr>
                      <w:szCs w:val="21"/>
                    </w:rPr>
                  </w:pPr>
                  <w:r>
                    <w:rPr>
                      <w:rFonts w:hint="eastAsia" w:cs="宋体"/>
                      <w:kern w:val="0"/>
                      <w:szCs w:val="20"/>
                      <w:lang w:bidi="ar"/>
                    </w:rPr>
                    <w:t>执行《云南省人民政府关于发布云南省生态保护红线的通知》（云政发〔</w:t>
                  </w:r>
                  <w:r>
                    <w:rPr>
                      <w:kern w:val="0"/>
                      <w:szCs w:val="20"/>
                      <w:lang w:bidi="ar"/>
                    </w:rPr>
                    <w:t>2018</w:t>
                  </w:r>
                  <w:r>
                    <w:rPr>
                      <w:rFonts w:hint="eastAsia" w:cs="宋体"/>
                      <w:kern w:val="0"/>
                      <w:szCs w:val="20"/>
                      <w:lang w:bidi="ar"/>
                    </w:rPr>
                    <w:t>〕</w:t>
                  </w:r>
                  <w:r>
                    <w:rPr>
                      <w:kern w:val="0"/>
                      <w:szCs w:val="20"/>
                      <w:lang w:bidi="ar"/>
                    </w:rPr>
                    <w:t>32</w:t>
                  </w:r>
                  <w:r>
                    <w:rPr>
                      <w:rFonts w:hint="eastAsia" w:cs="宋体"/>
                      <w:kern w:val="0"/>
                      <w:szCs w:val="20"/>
                      <w:lang w:bidi="ar"/>
                    </w:rPr>
                    <w:t>号），将未划入生态保护红线的自然保护区、国家公园、森林公园、风景名胜区、地质公园、湿地公园、县城集中式饮用水水源地、水产种质资源保护区等生态功能重要区、生态环境敏感区划入一般生态空间。</w:t>
                  </w:r>
                </w:p>
              </w:tc>
              <w:tc>
                <w:tcPr>
                  <w:tcW w:w="1458" w:type="pct"/>
                  <w:vAlign w:val="center"/>
                </w:tcPr>
                <w:p>
                  <w:pPr>
                    <w:widowControl/>
                    <w:adjustRightInd w:val="0"/>
                    <w:ind w:firstLine="420" w:firstLineChars="200"/>
                    <w:rPr>
                      <w:szCs w:val="21"/>
                    </w:rPr>
                  </w:pPr>
                  <w:r>
                    <w:rPr>
                      <w:rFonts w:hint="eastAsia" w:cs="宋体"/>
                      <w:kern w:val="0"/>
                      <w:szCs w:val="20"/>
                      <w:lang w:bidi="ar"/>
                    </w:rPr>
                    <w:t>本项目位于寻甸特色产业园区羊街片区现有厂区，属规划的工业用地，不在生态红线范围内，项目符合生态保护红线的相关要求。</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4" w:type="pct"/>
                  <w:vMerge w:val="restart"/>
                  <w:vAlign w:val="center"/>
                </w:tcPr>
                <w:p>
                  <w:pPr>
                    <w:adjustRightInd w:val="0"/>
                    <w:jc w:val="center"/>
                    <w:rPr>
                      <w:b/>
                      <w:bCs/>
                      <w:szCs w:val="21"/>
                    </w:rPr>
                  </w:pPr>
                  <w:r>
                    <w:rPr>
                      <w:rFonts w:hint="eastAsia"/>
                      <w:b/>
                      <w:bCs/>
                      <w:szCs w:val="21"/>
                    </w:rPr>
                    <w:t>环境质量底线</w:t>
                  </w:r>
                </w:p>
              </w:tc>
              <w:tc>
                <w:tcPr>
                  <w:tcW w:w="533" w:type="pct"/>
                  <w:vAlign w:val="center"/>
                </w:tcPr>
                <w:p>
                  <w:pPr>
                    <w:adjustRightInd w:val="0"/>
                    <w:jc w:val="center"/>
                    <w:rPr>
                      <w:szCs w:val="21"/>
                    </w:rPr>
                  </w:pPr>
                  <w:r>
                    <w:rPr>
                      <w:rFonts w:hint="eastAsia"/>
                      <w:szCs w:val="21"/>
                    </w:rPr>
                    <w:t>生态环境质量</w:t>
                  </w:r>
                </w:p>
              </w:tc>
              <w:tc>
                <w:tcPr>
                  <w:tcW w:w="1926" w:type="pct"/>
                  <w:vAlign w:val="center"/>
                </w:tcPr>
                <w:p>
                  <w:pPr>
                    <w:widowControl/>
                    <w:adjustRightInd w:val="0"/>
                    <w:ind w:firstLine="420" w:firstLineChars="200"/>
                    <w:rPr>
                      <w:szCs w:val="21"/>
                    </w:rPr>
                  </w:pPr>
                  <w:r>
                    <w:rPr>
                      <w:rFonts w:hint="eastAsia" w:cs="宋体"/>
                      <w:kern w:val="0"/>
                      <w:szCs w:val="20"/>
                      <w:lang w:bidi="ar"/>
                    </w:rPr>
                    <w:t>到</w:t>
                  </w:r>
                  <w:r>
                    <w:rPr>
                      <w:kern w:val="0"/>
                      <w:szCs w:val="20"/>
                      <w:lang w:bidi="ar"/>
                    </w:rPr>
                    <w:t>2025</w:t>
                  </w:r>
                  <w:r>
                    <w:rPr>
                      <w:rFonts w:hint="eastAsia" w:cs="宋体"/>
                      <w:kern w:val="0"/>
                      <w:szCs w:val="20"/>
                      <w:lang w:bidi="ar"/>
                    </w:rPr>
                    <w:t>年，全市生态环境质量持续改善，生态空间得到优化和有效保护，区域生态安全屏障更加牢固。到</w:t>
                  </w:r>
                  <w:r>
                    <w:rPr>
                      <w:kern w:val="0"/>
                      <w:szCs w:val="20"/>
                      <w:lang w:bidi="ar"/>
                    </w:rPr>
                    <w:t>2035</w:t>
                  </w:r>
                  <w:r>
                    <w:rPr>
                      <w:rFonts w:hint="eastAsia" w:cs="宋体"/>
                      <w:kern w:val="0"/>
                      <w:szCs w:val="20"/>
                      <w:lang w:bidi="ar"/>
                    </w:rPr>
                    <w:t>年，全市生态环境质量实现根本好转，生态功能显著提升，区域生态安全得到全面保障。</w:t>
                  </w:r>
                </w:p>
              </w:tc>
              <w:tc>
                <w:tcPr>
                  <w:tcW w:w="1458" w:type="pct"/>
                  <w:vAlign w:val="center"/>
                </w:tcPr>
                <w:p>
                  <w:pPr>
                    <w:widowControl/>
                    <w:adjustRightInd w:val="0"/>
                    <w:ind w:firstLine="420" w:firstLineChars="200"/>
                    <w:rPr>
                      <w:szCs w:val="21"/>
                    </w:rPr>
                  </w:pPr>
                  <w:r>
                    <w:rPr>
                      <w:rFonts w:hint="eastAsia" w:cs="宋体"/>
                      <w:kern w:val="0"/>
                      <w:szCs w:val="20"/>
                      <w:lang w:bidi="ar"/>
                    </w:rPr>
                    <w:t>本项目位于寻甸特色产业园区羊街片区现有厂区，不新增建设用地，不会突破当地环境质量底线、对生态环境影响较小。</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continue"/>
                  <w:vAlign w:val="center"/>
                </w:tcPr>
                <w:p>
                  <w:pPr>
                    <w:adjustRightInd w:val="0"/>
                    <w:ind w:firstLine="422" w:firstLineChars="200"/>
                    <w:rPr>
                      <w:b/>
                      <w:bCs/>
                      <w:szCs w:val="21"/>
                    </w:rPr>
                  </w:pPr>
                </w:p>
              </w:tc>
              <w:tc>
                <w:tcPr>
                  <w:tcW w:w="533" w:type="pct"/>
                  <w:vAlign w:val="center"/>
                </w:tcPr>
                <w:p>
                  <w:pPr>
                    <w:adjustRightInd w:val="0"/>
                    <w:jc w:val="center"/>
                    <w:rPr>
                      <w:szCs w:val="21"/>
                    </w:rPr>
                  </w:pPr>
                  <w:r>
                    <w:rPr>
                      <w:rFonts w:hint="eastAsia"/>
                      <w:szCs w:val="21"/>
                    </w:rPr>
                    <w:t>大气环境质量底线</w:t>
                  </w:r>
                </w:p>
              </w:tc>
              <w:tc>
                <w:tcPr>
                  <w:tcW w:w="1926" w:type="pct"/>
                  <w:vAlign w:val="center"/>
                </w:tcPr>
                <w:p>
                  <w:pPr>
                    <w:widowControl/>
                    <w:adjustRightInd w:val="0"/>
                    <w:ind w:firstLine="420" w:firstLineChars="200"/>
                    <w:rPr>
                      <w:szCs w:val="21"/>
                    </w:rPr>
                  </w:pPr>
                  <w:r>
                    <w:rPr>
                      <w:rFonts w:hint="eastAsia" w:cs="宋体"/>
                      <w:kern w:val="0"/>
                      <w:szCs w:val="20"/>
                      <w:lang w:bidi="ar"/>
                    </w:rPr>
                    <w:t>到</w:t>
                  </w:r>
                  <w:r>
                    <w:rPr>
                      <w:kern w:val="0"/>
                      <w:szCs w:val="20"/>
                      <w:lang w:bidi="ar"/>
                    </w:rPr>
                    <w:t>2025</w:t>
                  </w:r>
                  <w:r>
                    <w:rPr>
                      <w:rFonts w:hint="eastAsia" w:cs="宋体"/>
                      <w:kern w:val="0"/>
                      <w:szCs w:val="20"/>
                      <w:lang w:bidi="ar"/>
                    </w:rPr>
                    <w:t>年，全市环境空气质量总体保持优良，主城建成区空气质量优良天数占比达</w:t>
                  </w:r>
                  <w:r>
                    <w:rPr>
                      <w:kern w:val="0"/>
                      <w:szCs w:val="20"/>
                      <w:lang w:bidi="ar"/>
                    </w:rPr>
                    <w:t>99%</w:t>
                  </w:r>
                  <w:r>
                    <w:rPr>
                      <w:rFonts w:hint="eastAsia" w:cs="宋体"/>
                      <w:kern w:val="0"/>
                      <w:szCs w:val="20"/>
                      <w:lang w:bidi="ar"/>
                    </w:rPr>
                    <w:t>以上，</w:t>
                  </w:r>
                  <w:r>
                    <w:rPr>
                      <w:kern w:val="0"/>
                      <w:szCs w:val="20"/>
                      <w:lang w:bidi="ar"/>
                    </w:rPr>
                    <w:t>SO</w:t>
                  </w:r>
                  <w:r>
                    <w:rPr>
                      <w:kern w:val="0"/>
                      <w:szCs w:val="20"/>
                      <w:vertAlign w:val="subscript"/>
                      <w:lang w:bidi="ar"/>
                    </w:rPr>
                    <w:t>2</w:t>
                  </w:r>
                  <w:r>
                    <w:rPr>
                      <w:rFonts w:hint="eastAsia" w:cs="宋体"/>
                      <w:kern w:val="0"/>
                      <w:szCs w:val="20"/>
                      <w:lang w:bidi="ar"/>
                    </w:rPr>
                    <w:t>和</w:t>
                  </w:r>
                  <w:r>
                    <w:rPr>
                      <w:kern w:val="0"/>
                      <w:szCs w:val="20"/>
                      <w:lang w:bidi="ar"/>
                    </w:rPr>
                    <w:t>NO</w:t>
                  </w:r>
                  <w:r>
                    <w:rPr>
                      <w:kern w:val="0"/>
                      <w:szCs w:val="20"/>
                      <w:vertAlign w:val="subscript"/>
                      <w:lang w:bidi="ar"/>
                    </w:rPr>
                    <w:t>x</w:t>
                  </w:r>
                  <w:r>
                    <w:rPr>
                      <w:rFonts w:hint="eastAsia" w:cs="宋体"/>
                      <w:kern w:val="0"/>
                      <w:szCs w:val="20"/>
                      <w:lang w:bidi="ar"/>
                    </w:rPr>
                    <w:t>排放总量控制在省下达的目标以内，主城区空气中颗粒物（</w:t>
                  </w:r>
                  <w:r>
                    <w:rPr>
                      <w:kern w:val="0"/>
                      <w:szCs w:val="20"/>
                      <w:lang w:bidi="ar"/>
                    </w:rPr>
                    <w:t>PM</w:t>
                  </w:r>
                  <w:r>
                    <w:rPr>
                      <w:kern w:val="0"/>
                      <w:szCs w:val="20"/>
                      <w:vertAlign w:val="subscript"/>
                      <w:lang w:bidi="ar"/>
                    </w:rPr>
                    <w:t>10</w:t>
                  </w:r>
                  <w:r>
                    <w:rPr>
                      <w:rFonts w:hint="eastAsia" w:cs="宋体"/>
                      <w:kern w:val="0"/>
                      <w:szCs w:val="20"/>
                      <w:lang w:bidi="ar"/>
                    </w:rPr>
                    <w:t>、</w:t>
                  </w:r>
                  <w:r>
                    <w:rPr>
                      <w:kern w:val="0"/>
                      <w:szCs w:val="20"/>
                      <w:lang w:bidi="ar"/>
                    </w:rPr>
                    <w:t>PM</w:t>
                  </w:r>
                  <w:r>
                    <w:rPr>
                      <w:kern w:val="0"/>
                      <w:szCs w:val="20"/>
                      <w:vertAlign w:val="subscript"/>
                      <w:lang w:bidi="ar"/>
                    </w:rPr>
                    <w:t>2.5</w:t>
                  </w:r>
                  <w:r>
                    <w:rPr>
                      <w:rFonts w:hint="eastAsia" w:cs="宋体"/>
                      <w:kern w:val="0"/>
                      <w:szCs w:val="20"/>
                      <w:lang w:bidi="ar"/>
                    </w:rPr>
                    <w:t>）稳定达《环境空气质量标准》二级标准以上。到</w:t>
                  </w:r>
                  <w:r>
                    <w:rPr>
                      <w:kern w:val="0"/>
                      <w:szCs w:val="20"/>
                      <w:lang w:bidi="ar"/>
                    </w:rPr>
                    <w:t>2035</w:t>
                  </w:r>
                  <w:r>
                    <w:rPr>
                      <w:rFonts w:hint="eastAsia" w:cs="宋体"/>
                      <w:kern w:val="0"/>
                      <w:szCs w:val="20"/>
                      <w:lang w:bidi="ar"/>
                    </w:rPr>
                    <w:t>年，全市环境空气质量全面改善，各县（市）区、开发（度假）区环境空气质量稳定达到国家二级标准。</w:t>
                  </w:r>
                </w:p>
              </w:tc>
              <w:tc>
                <w:tcPr>
                  <w:tcW w:w="1458" w:type="pct"/>
                  <w:vAlign w:val="center"/>
                </w:tcPr>
                <w:p>
                  <w:pPr>
                    <w:widowControl/>
                    <w:adjustRightInd w:val="0"/>
                    <w:ind w:firstLine="420" w:firstLineChars="200"/>
                    <w:rPr>
                      <w:szCs w:val="21"/>
                    </w:rPr>
                  </w:pPr>
                  <w:r>
                    <w:rPr>
                      <w:rFonts w:hint="eastAsia" w:cs="宋体"/>
                      <w:kern w:val="0"/>
                      <w:szCs w:val="20"/>
                      <w:lang w:bidi="ar"/>
                    </w:rPr>
                    <w:t>本项目位于寻甸特色产业园区羊街片区现有厂区，</w:t>
                  </w:r>
                  <w:r>
                    <w:rPr>
                      <w:rFonts w:hint="eastAsia" w:cs="宋体"/>
                      <w:kern w:val="0"/>
                      <w:szCs w:val="20"/>
                      <w:highlight w:val="green"/>
                      <w:lang w:bidi="ar"/>
                    </w:rPr>
                    <w:t>根据《2022年度昆明市生态环境状况公报》可知：2022年寻甸县环境空气质量均能达到《环境空气质量标准》（GB3095-2012）表1中二级标准要求，</w:t>
                  </w:r>
                  <w:r>
                    <w:rPr>
                      <w:rFonts w:hint="eastAsia" w:cs="宋体"/>
                      <w:kern w:val="0"/>
                      <w:szCs w:val="20"/>
                      <w:lang w:bidi="ar"/>
                    </w:rPr>
                    <w:t>属于环境空气质量达标区，</w:t>
                  </w:r>
                  <w:r>
                    <w:rPr>
                      <w:rFonts w:hint="eastAsia"/>
                      <w:szCs w:val="21"/>
                      <w:highlight w:val="green"/>
                    </w:rPr>
                    <w:t>本项目供热工程技改新增5</w:t>
                  </w:r>
                  <w:r>
                    <w:rPr>
                      <w:szCs w:val="21"/>
                      <w:highlight w:val="green"/>
                    </w:rPr>
                    <w:t>t/h</w:t>
                  </w:r>
                  <w:r>
                    <w:rPr>
                      <w:rFonts w:hint="eastAsia"/>
                      <w:szCs w:val="21"/>
                      <w:highlight w:val="green"/>
                    </w:rPr>
                    <w:t>导热油锅炉产生的锅炉废气采用“旋风多管除尘+水膜除尘”处理后经过35m高排气筒达标排放；环保工程技改新增环保设施本身不产生废气，现有7t/h导热油锅炉、筛选打磨工序、热压凉板工序排放污染物得到了削减。</w:t>
                  </w:r>
                  <w:r>
                    <w:rPr>
                      <w:rFonts w:hint="eastAsia" w:cs="宋体"/>
                      <w:kern w:val="0"/>
                      <w:szCs w:val="20"/>
                      <w:lang w:bidi="ar"/>
                    </w:rPr>
                    <w:t>满足区域环境质量要求，不会改变区域大气环境功能区划，对大气环境质量影响较小，不会突破当地环境质量底线。</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continue"/>
                  <w:vAlign w:val="center"/>
                </w:tcPr>
                <w:p>
                  <w:pPr>
                    <w:adjustRightInd w:val="0"/>
                    <w:ind w:firstLine="422" w:firstLineChars="200"/>
                    <w:rPr>
                      <w:b/>
                      <w:bCs/>
                      <w:szCs w:val="21"/>
                    </w:rPr>
                  </w:pPr>
                </w:p>
              </w:tc>
              <w:tc>
                <w:tcPr>
                  <w:tcW w:w="533" w:type="pct"/>
                  <w:vAlign w:val="center"/>
                </w:tcPr>
                <w:p>
                  <w:pPr>
                    <w:adjustRightInd w:val="0"/>
                    <w:jc w:val="center"/>
                    <w:rPr>
                      <w:szCs w:val="21"/>
                    </w:rPr>
                  </w:pPr>
                  <w:r>
                    <w:rPr>
                      <w:rFonts w:hint="eastAsia"/>
                      <w:szCs w:val="21"/>
                    </w:rPr>
                    <w:t>水环境质量底线</w:t>
                  </w:r>
                </w:p>
              </w:tc>
              <w:tc>
                <w:tcPr>
                  <w:tcW w:w="1926" w:type="pct"/>
                  <w:vAlign w:val="center"/>
                </w:tcPr>
                <w:p>
                  <w:pPr>
                    <w:widowControl/>
                    <w:adjustRightInd w:val="0"/>
                    <w:ind w:firstLine="420" w:firstLineChars="200"/>
                    <w:rPr>
                      <w:szCs w:val="21"/>
                    </w:rPr>
                  </w:pPr>
                  <w:r>
                    <w:rPr>
                      <w:rFonts w:hint="eastAsia" w:cs="宋体"/>
                      <w:kern w:val="0"/>
                      <w:szCs w:val="20"/>
                      <w:lang w:bidi="ar"/>
                    </w:rPr>
                    <w:t>到</w:t>
                  </w:r>
                  <w:r>
                    <w:rPr>
                      <w:kern w:val="0"/>
                      <w:szCs w:val="20"/>
                      <w:lang w:bidi="ar"/>
                    </w:rPr>
                    <w:t>2025</w:t>
                  </w:r>
                  <w:r>
                    <w:rPr>
                      <w:rFonts w:hint="eastAsia" w:cs="宋体"/>
                      <w:kern w:val="0"/>
                      <w:szCs w:val="20"/>
                      <w:lang w:bidi="ar"/>
                    </w:rPr>
                    <w:t>年，纳入国家和省级考核的地表水监测断面水质优良率稳步提升，滇池流域、阳宗海流域水环境质量明显改善，水生态系统功能逐步恢复，滇池草海水质达</w:t>
                  </w:r>
                  <w:r>
                    <w:rPr>
                      <w:kern w:val="0"/>
                      <w:szCs w:val="20"/>
                      <w:lang w:bidi="ar"/>
                    </w:rPr>
                    <w:t>IV</w:t>
                  </w:r>
                  <w:r>
                    <w:rPr>
                      <w:rFonts w:hint="eastAsia" w:cs="宋体"/>
                      <w:kern w:val="0"/>
                      <w:szCs w:val="20"/>
                      <w:lang w:bidi="ar"/>
                    </w:rPr>
                    <w:t>类，滇池外海水质达</w:t>
                  </w:r>
                  <w:r>
                    <w:rPr>
                      <w:kern w:val="0"/>
                      <w:szCs w:val="20"/>
                      <w:lang w:bidi="ar"/>
                    </w:rPr>
                    <w:t>IV</w:t>
                  </w:r>
                  <w:r>
                    <w:rPr>
                      <w:rFonts w:hint="eastAsia" w:cs="宋体"/>
                      <w:kern w:val="0"/>
                      <w:szCs w:val="20"/>
                      <w:lang w:bidi="ar"/>
                    </w:rPr>
                    <w:t>类（化学需氧量</w:t>
                  </w:r>
                  <w:r>
                    <w:rPr>
                      <w:kern w:val="0"/>
                      <w:szCs w:val="20"/>
                      <w:lang w:bidi="ar"/>
                    </w:rPr>
                    <w:t>≤40</w:t>
                  </w:r>
                  <w:r>
                    <w:rPr>
                      <w:rFonts w:hint="eastAsia" w:cs="宋体"/>
                      <w:kern w:val="0"/>
                      <w:szCs w:val="20"/>
                      <w:lang w:bidi="ar"/>
                    </w:rPr>
                    <w:t>毫克</w:t>
                  </w:r>
                  <w:r>
                    <w:rPr>
                      <w:kern w:val="0"/>
                      <w:szCs w:val="20"/>
                      <w:lang w:bidi="ar"/>
                    </w:rPr>
                    <w:t>/</w:t>
                  </w:r>
                  <w:r>
                    <w:rPr>
                      <w:rFonts w:hint="eastAsia" w:cs="宋体"/>
                      <w:kern w:val="0"/>
                      <w:szCs w:val="20"/>
                      <w:lang w:bidi="ar"/>
                    </w:rPr>
                    <w:t>升），阳宗海水质达</w:t>
                  </w:r>
                  <w:r>
                    <w:rPr>
                      <w:kern w:val="0"/>
                      <w:szCs w:val="20"/>
                      <w:lang w:bidi="ar"/>
                    </w:rPr>
                    <w:t>Ⅲ</w:t>
                  </w:r>
                  <w:r>
                    <w:rPr>
                      <w:rFonts w:hint="eastAsia" w:cs="宋体"/>
                      <w:kern w:val="0"/>
                      <w:szCs w:val="20"/>
                      <w:lang w:bidi="ar"/>
                    </w:rPr>
                    <w:t>类，集中式饮用水源水质巩固改善。到</w:t>
                  </w:r>
                  <w:r>
                    <w:rPr>
                      <w:kern w:val="0"/>
                      <w:szCs w:val="20"/>
                      <w:lang w:bidi="ar"/>
                    </w:rPr>
                    <w:t>2035</w:t>
                  </w:r>
                  <w:r>
                    <w:rPr>
                      <w:rFonts w:hint="eastAsia" w:cs="宋体"/>
                      <w:kern w:val="0"/>
                      <w:szCs w:val="20"/>
                      <w:lang w:bidi="ar"/>
                    </w:rPr>
                    <w:t>年，地表水体水质优良率全面提升，各监测断面水质达到水环境功能要求，消除劣</w:t>
                  </w:r>
                  <w:r>
                    <w:rPr>
                      <w:kern w:val="0"/>
                      <w:szCs w:val="20"/>
                      <w:lang w:bidi="ar"/>
                    </w:rPr>
                    <w:t>V</w:t>
                  </w:r>
                  <w:r>
                    <w:rPr>
                      <w:rFonts w:hint="eastAsia" w:cs="宋体"/>
                      <w:kern w:val="0"/>
                      <w:szCs w:val="20"/>
                      <w:lang w:bidi="ar"/>
                    </w:rPr>
                    <w:t>类水体，集中式饮用水水源水质稳定达标。</w:t>
                  </w:r>
                </w:p>
              </w:tc>
              <w:tc>
                <w:tcPr>
                  <w:tcW w:w="1458" w:type="pct"/>
                  <w:vAlign w:val="center"/>
                </w:tcPr>
                <w:p>
                  <w:pPr>
                    <w:widowControl/>
                    <w:adjustRightInd w:val="0"/>
                    <w:ind w:firstLine="420" w:firstLineChars="200"/>
                    <w:rPr>
                      <w:szCs w:val="21"/>
                    </w:rPr>
                  </w:pPr>
                  <w:r>
                    <w:rPr>
                      <w:rFonts w:hint="eastAsia" w:cs="宋体"/>
                      <w:kern w:val="0"/>
                      <w:szCs w:val="20"/>
                      <w:highlight w:val="green"/>
                      <w:lang w:bidi="ar"/>
                    </w:rPr>
                    <w:t>本项目供热工程技改新增5</w:t>
                  </w:r>
                  <w:r>
                    <w:rPr>
                      <w:rFonts w:cs="宋体"/>
                      <w:kern w:val="0"/>
                      <w:szCs w:val="20"/>
                      <w:highlight w:val="green"/>
                      <w:lang w:bidi="ar"/>
                    </w:rPr>
                    <w:t>t/h</w:t>
                  </w:r>
                  <w:r>
                    <w:rPr>
                      <w:rFonts w:hint="eastAsia" w:cs="宋体"/>
                      <w:kern w:val="0"/>
                      <w:szCs w:val="20"/>
                      <w:highlight w:val="green"/>
                      <w:lang w:bidi="ar"/>
                    </w:rPr>
                    <w:t>导热油锅炉</w:t>
                  </w:r>
                  <w:r>
                    <w:rPr>
                      <w:rFonts w:hint="eastAsia"/>
                      <w:szCs w:val="21"/>
                      <w:highlight w:val="green"/>
                    </w:rPr>
                    <w:t>烟气水膜除尘治理设施废水经沉淀池沉淀后循环使用，不外排</w:t>
                  </w:r>
                  <w:r>
                    <w:rPr>
                      <w:rFonts w:hint="eastAsia" w:cs="宋体"/>
                      <w:kern w:val="0"/>
                      <w:szCs w:val="20"/>
                      <w:lang w:bidi="ar"/>
                    </w:rPr>
                    <w:t>，不会对区域地表水环境造成影响，不改变水功能区划。</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continue"/>
                  <w:vAlign w:val="center"/>
                </w:tcPr>
                <w:p>
                  <w:pPr>
                    <w:adjustRightInd w:val="0"/>
                    <w:ind w:firstLine="422" w:firstLineChars="200"/>
                    <w:rPr>
                      <w:b/>
                      <w:bCs/>
                      <w:szCs w:val="21"/>
                    </w:rPr>
                  </w:pPr>
                </w:p>
              </w:tc>
              <w:tc>
                <w:tcPr>
                  <w:tcW w:w="533" w:type="pct"/>
                  <w:vAlign w:val="center"/>
                </w:tcPr>
                <w:p>
                  <w:pPr>
                    <w:adjustRightInd w:val="0"/>
                    <w:jc w:val="center"/>
                    <w:rPr>
                      <w:szCs w:val="21"/>
                    </w:rPr>
                  </w:pPr>
                  <w:r>
                    <w:rPr>
                      <w:rFonts w:hint="eastAsia"/>
                      <w:szCs w:val="21"/>
                    </w:rPr>
                    <w:t>土壤环境风险防控底线</w:t>
                  </w:r>
                </w:p>
              </w:tc>
              <w:tc>
                <w:tcPr>
                  <w:tcW w:w="1926" w:type="pct"/>
                  <w:vAlign w:val="center"/>
                </w:tcPr>
                <w:p>
                  <w:pPr>
                    <w:widowControl/>
                    <w:adjustRightInd w:val="0"/>
                    <w:ind w:firstLine="420" w:firstLineChars="200"/>
                    <w:rPr>
                      <w:szCs w:val="21"/>
                    </w:rPr>
                  </w:pPr>
                  <w:r>
                    <w:rPr>
                      <w:rFonts w:hint="eastAsia" w:cs="宋体"/>
                      <w:kern w:val="0"/>
                      <w:szCs w:val="20"/>
                      <w:lang w:bidi="ar"/>
                    </w:rPr>
                    <w:t>到</w:t>
                  </w:r>
                  <w:r>
                    <w:rPr>
                      <w:kern w:val="0"/>
                      <w:szCs w:val="20"/>
                      <w:lang w:bidi="ar"/>
                    </w:rPr>
                    <w:t>2025</w:t>
                  </w:r>
                  <w:r>
                    <w:rPr>
                      <w:rFonts w:hint="eastAsia" w:cs="宋体"/>
                      <w:kern w:val="0"/>
                      <w:szCs w:val="20"/>
                      <w:lang w:bidi="ar"/>
                    </w:rPr>
                    <w:t>年，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到</w:t>
                  </w:r>
                  <w:r>
                    <w:rPr>
                      <w:kern w:val="0"/>
                      <w:szCs w:val="20"/>
                      <w:lang w:bidi="ar"/>
                    </w:rPr>
                    <w:t>2035</w:t>
                  </w:r>
                  <w:r>
                    <w:rPr>
                      <w:rFonts w:hint="eastAsia" w:cs="宋体"/>
                      <w:kern w:val="0"/>
                      <w:szCs w:val="20"/>
                      <w:lang w:bidi="ar"/>
                    </w:rPr>
                    <w:t>年，土壤环境质量稳中向好，农用地和建设用地土壤环境安全得到有效保障，土壤环境风险得到全面管控。</w:t>
                  </w:r>
                </w:p>
              </w:tc>
              <w:tc>
                <w:tcPr>
                  <w:tcW w:w="1458" w:type="pct"/>
                  <w:vAlign w:val="center"/>
                </w:tcPr>
                <w:p>
                  <w:pPr>
                    <w:widowControl/>
                    <w:adjustRightInd w:val="0"/>
                    <w:ind w:firstLine="420" w:firstLineChars="200"/>
                    <w:rPr>
                      <w:szCs w:val="21"/>
                    </w:rPr>
                  </w:pPr>
                  <w:r>
                    <w:rPr>
                      <w:rFonts w:hint="eastAsia" w:cs="宋体"/>
                      <w:kern w:val="0"/>
                      <w:szCs w:val="20"/>
                      <w:lang w:bidi="ar"/>
                    </w:rPr>
                    <w:t>本项目</w:t>
                  </w:r>
                  <w:r>
                    <w:rPr>
                      <w:rFonts w:hint="eastAsia" w:cs="宋体"/>
                      <w:kern w:val="0"/>
                      <w:szCs w:val="20"/>
                      <w:highlight w:val="green"/>
                      <w:lang w:bidi="ar"/>
                    </w:rPr>
                    <w:t>供热工程技改新增5</w:t>
                  </w:r>
                  <w:r>
                    <w:rPr>
                      <w:rFonts w:cs="宋体"/>
                      <w:kern w:val="0"/>
                      <w:szCs w:val="20"/>
                      <w:highlight w:val="green"/>
                      <w:lang w:bidi="ar"/>
                    </w:rPr>
                    <w:t>t/h</w:t>
                  </w:r>
                  <w:r>
                    <w:rPr>
                      <w:rFonts w:hint="eastAsia" w:cs="宋体"/>
                      <w:kern w:val="0"/>
                      <w:szCs w:val="20"/>
                      <w:highlight w:val="green"/>
                      <w:lang w:bidi="ar"/>
                    </w:rPr>
                    <w:t>导热油锅炉</w:t>
                  </w:r>
                  <w:r>
                    <w:rPr>
                      <w:rFonts w:hint="eastAsia" w:cs="宋体"/>
                      <w:kern w:val="0"/>
                      <w:szCs w:val="20"/>
                      <w:lang w:bidi="ar"/>
                    </w:rPr>
                    <w:t>产生的废导热油危险废物依托现有项目已建危险废物暂存间暂存，委托寻甸同磊再生资源回收有限公司定期清运处置；</w:t>
                  </w:r>
                  <w:r>
                    <w:rPr>
                      <w:rFonts w:hint="eastAsia" w:cs="宋体"/>
                      <w:kern w:val="0"/>
                      <w:szCs w:val="20"/>
                      <w:highlight w:val="green"/>
                      <w:lang w:bidi="ar"/>
                    </w:rPr>
                    <w:t>环保工程技改新增的三级活性炭吸附箱产生的废活性炭</w:t>
                  </w:r>
                  <w:r>
                    <w:rPr>
                      <w:rFonts w:hint="eastAsia" w:cs="宋体"/>
                      <w:kern w:val="0"/>
                      <w:szCs w:val="20"/>
                      <w:lang w:bidi="ar"/>
                    </w:rPr>
                    <w:t>委托曲靖银发危险废物集中处置中心有限公司处置；项目采取了土壤污染防控措施，对土壤环境质量影响较小。</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restart"/>
                  <w:vAlign w:val="center"/>
                </w:tcPr>
                <w:p>
                  <w:pPr>
                    <w:adjustRightInd w:val="0"/>
                    <w:jc w:val="center"/>
                    <w:rPr>
                      <w:b/>
                      <w:bCs/>
                      <w:szCs w:val="21"/>
                    </w:rPr>
                  </w:pPr>
                  <w:r>
                    <w:rPr>
                      <w:rFonts w:hint="eastAsia"/>
                      <w:b/>
                      <w:bCs/>
                      <w:szCs w:val="21"/>
                    </w:rPr>
                    <w:t>资源利用上线</w:t>
                  </w:r>
                </w:p>
              </w:tc>
              <w:tc>
                <w:tcPr>
                  <w:tcW w:w="533" w:type="pct"/>
                  <w:vAlign w:val="center"/>
                </w:tcPr>
                <w:p>
                  <w:pPr>
                    <w:adjustRightInd w:val="0"/>
                    <w:jc w:val="center"/>
                    <w:rPr>
                      <w:szCs w:val="21"/>
                    </w:rPr>
                  </w:pPr>
                  <w:r>
                    <w:rPr>
                      <w:rFonts w:hint="eastAsia"/>
                      <w:szCs w:val="21"/>
                    </w:rPr>
                    <w:t>水资源利用上线</w:t>
                  </w:r>
                </w:p>
              </w:tc>
              <w:tc>
                <w:tcPr>
                  <w:tcW w:w="1926" w:type="pct"/>
                  <w:vAlign w:val="center"/>
                </w:tcPr>
                <w:p>
                  <w:pPr>
                    <w:widowControl/>
                    <w:adjustRightInd w:val="0"/>
                    <w:ind w:firstLine="420" w:firstLineChars="200"/>
                    <w:rPr>
                      <w:szCs w:val="21"/>
                    </w:rPr>
                  </w:pPr>
                  <w:r>
                    <w:rPr>
                      <w:rFonts w:hint="eastAsia" w:cs="宋体"/>
                      <w:kern w:val="0"/>
                      <w:szCs w:val="20"/>
                      <w:lang w:bidi="ar"/>
                    </w:rPr>
                    <w:t>按照国家、省、市有关要求和规划，按时完成全市用水总量、用水效率、限制纳污</w:t>
                  </w:r>
                  <w:r>
                    <w:rPr>
                      <w:rFonts w:hint="eastAsia"/>
                      <w:kern w:val="0"/>
                      <w:szCs w:val="20"/>
                      <w:lang w:bidi="ar"/>
                    </w:rPr>
                    <w:t>“</w:t>
                  </w:r>
                  <w:r>
                    <w:rPr>
                      <w:rFonts w:hint="eastAsia" w:cs="宋体"/>
                      <w:kern w:val="0"/>
                      <w:szCs w:val="20"/>
                      <w:lang w:bidi="ar"/>
                    </w:rPr>
                    <w:t>三条红线</w:t>
                  </w:r>
                  <w:r>
                    <w:rPr>
                      <w:rFonts w:hint="eastAsia"/>
                      <w:kern w:val="0"/>
                      <w:szCs w:val="20"/>
                      <w:lang w:bidi="ar"/>
                    </w:rPr>
                    <w:t>”</w:t>
                  </w:r>
                  <w:r>
                    <w:rPr>
                      <w:rFonts w:hint="eastAsia" w:cs="宋体"/>
                      <w:kern w:val="0"/>
                      <w:szCs w:val="20"/>
                      <w:lang w:bidi="ar"/>
                    </w:rPr>
                    <w:t>水资源上限控制指标；</w:t>
                  </w:r>
                </w:p>
              </w:tc>
              <w:tc>
                <w:tcPr>
                  <w:tcW w:w="1458" w:type="pct"/>
                  <w:vAlign w:val="center"/>
                </w:tcPr>
                <w:p>
                  <w:pPr>
                    <w:widowControl/>
                    <w:adjustRightInd w:val="0"/>
                    <w:ind w:firstLine="420" w:firstLineChars="200"/>
                    <w:rPr>
                      <w:szCs w:val="21"/>
                    </w:rPr>
                  </w:pPr>
                  <w:r>
                    <w:rPr>
                      <w:rFonts w:hint="eastAsia" w:cs="宋体"/>
                      <w:kern w:val="0"/>
                      <w:szCs w:val="20"/>
                      <w:highlight w:val="green"/>
                      <w:lang w:bidi="ar"/>
                    </w:rPr>
                    <w:t>本项目供热工程技改新增5</w:t>
                  </w:r>
                  <w:r>
                    <w:rPr>
                      <w:rFonts w:cs="宋体"/>
                      <w:kern w:val="0"/>
                      <w:szCs w:val="20"/>
                      <w:highlight w:val="green"/>
                      <w:lang w:bidi="ar"/>
                    </w:rPr>
                    <w:t>t/h</w:t>
                  </w:r>
                  <w:r>
                    <w:rPr>
                      <w:rFonts w:hint="eastAsia" w:cs="宋体"/>
                      <w:kern w:val="0"/>
                      <w:szCs w:val="20"/>
                      <w:highlight w:val="green"/>
                      <w:lang w:bidi="ar"/>
                    </w:rPr>
                    <w:t>导热油锅炉</w:t>
                  </w:r>
                  <w:r>
                    <w:rPr>
                      <w:rFonts w:hint="eastAsia"/>
                      <w:szCs w:val="21"/>
                      <w:highlight w:val="green"/>
                    </w:rPr>
                    <w:t>烟气水膜除尘治理设施废水经沉淀池沉淀后循环使用，不外排，</w:t>
                  </w:r>
                  <w:r>
                    <w:rPr>
                      <w:rFonts w:hint="eastAsia" w:cs="宋体"/>
                      <w:kern w:val="0"/>
                      <w:szCs w:val="20"/>
                      <w:lang w:bidi="ar"/>
                    </w:rPr>
                    <w:t>不属于高耗水项目。</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continue"/>
                  <w:vAlign w:val="center"/>
                </w:tcPr>
                <w:p>
                  <w:pPr>
                    <w:adjustRightInd w:val="0"/>
                    <w:ind w:firstLine="422" w:firstLineChars="200"/>
                    <w:rPr>
                      <w:b/>
                      <w:bCs/>
                      <w:szCs w:val="21"/>
                    </w:rPr>
                  </w:pPr>
                </w:p>
              </w:tc>
              <w:tc>
                <w:tcPr>
                  <w:tcW w:w="533" w:type="pct"/>
                  <w:vAlign w:val="center"/>
                </w:tcPr>
                <w:p>
                  <w:pPr>
                    <w:adjustRightInd w:val="0"/>
                    <w:jc w:val="center"/>
                    <w:rPr>
                      <w:szCs w:val="21"/>
                    </w:rPr>
                  </w:pPr>
                  <w:r>
                    <w:rPr>
                      <w:rFonts w:hint="eastAsia"/>
                      <w:szCs w:val="21"/>
                    </w:rPr>
                    <w:t>能源利用上线</w:t>
                  </w:r>
                </w:p>
              </w:tc>
              <w:tc>
                <w:tcPr>
                  <w:tcW w:w="1926" w:type="pct"/>
                  <w:vAlign w:val="center"/>
                </w:tcPr>
                <w:p>
                  <w:pPr>
                    <w:widowControl/>
                    <w:adjustRightInd w:val="0"/>
                    <w:ind w:firstLine="420" w:firstLineChars="200"/>
                    <w:rPr>
                      <w:szCs w:val="21"/>
                    </w:rPr>
                  </w:pPr>
                  <w:r>
                    <w:rPr>
                      <w:rFonts w:hint="eastAsia" w:cs="宋体"/>
                      <w:kern w:val="0"/>
                      <w:szCs w:val="20"/>
                      <w:lang w:bidi="ar"/>
                    </w:rPr>
                    <w:t>按时完成单位</w:t>
                  </w:r>
                  <w:r>
                    <w:rPr>
                      <w:kern w:val="0"/>
                      <w:szCs w:val="20"/>
                      <w:lang w:bidi="ar"/>
                    </w:rPr>
                    <w:t>GDP</w:t>
                  </w:r>
                  <w:r>
                    <w:rPr>
                      <w:rFonts w:hint="eastAsia" w:cs="宋体"/>
                      <w:kern w:val="0"/>
                      <w:szCs w:val="20"/>
                      <w:lang w:bidi="ar"/>
                    </w:rPr>
                    <w:t>能耗下降率、能源消费总量等能源控制指标。</w:t>
                  </w:r>
                </w:p>
              </w:tc>
              <w:tc>
                <w:tcPr>
                  <w:tcW w:w="1458" w:type="pct"/>
                  <w:vAlign w:val="center"/>
                </w:tcPr>
                <w:p>
                  <w:pPr>
                    <w:widowControl/>
                    <w:adjustRightInd w:val="0"/>
                    <w:ind w:firstLine="420" w:firstLineChars="200"/>
                    <w:rPr>
                      <w:szCs w:val="21"/>
                    </w:rPr>
                  </w:pPr>
                  <w:r>
                    <w:rPr>
                      <w:rFonts w:hint="eastAsia" w:cs="宋体"/>
                      <w:kern w:val="0"/>
                      <w:szCs w:val="20"/>
                      <w:lang w:bidi="ar"/>
                    </w:rPr>
                    <w:t>本项目生产过程中使用电能及少量新鲜水，不属于高耗能项目。</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continue"/>
                  <w:vAlign w:val="center"/>
                </w:tcPr>
                <w:p>
                  <w:pPr>
                    <w:adjustRightInd w:val="0"/>
                    <w:ind w:firstLine="422" w:firstLineChars="200"/>
                    <w:rPr>
                      <w:b/>
                      <w:bCs/>
                      <w:szCs w:val="21"/>
                    </w:rPr>
                  </w:pPr>
                </w:p>
              </w:tc>
              <w:tc>
                <w:tcPr>
                  <w:tcW w:w="533" w:type="pct"/>
                  <w:vAlign w:val="center"/>
                </w:tcPr>
                <w:p>
                  <w:pPr>
                    <w:adjustRightInd w:val="0"/>
                    <w:jc w:val="center"/>
                    <w:rPr>
                      <w:szCs w:val="21"/>
                    </w:rPr>
                  </w:pPr>
                  <w:r>
                    <w:rPr>
                      <w:rFonts w:hint="eastAsia"/>
                      <w:szCs w:val="21"/>
                    </w:rPr>
                    <w:t>土地资源利用</w:t>
                  </w:r>
                  <w:r>
                    <w:rPr>
                      <w:rFonts w:hint="eastAsia"/>
                      <w:szCs w:val="21"/>
                      <w:lang w:eastAsia="zh-CN"/>
                    </w:rPr>
                    <w:t>上限</w:t>
                  </w:r>
                </w:p>
              </w:tc>
              <w:tc>
                <w:tcPr>
                  <w:tcW w:w="1926" w:type="pct"/>
                  <w:vAlign w:val="center"/>
                </w:tcPr>
                <w:p>
                  <w:pPr>
                    <w:widowControl/>
                    <w:adjustRightInd w:val="0"/>
                    <w:ind w:firstLine="420" w:firstLineChars="200"/>
                    <w:rPr>
                      <w:szCs w:val="21"/>
                    </w:rPr>
                  </w:pPr>
                  <w:r>
                    <w:rPr>
                      <w:rFonts w:hint="eastAsia" w:cs="宋体"/>
                      <w:kern w:val="0"/>
                      <w:szCs w:val="20"/>
                      <w:lang w:bidi="ar"/>
                    </w:rPr>
                    <w:t>按时完成耕地保有量、基本农田保护面积、建设用地总规模等土地资源利用上限控制指标。</w:t>
                  </w:r>
                </w:p>
              </w:tc>
              <w:tc>
                <w:tcPr>
                  <w:tcW w:w="1458" w:type="pct"/>
                  <w:vAlign w:val="center"/>
                </w:tcPr>
                <w:p>
                  <w:pPr>
                    <w:widowControl/>
                    <w:adjustRightInd w:val="0"/>
                    <w:ind w:firstLine="420" w:firstLineChars="200"/>
                    <w:rPr>
                      <w:szCs w:val="21"/>
                    </w:rPr>
                  </w:pPr>
                  <w:r>
                    <w:rPr>
                      <w:rFonts w:hint="eastAsia" w:cs="宋体"/>
                      <w:kern w:val="0"/>
                      <w:szCs w:val="20"/>
                      <w:lang w:bidi="ar"/>
                    </w:rPr>
                    <w:t>本项目不占用耕地及基本农田，用地类型为工业工地，不会突破当地土地资源利用上线。</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restart"/>
                  <w:vAlign w:val="center"/>
                </w:tcPr>
                <w:p>
                  <w:pPr>
                    <w:adjustRightInd w:val="0"/>
                    <w:jc w:val="center"/>
                    <w:rPr>
                      <w:b/>
                      <w:bCs/>
                      <w:szCs w:val="21"/>
                    </w:rPr>
                  </w:pPr>
                  <w:r>
                    <w:rPr>
                      <w:rFonts w:hint="eastAsia"/>
                      <w:b/>
                      <w:bCs/>
                      <w:szCs w:val="21"/>
                    </w:rPr>
                    <w:t>生态环境准入清单</w:t>
                  </w:r>
                </w:p>
              </w:tc>
              <w:tc>
                <w:tcPr>
                  <w:tcW w:w="533" w:type="pct"/>
                  <w:vMerge w:val="restart"/>
                  <w:vAlign w:val="center"/>
                </w:tcPr>
                <w:p>
                  <w:pPr>
                    <w:adjustRightInd w:val="0"/>
                    <w:jc w:val="center"/>
                    <w:rPr>
                      <w:szCs w:val="21"/>
                    </w:rPr>
                  </w:pPr>
                  <w:r>
                    <w:rPr>
                      <w:rFonts w:hint="eastAsia"/>
                      <w:szCs w:val="21"/>
                    </w:rPr>
                    <w:t>重点管控单元（寻甸特色产业园区重点管控单元）</w:t>
                  </w:r>
                </w:p>
              </w:tc>
              <w:tc>
                <w:tcPr>
                  <w:tcW w:w="1926" w:type="pct"/>
                  <w:vAlign w:val="center"/>
                </w:tcPr>
                <w:p>
                  <w:pPr>
                    <w:widowControl/>
                    <w:adjustRightInd w:val="0"/>
                    <w:ind w:firstLine="422" w:firstLineChars="200"/>
                    <w:rPr>
                      <w:b/>
                      <w:bCs/>
                      <w:kern w:val="0"/>
                      <w:szCs w:val="20"/>
                      <w:lang w:bidi="ar"/>
                    </w:rPr>
                  </w:pPr>
                  <w:r>
                    <w:rPr>
                      <w:rFonts w:hint="eastAsia"/>
                      <w:b/>
                      <w:bCs/>
                      <w:kern w:val="0"/>
                      <w:szCs w:val="20"/>
                      <w:lang w:bidi="ar"/>
                    </w:rPr>
                    <w:t>空间布局约束：</w:t>
                  </w:r>
                </w:p>
                <w:p>
                  <w:pPr>
                    <w:widowControl/>
                    <w:adjustRightInd w:val="0"/>
                    <w:ind w:firstLine="420" w:firstLineChars="200"/>
                  </w:pPr>
                  <w:r>
                    <w:rPr>
                      <w:kern w:val="0"/>
                      <w:szCs w:val="20"/>
                      <w:lang w:bidi="ar"/>
                    </w:rPr>
                    <w:t>1.</w:t>
                  </w:r>
                  <w:r>
                    <w:rPr>
                      <w:rFonts w:hint="eastAsia" w:cs="宋体"/>
                      <w:kern w:val="0"/>
                      <w:szCs w:val="20"/>
                      <w:lang w:bidi="ar"/>
                    </w:rPr>
                    <w:t>金所片区重点发展新型材料和家具制造产业，羊街片区重点发展先进装备制造和家具制造产业。</w:t>
                  </w:r>
                </w:p>
                <w:p>
                  <w:pPr>
                    <w:widowControl/>
                    <w:adjustRightInd w:val="0"/>
                    <w:ind w:firstLine="420" w:firstLineChars="200"/>
                    <w:rPr>
                      <w:szCs w:val="21"/>
                    </w:rPr>
                  </w:pPr>
                  <w:r>
                    <w:rPr>
                      <w:kern w:val="0"/>
                      <w:szCs w:val="20"/>
                      <w:lang w:bidi="ar"/>
                    </w:rPr>
                    <w:t>2.</w:t>
                  </w:r>
                  <w:r>
                    <w:rPr>
                      <w:rFonts w:hint="eastAsia" w:cs="宋体"/>
                      <w:kern w:val="0"/>
                      <w:szCs w:val="20"/>
                      <w:lang w:bidi="ar"/>
                    </w:rPr>
                    <w:t>禁止引入造纸、印染等需水量大，生产废水不能实现循环回用不外排的企业。</w:t>
                  </w:r>
                </w:p>
              </w:tc>
              <w:tc>
                <w:tcPr>
                  <w:tcW w:w="1458" w:type="pct"/>
                  <w:vAlign w:val="center"/>
                </w:tcPr>
                <w:p>
                  <w:pPr>
                    <w:widowControl/>
                    <w:adjustRightInd w:val="0"/>
                    <w:ind w:firstLine="420" w:firstLineChars="200"/>
                  </w:pPr>
                  <w:r>
                    <w:rPr>
                      <w:kern w:val="0"/>
                      <w:szCs w:val="20"/>
                      <w:lang w:bidi="ar"/>
                    </w:rPr>
                    <w:t>1.</w:t>
                  </w:r>
                  <w:r>
                    <w:rPr>
                      <w:rFonts w:hint="eastAsia" w:cs="宋体"/>
                      <w:kern w:val="0"/>
                      <w:szCs w:val="20"/>
                      <w:lang w:bidi="ar"/>
                    </w:rPr>
                    <w:t>本项目位于寻甸特色产业园区羊街片区现有厂区，对</w:t>
                  </w:r>
                  <w:r>
                    <w:rPr>
                      <w:rFonts w:hint="eastAsia"/>
                      <w:szCs w:val="21"/>
                    </w:rPr>
                    <w:t>现有年产5万m</w:t>
                  </w:r>
                  <w:r>
                    <w:rPr>
                      <w:rFonts w:hint="eastAsia"/>
                      <w:szCs w:val="21"/>
                      <w:vertAlign w:val="superscript"/>
                    </w:rPr>
                    <w:t>3</w:t>
                  </w:r>
                  <w:r>
                    <w:rPr>
                      <w:rFonts w:hint="eastAsia"/>
                      <w:szCs w:val="21"/>
                    </w:rPr>
                    <w:t>木质刨花板制造项目配套</w:t>
                  </w:r>
                  <w:r>
                    <w:rPr>
                      <w:szCs w:val="21"/>
                    </w:rPr>
                    <w:t>供热工程</w:t>
                  </w:r>
                  <w:r>
                    <w:rPr>
                      <w:rFonts w:hint="eastAsia"/>
                      <w:szCs w:val="21"/>
                    </w:rPr>
                    <w:t>和</w:t>
                  </w:r>
                  <w:r>
                    <w:rPr>
                      <w:szCs w:val="21"/>
                    </w:rPr>
                    <w:t>环保工程</w:t>
                  </w:r>
                  <w:r>
                    <w:rPr>
                      <w:rFonts w:hint="eastAsia"/>
                      <w:szCs w:val="21"/>
                    </w:rPr>
                    <w:t>进行技改</w:t>
                  </w:r>
                  <w:r>
                    <w:rPr>
                      <w:szCs w:val="21"/>
                    </w:rPr>
                    <w:t>，</w:t>
                  </w:r>
                  <w:r>
                    <w:rPr>
                      <w:rFonts w:hint="eastAsia"/>
                      <w:szCs w:val="21"/>
                    </w:rPr>
                    <w:t>现有项目</w:t>
                  </w:r>
                  <w:r>
                    <w:rPr>
                      <w:rFonts w:hint="eastAsia" w:cs="宋体"/>
                      <w:kern w:val="0"/>
                      <w:szCs w:val="21"/>
                    </w:rPr>
                    <w:t>主体工程原辅材料、生产工艺及污染物种类、产品及规模等均未发生变化，木质刨花板主要用于家具制造</w:t>
                  </w:r>
                  <w:r>
                    <w:rPr>
                      <w:rFonts w:hint="eastAsia" w:cs="宋体"/>
                      <w:kern w:val="0"/>
                      <w:szCs w:val="21"/>
                      <w:lang w:bidi="ar"/>
                    </w:rPr>
                    <w:t>，</w:t>
                  </w:r>
                  <w:r>
                    <w:rPr>
                      <w:rFonts w:hint="eastAsia" w:cs="宋体"/>
                      <w:kern w:val="0"/>
                      <w:szCs w:val="20"/>
                      <w:lang w:bidi="ar"/>
                    </w:rPr>
                    <w:t>属于家具制造产业。</w:t>
                  </w:r>
                </w:p>
                <w:p>
                  <w:pPr>
                    <w:widowControl/>
                    <w:adjustRightInd w:val="0"/>
                    <w:ind w:firstLine="420" w:firstLineChars="200"/>
                    <w:rPr>
                      <w:szCs w:val="21"/>
                    </w:rPr>
                  </w:pPr>
                  <w:r>
                    <w:rPr>
                      <w:kern w:val="0"/>
                      <w:szCs w:val="20"/>
                      <w:lang w:bidi="ar"/>
                    </w:rPr>
                    <w:t>2.</w:t>
                  </w:r>
                  <w:r>
                    <w:rPr>
                      <w:rFonts w:hint="eastAsia" w:cs="宋体"/>
                      <w:kern w:val="0"/>
                      <w:szCs w:val="20"/>
                      <w:lang w:bidi="ar"/>
                    </w:rPr>
                    <w:t>本项目不属于造纸、印染类企业，同时生产过程新鲜水使用量较少，水膜除尘废水经沉淀池沉淀后循环使用，不外排。</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continue"/>
                  <w:vAlign w:val="center"/>
                </w:tcPr>
                <w:p>
                  <w:pPr>
                    <w:adjustRightInd w:val="0"/>
                    <w:ind w:firstLine="422" w:firstLineChars="200"/>
                    <w:rPr>
                      <w:b/>
                      <w:bCs/>
                      <w:szCs w:val="21"/>
                    </w:rPr>
                  </w:pPr>
                </w:p>
              </w:tc>
              <w:tc>
                <w:tcPr>
                  <w:tcW w:w="533" w:type="pct"/>
                  <w:vMerge w:val="continue"/>
                  <w:vAlign w:val="center"/>
                </w:tcPr>
                <w:p>
                  <w:pPr>
                    <w:adjustRightInd w:val="0"/>
                    <w:ind w:firstLine="420" w:firstLineChars="200"/>
                    <w:rPr>
                      <w:szCs w:val="21"/>
                    </w:rPr>
                  </w:pPr>
                </w:p>
              </w:tc>
              <w:tc>
                <w:tcPr>
                  <w:tcW w:w="1926" w:type="pct"/>
                  <w:vAlign w:val="center"/>
                </w:tcPr>
                <w:p>
                  <w:pPr>
                    <w:widowControl/>
                    <w:adjustRightInd w:val="0"/>
                    <w:ind w:firstLine="422" w:firstLineChars="200"/>
                    <w:rPr>
                      <w:b/>
                      <w:bCs/>
                      <w:kern w:val="0"/>
                      <w:szCs w:val="20"/>
                      <w:lang w:bidi="ar"/>
                    </w:rPr>
                  </w:pPr>
                  <w:r>
                    <w:rPr>
                      <w:rFonts w:hint="eastAsia"/>
                      <w:b/>
                      <w:bCs/>
                      <w:kern w:val="0"/>
                      <w:szCs w:val="20"/>
                      <w:lang w:bidi="ar"/>
                    </w:rPr>
                    <w:t>污染物排放管控：</w:t>
                  </w:r>
                </w:p>
                <w:p>
                  <w:pPr>
                    <w:widowControl/>
                    <w:adjustRightInd w:val="0"/>
                    <w:ind w:firstLine="420" w:firstLineChars="200"/>
                  </w:pPr>
                  <w:r>
                    <w:rPr>
                      <w:kern w:val="0"/>
                      <w:szCs w:val="20"/>
                      <w:lang w:bidi="ar"/>
                    </w:rPr>
                    <w:t>1.</w:t>
                  </w:r>
                  <w:r>
                    <w:rPr>
                      <w:rFonts w:hint="eastAsia" w:cs="宋体"/>
                      <w:kern w:val="0"/>
                      <w:szCs w:val="20"/>
                      <w:lang w:bidi="ar"/>
                    </w:rPr>
                    <w:t>主要指标SO</w:t>
                  </w:r>
                  <w:r>
                    <w:rPr>
                      <w:rFonts w:hint="eastAsia" w:cs="宋体"/>
                      <w:kern w:val="0"/>
                      <w:szCs w:val="20"/>
                      <w:vertAlign w:val="subscript"/>
                      <w:lang w:bidi="ar"/>
                    </w:rPr>
                    <w:t>2</w:t>
                  </w:r>
                  <w:r>
                    <w:rPr>
                      <w:rFonts w:hint="eastAsia" w:cs="宋体"/>
                      <w:kern w:val="0"/>
                      <w:szCs w:val="20"/>
                      <w:lang w:bidi="ar"/>
                    </w:rPr>
                    <w:t>、二氧化氮、可吸入颗粒物达到《环境空气质量标准》（</w:t>
                  </w:r>
                  <w:r>
                    <w:rPr>
                      <w:kern w:val="0"/>
                      <w:szCs w:val="20"/>
                      <w:lang w:bidi="ar"/>
                    </w:rPr>
                    <w:t>GB3095-2012</w:t>
                  </w:r>
                  <w:r>
                    <w:rPr>
                      <w:rFonts w:hint="eastAsia" w:cs="宋体"/>
                      <w:kern w:val="0"/>
                      <w:szCs w:val="20"/>
                      <w:lang w:bidi="ar"/>
                    </w:rPr>
                    <w:t>）</w:t>
                  </w:r>
                  <w:r>
                    <w:rPr>
                      <w:kern w:val="0"/>
                      <w:szCs w:val="20"/>
                      <w:lang w:bidi="ar"/>
                    </w:rPr>
                    <w:t>Ⅱ</w:t>
                  </w:r>
                  <w:r>
                    <w:rPr>
                      <w:rFonts w:hint="eastAsia" w:cs="宋体"/>
                      <w:kern w:val="0"/>
                      <w:szCs w:val="20"/>
                      <w:lang w:bidi="ar"/>
                    </w:rPr>
                    <w:t>级标准。</w:t>
                  </w:r>
                </w:p>
                <w:p>
                  <w:pPr>
                    <w:widowControl/>
                    <w:adjustRightInd w:val="0"/>
                    <w:ind w:firstLine="420" w:firstLineChars="200"/>
                  </w:pPr>
                  <w:r>
                    <w:rPr>
                      <w:kern w:val="0"/>
                      <w:szCs w:val="20"/>
                      <w:lang w:bidi="ar"/>
                    </w:rPr>
                    <w:t>2.</w:t>
                  </w:r>
                  <w:r>
                    <w:rPr>
                      <w:rFonts w:hint="eastAsia" w:cs="宋体"/>
                      <w:kern w:val="0"/>
                      <w:szCs w:val="20"/>
                      <w:lang w:bidi="ar"/>
                    </w:rPr>
                    <w:t>现状已发展成熟的煤、磷盐化工企业及目前做到零排放的企业按现状方式排水，未来入驻企业生产废水由企业自行处理达标后循环回用不外排。</w:t>
                  </w:r>
                </w:p>
                <w:p>
                  <w:pPr>
                    <w:widowControl/>
                    <w:adjustRightInd w:val="0"/>
                    <w:ind w:firstLine="420" w:firstLineChars="200"/>
                    <w:rPr>
                      <w:szCs w:val="21"/>
                    </w:rPr>
                  </w:pPr>
                  <w:r>
                    <w:rPr>
                      <w:kern w:val="0"/>
                      <w:szCs w:val="20"/>
                      <w:lang w:bidi="ar"/>
                    </w:rPr>
                    <w:t>3.</w:t>
                  </w:r>
                  <w:r>
                    <w:rPr>
                      <w:rFonts w:hint="eastAsia" w:cs="宋体"/>
                      <w:kern w:val="0"/>
                      <w:szCs w:val="20"/>
                      <w:lang w:bidi="ar"/>
                    </w:rPr>
                    <w:t>生活垃圾无害化处理率</w:t>
                  </w:r>
                  <w:r>
                    <w:rPr>
                      <w:kern w:val="0"/>
                      <w:szCs w:val="20"/>
                      <w:lang w:bidi="ar"/>
                    </w:rPr>
                    <w:t>90%</w:t>
                  </w:r>
                  <w:r>
                    <w:rPr>
                      <w:rFonts w:hint="eastAsia" w:cs="宋体"/>
                      <w:kern w:val="0"/>
                      <w:szCs w:val="20"/>
                      <w:lang w:bidi="ar"/>
                    </w:rPr>
                    <w:t>以上，工业固废处置利用率不小于</w:t>
                  </w:r>
                  <w:r>
                    <w:rPr>
                      <w:kern w:val="0"/>
                      <w:szCs w:val="20"/>
                      <w:lang w:bidi="ar"/>
                    </w:rPr>
                    <w:t>95%</w:t>
                  </w:r>
                  <w:r>
                    <w:rPr>
                      <w:rFonts w:hint="eastAsia" w:cs="宋体"/>
                      <w:kern w:val="0"/>
                      <w:szCs w:val="20"/>
                      <w:lang w:bidi="ar"/>
                    </w:rPr>
                    <w:t>。</w:t>
                  </w:r>
                </w:p>
              </w:tc>
              <w:tc>
                <w:tcPr>
                  <w:tcW w:w="1458" w:type="pct"/>
                  <w:vAlign w:val="center"/>
                </w:tcPr>
                <w:p>
                  <w:pPr>
                    <w:widowControl/>
                    <w:adjustRightInd w:val="0"/>
                    <w:ind w:firstLine="420" w:firstLineChars="200"/>
                  </w:pPr>
                  <w:r>
                    <w:rPr>
                      <w:kern w:val="0"/>
                      <w:szCs w:val="20"/>
                      <w:lang w:bidi="ar"/>
                    </w:rPr>
                    <w:t>1.</w:t>
                  </w:r>
                  <w:r>
                    <w:rPr>
                      <w:rFonts w:hint="eastAsia" w:cs="宋体"/>
                      <w:kern w:val="0"/>
                      <w:szCs w:val="20"/>
                      <w:highlight w:val="green"/>
                      <w:lang w:bidi="ar"/>
                    </w:rPr>
                    <w:t>根据《2022年度昆明市生态环境状况公报》可知：2022年寻甸县环境空气质量均能达到《环境空气质量标准》（GB3095-2012）表1中二级标准要求，</w:t>
                  </w:r>
                  <w:r>
                    <w:rPr>
                      <w:rFonts w:hint="eastAsia"/>
                      <w:kern w:val="0"/>
                      <w:szCs w:val="20"/>
                      <w:lang w:bidi="ar"/>
                    </w:rPr>
                    <w:t>本</w:t>
                  </w:r>
                  <w:r>
                    <w:rPr>
                      <w:rFonts w:hint="eastAsia" w:cs="宋体"/>
                      <w:kern w:val="0"/>
                      <w:szCs w:val="20"/>
                      <w:lang w:bidi="ar"/>
                    </w:rPr>
                    <w:t>项目所在园区空气质量满足《环境空气质量标准》（</w:t>
                  </w:r>
                  <w:r>
                    <w:rPr>
                      <w:kern w:val="0"/>
                      <w:szCs w:val="20"/>
                      <w:lang w:bidi="ar"/>
                    </w:rPr>
                    <w:t>GB3095</w:t>
                  </w:r>
                  <w:r>
                    <w:rPr>
                      <w:rFonts w:hint="eastAsia"/>
                      <w:kern w:val="0"/>
                      <w:szCs w:val="20"/>
                      <w:lang w:bidi="ar"/>
                    </w:rPr>
                    <w:t>-</w:t>
                  </w:r>
                  <w:r>
                    <w:rPr>
                      <w:kern w:val="0"/>
                      <w:szCs w:val="20"/>
                      <w:lang w:bidi="ar"/>
                    </w:rPr>
                    <w:t>2012</w:t>
                  </w:r>
                  <w:r>
                    <w:rPr>
                      <w:rFonts w:hint="eastAsia" w:cs="宋体"/>
                      <w:kern w:val="0"/>
                      <w:szCs w:val="20"/>
                      <w:lang w:bidi="ar"/>
                    </w:rPr>
                    <w:t>）中二级标准要求。</w:t>
                  </w:r>
                </w:p>
                <w:p>
                  <w:pPr>
                    <w:widowControl/>
                    <w:adjustRightInd w:val="0"/>
                    <w:ind w:firstLine="420" w:firstLineChars="200"/>
                  </w:pPr>
                  <w:r>
                    <w:rPr>
                      <w:kern w:val="0"/>
                      <w:szCs w:val="20"/>
                      <w:lang w:bidi="ar"/>
                    </w:rPr>
                    <w:t>2.</w:t>
                  </w:r>
                  <w:r>
                    <w:rPr>
                      <w:rFonts w:hint="eastAsia" w:cs="宋体"/>
                      <w:kern w:val="0"/>
                      <w:szCs w:val="20"/>
                      <w:highlight w:val="green"/>
                      <w:lang w:bidi="ar"/>
                    </w:rPr>
                    <w:t>本项目供热工程技改新增5</w:t>
                  </w:r>
                  <w:r>
                    <w:rPr>
                      <w:rFonts w:cs="宋体"/>
                      <w:kern w:val="0"/>
                      <w:szCs w:val="20"/>
                      <w:highlight w:val="green"/>
                      <w:lang w:bidi="ar"/>
                    </w:rPr>
                    <w:t>t/h</w:t>
                  </w:r>
                  <w:r>
                    <w:rPr>
                      <w:rFonts w:hint="eastAsia" w:cs="宋体"/>
                      <w:kern w:val="0"/>
                      <w:szCs w:val="20"/>
                      <w:highlight w:val="green"/>
                      <w:lang w:bidi="ar"/>
                    </w:rPr>
                    <w:t>导热油锅炉</w:t>
                  </w:r>
                  <w:r>
                    <w:rPr>
                      <w:rFonts w:hint="eastAsia"/>
                      <w:szCs w:val="21"/>
                      <w:highlight w:val="green"/>
                    </w:rPr>
                    <w:t>烟气水膜除尘治理设施废水经沉淀池沉淀后循环使用，不外排</w:t>
                  </w:r>
                  <w:r>
                    <w:rPr>
                      <w:rFonts w:hint="eastAsia" w:cs="宋体"/>
                      <w:kern w:val="0"/>
                      <w:szCs w:val="20"/>
                      <w:lang w:bidi="ar"/>
                    </w:rPr>
                    <w:t>。</w:t>
                  </w:r>
                </w:p>
                <w:p>
                  <w:pPr>
                    <w:widowControl/>
                    <w:adjustRightInd w:val="0"/>
                    <w:ind w:firstLine="420" w:firstLineChars="200"/>
                    <w:rPr>
                      <w:szCs w:val="21"/>
                    </w:rPr>
                  </w:pPr>
                  <w:r>
                    <w:rPr>
                      <w:kern w:val="0"/>
                      <w:szCs w:val="20"/>
                      <w:lang w:bidi="ar"/>
                    </w:rPr>
                    <w:t>3.</w:t>
                  </w:r>
                  <w:r>
                    <w:rPr>
                      <w:rFonts w:hint="eastAsia"/>
                      <w:kern w:val="0"/>
                      <w:szCs w:val="20"/>
                      <w:lang w:bidi="ar"/>
                    </w:rPr>
                    <w:t>本项目不新增生活垃圾，</w:t>
                  </w:r>
                  <w:r>
                    <w:rPr>
                      <w:rFonts w:hint="eastAsia"/>
                      <w:szCs w:val="21"/>
                    </w:rPr>
                    <w:t>本项目新增5t/h导热油锅炉</w:t>
                  </w:r>
                  <w:r>
                    <w:rPr>
                      <w:szCs w:val="21"/>
                    </w:rPr>
                    <w:t>炉渣、</w:t>
                  </w:r>
                  <w:r>
                    <w:rPr>
                      <w:rFonts w:hint="eastAsia"/>
                      <w:szCs w:val="21"/>
                    </w:rPr>
                    <w:t>多管旋风除尘器收集的除尘灰</w:t>
                  </w:r>
                  <w:r>
                    <w:rPr>
                      <w:szCs w:val="21"/>
                    </w:rPr>
                    <w:t>、水膜除尘装置除尘渣</w:t>
                  </w:r>
                  <w:r>
                    <w:rPr>
                      <w:rFonts w:hint="eastAsia"/>
                      <w:szCs w:val="21"/>
                    </w:rPr>
                    <w:t>、沉淀池污泥</w:t>
                  </w:r>
                  <w:r>
                    <w:rPr>
                      <w:szCs w:val="21"/>
                    </w:rPr>
                    <w:t>统一收集后暂存于</w:t>
                  </w:r>
                  <w:r>
                    <w:rPr>
                      <w:rFonts w:hint="eastAsia"/>
                      <w:szCs w:val="21"/>
                    </w:rPr>
                    <w:t>现有已建</w:t>
                  </w:r>
                  <w:r>
                    <w:rPr>
                      <w:szCs w:val="21"/>
                    </w:rPr>
                    <w:t>一般固废暂存区定期委托环卫部门清运处置。</w:t>
                  </w:r>
                  <w:r>
                    <w:rPr>
                      <w:rFonts w:hint="eastAsia"/>
                      <w:szCs w:val="21"/>
                    </w:rPr>
                    <w:t>（2）筛选打磨工序</w:t>
                  </w:r>
                  <w:r>
                    <w:rPr>
                      <w:rFonts w:hint="eastAsia"/>
                      <w:szCs w:val="21"/>
                      <w:highlight w:val="green"/>
                    </w:rPr>
                    <w:t>新增</w:t>
                  </w:r>
                  <w:r>
                    <w:rPr>
                      <w:rFonts w:hint="eastAsia"/>
                      <w:szCs w:val="21"/>
                    </w:rPr>
                    <w:t>除尘装置收集除尘灰收集后用作导热油锅炉燃料。</w:t>
                  </w:r>
                  <w:r>
                    <w:rPr>
                      <w:szCs w:val="21"/>
                    </w:rPr>
                    <w:t>（3）</w:t>
                  </w:r>
                  <w:r>
                    <w:rPr>
                      <w:rFonts w:hint="eastAsia"/>
                      <w:szCs w:val="21"/>
                    </w:rPr>
                    <w:t>5</w:t>
                  </w:r>
                  <w:r>
                    <w:rPr>
                      <w:szCs w:val="21"/>
                    </w:rPr>
                    <w:t>t/h</w:t>
                  </w:r>
                  <w:r>
                    <w:rPr>
                      <w:rFonts w:hint="eastAsia"/>
                      <w:szCs w:val="21"/>
                    </w:rPr>
                    <w:t>导热油锅炉更换</w:t>
                  </w:r>
                  <w:r>
                    <w:rPr>
                      <w:szCs w:val="21"/>
                    </w:rPr>
                    <w:t>废导热油收集后暂存于</w:t>
                  </w:r>
                  <w:r>
                    <w:rPr>
                      <w:rFonts w:hint="eastAsia"/>
                      <w:szCs w:val="21"/>
                    </w:rPr>
                    <w:t>现有已建</w:t>
                  </w:r>
                  <w:r>
                    <w:rPr>
                      <w:szCs w:val="21"/>
                    </w:rPr>
                    <w:t>危险废物暂存间，定期委托寻甸同磊再生资源回收有限公司清运处置。（4）</w:t>
                  </w:r>
                  <w:r>
                    <w:rPr>
                      <w:rFonts w:hint="eastAsia"/>
                      <w:szCs w:val="21"/>
                    </w:rPr>
                    <w:t>热压凉板工序</w:t>
                  </w:r>
                  <w:r>
                    <w:rPr>
                      <w:rFonts w:hint="eastAsia"/>
                      <w:szCs w:val="21"/>
                      <w:highlight w:val="green"/>
                    </w:rPr>
                    <w:t>新增的三级活性炭吸附装置</w:t>
                  </w:r>
                  <w:r>
                    <w:rPr>
                      <w:rFonts w:hint="eastAsia"/>
                      <w:szCs w:val="21"/>
                    </w:rPr>
                    <w:t>产生的</w:t>
                  </w:r>
                  <w:r>
                    <w:rPr>
                      <w:szCs w:val="21"/>
                    </w:rPr>
                    <w:t>废活性炭集中收集后暂存于</w:t>
                  </w:r>
                  <w:r>
                    <w:rPr>
                      <w:rFonts w:hint="eastAsia"/>
                      <w:szCs w:val="21"/>
                    </w:rPr>
                    <w:t>现有已建危险废物</w:t>
                  </w:r>
                  <w:r>
                    <w:rPr>
                      <w:szCs w:val="21"/>
                    </w:rPr>
                    <w:t>暂存间内，委托曲靖银发危险废物集中处置中心有限公司处置。固废处置率100%。</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continue"/>
                  <w:vAlign w:val="center"/>
                </w:tcPr>
                <w:p>
                  <w:pPr>
                    <w:adjustRightInd w:val="0"/>
                    <w:ind w:firstLine="422" w:firstLineChars="200"/>
                    <w:rPr>
                      <w:b/>
                      <w:bCs/>
                      <w:szCs w:val="21"/>
                    </w:rPr>
                  </w:pPr>
                </w:p>
              </w:tc>
              <w:tc>
                <w:tcPr>
                  <w:tcW w:w="533" w:type="pct"/>
                  <w:vMerge w:val="continue"/>
                  <w:vAlign w:val="center"/>
                </w:tcPr>
                <w:p>
                  <w:pPr>
                    <w:adjustRightInd w:val="0"/>
                    <w:ind w:firstLine="420" w:firstLineChars="200"/>
                    <w:rPr>
                      <w:szCs w:val="21"/>
                    </w:rPr>
                  </w:pPr>
                </w:p>
              </w:tc>
              <w:tc>
                <w:tcPr>
                  <w:tcW w:w="1926" w:type="pct"/>
                  <w:vAlign w:val="center"/>
                </w:tcPr>
                <w:p>
                  <w:pPr>
                    <w:adjustRightInd w:val="0"/>
                    <w:ind w:firstLine="422" w:firstLineChars="200"/>
                    <w:rPr>
                      <w:b/>
                      <w:bCs/>
                    </w:rPr>
                  </w:pPr>
                  <w:r>
                    <w:rPr>
                      <w:rFonts w:hint="eastAsia"/>
                      <w:b/>
                      <w:bCs/>
                    </w:rPr>
                    <w:t>环境风险防控：</w:t>
                  </w:r>
                </w:p>
                <w:p>
                  <w:pPr>
                    <w:widowControl/>
                    <w:adjustRightInd w:val="0"/>
                    <w:ind w:firstLine="420" w:firstLineChars="200"/>
                  </w:pPr>
                  <w:r>
                    <w:rPr>
                      <w:kern w:val="0"/>
                      <w:szCs w:val="20"/>
                      <w:lang w:bidi="ar"/>
                    </w:rPr>
                    <w:t>1.</w:t>
                  </w:r>
                  <w:r>
                    <w:rPr>
                      <w:rFonts w:hint="eastAsia" w:cs="宋体"/>
                      <w:kern w:val="0"/>
                      <w:szCs w:val="20"/>
                      <w:lang w:bidi="ar"/>
                    </w:rPr>
                    <w:t>组织编制环境风险应急预案，通过风险源的识别，制定不同风险源的应急处理处置方案，形成应对突发事故应急处理处置能力。</w:t>
                  </w:r>
                </w:p>
                <w:p>
                  <w:pPr>
                    <w:widowControl/>
                    <w:adjustRightInd w:val="0"/>
                    <w:ind w:firstLine="420" w:firstLineChars="200"/>
                  </w:pPr>
                  <w:r>
                    <w:rPr>
                      <w:kern w:val="0"/>
                      <w:szCs w:val="20"/>
                      <w:lang w:bidi="ar"/>
                    </w:rPr>
                    <w:t>2.</w:t>
                  </w:r>
                  <w:r>
                    <w:rPr>
                      <w:rFonts w:hint="eastAsia" w:cs="宋体"/>
                      <w:kern w:val="0"/>
                      <w:szCs w:val="20"/>
                      <w:lang w:bidi="ar"/>
                    </w:rPr>
                    <w:t>建设风险事故废水排放管道及处置池。</w:t>
                  </w:r>
                </w:p>
              </w:tc>
              <w:tc>
                <w:tcPr>
                  <w:tcW w:w="1458" w:type="pct"/>
                  <w:vAlign w:val="center"/>
                </w:tcPr>
                <w:p>
                  <w:pPr>
                    <w:widowControl/>
                    <w:adjustRightInd w:val="0"/>
                    <w:ind w:firstLine="420" w:firstLineChars="200"/>
                  </w:pPr>
                  <w:r>
                    <w:rPr>
                      <w:rFonts w:hint="eastAsia"/>
                      <w:kern w:val="0"/>
                      <w:szCs w:val="20"/>
                      <w:lang w:bidi="ar"/>
                    </w:rPr>
                    <w:t>公司已制定突发环境事件应急预案，</w:t>
                  </w:r>
                  <w:r>
                    <w:rPr>
                      <w:rFonts w:hint="eastAsia" w:cs="宋体"/>
                      <w:kern w:val="0"/>
                      <w:szCs w:val="20"/>
                      <w:lang w:bidi="ar"/>
                    </w:rPr>
                    <w:t>本项目技改后，企业按照要求修编环境风险应急预案，并报昆明市生态环境局寻甸分局备案。</w:t>
                  </w:r>
                </w:p>
                <w:p>
                  <w:pPr>
                    <w:widowControl/>
                    <w:adjustRightInd w:val="0"/>
                    <w:ind w:firstLine="420" w:firstLineChars="200"/>
                    <w:rPr>
                      <w:szCs w:val="21"/>
                    </w:rPr>
                  </w:pPr>
                  <w:r>
                    <w:rPr>
                      <w:rFonts w:hint="eastAsia"/>
                      <w:szCs w:val="21"/>
                    </w:rPr>
                    <w:t>厂区</w:t>
                  </w:r>
                  <w:r>
                    <w:rPr>
                      <w:szCs w:val="21"/>
                    </w:rPr>
                    <w:t>已设置1个80m</w:t>
                  </w:r>
                  <w:r>
                    <w:rPr>
                      <w:szCs w:val="21"/>
                      <w:vertAlign w:val="superscript"/>
                    </w:rPr>
                    <w:t>3</w:t>
                  </w:r>
                  <w:r>
                    <w:rPr>
                      <w:szCs w:val="21"/>
                    </w:rPr>
                    <w:t>事故水池及4个30m</w:t>
                  </w:r>
                  <w:r>
                    <w:rPr>
                      <w:szCs w:val="21"/>
                      <w:vertAlign w:val="superscript"/>
                    </w:rPr>
                    <w:t>3</w:t>
                  </w:r>
                  <w:r>
                    <w:rPr>
                      <w:szCs w:val="21"/>
                    </w:rPr>
                    <w:t>事故水罐收集事故废水</w:t>
                  </w:r>
                  <w:r>
                    <w:rPr>
                      <w:rFonts w:hint="eastAsia"/>
                      <w:szCs w:val="21"/>
                    </w:rPr>
                    <w:t>。</w:t>
                  </w:r>
                </w:p>
              </w:tc>
              <w:tc>
                <w:tcPr>
                  <w:tcW w:w="548" w:type="pct"/>
                  <w:vAlign w:val="center"/>
                </w:tcPr>
                <w:p>
                  <w:pPr>
                    <w:adjustRightIn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34" w:type="pct"/>
                  <w:vMerge w:val="continue"/>
                  <w:vAlign w:val="center"/>
                </w:tcPr>
                <w:p>
                  <w:pPr>
                    <w:adjustRightInd w:val="0"/>
                    <w:ind w:firstLine="422" w:firstLineChars="200"/>
                    <w:rPr>
                      <w:b/>
                      <w:bCs/>
                      <w:szCs w:val="21"/>
                    </w:rPr>
                  </w:pPr>
                </w:p>
              </w:tc>
              <w:tc>
                <w:tcPr>
                  <w:tcW w:w="533" w:type="pct"/>
                  <w:vMerge w:val="continue"/>
                  <w:vAlign w:val="center"/>
                </w:tcPr>
                <w:p>
                  <w:pPr>
                    <w:adjustRightInd w:val="0"/>
                    <w:ind w:firstLine="420" w:firstLineChars="200"/>
                    <w:rPr>
                      <w:szCs w:val="21"/>
                    </w:rPr>
                  </w:pPr>
                </w:p>
              </w:tc>
              <w:tc>
                <w:tcPr>
                  <w:tcW w:w="1926" w:type="pct"/>
                  <w:vAlign w:val="center"/>
                </w:tcPr>
                <w:p>
                  <w:pPr>
                    <w:widowControl/>
                    <w:adjustRightInd w:val="0"/>
                    <w:ind w:firstLine="422" w:firstLineChars="200"/>
                    <w:rPr>
                      <w:b/>
                      <w:bCs/>
                      <w:kern w:val="0"/>
                      <w:szCs w:val="20"/>
                      <w:lang w:bidi="ar"/>
                    </w:rPr>
                  </w:pPr>
                  <w:r>
                    <w:rPr>
                      <w:rFonts w:hint="eastAsia"/>
                      <w:b/>
                      <w:bCs/>
                      <w:kern w:val="0"/>
                      <w:szCs w:val="20"/>
                      <w:lang w:bidi="ar"/>
                    </w:rPr>
                    <w:t>资源开发效率要求：</w:t>
                  </w:r>
                </w:p>
                <w:p>
                  <w:pPr>
                    <w:widowControl/>
                    <w:adjustRightInd w:val="0"/>
                    <w:ind w:firstLine="420" w:firstLineChars="200"/>
                  </w:pPr>
                  <w:r>
                    <w:rPr>
                      <w:kern w:val="0"/>
                      <w:szCs w:val="20"/>
                      <w:lang w:bidi="ar"/>
                    </w:rPr>
                    <w:t>1.</w:t>
                  </w:r>
                  <w:r>
                    <w:rPr>
                      <w:rFonts w:hint="eastAsia" w:cs="宋体"/>
                      <w:kern w:val="0"/>
                      <w:szCs w:val="20"/>
                      <w:lang w:bidi="ar"/>
                    </w:rPr>
                    <w:t>清洁生产水平不低于国家清洁生产标准规定的国内先进水平。</w:t>
                  </w:r>
                </w:p>
                <w:p>
                  <w:pPr>
                    <w:widowControl/>
                    <w:adjustRightInd w:val="0"/>
                    <w:ind w:firstLine="420" w:firstLineChars="200"/>
                    <w:rPr>
                      <w:szCs w:val="21"/>
                    </w:rPr>
                  </w:pPr>
                  <w:r>
                    <w:rPr>
                      <w:kern w:val="0"/>
                      <w:szCs w:val="20"/>
                      <w:lang w:bidi="ar"/>
                    </w:rPr>
                    <w:t>2.</w:t>
                  </w:r>
                  <w:r>
                    <w:rPr>
                      <w:rFonts w:hint="eastAsia" w:cs="宋体"/>
                      <w:kern w:val="0"/>
                      <w:szCs w:val="20"/>
                      <w:lang w:bidi="ar"/>
                    </w:rPr>
                    <w:t>工业固废综合利用率</w:t>
                  </w:r>
                  <w:r>
                    <w:rPr>
                      <w:kern w:val="0"/>
                      <w:szCs w:val="20"/>
                      <w:lang w:bidi="ar"/>
                    </w:rPr>
                    <w:t>≥70%</w:t>
                  </w:r>
                  <w:r>
                    <w:rPr>
                      <w:rFonts w:hint="eastAsia" w:cs="宋体"/>
                      <w:kern w:val="0"/>
                      <w:szCs w:val="20"/>
                      <w:lang w:bidi="ar"/>
                    </w:rPr>
                    <w:t>，再生水回用率</w:t>
                  </w:r>
                  <w:r>
                    <w:rPr>
                      <w:kern w:val="0"/>
                      <w:szCs w:val="20"/>
                      <w:lang w:bidi="ar"/>
                    </w:rPr>
                    <w:t>100%</w:t>
                  </w:r>
                  <w:r>
                    <w:rPr>
                      <w:rFonts w:hint="eastAsia" w:cs="宋体"/>
                      <w:kern w:val="0"/>
                      <w:szCs w:val="20"/>
                      <w:lang w:bidi="ar"/>
                    </w:rPr>
                    <w:t>，工业用水重复利用率</w:t>
                  </w:r>
                  <w:r>
                    <w:rPr>
                      <w:kern w:val="0"/>
                      <w:szCs w:val="20"/>
                      <w:lang w:bidi="ar"/>
                    </w:rPr>
                    <w:t>100%</w:t>
                  </w:r>
                  <w:r>
                    <w:rPr>
                      <w:rFonts w:hint="eastAsia" w:cs="宋体"/>
                      <w:kern w:val="0"/>
                      <w:szCs w:val="20"/>
                      <w:lang w:bidi="ar"/>
                    </w:rPr>
                    <w:t>，单位工业增加值综合耗能</w:t>
                  </w:r>
                  <w:r>
                    <w:rPr>
                      <w:kern w:val="0"/>
                      <w:szCs w:val="20"/>
                      <w:lang w:bidi="ar"/>
                    </w:rPr>
                    <w:t>≤0.5</w:t>
                  </w:r>
                  <w:r>
                    <w:rPr>
                      <w:rFonts w:hint="eastAsia" w:cs="宋体"/>
                      <w:kern w:val="0"/>
                      <w:szCs w:val="20"/>
                      <w:lang w:bidi="ar"/>
                    </w:rPr>
                    <w:t>吨标煤</w:t>
                  </w:r>
                  <w:r>
                    <w:rPr>
                      <w:kern w:val="0"/>
                      <w:szCs w:val="20"/>
                      <w:lang w:bidi="ar"/>
                    </w:rPr>
                    <w:t>/</w:t>
                  </w:r>
                  <w:r>
                    <w:rPr>
                      <w:rFonts w:hint="eastAsia" w:cs="宋体"/>
                      <w:kern w:val="0"/>
                      <w:szCs w:val="20"/>
                      <w:lang w:bidi="ar"/>
                    </w:rPr>
                    <w:t>万元。</w:t>
                  </w:r>
                </w:p>
              </w:tc>
              <w:tc>
                <w:tcPr>
                  <w:tcW w:w="1458" w:type="pct"/>
                  <w:vAlign w:val="center"/>
                </w:tcPr>
                <w:p>
                  <w:pPr>
                    <w:widowControl/>
                    <w:adjustRightInd w:val="0"/>
                    <w:ind w:firstLine="420" w:firstLineChars="200"/>
                  </w:pPr>
                  <w:r>
                    <w:rPr>
                      <w:kern w:val="0"/>
                      <w:szCs w:val="20"/>
                      <w:lang w:bidi="ar"/>
                    </w:rPr>
                    <w:t>1.</w:t>
                  </w:r>
                  <w:r>
                    <w:rPr>
                      <w:rFonts w:hint="eastAsia" w:cs="宋体"/>
                      <w:kern w:val="0"/>
                      <w:szCs w:val="20"/>
                      <w:lang w:bidi="ar"/>
                    </w:rPr>
                    <w:t>本项目清洁生产水平不低于国家清洁生产标准规定的国内先进水平。</w:t>
                  </w:r>
                </w:p>
                <w:p>
                  <w:pPr>
                    <w:widowControl/>
                    <w:adjustRightInd w:val="0"/>
                    <w:ind w:firstLine="420" w:firstLineChars="200"/>
                    <w:rPr>
                      <w:szCs w:val="21"/>
                    </w:rPr>
                  </w:pPr>
                  <w:r>
                    <w:rPr>
                      <w:kern w:val="0"/>
                      <w:szCs w:val="20"/>
                      <w:lang w:bidi="ar"/>
                    </w:rPr>
                    <w:t>2.</w:t>
                  </w:r>
                  <w:r>
                    <w:rPr>
                      <w:rFonts w:hint="eastAsia" w:cs="宋体"/>
                      <w:kern w:val="0"/>
                      <w:szCs w:val="20"/>
                      <w:lang w:bidi="ar"/>
                    </w:rPr>
                    <w:t>工业固体废物综合利用率</w:t>
                  </w:r>
                  <w:r>
                    <w:rPr>
                      <w:kern w:val="0"/>
                      <w:szCs w:val="20"/>
                      <w:lang w:bidi="ar"/>
                    </w:rPr>
                    <w:t>≥70%</w:t>
                  </w:r>
                  <w:r>
                    <w:rPr>
                      <w:rFonts w:hint="eastAsia" w:cs="宋体"/>
                      <w:kern w:val="0"/>
                      <w:szCs w:val="20"/>
                      <w:lang w:bidi="ar"/>
                    </w:rPr>
                    <w:t>。本项目锅炉水膜除尘废水经沉淀池沉淀后循环使用，不外排。单位工业增加值综合能耗</w:t>
                  </w:r>
                  <w:r>
                    <w:rPr>
                      <w:kern w:val="0"/>
                      <w:szCs w:val="20"/>
                      <w:lang w:bidi="ar"/>
                    </w:rPr>
                    <w:t>≤0.5</w:t>
                  </w:r>
                  <w:r>
                    <w:rPr>
                      <w:rFonts w:hint="eastAsia" w:cs="宋体"/>
                      <w:kern w:val="0"/>
                      <w:szCs w:val="20"/>
                      <w:lang w:bidi="ar"/>
                    </w:rPr>
                    <w:t>吨标煤</w:t>
                  </w:r>
                  <w:r>
                    <w:rPr>
                      <w:kern w:val="0"/>
                      <w:szCs w:val="20"/>
                      <w:lang w:bidi="ar"/>
                    </w:rPr>
                    <w:t>/</w:t>
                  </w:r>
                  <w:r>
                    <w:rPr>
                      <w:rFonts w:hint="eastAsia" w:cs="宋体"/>
                      <w:kern w:val="0"/>
                      <w:szCs w:val="20"/>
                      <w:lang w:bidi="ar"/>
                    </w:rPr>
                    <w:t>万元。</w:t>
                  </w:r>
                </w:p>
              </w:tc>
              <w:tc>
                <w:tcPr>
                  <w:tcW w:w="548" w:type="pct"/>
                  <w:vAlign w:val="center"/>
                </w:tcPr>
                <w:p>
                  <w:pPr>
                    <w:adjustRightInd w:val="0"/>
                    <w:jc w:val="center"/>
                    <w:rPr>
                      <w:szCs w:val="21"/>
                    </w:rPr>
                  </w:pPr>
                  <w:r>
                    <w:rPr>
                      <w:rFonts w:hint="eastAsia"/>
                      <w:szCs w:val="21"/>
                    </w:rPr>
                    <w:t>符合</w:t>
                  </w:r>
                </w:p>
              </w:tc>
            </w:tr>
          </w:tbl>
          <w:p>
            <w:pPr>
              <w:widowControl/>
              <w:spacing w:before="120" w:beforeLines="50" w:line="360" w:lineRule="auto"/>
              <w:ind w:firstLine="480" w:firstLineChars="200"/>
              <w:rPr>
                <w:b/>
                <w:sz w:val="24"/>
                <w:szCs w:val="21"/>
              </w:rPr>
            </w:pPr>
            <w:r>
              <w:rPr>
                <w:rFonts w:hint="eastAsia" w:cs="宋体"/>
                <w:kern w:val="0"/>
                <w:sz w:val="24"/>
                <w:lang w:bidi="ar"/>
              </w:rPr>
              <w:t>由上表可知，本项目建设符合《昆明市人民政府关于昆明市</w:t>
            </w:r>
            <w:r>
              <w:rPr>
                <w:rFonts w:hint="eastAsia"/>
                <w:kern w:val="0"/>
                <w:sz w:val="24"/>
                <w:lang w:bidi="ar"/>
              </w:rPr>
              <w:t>“</w:t>
            </w:r>
            <w:r>
              <w:rPr>
                <w:rFonts w:hint="eastAsia" w:cs="宋体"/>
                <w:kern w:val="0"/>
                <w:sz w:val="24"/>
                <w:lang w:bidi="ar"/>
              </w:rPr>
              <w:t>三线一单</w:t>
            </w:r>
            <w:r>
              <w:rPr>
                <w:rFonts w:hint="eastAsia"/>
                <w:kern w:val="0"/>
                <w:sz w:val="24"/>
                <w:lang w:bidi="ar"/>
              </w:rPr>
              <w:t>”</w:t>
            </w:r>
            <w:r>
              <w:rPr>
                <w:rFonts w:hint="eastAsia" w:cs="宋体"/>
                <w:kern w:val="0"/>
                <w:sz w:val="24"/>
                <w:lang w:bidi="ar"/>
              </w:rPr>
              <w:t>生态环境分区管控的实施意见》（昆政发</w:t>
            </w:r>
            <w:r>
              <w:rPr>
                <w:kern w:val="0"/>
                <w:sz w:val="24"/>
                <w:lang w:bidi="ar"/>
              </w:rPr>
              <w:t>2021[21</w:t>
            </w:r>
            <w:r>
              <w:rPr>
                <w:rFonts w:hint="eastAsia" w:cs="宋体"/>
                <w:kern w:val="0"/>
                <w:sz w:val="24"/>
                <w:lang w:bidi="ar"/>
              </w:rPr>
              <w:t>号</w:t>
            </w:r>
            <w:r>
              <w:rPr>
                <w:kern w:val="0"/>
                <w:sz w:val="24"/>
                <w:lang w:bidi="ar"/>
              </w:rPr>
              <w:t>]</w:t>
            </w:r>
            <w:r>
              <w:rPr>
                <w:rFonts w:hint="eastAsia" w:cs="宋体"/>
                <w:kern w:val="0"/>
                <w:sz w:val="24"/>
                <w:lang w:bidi="ar"/>
              </w:rPr>
              <w:t>）中相关要求。</w:t>
            </w:r>
          </w:p>
          <w:p>
            <w:pPr>
              <w:adjustRightInd w:val="0"/>
              <w:spacing w:line="360" w:lineRule="auto"/>
              <w:ind w:firstLine="482" w:firstLineChars="200"/>
              <w:jc w:val="left"/>
              <w:rPr>
                <w:b/>
                <w:sz w:val="24"/>
                <w:szCs w:val="21"/>
              </w:rPr>
            </w:pPr>
            <w:r>
              <w:rPr>
                <w:rFonts w:hint="eastAsia"/>
                <w:b/>
                <w:sz w:val="24"/>
                <w:szCs w:val="21"/>
              </w:rPr>
              <w:t>3、</w:t>
            </w:r>
            <w:r>
              <w:rPr>
                <w:b/>
                <w:sz w:val="24"/>
                <w:szCs w:val="21"/>
              </w:rPr>
              <w:t>与《云南省牛栏江保护条例》符合性分析</w:t>
            </w:r>
          </w:p>
          <w:p>
            <w:pPr>
              <w:adjustRightInd w:val="0"/>
              <w:spacing w:line="360" w:lineRule="auto"/>
              <w:ind w:firstLine="480" w:firstLineChars="200"/>
              <w:rPr>
                <w:sz w:val="24"/>
                <w:szCs w:val="21"/>
              </w:rPr>
            </w:pPr>
            <w:r>
              <w:rPr>
                <w:sz w:val="24"/>
                <w:szCs w:val="21"/>
              </w:rPr>
              <w:t>根据《云南省牛栏江保护条例》牛栏江流域上游保护区划分为水源保护核心区、重点污染控制区和重点水源涵养区。</w:t>
            </w:r>
          </w:p>
          <w:p>
            <w:pPr>
              <w:adjustRightInd w:val="0"/>
              <w:spacing w:line="360" w:lineRule="auto"/>
              <w:ind w:firstLine="480" w:firstLineChars="200"/>
              <w:rPr>
                <w:sz w:val="24"/>
                <w:szCs w:val="21"/>
              </w:rPr>
            </w:pPr>
            <w:r>
              <w:rPr>
                <w:sz w:val="24"/>
                <w:szCs w:val="21"/>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adjustRightInd w:val="0"/>
              <w:spacing w:line="360" w:lineRule="auto"/>
              <w:ind w:firstLine="480" w:firstLineChars="200"/>
              <w:rPr>
                <w:sz w:val="24"/>
                <w:szCs w:val="21"/>
              </w:rPr>
            </w:pPr>
            <w:r>
              <w:rPr>
                <w:sz w:val="24"/>
                <w:szCs w:val="21"/>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adjustRightInd w:val="0"/>
              <w:spacing w:line="360" w:lineRule="auto"/>
              <w:ind w:firstLine="480" w:firstLineChars="200"/>
              <w:rPr>
                <w:sz w:val="24"/>
                <w:szCs w:val="21"/>
              </w:rPr>
            </w:pPr>
            <w:r>
              <w:rPr>
                <w:sz w:val="24"/>
                <w:szCs w:val="21"/>
              </w:rPr>
              <w:t>（三）重点水源涵养区为流域范围内除水源保护核心区、重点污染控制区以外的集水区域。</w:t>
            </w:r>
          </w:p>
          <w:p>
            <w:pPr>
              <w:adjustRightInd w:val="0"/>
              <w:spacing w:line="360" w:lineRule="auto"/>
              <w:ind w:firstLine="480" w:firstLineChars="200"/>
              <w:rPr>
                <w:sz w:val="24"/>
                <w:szCs w:val="21"/>
              </w:rPr>
            </w:pPr>
            <w:r>
              <w:rPr>
                <w:sz w:val="24"/>
                <w:szCs w:val="21"/>
              </w:rPr>
              <w:t>本项目位于寻甸县</w:t>
            </w:r>
            <w:r>
              <w:rPr>
                <w:rFonts w:hint="eastAsia"/>
                <w:sz w:val="24"/>
                <w:szCs w:val="21"/>
              </w:rPr>
              <w:t>特色产业园区羊街片区</w:t>
            </w:r>
            <w:r>
              <w:rPr>
                <w:sz w:val="24"/>
                <w:szCs w:val="21"/>
              </w:rPr>
              <w:t>，属于《云南省牛栏江保护条例》中的重点污染控制区，重点污染控制区需满足重点水源涵养区禁止的行为及重点污染控制区的禁止行为。根据《云南省牛栏江保护条例》中第三十二、三十三条中规定的禁止行为分析项目选址符合性。</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1-</w:t>
            </w:r>
            <w:r>
              <w:rPr>
                <w:rFonts w:cs="宋体"/>
                <w:b/>
                <w:bCs/>
                <w:kern w:val="0"/>
                <w:sz w:val="24"/>
                <w:szCs w:val="20"/>
                <w:lang w:bidi="ar"/>
              </w:rPr>
              <w:t>6</w:t>
            </w:r>
            <w:r>
              <w:rPr>
                <w:rFonts w:hint="eastAsia" w:cs="宋体"/>
                <w:b/>
                <w:bCs/>
                <w:kern w:val="0"/>
                <w:sz w:val="24"/>
                <w:szCs w:val="20"/>
                <w:lang w:bidi="ar"/>
              </w:rPr>
              <w:t xml:space="preserve"> </w:t>
            </w:r>
            <w:r>
              <w:rPr>
                <w:rFonts w:cs="宋体"/>
                <w:b/>
                <w:bCs/>
                <w:kern w:val="0"/>
                <w:sz w:val="24"/>
                <w:szCs w:val="20"/>
                <w:lang w:bidi="ar"/>
              </w:rPr>
              <w:t xml:space="preserve"> 与《云南省牛栏江保护条例》对照分析</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05"/>
              <w:gridCol w:w="3137"/>
              <w:gridCol w:w="3525"/>
              <w:gridCol w:w="772"/>
            </w:tblGrid>
            <w:tr>
              <w:trPr>
                <w:trHeight w:val="340" w:hRule="atLeast"/>
                <w:jc w:val="center"/>
              </w:trPr>
              <w:tc>
                <w:tcPr>
                  <w:tcW w:w="318" w:type="pct"/>
                  <w:vAlign w:val="center"/>
                </w:tcPr>
                <w:p>
                  <w:pPr>
                    <w:adjustRightInd w:val="0"/>
                    <w:jc w:val="center"/>
                    <w:rPr>
                      <w:b/>
                      <w:szCs w:val="21"/>
                    </w:rPr>
                  </w:pPr>
                  <w:r>
                    <w:rPr>
                      <w:b/>
                      <w:szCs w:val="21"/>
                    </w:rPr>
                    <w:t>序号</w:t>
                  </w:r>
                </w:p>
              </w:tc>
              <w:tc>
                <w:tcPr>
                  <w:tcW w:w="1976" w:type="pct"/>
                  <w:vAlign w:val="center"/>
                </w:tcPr>
                <w:p>
                  <w:pPr>
                    <w:adjustRightInd w:val="0"/>
                    <w:jc w:val="center"/>
                    <w:rPr>
                      <w:b/>
                      <w:szCs w:val="21"/>
                    </w:rPr>
                  </w:pPr>
                  <w:r>
                    <w:rPr>
                      <w:b/>
                      <w:szCs w:val="21"/>
                    </w:rPr>
                    <w:t>《云南省牛栏江保护条例》选址条件</w:t>
                  </w:r>
                </w:p>
              </w:tc>
              <w:tc>
                <w:tcPr>
                  <w:tcW w:w="2220" w:type="pct"/>
                  <w:vAlign w:val="center"/>
                </w:tcPr>
                <w:p>
                  <w:pPr>
                    <w:adjustRightInd w:val="0"/>
                    <w:jc w:val="center"/>
                    <w:rPr>
                      <w:b/>
                      <w:szCs w:val="21"/>
                    </w:rPr>
                  </w:pPr>
                  <w:r>
                    <w:rPr>
                      <w:b/>
                      <w:szCs w:val="21"/>
                    </w:rPr>
                    <w:t>本项目实际情况</w:t>
                  </w:r>
                </w:p>
              </w:tc>
              <w:tc>
                <w:tcPr>
                  <w:tcW w:w="486" w:type="pct"/>
                  <w:vAlign w:val="center"/>
                </w:tcPr>
                <w:p>
                  <w:pPr>
                    <w:adjustRightInd w:val="0"/>
                    <w:jc w:val="center"/>
                    <w:rPr>
                      <w:b/>
                      <w:szCs w:val="21"/>
                    </w:rPr>
                  </w:pPr>
                  <w:r>
                    <w:rPr>
                      <w:b/>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18" w:type="pct"/>
                  <w:vMerge w:val="restart"/>
                  <w:vAlign w:val="center"/>
                </w:tcPr>
                <w:p>
                  <w:pPr>
                    <w:adjustRightInd w:val="0"/>
                    <w:jc w:val="center"/>
                    <w:rPr>
                      <w:szCs w:val="21"/>
                    </w:rPr>
                  </w:pPr>
                  <w:r>
                    <w:rPr>
                      <w:szCs w:val="21"/>
                    </w:rPr>
                    <w:t>1</w:t>
                  </w:r>
                </w:p>
              </w:tc>
              <w:tc>
                <w:tcPr>
                  <w:tcW w:w="4682" w:type="pct"/>
                  <w:gridSpan w:val="3"/>
                  <w:vAlign w:val="center"/>
                </w:tcPr>
                <w:p>
                  <w:pPr>
                    <w:adjustRightInd w:val="0"/>
                    <w:jc w:val="center"/>
                    <w:rPr>
                      <w:szCs w:val="21"/>
                    </w:rPr>
                  </w:pPr>
                  <w:r>
                    <w:rPr>
                      <w:b/>
                      <w:bCs/>
                      <w:szCs w:val="21"/>
                    </w:rPr>
                    <w:t>三十二条</w:t>
                  </w:r>
                  <w:r>
                    <w:rPr>
                      <w:rFonts w:hint="eastAsia"/>
                      <w:b/>
                      <w:bCs/>
                      <w:szCs w:val="21"/>
                    </w:rPr>
                    <w:t xml:space="preserve"> </w:t>
                  </w:r>
                  <w:r>
                    <w:rPr>
                      <w:b/>
                      <w:bCs/>
                      <w:szCs w:val="21"/>
                    </w:rPr>
                    <w:t>重点水源涵养区禁止下列行为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18" w:type="pct"/>
                  <w:vMerge w:val="continue"/>
                  <w:vAlign w:val="center"/>
                </w:tcPr>
                <w:p>
                  <w:pPr>
                    <w:adjustRightInd w:val="0"/>
                    <w:jc w:val="center"/>
                    <w:rPr>
                      <w:szCs w:val="21"/>
                    </w:rPr>
                  </w:pPr>
                </w:p>
              </w:tc>
              <w:tc>
                <w:tcPr>
                  <w:tcW w:w="1976" w:type="pct"/>
                  <w:vAlign w:val="center"/>
                </w:tcPr>
                <w:p>
                  <w:pPr>
                    <w:adjustRightInd w:val="0"/>
                    <w:ind w:firstLine="420" w:firstLineChars="200"/>
                    <w:rPr>
                      <w:szCs w:val="21"/>
                    </w:rPr>
                  </w:pPr>
                  <w:r>
                    <w:rPr>
                      <w:szCs w:val="21"/>
                    </w:rPr>
                    <w:t>（一）盗伐、滥伐林木和破坏草地；</w:t>
                  </w:r>
                </w:p>
              </w:tc>
              <w:tc>
                <w:tcPr>
                  <w:tcW w:w="2220" w:type="pct"/>
                  <w:vAlign w:val="center"/>
                </w:tcPr>
                <w:p>
                  <w:pPr>
                    <w:adjustRightInd w:val="0"/>
                    <w:ind w:firstLine="420" w:firstLineChars="200"/>
                    <w:rPr>
                      <w:szCs w:val="21"/>
                    </w:rPr>
                  </w:pPr>
                  <w:r>
                    <w:rPr>
                      <w:rFonts w:hint="eastAsia"/>
                      <w:szCs w:val="21"/>
                    </w:rPr>
                    <w:t>本</w:t>
                  </w:r>
                  <w:r>
                    <w:rPr>
                      <w:szCs w:val="21"/>
                    </w:rPr>
                    <w:t>项目位于</w:t>
                  </w:r>
                  <w:r>
                    <w:rPr>
                      <w:rFonts w:hint="eastAsia"/>
                      <w:szCs w:val="21"/>
                    </w:rPr>
                    <w:t>寻甸特色产业园区羊街片区现有厂区内</w:t>
                  </w:r>
                  <w:r>
                    <w:rPr>
                      <w:szCs w:val="21"/>
                    </w:rPr>
                    <w:t>，</w:t>
                  </w:r>
                  <w:r>
                    <w:rPr>
                      <w:rFonts w:hint="eastAsia"/>
                      <w:szCs w:val="21"/>
                    </w:rPr>
                    <w:t>对现有项目进行技改，</w:t>
                  </w:r>
                  <w:r>
                    <w:rPr>
                      <w:szCs w:val="21"/>
                    </w:rPr>
                    <w:t>无此行为</w:t>
                  </w:r>
                  <w:r>
                    <w:rPr>
                      <w:rFonts w:hint="eastAsia"/>
                      <w:szCs w:val="21"/>
                    </w:rPr>
                    <w:t>。</w:t>
                  </w:r>
                </w:p>
              </w:tc>
              <w:tc>
                <w:tcPr>
                  <w:tcW w:w="486" w:type="pct"/>
                  <w:vAlign w:val="center"/>
                </w:tcPr>
                <w:p>
                  <w:pPr>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18" w:type="pct"/>
                  <w:vMerge w:val="continue"/>
                  <w:vAlign w:val="center"/>
                </w:tcPr>
                <w:p>
                  <w:pPr>
                    <w:adjustRightInd w:val="0"/>
                    <w:jc w:val="center"/>
                    <w:rPr>
                      <w:szCs w:val="21"/>
                    </w:rPr>
                  </w:pPr>
                </w:p>
              </w:tc>
              <w:tc>
                <w:tcPr>
                  <w:tcW w:w="1976" w:type="pct"/>
                  <w:vAlign w:val="center"/>
                </w:tcPr>
                <w:p>
                  <w:pPr>
                    <w:adjustRightInd w:val="0"/>
                    <w:ind w:firstLine="420" w:firstLineChars="200"/>
                    <w:rPr>
                      <w:szCs w:val="21"/>
                    </w:rPr>
                  </w:pPr>
                  <w:r>
                    <w:rPr>
                      <w:szCs w:val="21"/>
                    </w:rPr>
                    <w:t>（二）使用高毒、高残留农药；</w:t>
                  </w:r>
                </w:p>
              </w:tc>
              <w:tc>
                <w:tcPr>
                  <w:tcW w:w="2220" w:type="pct"/>
                  <w:vAlign w:val="center"/>
                </w:tcPr>
                <w:p>
                  <w:pPr>
                    <w:adjustRightInd w:val="0"/>
                    <w:ind w:firstLine="420" w:firstLineChars="200"/>
                    <w:rPr>
                      <w:szCs w:val="21"/>
                    </w:rPr>
                  </w:pPr>
                  <w:r>
                    <w:rPr>
                      <w:rFonts w:hint="eastAsia"/>
                      <w:szCs w:val="21"/>
                    </w:rPr>
                    <w:t>本</w:t>
                  </w:r>
                  <w:r>
                    <w:rPr>
                      <w:szCs w:val="21"/>
                    </w:rPr>
                    <w:t>项目不使用高毒、高残农药</w:t>
                  </w:r>
                  <w:r>
                    <w:rPr>
                      <w:rFonts w:hint="eastAsia"/>
                      <w:szCs w:val="21"/>
                    </w:rPr>
                    <w:t>。</w:t>
                  </w:r>
                </w:p>
              </w:tc>
              <w:tc>
                <w:tcPr>
                  <w:tcW w:w="486" w:type="pct"/>
                  <w:vAlign w:val="center"/>
                </w:tcPr>
                <w:p>
                  <w:pPr>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74" w:hRule="atLeast"/>
                <w:jc w:val="center"/>
              </w:trPr>
              <w:tc>
                <w:tcPr>
                  <w:tcW w:w="318" w:type="pct"/>
                  <w:vMerge w:val="continue"/>
                  <w:vAlign w:val="center"/>
                </w:tcPr>
                <w:p>
                  <w:pPr>
                    <w:adjustRightInd w:val="0"/>
                    <w:jc w:val="center"/>
                    <w:rPr>
                      <w:szCs w:val="21"/>
                    </w:rPr>
                  </w:pPr>
                </w:p>
              </w:tc>
              <w:tc>
                <w:tcPr>
                  <w:tcW w:w="1976" w:type="pct"/>
                  <w:vAlign w:val="center"/>
                </w:tcPr>
                <w:p>
                  <w:pPr>
                    <w:adjustRightInd w:val="0"/>
                    <w:ind w:firstLine="420" w:firstLineChars="200"/>
                    <w:rPr>
                      <w:szCs w:val="21"/>
                    </w:rPr>
                  </w:pPr>
                  <w:r>
                    <w:rPr>
                      <w:szCs w:val="21"/>
                    </w:rPr>
                    <w:t>（三）利用溶洞、渗井、渗坑、裂隙排放、倾倒含有毒有害物质的废水、废渣；</w:t>
                  </w:r>
                </w:p>
              </w:tc>
              <w:tc>
                <w:tcPr>
                  <w:tcW w:w="2220" w:type="pct"/>
                  <w:vMerge w:val="restart"/>
                  <w:vAlign w:val="center"/>
                </w:tcPr>
                <w:p>
                  <w:pPr>
                    <w:adjustRightInd w:val="0"/>
                    <w:ind w:firstLine="420" w:firstLineChars="200"/>
                    <w:rPr>
                      <w:szCs w:val="21"/>
                    </w:rPr>
                  </w:pPr>
                  <w:r>
                    <w:rPr>
                      <w:rFonts w:hint="eastAsia" w:cs="宋体"/>
                      <w:kern w:val="0"/>
                      <w:szCs w:val="20"/>
                      <w:lang w:bidi="ar"/>
                    </w:rPr>
                    <w:t>本项目锅炉水膜除尘废水经沉淀池沉淀后循环使用，不外排；</w:t>
                  </w:r>
                  <w:r>
                    <w:rPr>
                      <w:rFonts w:hint="eastAsia"/>
                      <w:szCs w:val="21"/>
                    </w:rPr>
                    <w:t>本项目新增5t/h导热油锅炉</w:t>
                  </w:r>
                  <w:r>
                    <w:rPr>
                      <w:szCs w:val="21"/>
                    </w:rPr>
                    <w:t>炉渣、</w:t>
                  </w:r>
                  <w:r>
                    <w:rPr>
                      <w:rFonts w:hint="eastAsia"/>
                      <w:szCs w:val="21"/>
                    </w:rPr>
                    <w:t>多管旋风除尘器收集的除尘灰</w:t>
                  </w:r>
                  <w:r>
                    <w:rPr>
                      <w:szCs w:val="21"/>
                    </w:rPr>
                    <w:t>、水膜除尘装置除尘渣</w:t>
                  </w:r>
                  <w:r>
                    <w:rPr>
                      <w:rFonts w:hint="eastAsia"/>
                      <w:szCs w:val="21"/>
                    </w:rPr>
                    <w:t>、沉淀池污泥</w:t>
                  </w:r>
                  <w:r>
                    <w:rPr>
                      <w:szCs w:val="21"/>
                    </w:rPr>
                    <w:t>统一收集后暂存于</w:t>
                  </w:r>
                  <w:r>
                    <w:rPr>
                      <w:rFonts w:hint="eastAsia"/>
                      <w:szCs w:val="21"/>
                    </w:rPr>
                    <w:t>现有已建</w:t>
                  </w:r>
                  <w:r>
                    <w:rPr>
                      <w:szCs w:val="21"/>
                    </w:rPr>
                    <w:t>一般固废暂存区定期委托环卫部门清运处置。</w:t>
                  </w:r>
                  <w:r>
                    <w:rPr>
                      <w:rFonts w:hint="eastAsia"/>
                      <w:szCs w:val="21"/>
                    </w:rPr>
                    <w:t>筛选打磨工序除尘装置收集除尘灰收集后用作导热油锅炉燃料。5</w:t>
                  </w:r>
                  <w:r>
                    <w:rPr>
                      <w:szCs w:val="21"/>
                    </w:rPr>
                    <w:t>t/h</w:t>
                  </w:r>
                  <w:r>
                    <w:rPr>
                      <w:rFonts w:hint="eastAsia"/>
                      <w:szCs w:val="21"/>
                    </w:rPr>
                    <w:t>导热油锅炉更换</w:t>
                  </w:r>
                  <w:r>
                    <w:rPr>
                      <w:szCs w:val="21"/>
                    </w:rPr>
                    <w:t>废导热油收集后暂存于</w:t>
                  </w:r>
                  <w:r>
                    <w:rPr>
                      <w:rFonts w:hint="eastAsia"/>
                      <w:szCs w:val="21"/>
                    </w:rPr>
                    <w:t>现有已建</w:t>
                  </w:r>
                  <w:r>
                    <w:rPr>
                      <w:szCs w:val="21"/>
                    </w:rPr>
                    <w:t>危险废物暂存间，定期委托寻甸同磊再生资源回收有限公司清运处置。</w:t>
                  </w:r>
                  <w:r>
                    <w:rPr>
                      <w:rFonts w:hint="eastAsia"/>
                      <w:szCs w:val="21"/>
                    </w:rPr>
                    <w:t>热压凉板工序新增三级活性炭吸附装置产生的</w:t>
                  </w:r>
                  <w:r>
                    <w:rPr>
                      <w:szCs w:val="21"/>
                    </w:rPr>
                    <w:t>废活性炭集中收集后暂存于</w:t>
                  </w:r>
                  <w:r>
                    <w:rPr>
                      <w:rFonts w:hint="eastAsia"/>
                      <w:szCs w:val="21"/>
                    </w:rPr>
                    <w:t>危险废物</w:t>
                  </w:r>
                  <w:r>
                    <w:rPr>
                      <w:szCs w:val="21"/>
                    </w:rPr>
                    <w:t>暂存间内，委托曲靖银发危险废物集中处置中心有限公司处置。固废处置率100%。</w:t>
                  </w:r>
                </w:p>
              </w:tc>
              <w:tc>
                <w:tcPr>
                  <w:tcW w:w="486" w:type="pct"/>
                  <w:vMerge w:val="restart"/>
                  <w:vAlign w:val="center"/>
                </w:tcPr>
                <w:p>
                  <w:pPr>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18" w:type="pct"/>
                  <w:vMerge w:val="continue"/>
                  <w:vAlign w:val="center"/>
                </w:tcPr>
                <w:p>
                  <w:pPr>
                    <w:adjustRightInd w:val="0"/>
                    <w:jc w:val="center"/>
                    <w:rPr>
                      <w:szCs w:val="21"/>
                    </w:rPr>
                  </w:pPr>
                </w:p>
              </w:tc>
              <w:tc>
                <w:tcPr>
                  <w:tcW w:w="1976" w:type="pct"/>
                  <w:vAlign w:val="center"/>
                </w:tcPr>
                <w:p>
                  <w:pPr>
                    <w:adjustRightInd w:val="0"/>
                    <w:ind w:firstLine="420" w:firstLineChars="200"/>
                    <w:rPr>
                      <w:szCs w:val="21"/>
                    </w:rPr>
                  </w:pPr>
                  <w:r>
                    <w:rPr>
                      <w:szCs w:val="21"/>
                    </w:rPr>
                    <w:t>（四）向水体排放废水、倾倒工业废渣、城镇垃圾或者其他废弃物；</w:t>
                  </w:r>
                </w:p>
              </w:tc>
              <w:tc>
                <w:tcPr>
                  <w:tcW w:w="2220" w:type="pct"/>
                  <w:vMerge w:val="continue"/>
                  <w:vAlign w:val="center"/>
                </w:tcPr>
                <w:p>
                  <w:pPr>
                    <w:adjustRightInd w:val="0"/>
                    <w:ind w:firstLine="420" w:firstLineChars="200"/>
                    <w:rPr>
                      <w:szCs w:val="21"/>
                    </w:rPr>
                  </w:pPr>
                </w:p>
              </w:tc>
              <w:tc>
                <w:tcPr>
                  <w:tcW w:w="486" w:type="pct"/>
                  <w:vMerge w:val="continue"/>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18" w:type="pct"/>
                  <w:vMerge w:val="continue"/>
                  <w:vAlign w:val="center"/>
                </w:tcPr>
                <w:p>
                  <w:pPr>
                    <w:adjustRightInd w:val="0"/>
                    <w:jc w:val="center"/>
                    <w:rPr>
                      <w:szCs w:val="21"/>
                    </w:rPr>
                  </w:pPr>
                </w:p>
              </w:tc>
              <w:tc>
                <w:tcPr>
                  <w:tcW w:w="1976" w:type="pct"/>
                  <w:vAlign w:val="center"/>
                </w:tcPr>
                <w:p>
                  <w:pPr>
                    <w:adjustRightInd w:val="0"/>
                    <w:ind w:firstLine="420" w:firstLineChars="200"/>
                    <w:rPr>
                      <w:szCs w:val="21"/>
                    </w:rPr>
                  </w:pPr>
                  <w:r>
                    <w:rPr>
                      <w:szCs w:val="21"/>
                    </w:rPr>
                    <w:t>（五）在江河、渠道、水库最高水位线以下的滩地、岸坡堆放、存贮固体废弃物或者其他污染物；</w:t>
                  </w:r>
                </w:p>
              </w:tc>
              <w:tc>
                <w:tcPr>
                  <w:tcW w:w="2220" w:type="pct"/>
                  <w:vAlign w:val="center"/>
                </w:tcPr>
                <w:p>
                  <w:pPr>
                    <w:adjustRightInd w:val="0"/>
                    <w:ind w:firstLine="420" w:firstLineChars="200"/>
                    <w:rPr>
                      <w:szCs w:val="21"/>
                    </w:rPr>
                  </w:pPr>
                  <w:r>
                    <w:rPr>
                      <w:rFonts w:hint="eastAsia"/>
                      <w:szCs w:val="21"/>
                    </w:rPr>
                    <w:t>本项目依托厂区现有项目已建一般固废暂存区及危险废物暂存间等固废收集设施，</w:t>
                  </w:r>
                  <w:r>
                    <w:rPr>
                      <w:szCs w:val="21"/>
                    </w:rPr>
                    <w:t>可保证</w:t>
                  </w:r>
                  <w:r>
                    <w:rPr>
                      <w:rFonts w:hint="eastAsia"/>
                      <w:szCs w:val="21"/>
                    </w:rPr>
                    <w:t>固体废物</w:t>
                  </w:r>
                  <w:r>
                    <w:rPr>
                      <w:szCs w:val="21"/>
                    </w:rPr>
                    <w:t>合理收集处置。</w:t>
                  </w:r>
                </w:p>
              </w:tc>
              <w:tc>
                <w:tcPr>
                  <w:tcW w:w="486" w:type="pct"/>
                  <w:vAlign w:val="center"/>
                </w:tcPr>
                <w:p>
                  <w:pPr>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318" w:type="pct"/>
                  <w:vMerge w:val="continue"/>
                  <w:vAlign w:val="center"/>
                </w:tcPr>
                <w:p>
                  <w:pPr>
                    <w:adjustRightInd w:val="0"/>
                    <w:jc w:val="center"/>
                    <w:rPr>
                      <w:szCs w:val="21"/>
                    </w:rPr>
                  </w:pPr>
                </w:p>
              </w:tc>
              <w:tc>
                <w:tcPr>
                  <w:tcW w:w="1976" w:type="pct"/>
                  <w:vAlign w:val="center"/>
                </w:tcPr>
                <w:p>
                  <w:pPr>
                    <w:adjustRightInd w:val="0"/>
                    <w:ind w:firstLine="420" w:firstLineChars="200"/>
                    <w:rPr>
                      <w:szCs w:val="21"/>
                    </w:rPr>
                  </w:pPr>
                  <w:r>
                    <w:rPr>
                      <w:szCs w:val="21"/>
                    </w:rPr>
                    <w:t>（六）利用无防渗漏措施的沟渠、坑塘等输送或者存贮含有毒污染物的废水、含病原体的污水或者其他废弃物。</w:t>
                  </w:r>
                </w:p>
              </w:tc>
              <w:tc>
                <w:tcPr>
                  <w:tcW w:w="2220" w:type="pct"/>
                  <w:vAlign w:val="center"/>
                </w:tcPr>
                <w:p>
                  <w:pPr>
                    <w:adjustRightInd w:val="0"/>
                    <w:ind w:firstLine="420" w:firstLineChars="200"/>
                    <w:rPr>
                      <w:szCs w:val="21"/>
                    </w:rPr>
                  </w:pPr>
                  <w:r>
                    <w:rPr>
                      <w:rFonts w:hint="eastAsia"/>
                      <w:szCs w:val="21"/>
                    </w:rPr>
                    <w:t>本</w:t>
                  </w:r>
                  <w:r>
                    <w:rPr>
                      <w:szCs w:val="21"/>
                    </w:rPr>
                    <w:t>项目</w:t>
                  </w:r>
                  <w:r>
                    <w:rPr>
                      <w:rFonts w:hint="eastAsia"/>
                      <w:szCs w:val="21"/>
                    </w:rPr>
                    <w:t>在现有项目厂区技改，现有项目主体工程原辅材料、生产工艺及污染物种类、产品及规模等均未发生变化，一般固废暂存区、危险废物暂存间及各水池均</w:t>
                  </w:r>
                  <w:r>
                    <w:rPr>
                      <w:szCs w:val="21"/>
                    </w:rPr>
                    <w:t>已</w:t>
                  </w:r>
                  <w:r>
                    <w:rPr>
                      <w:rFonts w:hint="eastAsia"/>
                      <w:szCs w:val="21"/>
                    </w:rPr>
                    <w:t>建设并已</w:t>
                  </w:r>
                  <w:r>
                    <w:rPr>
                      <w:szCs w:val="21"/>
                    </w:rPr>
                    <w:t>按要求对地面进行</w:t>
                  </w:r>
                  <w:r>
                    <w:rPr>
                      <w:rFonts w:hint="eastAsia"/>
                      <w:szCs w:val="21"/>
                    </w:rPr>
                    <w:t>防渗等</w:t>
                  </w:r>
                  <w:r>
                    <w:rPr>
                      <w:szCs w:val="21"/>
                    </w:rPr>
                    <w:t>处理</w:t>
                  </w:r>
                  <w:r>
                    <w:rPr>
                      <w:rFonts w:hint="eastAsia"/>
                      <w:szCs w:val="21"/>
                    </w:rPr>
                    <w:t>。</w:t>
                  </w:r>
                </w:p>
              </w:tc>
              <w:tc>
                <w:tcPr>
                  <w:tcW w:w="486" w:type="pct"/>
                  <w:vAlign w:val="center"/>
                </w:tcPr>
                <w:p>
                  <w:pPr>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18" w:type="pct"/>
                  <w:vMerge w:val="restart"/>
                  <w:vAlign w:val="center"/>
                </w:tcPr>
                <w:p>
                  <w:pPr>
                    <w:adjustRightInd w:val="0"/>
                    <w:jc w:val="center"/>
                    <w:rPr>
                      <w:szCs w:val="21"/>
                    </w:rPr>
                  </w:pPr>
                  <w:r>
                    <w:rPr>
                      <w:szCs w:val="21"/>
                    </w:rPr>
                    <w:t>2</w:t>
                  </w:r>
                </w:p>
              </w:tc>
              <w:tc>
                <w:tcPr>
                  <w:tcW w:w="4682" w:type="pct"/>
                  <w:gridSpan w:val="3"/>
                  <w:vAlign w:val="center"/>
                </w:tcPr>
                <w:p>
                  <w:pPr>
                    <w:adjustRightInd w:val="0"/>
                    <w:jc w:val="center"/>
                    <w:rPr>
                      <w:szCs w:val="21"/>
                    </w:rPr>
                  </w:pPr>
                  <w:r>
                    <w:rPr>
                      <w:szCs w:val="21"/>
                    </w:rPr>
                    <w:t>第三十三条重点污染控制区内除重点水源涵养区禁止的行为外，还禁止下列行为：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18" w:type="pct"/>
                  <w:vMerge w:val="continue"/>
                  <w:vAlign w:val="center"/>
                </w:tcPr>
                <w:p>
                  <w:pPr>
                    <w:adjustRightInd w:val="0"/>
                    <w:jc w:val="center"/>
                    <w:rPr>
                      <w:szCs w:val="21"/>
                    </w:rPr>
                  </w:pPr>
                </w:p>
              </w:tc>
              <w:tc>
                <w:tcPr>
                  <w:tcW w:w="1976" w:type="pct"/>
                  <w:vAlign w:val="center"/>
                </w:tcPr>
                <w:p>
                  <w:pPr>
                    <w:adjustRightInd w:val="0"/>
                    <w:ind w:firstLine="420" w:firstLineChars="200"/>
                    <w:rPr>
                      <w:szCs w:val="21"/>
                    </w:rPr>
                  </w:pPr>
                  <w:r>
                    <w:rPr>
                      <w:szCs w:val="21"/>
                    </w:rPr>
                    <w:t>（一）新建、扩建工业园区；</w:t>
                  </w:r>
                </w:p>
              </w:tc>
              <w:tc>
                <w:tcPr>
                  <w:tcW w:w="2220" w:type="pct"/>
                  <w:vAlign w:val="center"/>
                </w:tcPr>
                <w:p>
                  <w:pPr>
                    <w:adjustRightInd w:val="0"/>
                    <w:ind w:firstLine="420" w:firstLineChars="200"/>
                    <w:rPr>
                      <w:szCs w:val="21"/>
                    </w:rPr>
                  </w:pPr>
                  <w:r>
                    <w:rPr>
                      <w:rFonts w:hint="eastAsia"/>
                      <w:szCs w:val="21"/>
                    </w:rPr>
                    <w:t>本</w:t>
                  </w:r>
                  <w:r>
                    <w:rPr>
                      <w:szCs w:val="21"/>
                    </w:rPr>
                    <w:t>项目不属于新、扩建工业园区</w:t>
                  </w:r>
                  <w:r>
                    <w:rPr>
                      <w:rFonts w:hint="eastAsia"/>
                      <w:szCs w:val="21"/>
                    </w:rPr>
                    <w:t>。</w:t>
                  </w:r>
                </w:p>
              </w:tc>
              <w:tc>
                <w:tcPr>
                  <w:tcW w:w="486" w:type="pct"/>
                  <w:vAlign w:val="center"/>
                </w:tcPr>
                <w:p>
                  <w:pPr>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18" w:type="pct"/>
                  <w:vMerge w:val="continue"/>
                  <w:vAlign w:val="center"/>
                </w:tcPr>
                <w:p>
                  <w:pPr>
                    <w:adjustRightInd w:val="0"/>
                    <w:jc w:val="center"/>
                    <w:rPr>
                      <w:szCs w:val="21"/>
                    </w:rPr>
                  </w:pPr>
                </w:p>
              </w:tc>
              <w:tc>
                <w:tcPr>
                  <w:tcW w:w="1976" w:type="pct"/>
                  <w:vAlign w:val="center"/>
                </w:tcPr>
                <w:p>
                  <w:pPr>
                    <w:adjustRightInd w:val="0"/>
                    <w:ind w:firstLine="420" w:firstLineChars="200"/>
                    <w:rPr>
                      <w:szCs w:val="21"/>
                    </w:rPr>
                  </w:pPr>
                  <w:r>
                    <w:rPr>
                      <w:szCs w:val="21"/>
                    </w:rPr>
                    <w:t>（二）新建、扩建重点水污染物排放的工业项目；</w:t>
                  </w:r>
                </w:p>
              </w:tc>
              <w:tc>
                <w:tcPr>
                  <w:tcW w:w="2220" w:type="pct"/>
                  <w:vAlign w:val="center"/>
                </w:tcPr>
                <w:p>
                  <w:pPr>
                    <w:adjustRightInd w:val="0"/>
                    <w:ind w:firstLine="420" w:firstLineChars="200"/>
                    <w:rPr>
                      <w:szCs w:val="21"/>
                    </w:rPr>
                  </w:pPr>
                  <w:r>
                    <w:rPr>
                      <w:rFonts w:hint="eastAsia"/>
                      <w:szCs w:val="21"/>
                    </w:rPr>
                    <w:t>本</w:t>
                  </w:r>
                  <w:r>
                    <w:rPr>
                      <w:szCs w:val="21"/>
                    </w:rPr>
                    <w:t>项目不属于重点水污染物排放工业项目</w:t>
                  </w:r>
                  <w:r>
                    <w:rPr>
                      <w:rFonts w:hint="eastAsia"/>
                      <w:szCs w:val="21"/>
                    </w:rPr>
                    <w:t>。</w:t>
                  </w:r>
                </w:p>
              </w:tc>
              <w:tc>
                <w:tcPr>
                  <w:tcW w:w="486" w:type="pct"/>
                  <w:vAlign w:val="center"/>
                </w:tcPr>
                <w:p>
                  <w:pPr>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18" w:type="pct"/>
                  <w:vMerge w:val="continue"/>
                  <w:vAlign w:val="center"/>
                </w:tcPr>
                <w:p>
                  <w:pPr>
                    <w:adjustRightInd w:val="0"/>
                    <w:jc w:val="center"/>
                    <w:rPr>
                      <w:szCs w:val="21"/>
                    </w:rPr>
                  </w:pPr>
                </w:p>
              </w:tc>
              <w:tc>
                <w:tcPr>
                  <w:tcW w:w="1976" w:type="pct"/>
                  <w:vAlign w:val="center"/>
                </w:tcPr>
                <w:p>
                  <w:pPr>
                    <w:adjustRightInd w:val="0"/>
                    <w:ind w:firstLine="420" w:firstLineChars="200"/>
                    <w:rPr>
                      <w:szCs w:val="21"/>
                    </w:rPr>
                  </w:pPr>
                  <w:r>
                    <w:rPr>
                      <w:szCs w:val="21"/>
                    </w:rPr>
                    <w:t>（三）新建、改建、扩建经营性陵园、公墓。</w:t>
                  </w:r>
                </w:p>
              </w:tc>
              <w:tc>
                <w:tcPr>
                  <w:tcW w:w="2220" w:type="pct"/>
                  <w:vAlign w:val="center"/>
                </w:tcPr>
                <w:p>
                  <w:pPr>
                    <w:adjustRightInd w:val="0"/>
                    <w:ind w:firstLine="420" w:firstLineChars="200"/>
                    <w:rPr>
                      <w:szCs w:val="21"/>
                    </w:rPr>
                  </w:pPr>
                  <w:r>
                    <w:rPr>
                      <w:rFonts w:hint="eastAsia"/>
                      <w:szCs w:val="21"/>
                    </w:rPr>
                    <w:t>本</w:t>
                  </w:r>
                  <w:r>
                    <w:rPr>
                      <w:szCs w:val="21"/>
                    </w:rPr>
                    <w:t>项目不属于陵园、公墓</w:t>
                  </w:r>
                </w:p>
              </w:tc>
              <w:tc>
                <w:tcPr>
                  <w:tcW w:w="486" w:type="pct"/>
                  <w:vAlign w:val="center"/>
                </w:tcPr>
                <w:p>
                  <w:pPr>
                    <w:adjustRightInd w:val="0"/>
                    <w:jc w:val="center"/>
                    <w:rPr>
                      <w:szCs w:val="21"/>
                    </w:rPr>
                  </w:pPr>
                  <w:r>
                    <w:rPr>
                      <w:szCs w:val="21"/>
                    </w:rPr>
                    <w:t>符合</w:t>
                  </w:r>
                </w:p>
              </w:tc>
            </w:tr>
          </w:tbl>
          <w:p>
            <w:pPr>
              <w:adjustRightInd w:val="0"/>
              <w:spacing w:before="120" w:beforeLines="50" w:line="360" w:lineRule="auto"/>
              <w:ind w:firstLine="480" w:firstLineChars="200"/>
              <w:rPr>
                <w:sz w:val="24"/>
                <w:szCs w:val="21"/>
              </w:rPr>
            </w:pPr>
            <w:r>
              <w:rPr>
                <w:sz w:val="24"/>
                <w:szCs w:val="21"/>
              </w:rPr>
              <w:t>综上所述，项目选址符合《云南省牛栏江保护条例》中的选址要求。</w:t>
            </w:r>
          </w:p>
          <w:p>
            <w:pPr>
              <w:adjustRightInd w:val="0"/>
              <w:spacing w:line="360" w:lineRule="auto"/>
              <w:ind w:firstLine="482" w:firstLineChars="200"/>
              <w:rPr>
                <w:b/>
                <w:sz w:val="24"/>
                <w:szCs w:val="21"/>
              </w:rPr>
            </w:pPr>
            <w:r>
              <w:rPr>
                <w:rFonts w:hint="eastAsia"/>
                <w:b/>
                <w:sz w:val="24"/>
                <w:szCs w:val="21"/>
              </w:rPr>
              <w:t>4、</w:t>
            </w:r>
            <w:r>
              <w:rPr>
                <w:b/>
                <w:sz w:val="24"/>
                <w:szCs w:val="21"/>
              </w:rPr>
              <w:t>与《牛栏江流域（云南部分）水环境保护规划（2009~2030）》的相符性分析</w:t>
            </w:r>
          </w:p>
          <w:p>
            <w:pPr>
              <w:adjustRightInd w:val="0"/>
              <w:spacing w:line="360" w:lineRule="auto"/>
              <w:ind w:firstLine="480" w:firstLineChars="200"/>
              <w:rPr>
                <w:sz w:val="24"/>
                <w:szCs w:val="21"/>
              </w:rPr>
            </w:pPr>
            <w:r>
              <w:rPr>
                <w:sz w:val="24"/>
                <w:szCs w:val="21"/>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w:t>
            </w:r>
            <w:r>
              <w:rPr>
                <w:sz w:val="24"/>
                <w:szCs w:val="21"/>
                <w:vertAlign w:val="superscript"/>
              </w:rPr>
              <w:t>2</w:t>
            </w:r>
            <w:r>
              <w:rPr>
                <w:sz w:val="24"/>
                <w:szCs w:val="21"/>
              </w:rPr>
              <w:t>，属于重点保护区。重点污染控制区主要是水源保护核心区边界外的坝区。涉及小哨乡、嵩阳镇、小街镇、杨桥乡、羊街镇、金所乡、月望乡、大坡乡、菱角乡、田坝乡十个乡镇，面积1892.56km</w:t>
            </w:r>
            <w:r>
              <w:rPr>
                <w:sz w:val="24"/>
                <w:szCs w:val="21"/>
                <w:vertAlign w:val="superscript"/>
              </w:rPr>
              <w:t>2</w:t>
            </w:r>
            <w:r>
              <w:rPr>
                <w:sz w:val="24"/>
                <w:szCs w:val="21"/>
              </w:rPr>
              <w:t>，属于污染重点治理区。水源涵养区包括除水源保护核心区、重点污染控制区以外的山地。涉及杨林镇、仁德镇、通泉镇、王家庄镇、马过河镇、旧县镇六个乡镇，面积1764.16km</w:t>
            </w:r>
            <w:r>
              <w:rPr>
                <w:sz w:val="24"/>
                <w:szCs w:val="21"/>
                <w:vertAlign w:val="superscript"/>
              </w:rPr>
              <w:t>2</w:t>
            </w:r>
            <w:r>
              <w:rPr>
                <w:sz w:val="24"/>
                <w:szCs w:val="21"/>
              </w:rPr>
              <w:t>。</w:t>
            </w:r>
          </w:p>
          <w:p>
            <w:pPr>
              <w:widowControl/>
              <w:adjustRightInd w:val="0"/>
              <w:spacing w:line="360" w:lineRule="auto"/>
              <w:ind w:firstLine="480" w:firstLineChars="200"/>
              <w:rPr>
                <w:sz w:val="24"/>
              </w:rPr>
            </w:pPr>
            <w:r>
              <w:rPr>
                <w:rFonts w:hint="eastAsia" w:cs="宋体"/>
                <w:kern w:val="0"/>
                <w:sz w:val="24"/>
                <w:lang w:bidi="ar"/>
              </w:rPr>
              <w:t>本项目位于寻甸特色产业园区羊街片区，根据牛栏江水系功能规划图，属于重点污染控制区。根据《牛栏江流域（云南部分）水环境保护规划（</w:t>
            </w:r>
            <w:r>
              <w:rPr>
                <w:kern w:val="0"/>
                <w:sz w:val="24"/>
                <w:lang w:bidi="ar"/>
              </w:rPr>
              <w:t>2009~2030</w:t>
            </w:r>
            <w:r>
              <w:rPr>
                <w:rFonts w:hint="eastAsia" w:cs="宋体"/>
                <w:kern w:val="0"/>
                <w:sz w:val="24"/>
                <w:lang w:bidi="ar"/>
              </w:rPr>
              <w:t>）》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widowControl/>
              <w:adjustRightInd w:val="0"/>
              <w:spacing w:line="360" w:lineRule="auto"/>
              <w:ind w:firstLine="480" w:firstLineChars="200"/>
              <w:rPr>
                <w:sz w:val="24"/>
              </w:rPr>
            </w:pPr>
            <w:r>
              <w:rPr>
                <w:rFonts w:hint="eastAsia" w:cs="宋体"/>
                <w:kern w:val="0"/>
                <w:sz w:val="24"/>
                <w:highlight w:val="green"/>
                <w:lang w:bidi="ar"/>
              </w:rPr>
              <w:t>本项目供热工程技改新增5t/h导热油锅炉烟气水膜除尘治理设施废水经沉淀池沉淀后循环使用，不外排</w:t>
            </w:r>
            <w:r>
              <w:rPr>
                <w:rFonts w:hint="eastAsia" w:cs="宋体"/>
                <w:kern w:val="0"/>
                <w:sz w:val="24"/>
                <w:lang w:bidi="ar"/>
              </w:rPr>
              <w:t>。本项目依托厂区现有项目已建一般固废暂存区及危险废物暂存间等固废收集设施，可保证固体废物合理收集处置。本项目新增5t/h导热油锅炉炉渣、多管旋风除尘器收集的除尘灰、水膜除尘装置除尘渣、沉淀池污泥统一收集后暂存于一般固废暂存区定期委托环卫部门清运处置。筛选打磨工序</w:t>
            </w:r>
            <w:r>
              <w:rPr>
                <w:rFonts w:hint="eastAsia" w:cs="宋体"/>
                <w:kern w:val="0"/>
                <w:sz w:val="24"/>
                <w:highlight w:val="green"/>
                <w:lang w:bidi="ar"/>
              </w:rPr>
              <w:t>新增</w:t>
            </w:r>
            <w:r>
              <w:rPr>
                <w:rFonts w:hint="eastAsia" w:cs="宋体"/>
                <w:kern w:val="0"/>
                <w:sz w:val="24"/>
                <w:lang w:bidi="ar"/>
              </w:rPr>
              <w:t>除尘装置收集除尘灰收集后用作导热油锅炉燃料。5t/h导热油锅炉更换废导热油收集后暂存于危险废物暂存间，定期委托寻甸同磊再生资源回收有限公司清运处置。热压凉板工序</w:t>
            </w:r>
            <w:r>
              <w:rPr>
                <w:rFonts w:hint="eastAsia" w:cs="宋体"/>
                <w:kern w:val="0"/>
                <w:sz w:val="24"/>
                <w:highlight w:val="green"/>
                <w:lang w:bidi="ar"/>
              </w:rPr>
              <w:t>新增</w:t>
            </w:r>
            <w:r>
              <w:rPr>
                <w:rFonts w:hint="eastAsia" w:cs="宋体"/>
                <w:kern w:val="0"/>
                <w:sz w:val="24"/>
                <w:lang w:bidi="ar"/>
              </w:rPr>
              <w:t>三级活性炭吸附装置产生的废活性炭集中收集后暂存于危险废物暂存间内，委托曲靖银发危险废物集中处置中心有限公司处置。固废处置率100%。</w:t>
            </w:r>
          </w:p>
          <w:p>
            <w:pPr>
              <w:adjustRightInd w:val="0"/>
              <w:spacing w:line="360" w:lineRule="auto"/>
              <w:ind w:firstLine="480" w:firstLineChars="200"/>
              <w:rPr>
                <w:sz w:val="24"/>
                <w:szCs w:val="21"/>
              </w:rPr>
            </w:pPr>
            <w:r>
              <w:rPr>
                <w:sz w:val="24"/>
                <w:szCs w:val="21"/>
              </w:rPr>
              <w:t>综上所述，项目选址符合《牛栏江流域（云南部分）水环境保护规划（2009~2030）》对重点污染控制区的水环境保护要求。</w:t>
            </w:r>
          </w:p>
          <w:p>
            <w:pPr>
              <w:tabs>
                <w:tab w:val="left" w:pos="369"/>
              </w:tabs>
              <w:adjustRightInd w:val="0"/>
              <w:spacing w:line="360" w:lineRule="auto"/>
              <w:ind w:firstLine="482" w:firstLineChars="200"/>
              <w:rPr>
                <w:b/>
                <w:sz w:val="24"/>
                <w:szCs w:val="21"/>
              </w:rPr>
            </w:pPr>
            <w:r>
              <w:rPr>
                <w:rFonts w:hint="eastAsia"/>
                <w:b/>
                <w:sz w:val="24"/>
                <w:szCs w:val="21"/>
              </w:rPr>
              <w:t>5、</w:t>
            </w:r>
            <w:r>
              <w:rPr>
                <w:b/>
                <w:sz w:val="24"/>
                <w:szCs w:val="21"/>
              </w:rPr>
              <w:t>与《牛栏江流域（寻甸段）水环境保护规划》的相符性分析</w:t>
            </w:r>
          </w:p>
          <w:p>
            <w:pPr>
              <w:widowControl/>
              <w:adjustRightInd w:val="0"/>
              <w:spacing w:line="360" w:lineRule="auto"/>
              <w:ind w:firstLine="480" w:firstLineChars="200"/>
              <w:rPr>
                <w:sz w:val="24"/>
                <w:szCs w:val="21"/>
              </w:rPr>
            </w:pPr>
            <w:r>
              <w:rPr>
                <w:rFonts w:hint="eastAsia" w:cs="宋体"/>
                <w:kern w:val="0"/>
                <w:sz w:val="24"/>
                <w:lang w:bidi="ar"/>
              </w:rPr>
              <w:t>根据《牛栏江流域（寻甸段）水环境保护规划（</w:t>
            </w:r>
            <w:r>
              <w:rPr>
                <w:kern w:val="0"/>
                <w:sz w:val="24"/>
                <w:lang w:bidi="ar"/>
              </w:rPr>
              <w:t>2011~2030</w:t>
            </w:r>
            <w:r>
              <w:rPr>
                <w:rFonts w:hint="eastAsia" w:cs="宋体"/>
                <w:kern w:val="0"/>
                <w:sz w:val="24"/>
                <w:lang w:bidi="ar"/>
              </w:rPr>
              <w:t>）》可知，牛栏江流域（寻甸段）水环境分区范围涉及规划区干流及主要支流（前进河、羊街河、马龙河等）河流径流区，规划分为三个保护区：水源保护核心区、重点污染控制区、重点水源涵养区；本项目位于寻甸县寻甸特色产业园区羊街片区，属于重点污染控制区。对照《牛栏江（寻甸段）水环境保护规划（</w:t>
            </w:r>
            <w:r>
              <w:rPr>
                <w:kern w:val="0"/>
                <w:sz w:val="24"/>
                <w:lang w:bidi="ar"/>
              </w:rPr>
              <w:t>2011~2030</w:t>
            </w:r>
            <w:r>
              <w:rPr>
                <w:rFonts w:hint="eastAsia" w:cs="宋体"/>
                <w:kern w:val="0"/>
                <w:sz w:val="24"/>
                <w:lang w:bidi="ar"/>
              </w:rPr>
              <w:t>）》对重点污染控制区的水环境保护策略，项目符合性见下表。</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1-</w:t>
            </w:r>
            <w:r>
              <w:rPr>
                <w:rFonts w:cs="宋体"/>
                <w:b/>
                <w:bCs/>
                <w:kern w:val="0"/>
                <w:sz w:val="24"/>
                <w:szCs w:val="20"/>
                <w:lang w:bidi="ar"/>
              </w:rPr>
              <w:t>7  与《牛栏江流域（寻甸段）水环境保护规划》对照分析</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08"/>
              <w:gridCol w:w="2793"/>
              <w:gridCol w:w="370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1" w:hRule="atLeast"/>
                <w:jc w:val="center"/>
              </w:trPr>
              <w:tc>
                <w:tcPr>
                  <w:tcW w:w="320" w:type="pct"/>
                  <w:vAlign w:val="center"/>
                </w:tcPr>
                <w:p>
                  <w:pPr>
                    <w:adjustRightInd w:val="0"/>
                    <w:jc w:val="center"/>
                    <w:rPr>
                      <w:b/>
                      <w:szCs w:val="21"/>
                    </w:rPr>
                  </w:pPr>
                  <w:r>
                    <w:rPr>
                      <w:b/>
                      <w:szCs w:val="21"/>
                    </w:rPr>
                    <w:t>序号</w:t>
                  </w:r>
                </w:p>
              </w:tc>
              <w:tc>
                <w:tcPr>
                  <w:tcW w:w="1760" w:type="pct"/>
                  <w:vAlign w:val="center"/>
                </w:tcPr>
                <w:p>
                  <w:pPr>
                    <w:adjustRightInd w:val="0"/>
                    <w:jc w:val="center"/>
                    <w:rPr>
                      <w:b/>
                      <w:szCs w:val="21"/>
                    </w:rPr>
                  </w:pPr>
                  <w:r>
                    <w:rPr>
                      <w:b/>
                      <w:szCs w:val="21"/>
                    </w:rPr>
                    <w:t>《牛栏江流域（寻甸段）水环境保护规划》选址条件</w:t>
                  </w:r>
                </w:p>
              </w:tc>
              <w:tc>
                <w:tcPr>
                  <w:tcW w:w="2334" w:type="pct"/>
                  <w:vAlign w:val="center"/>
                </w:tcPr>
                <w:p>
                  <w:pPr>
                    <w:adjustRightInd w:val="0"/>
                    <w:jc w:val="center"/>
                    <w:rPr>
                      <w:b/>
                      <w:szCs w:val="21"/>
                    </w:rPr>
                  </w:pPr>
                  <w:r>
                    <w:rPr>
                      <w:b/>
                      <w:szCs w:val="21"/>
                    </w:rPr>
                    <w:t>本项目实际情况</w:t>
                  </w:r>
                </w:p>
              </w:tc>
              <w:tc>
                <w:tcPr>
                  <w:tcW w:w="586" w:type="pct"/>
                  <w:vAlign w:val="center"/>
                </w:tcPr>
                <w:p>
                  <w:pPr>
                    <w:adjustRightInd w:val="0"/>
                    <w:jc w:val="center"/>
                    <w:rPr>
                      <w:b/>
                      <w:szCs w:val="21"/>
                    </w:rPr>
                  </w:pPr>
                  <w:r>
                    <w:rPr>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1" w:hRule="atLeast"/>
                <w:jc w:val="center"/>
              </w:trPr>
              <w:tc>
                <w:tcPr>
                  <w:tcW w:w="320" w:type="pct"/>
                  <w:vMerge w:val="restart"/>
                  <w:vAlign w:val="center"/>
                </w:tcPr>
                <w:p>
                  <w:pPr>
                    <w:adjustRightInd w:val="0"/>
                    <w:jc w:val="center"/>
                    <w:rPr>
                      <w:szCs w:val="21"/>
                    </w:rPr>
                  </w:pPr>
                  <w:r>
                    <w:rPr>
                      <w:szCs w:val="21"/>
                    </w:rPr>
                    <w:t>1</w:t>
                  </w:r>
                </w:p>
              </w:tc>
              <w:tc>
                <w:tcPr>
                  <w:tcW w:w="1760" w:type="pct"/>
                  <w:vAlign w:val="center"/>
                </w:tcPr>
                <w:p>
                  <w:pPr>
                    <w:adjustRightInd w:val="0"/>
                    <w:jc w:val="center"/>
                    <w:rPr>
                      <w:szCs w:val="21"/>
                    </w:rPr>
                  </w:pPr>
                  <w:r>
                    <w:rPr>
                      <w:szCs w:val="21"/>
                    </w:rPr>
                    <w:t>加强对重点工业污染源的监督，确保牛栏江流域（寻甸段）内重点企业污水稳定达标排放并实现“零排放”。</w:t>
                  </w:r>
                </w:p>
              </w:tc>
              <w:tc>
                <w:tcPr>
                  <w:tcW w:w="2334" w:type="pct"/>
                  <w:vAlign w:val="center"/>
                </w:tcPr>
                <w:p>
                  <w:pPr>
                    <w:adjustRightInd w:val="0"/>
                    <w:jc w:val="center"/>
                    <w:rPr>
                      <w:szCs w:val="21"/>
                    </w:rPr>
                  </w:pPr>
                  <w:r>
                    <w:rPr>
                      <w:rFonts w:hint="eastAsia" w:cs="宋体"/>
                      <w:kern w:val="0"/>
                      <w:szCs w:val="20"/>
                      <w:highlight w:val="green"/>
                      <w:lang w:bidi="ar"/>
                    </w:rPr>
                    <w:t>本项目供热工程技改新增5</w:t>
                  </w:r>
                  <w:r>
                    <w:rPr>
                      <w:rFonts w:cs="宋体"/>
                      <w:kern w:val="0"/>
                      <w:szCs w:val="20"/>
                      <w:highlight w:val="green"/>
                      <w:lang w:bidi="ar"/>
                    </w:rPr>
                    <w:t>t/h</w:t>
                  </w:r>
                  <w:r>
                    <w:rPr>
                      <w:rFonts w:hint="eastAsia" w:cs="宋体"/>
                      <w:kern w:val="0"/>
                      <w:szCs w:val="20"/>
                      <w:highlight w:val="green"/>
                      <w:lang w:bidi="ar"/>
                    </w:rPr>
                    <w:t>导热油锅炉</w:t>
                  </w:r>
                  <w:r>
                    <w:rPr>
                      <w:rFonts w:hint="eastAsia"/>
                      <w:szCs w:val="21"/>
                      <w:highlight w:val="green"/>
                    </w:rPr>
                    <w:t>烟气水膜除尘治理设施废水经沉淀池沉淀后循环使用，不外排</w:t>
                  </w:r>
                  <w:r>
                    <w:rPr>
                      <w:rFonts w:hint="eastAsia" w:cs="宋体"/>
                      <w:kern w:val="0"/>
                      <w:szCs w:val="20"/>
                      <w:lang w:bidi="ar"/>
                    </w:rPr>
                    <w:t>。</w:t>
                  </w:r>
                </w:p>
              </w:tc>
              <w:tc>
                <w:tcPr>
                  <w:tcW w:w="586" w:type="pct"/>
                  <w:vAlign w:val="center"/>
                </w:tcPr>
                <w:p>
                  <w:pPr>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1" w:hRule="atLeast"/>
                <w:jc w:val="center"/>
              </w:trPr>
              <w:tc>
                <w:tcPr>
                  <w:tcW w:w="320" w:type="pct"/>
                  <w:vMerge w:val="continue"/>
                  <w:vAlign w:val="center"/>
                </w:tcPr>
                <w:p>
                  <w:pPr>
                    <w:adjustRightInd w:val="0"/>
                    <w:jc w:val="center"/>
                    <w:rPr>
                      <w:szCs w:val="21"/>
                    </w:rPr>
                  </w:pPr>
                </w:p>
              </w:tc>
              <w:tc>
                <w:tcPr>
                  <w:tcW w:w="1760" w:type="pct"/>
                  <w:vAlign w:val="center"/>
                </w:tcPr>
                <w:p>
                  <w:pPr>
                    <w:adjustRightInd w:val="0"/>
                    <w:jc w:val="center"/>
                    <w:rPr>
                      <w:szCs w:val="21"/>
                    </w:rPr>
                  </w:pPr>
                  <w:r>
                    <w:rPr>
                      <w:szCs w:val="21"/>
                    </w:rPr>
                    <w:t>固体废弃物最大程度重复利用和安全处置，消除工业企业的环境安全隐患，确保环保设施的正常运行，杜绝工业企业偷排、漏排污染物的现象。</w:t>
                  </w:r>
                </w:p>
              </w:tc>
              <w:tc>
                <w:tcPr>
                  <w:tcW w:w="2334" w:type="pct"/>
                  <w:vAlign w:val="center"/>
                </w:tcPr>
                <w:p>
                  <w:pPr>
                    <w:adjustRightInd w:val="0"/>
                    <w:jc w:val="center"/>
                    <w:rPr>
                      <w:szCs w:val="21"/>
                    </w:rPr>
                  </w:pPr>
                  <w:r>
                    <w:rPr>
                      <w:rFonts w:hint="eastAsia"/>
                      <w:szCs w:val="21"/>
                    </w:rPr>
                    <w:t>本项目依托厂区现有项目已建一般固废暂存区及危险废物暂存间等固废收集设施，可保证固体废物合理收集处置。本项目新增5t/h导热油锅炉</w:t>
                  </w:r>
                  <w:r>
                    <w:rPr>
                      <w:szCs w:val="21"/>
                    </w:rPr>
                    <w:t>炉渣、</w:t>
                  </w:r>
                  <w:r>
                    <w:rPr>
                      <w:rFonts w:hint="eastAsia"/>
                      <w:szCs w:val="21"/>
                    </w:rPr>
                    <w:t>多管旋风除尘器收集的除尘灰</w:t>
                  </w:r>
                  <w:r>
                    <w:rPr>
                      <w:szCs w:val="21"/>
                    </w:rPr>
                    <w:t>、水膜除尘装置除尘渣</w:t>
                  </w:r>
                  <w:r>
                    <w:rPr>
                      <w:rFonts w:hint="eastAsia"/>
                      <w:szCs w:val="21"/>
                    </w:rPr>
                    <w:t>、沉淀池污泥</w:t>
                  </w:r>
                  <w:r>
                    <w:rPr>
                      <w:szCs w:val="21"/>
                    </w:rPr>
                    <w:t>统一收集后暂存于一般固废暂存区定期委托环卫部门清运处置。</w:t>
                  </w:r>
                  <w:r>
                    <w:rPr>
                      <w:rFonts w:hint="eastAsia"/>
                      <w:szCs w:val="21"/>
                    </w:rPr>
                    <w:t>筛选打磨工序</w:t>
                  </w:r>
                  <w:r>
                    <w:rPr>
                      <w:rFonts w:hint="eastAsia"/>
                      <w:szCs w:val="21"/>
                      <w:highlight w:val="green"/>
                    </w:rPr>
                    <w:t>新增</w:t>
                  </w:r>
                  <w:r>
                    <w:rPr>
                      <w:rFonts w:hint="eastAsia"/>
                      <w:szCs w:val="21"/>
                    </w:rPr>
                    <w:t>除尘装置收集除尘灰收集后用作导热油锅炉燃料。5</w:t>
                  </w:r>
                  <w:r>
                    <w:rPr>
                      <w:szCs w:val="21"/>
                    </w:rPr>
                    <w:t>t/h</w:t>
                  </w:r>
                  <w:r>
                    <w:rPr>
                      <w:rFonts w:hint="eastAsia"/>
                      <w:szCs w:val="21"/>
                    </w:rPr>
                    <w:t>导热油锅炉更换</w:t>
                  </w:r>
                  <w:r>
                    <w:rPr>
                      <w:szCs w:val="21"/>
                    </w:rPr>
                    <w:t>废导热油收集后暂存于危险废物暂存间，定期委托寻甸同磊再生资源回收有限公司清运处置。</w:t>
                  </w:r>
                  <w:r>
                    <w:rPr>
                      <w:rFonts w:hint="eastAsia"/>
                      <w:szCs w:val="21"/>
                    </w:rPr>
                    <w:t>热压凉板工序</w:t>
                  </w:r>
                  <w:r>
                    <w:rPr>
                      <w:rFonts w:hint="eastAsia"/>
                      <w:szCs w:val="21"/>
                      <w:highlight w:val="green"/>
                    </w:rPr>
                    <w:t>新增</w:t>
                  </w:r>
                  <w:r>
                    <w:rPr>
                      <w:rFonts w:hint="eastAsia"/>
                      <w:szCs w:val="21"/>
                    </w:rPr>
                    <w:t>三级活性炭吸附装置产生的</w:t>
                  </w:r>
                  <w:r>
                    <w:rPr>
                      <w:szCs w:val="21"/>
                    </w:rPr>
                    <w:t>废活性炭集中收集后暂存于</w:t>
                  </w:r>
                  <w:r>
                    <w:rPr>
                      <w:rFonts w:hint="eastAsia"/>
                      <w:szCs w:val="21"/>
                    </w:rPr>
                    <w:t>危险废物</w:t>
                  </w:r>
                  <w:r>
                    <w:rPr>
                      <w:szCs w:val="21"/>
                    </w:rPr>
                    <w:t>暂存间内，委托曲靖银发危险废物集中处置中心有限公司处置。固废处置率100%。</w:t>
                  </w:r>
                </w:p>
              </w:tc>
              <w:tc>
                <w:tcPr>
                  <w:tcW w:w="586" w:type="pct"/>
                  <w:vAlign w:val="center"/>
                </w:tcPr>
                <w:p>
                  <w:pPr>
                    <w:adjustRightIn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1" w:hRule="atLeast"/>
                <w:jc w:val="center"/>
              </w:trPr>
              <w:tc>
                <w:tcPr>
                  <w:tcW w:w="320" w:type="pct"/>
                  <w:vAlign w:val="center"/>
                </w:tcPr>
                <w:p>
                  <w:pPr>
                    <w:adjustRightInd w:val="0"/>
                    <w:jc w:val="center"/>
                    <w:rPr>
                      <w:szCs w:val="21"/>
                    </w:rPr>
                  </w:pPr>
                  <w:r>
                    <w:rPr>
                      <w:szCs w:val="21"/>
                    </w:rPr>
                    <w:t>2</w:t>
                  </w:r>
                </w:p>
              </w:tc>
              <w:tc>
                <w:tcPr>
                  <w:tcW w:w="1760" w:type="pct"/>
                  <w:vAlign w:val="center"/>
                </w:tcPr>
                <w:p>
                  <w:pPr>
                    <w:adjustRightInd w:val="0"/>
                    <w:jc w:val="center"/>
                    <w:rPr>
                      <w:szCs w:val="21"/>
                    </w:rPr>
                  </w:pPr>
                  <w:r>
                    <w:rPr>
                      <w:szCs w:val="21"/>
                    </w:rPr>
                    <w:t>建设再生水回用系统，污染控制区内不得建设不符合国家产业政策的工业项目及高污染工业项目；</w:t>
                  </w:r>
                </w:p>
              </w:tc>
              <w:tc>
                <w:tcPr>
                  <w:tcW w:w="2334" w:type="pct"/>
                  <w:vAlign w:val="center"/>
                </w:tcPr>
                <w:p>
                  <w:pPr>
                    <w:adjustRightInd w:val="0"/>
                    <w:jc w:val="center"/>
                    <w:rPr>
                      <w:szCs w:val="21"/>
                    </w:rPr>
                  </w:pPr>
                  <w:r>
                    <w:rPr>
                      <w:rFonts w:hint="eastAsia" w:cs="宋体"/>
                      <w:kern w:val="0"/>
                      <w:szCs w:val="20"/>
                      <w:highlight w:val="green"/>
                      <w:lang w:bidi="ar"/>
                    </w:rPr>
                    <w:t>本项目供热工程技改新增5</w:t>
                  </w:r>
                  <w:r>
                    <w:rPr>
                      <w:rFonts w:cs="宋体"/>
                      <w:kern w:val="0"/>
                      <w:szCs w:val="20"/>
                      <w:highlight w:val="green"/>
                      <w:lang w:bidi="ar"/>
                    </w:rPr>
                    <w:t>t/h</w:t>
                  </w:r>
                  <w:r>
                    <w:rPr>
                      <w:rFonts w:hint="eastAsia" w:cs="宋体"/>
                      <w:kern w:val="0"/>
                      <w:szCs w:val="20"/>
                      <w:highlight w:val="green"/>
                      <w:lang w:bidi="ar"/>
                    </w:rPr>
                    <w:t>导热油锅炉</w:t>
                  </w:r>
                  <w:r>
                    <w:rPr>
                      <w:rFonts w:hint="eastAsia"/>
                      <w:szCs w:val="21"/>
                      <w:highlight w:val="green"/>
                    </w:rPr>
                    <w:t>烟气水膜除尘治理设施废水经沉淀池沉淀后循环使用，不外排</w:t>
                  </w:r>
                  <w:r>
                    <w:rPr>
                      <w:rFonts w:hint="eastAsia" w:cs="宋体"/>
                      <w:kern w:val="0"/>
                      <w:szCs w:val="20"/>
                      <w:lang w:bidi="ar"/>
                    </w:rPr>
                    <w:t>。</w:t>
                  </w:r>
                  <w:r>
                    <w:rPr>
                      <w:szCs w:val="21"/>
                    </w:rPr>
                    <w:t>项目不属于高污染工业项目，不属于限制类和淘汰类项目，符合国家产业政策。</w:t>
                  </w:r>
                </w:p>
              </w:tc>
              <w:tc>
                <w:tcPr>
                  <w:tcW w:w="586" w:type="pct"/>
                  <w:vAlign w:val="center"/>
                </w:tcPr>
                <w:p>
                  <w:pPr>
                    <w:adjustRightInd w:val="0"/>
                    <w:jc w:val="center"/>
                    <w:rPr>
                      <w:szCs w:val="21"/>
                    </w:rPr>
                  </w:pPr>
                  <w:r>
                    <w:rPr>
                      <w:szCs w:val="21"/>
                    </w:rPr>
                    <w:t>符合</w:t>
                  </w:r>
                </w:p>
              </w:tc>
            </w:tr>
          </w:tbl>
          <w:p>
            <w:pPr>
              <w:widowControl/>
              <w:spacing w:before="120" w:beforeLines="50" w:line="360" w:lineRule="auto"/>
              <w:ind w:firstLine="480" w:firstLineChars="200"/>
              <w:rPr>
                <w:sz w:val="24"/>
              </w:rPr>
            </w:pPr>
            <w:r>
              <w:rPr>
                <w:rFonts w:hint="eastAsia" w:cs="宋体"/>
                <w:kern w:val="0"/>
                <w:sz w:val="24"/>
                <w:lang w:bidi="ar"/>
              </w:rPr>
              <w:t>由上表可知，项目符合《牛栏江流域（寻甸段）水环境保护规划》对重点污染控制区的相关要求。</w:t>
            </w:r>
          </w:p>
          <w:p>
            <w:pPr>
              <w:autoSpaceDE w:val="0"/>
              <w:autoSpaceDN w:val="0"/>
              <w:adjustRightInd w:val="0"/>
              <w:spacing w:line="360" w:lineRule="auto"/>
              <w:ind w:firstLine="482" w:firstLineChars="200"/>
              <w:rPr>
                <w:b/>
                <w:bCs/>
                <w:sz w:val="24"/>
                <w:szCs w:val="21"/>
              </w:rPr>
            </w:pPr>
            <w:r>
              <w:rPr>
                <w:b/>
                <w:bCs/>
                <w:sz w:val="24"/>
                <w:szCs w:val="21"/>
              </w:rPr>
              <w:t>6</w:t>
            </w:r>
            <w:r>
              <w:rPr>
                <w:rFonts w:hint="eastAsia"/>
                <w:b/>
                <w:bCs/>
                <w:sz w:val="24"/>
                <w:szCs w:val="21"/>
              </w:rPr>
              <w:t>、与《长江经济带生态环境保护规划》及《关于印发&lt;长江经济带发展负面清单指南（试行，2022年版）&gt;的通知》的符合性分析</w:t>
            </w:r>
          </w:p>
          <w:p>
            <w:pPr>
              <w:autoSpaceDE w:val="0"/>
              <w:autoSpaceDN w:val="0"/>
              <w:adjustRightInd w:val="0"/>
              <w:spacing w:line="360" w:lineRule="auto"/>
              <w:ind w:firstLine="480" w:firstLineChars="200"/>
              <w:rPr>
                <w:bCs/>
                <w:sz w:val="24"/>
                <w:szCs w:val="21"/>
              </w:rPr>
            </w:pPr>
            <w:r>
              <w:rPr>
                <w:rFonts w:hint="eastAsia"/>
                <w:bCs/>
                <w:sz w:val="24"/>
                <w:szCs w:val="21"/>
              </w:rPr>
              <w:t>2017年7月18日，国家环境保护部、发展改革委、水利部联合印发了《长江经济带生态环境保护规划》（环规财〔2017〕88号），2022年1月19日，推动长江经济带发展领导小组办公室发布了《关于印发&lt;长江经济带发展负面清单指南（试行，2022年版）&gt;的通知》（长江办[2022]7号）。项目与《长江经济带发展负面清单指南（试行，2022年版）》的符合性分析见下表。</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表1-</w:t>
            </w:r>
            <w:r>
              <w:rPr>
                <w:rFonts w:hint="eastAsia" w:cs="宋体"/>
                <w:b/>
                <w:bCs/>
                <w:kern w:val="0"/>
                <w:sz w:val="24"/>
                <w:szCs w:val="20"/>
                <w:lang w:bidi="ar"/>
              </w:rPr>
              <w:t>8</w:t>
            </w:r>
            <w:r>
              <w:rPr>
                <w:rFonts w:cs="宋体"/>
                <w:b/>
                <w:bCs/>
                <w:kern w:val="0"/>
                <w:sz w:val="24"/>
                <w:szCs w:val="20"/>
                <w:lang w:bidi="ar"/>
              </w:rPr>
              <w:t xml:space="preserve">  </w:t>
            </w:r>
            <w:r>
              <w:rPr>
                <w:rFonts w:hint="eastAsia" w:cs="宋体"/>
                <w:b/>
                <w:bCs/>
                <w:kern w:val="0"/>
                <w:sz w:val="24"/>
                <w:szCs w:val="20"/>
                <w:lang w:bidi="ar"/>
              </w:rPr>
              <w:t>与《长江经济带发展负面清单指南（试行，2022年版）》</w:t>
            </w:r>
            <w:r>
              <w:rPr>
                <w:rFonts w:cs="宋体"/>
                <w:b/>
                <w:bCs/>
                <w:kern w:val="0"/>
                <w:sz w:val="24"/>
                <w:szCs w:val="20"/>
                <w:lang w:bidi="ar"/>
              </w:rPr>
              <w:t>对照分析表</w:t>
            </w:r>
          </w:p>
          <w:tbl>
            <w:tblPr>
              <w:tblStyle w:val="32"/>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76"/>
              <w:gridCol w:w="4143"/>
              <w:gridCol w:w="2462"/>
              <w:gridCol w:w="684"/>
            </w:tblGrid>
            <w:tr>
              <w:trPr>
                <w:trHeight w:val="553" w:hRule="atLeast"/>
                <w:jc w:val="center"/>
              </w:trPr>
              <w:tc>
                <w:tcPr>
                  <w:tcW w:w="366" w:type="pct"/>
                  <w:vAlign w:val="center"/>
                </w:tcPr>
                <w:p>
                  <w:pPr>
                    <w:autoSpaceDE w:val="0"/>
                    <w:autoSpaceDN w:val="0"/>
                    <w:adjustRightInd w:val="0"/>
                    <w:jc w:val="center"/>
                    <w:rPr>
                      <w:b/>
                      <w:kern w:val="0"/>
                      <w:szCs w:val="21"/>
                    </w:rPr>
                  </w:pPr>
                  <w:r>
                    <w:rPr>
                      <w:b/>
                      <w:kern w:val="0"/>
                      <w:szCs w:val="21"/>
                    </w:rPr>
                    <w:t>序号</w:t>
                  </w:r>
                </w:p>
              </w:tc>
              <w:tc>
                <w:tcPr>
                  <w:tcW w:w="2634" w:type="pct"/>
                  <w:vAlign w:val="center"/>
                </w:tcPr>
                <w:p>
                  <w:pPr>
                    <w:autoSpaceDE w:val="0"/>
                    <w:autoSpaceDN w:val="0"/>
                    <w:adjustRightInd w:val="0"/>
                    <w:jc w:val="center"/>
                    <w:rPr>
                      <w:b/>
                      <w:kern w:val="0"/>
                      <w:szCs w:val="21"/>
                    </w:rPr>
                  </w:pPr>
                  <w:r>
                    <w:rPr>
                      <w:b/>
                      <w:kern w:val="0"/>
                      <w:szCs w:val="21"/>
                    </w:rPr>
                    <w:t>《长江经济带发展负面清单指南（试行，2022年版）》</w:t>
                  </w:r>
                </w:p>
              </w:tc>
              <w:tc>
                <w:tcPr>
                  <w:tcW w:w="1565" w:type="pct"/>
                  <w:vAlign w:val="center"/>
                </w:tcPr>
                <w:p>
                  <w:pPr>
                    <w:autoSpaceDE w:val="0"/>
                    <w:autoSpaceDN w:val="0"/>
                    <w:adjustRightInd w:val="0"/>
                    <w:jc w:val="center"/>
                    <w:rPr>
                      <w:b/>
                      <w:kern w:val="0"/>
                      <w:szCs w:val="21"/>
                    </w:rPr>
                  </w:pPr>
                  <w:r>
                    <w:rPr>
                      <w:rFonts w:hint="eastAsia"/>
                      <w:b/>
                      <w:kern w:val="0"/>
                      <w:szCs w:val="21"/>
                    </w:rPr>
                    <w:t>本</w:t>
                  </w:r>
                  <w:r>
                    <w:rPr>
                      <w:b/>
                      <w:kern w:val="0"/>
                      <w:szCs w:val="21"/>
                    </w:rPr>
                    <w:t>项目情况</w:t>
                  </w:r>
                </w:p>
              </w:tc>
              <w:tc>
                <w:tcPr>
                  <w:tcW w:w="435" w:type="pct"/>
                  <w:vAlign w:val="center"/>
                </w:tcPr>
                <w:p>
                  <w:pPr>
                    <w:autoSpaceDE w:val="0"/>
                    <w:autoSpaceDN w:val="0"/>
                    <w:adjustRightInd w:val="0"/>
                    <w:jc w:val="center"/>
                    <w:rPr>
                      <w:b/>
                      <w:kern w:val="0"/>
                      <w:szCs w:val="21"/>
                    </w:rPr>
                  </w:pPr>
                  <w:r>
                    <w:rPr>
                      <w:b/>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jc w:val="center"/>
              </w:trPr>
              <w:tc>
                <w:tcPr>
                  <w:tcW w:w="366" w:type="pct"/>
                  <w:vAlign w:val="center"/>
                </w:tcPr>
                <w:p>
                  <w:pPr>
                    <w:autoSpaceDE w:val="0"/>
                    <w:autoSpaceDN w:val="0"/>
                    <w:adjustRightInd w:val="0"/>
                    <w:jc w:val="center"/>
                    <w:rPr>
                      <w:kern w:val="0"/>
                      <w:szCs w:val="21"/>
                    </w:rPr>
                  </w:pPr>
                  <w:r>
                    <w:rPr>
                      <w:kern w:val="0"/>
                      <w:szCs w:val="21"/>
                    </w:rPr>
                    <w:t>1</w:t>
                  </w:r>
                </w:p>
              </w:tc>
              <w:tc>
                <w:tcPr>
                  <w:tcW w:w="2634" w:type="pct"/>
                  <w:vAlign w:val="center"/>
                </w:tcPr>
                <w:p>
                  <w:pPr>
                    <w:autoSpaceDE w:val="0"/>
                    <w:autoSpaceDN w:val="0"/>
                    <w:adjustRightInd w:val="0"/>
                    <w:jc w:val="center"/>
                    <w:rPr>
                      <w:kern w:val="0"/>
                      <w:szCs w:val="21"/>
                    </w:rPr>
                  </w:pPr>
                  <w:r>
                    <w:rPr>
                      <w:kern w:val="0"/>
                      <w:szCs w:val="21"/>
                    </w:rPr>
                    <w:t>禁止建设不符合全国和省级港口布局规划以及港口总体规划的码头项目，禁止建设不符合《长江于线过江通道布局规划》的过长江通道项目。</w:t>
                  </w:r>
                </w:p>
              </w:tc>
              <w:tc>
                <w:tcPr>
                  <w:tcW w:w="1565" w:type="pct"/>
                  <w:vAlign w:val="center"/>
                </w:tcPr>
                <w:p>
                  <w:pPr>
                    <w:autoSpaceDE w:val="0"/>
                    <w:autoSpaceDN w:val="0"/>
                    <w:adjustRightInd w:val="0"/>
                    <w:jc w:val="center"/>
                    <w:rPr>
                      <w:kern w:val="0"/>
                      <w:szCs w:val="21"/>
                    </w:rPr>
                  </w:pPr>
                  <w:r>
                    <w:rPr>
                      <w:rFonts w:hint="eastAsia"/>
                      <w:kern w:val="0"/>
                      <w:szCs w:val="21"/>
                    </w:rPr>
                    <w:t>本项目为现有项目的配套供热工程和环保工程技改项目，不属于</w:t>
                  </w:r>
                  <w:r>
                    <w:rPr>
                      <w:kern w:val="0"/>
                      <w:szCs w:val="21"/>
                    </w:rPr>
                    <w:t>码头项目</w:t>
                  </w:r>
                  <w:r>
                    <w:rPr>
                      <w:rFonts w:hint="eastAsia"/>
                      <w:kern w:val="0"/>
                      <w:szCs w:val="21"/>
                    </w:rPr>
                    <w:t>及</w:t>
                  </w:r>
                  <w:r>
                    <w:rPr>
                      <w:kern w:val="0"/>
                      <w:szCs w:val="21"/>
                    </w:rPr>
                    <w:t>过长江通道项目</w:t>
                  </w:r>
                  <w:r>
                    <w:rPr>
                      <w:rFonts w:hint="eastAsia"/>
                      <w:kern w:val="0"/>
                      <w:szCs w:val="21"/>
                    </w:rPr>
                    <w:t>。</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kern w:val="0"/>
                      <w:szCs w:val="21"/>
                    </w:rPr>
                    <w:t>2</w:t>
                  </w:r>
                </w:p>
              </w:tc>
              <w:tc>
                <w:tcPr>
                  <w:tcW w:w="2634" w:type="pct"/>
                  <w:vAlign w:val="center"/>
                </w:tcPr>
                <w:p>
                  <w:pPr>
                    <w:autoSpaceDE w:val="0"/>
                    <w:autoSpaceDN w:val="0"/>
                    <w:adjustRightInd w:val="0"/>
                    <w:jc w:val="center"/>
                    <w:rPr>
                      <w:kern w:val="0"/>
                      <w:szCs w:val="21"/>
                    </w:rPr>
                  </w:pPr>
                  <w:r>
                    <w:rPr>
                      <w:kern w:val="0"/>
                      <w:szCs w:val="21"/>
                    </w:rPr>
                    <w:t>禁止在自然保护区核心区、缓冲区的岸线和河段范围内投资建设旅游和生产经营项目。禁止在风景名胜区核心景区的岸线和河段范围内投资建设与风景名胜资源保护无关的项目。</w:t>
                  </w:r>
                </w:p>
              </w:tc>
              <w:tc>
                <w:tcPr>
                  <w:tcW w:w="1565" w:type="pct"/>
                  <w:vAlign w:val="center"/>
                </w:tcPr>
                <w:p>
                  <w:pPr>
                    <w:autoSpaceDE w:val="0"/>
                    <w:autoSpaceDN w:val="0"/>
                    <w:adjustRightInd w:val="0"/>
                    <w:jc w:val="center"/>
                    <w:rPr>
                      <w:kern w:val="0"/>
                      <w:szCs w:val="21"/>
                    </w:rPr>
                  </w:pPr>
                  <w:r>
                    <w:rPr>
                      <w:rFonts w:hint="eastAsia"/>
                      <w:kern w:val="0"/>
                      <w:szCs w:val="21"/>
                    </w:rPr>
                    <w:t>本</w:t>
                  </w:r>
                  <w:r>
                    <w:rPr>
                      <w:kern w:val="0"/>
                      <w:szCs w:val="21"/>
                    </w:rPr>
                    <w:t>项目</w:t>
                  </w:r>
                  <w:r>
                    <w:rPr>
                      <w:rFonts w:hint="eastAsia"/>
                      <w:kern w:val="0"/>
                      <w:szCs w:val="21"/>
                    </w:rPr>
                    <w:t>位于寻甸特色产业园区羊街片区，</w:t>
                  </w:r>
                  <w:r>
                    <w:rPr>
                      <w:kern w:val="0"/>
                      <w:szCs w:val="21"/>
                    </w:rPr>
                    <w:t>不</w:t>
                  </w:r>
                  <w:r>
                    <w:rPr>
                      <w:rFonts w:hint="eastAsia"/>
                      <w:kern w:val="0"/>
                      <w:szCs w:val="21"/>
                    </w:rPr>
                    <w:t>涉及</w:t>
                  </w:r>
                  <w:r>
                    <w:rPr>
                      <w:kern w:val="0"/>
                      <w:szCs w:val="21"/>
                    </w:rPr>
                    <w:t>自然保护区</w:t>
                  </w:r>
                  <w:r>
                    <w:rPr>
                      <w:rFonts w:hint="eastAsia"/>
                      <w:kern w:val="0"/>
                      <w:szCs w:val="21"/>
                    </w:rPr>
                    <w:t>和风景名胜区</w:t>
                  </w:r>
                  <w:r>
                    <w:rPr>
                      <w:kern w:val="0"/>
                      <w:szCs w:val="21"/>
                    </w:rPr>
                    <w:t>。</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3</w:t>
                  </w:r>
                </w:p>
              </w:tc>
              <w:tc>
                <w:tcPr>
                  <w:tcW w:w="2634" w:type="pct"/>
                  <w:vAlign w:val="center"/>
                </w:tcPr>
                <w:p>
                  <w:pPr>
                    <w:autoSpaceDE w:val="0"/>
                    <w:autoSpaceDN w:val="0"/>
                    <w:adjustRightInd w:val="0"/>
                    <w:jc w:val="center"/>
                    <w:rPr>
                      <w:kern w:val="0"/>
                      <w:szCs w:val="21"/>
                    </w:rPr>
                  </w:pPr>
                  <w:r>
                    <w:rPr>
                      <w:kern w:val="0"/>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65" w:type="pct"/>
                  <w:vAlign w:val="center"/>
                </w:tcPr>
                <w:p>
                  <w:pPr>
                    <w:autoSpaceDE w:val="0"/>
                    <w:autoSpaceDN w:val="0"/>
                    <w:adjustRightInd w:val="0"/>
                    <w:jc w:val="center"/>
                    <w:rPr>
                      <w:kern w:val="0"/>
                      <w:szCs w:val="21"/>
                    </w:rPr>
                  </w:pPr>
                  <w:r>
                    <w:rPr>
                      <w:rFonts w:hint="eastAsia"/>
                      <w:kern w:val="0"/>
                      <w:szCs w:val="21"/>
                    </w:rPr>
                    <w:t>本</w:t>
                  </w:r>
                  <w:r>
                    <w:rPr>
                      <w:kern w:val="0"/>
                      <w:szCs w:val="21"/>
                    </w:rPr>
                    <w:t>项目</w:t>
                  </w:r>
                  <w:r>
                    <w:rPr>
                      <w:rFonts w:hint="eastAsia"/>
                      <w:kern w:val="0"/>
                      <w:szCs w:val="21"/>
                    </w:rPr>
                    <w:t>位于寻甸特色产业园区羊街片区，不涉及</w:t>
                  </w:r>
                  <w:r>
                    <w:rPr>
                      <w:kern w:val="0"/>
                      <w:szCs w:val="21"/>
                    </w:rPr>
                    <w:t>饮用水水源</w:t>
                  </w:r>
                  <w:r>
                    <w:rPr>
                      <w:rFonts w:hint="eastAsia"/>
                      <w:kern w:val="0"/>
                      <w:szCs w:val="21"/>
                    </w:rPr>
                    <w:t>保护区。</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4</w:t>
                  </w:r>
                </w:p>
              </w:tc>
              <w:tc>
                <w:tcPr>
                  <w:tcW w:w="2634" w:type="pct"/>
                  <w:vAlign w:val="center"/>
                </w:tcPr>
                <w:p>
                  <w:pPr>
                    <w:autoSpaceDE w:val="0"/>
                    <w:autoSpaceDN w:val="0"/>
                    <w:adjustRightInd w:val="0"/>
                    <w:jc w:val="center"/>
                    <w:rPr>
                      <w:kern w:val="0"/>
                      <w:szCs w:val="21"/>
                    </w:rPr>
                  </w:pPr>
                  <w:r>
                    <w:rPr>
                      <w:kern w:val="0"/>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65" w:type="pct"/>
                  <w:vAlign w:val="center"/>
                </w:tcPr>
                <w:p>
                  <w:pPr>
                    <w:autoSpaceDE w:val="0"/>
                    <w:autoSpaceDN w:val="0"/>
                    <w:adjustRightInd w:val="0"/>
                    <w:jc w:val="center"/>
                    <w:rPr>
                      <w:kern w:val="0"/>
                      <w:szCs w:val="21"/>
                    </w:rPr>
                  </w:pPr>
                  <w:r>
                    <w:rPr>
                      <w:rFonts w:hint="eastAsia"/>
                      <w:kern w:val="0"/>
                      <w:szCs w:val="21"/>
                    </w:rPr>
                    <w:t>本</w:t>
                  </w:r>
                  <w:r>
                    <w:rPr>
                      <w:kern w:val="0"/>
                      <w:szCs w:val="21"/>
                    </w:rPr>
                    <w:t>项目</w:t>
                  </w:r>
                  <w:r>
                    <w:rPr>
                      <w:rFonts w:hint="eastAsia"/>
                      <w:kern w:val="0"/>
                      <w:szCs w:val="21"/>
                    </w:rPr>
                    <w:t>位于寻甸特色产业园区羊街片区，不涉及</w:t>
                  </w:r>
                  <w:r>
                    <w:rPr>
                      <w:kern w:val="0"/>
                      <w:szCs w:val="21"/>
                    </w:rPr>
                    <w:t>水产种质资源保护区</w:t>
                  </w:r>
                  <w:r>
                    <w:rPr>
                      <w:rFonts w:hint="eastAsia"/>
                      <w:kern w:val="0"/>
                      <w:szCs w:val="21"/>
                    </w:rPr>
                    <w:t>和</w:t>
                  </w:r>
                  <w:r>
                    <w:rPr>
                      <w:kern w:val="0"/>
                      <w:szCs w:val="21"/>
                    </w:rPr>
                    <w:t>国家湿地公园</w:t>
                  </w:r>
                  <w:r>
                    <w:rPr>
                      <w:rFonts w:hint="eastAsia"/>
                      <w:kern w:val="0"/>
                      <w:szCs w:val="21"/>
                    </w:rPr>
                    <w:t>。</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5</w:t>
                  </w:r>
                </w:p>
              </w:tc>
              <w:tc>
                <w:tcPr>
                  <w:tcW w:w="2634" w:type="pct"/>
                  <w:vAlign w:val="center"/>
                </w:tcPr>
                <w:p>
                  <w:pPr>
                    <w:autoSpaceDE w:val="0"/>
                    <w:autoSpaceDN w:val="0"/>
                    <w:adjustRightInd w:val="0"/>
                    <w:jc w:val="center"/>
                    <w:rPr>
                      <w:kern w:val="0"/>
                      <w:szCs w:val="21"/>
                    </w:rPr>
                  </w:pPr>
                  <w:r>
                    <w:rPr>
                      <w:kern w:val="0"/>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65" w:type="pct"/>
                  <w:vAlign w:val="center"/>
                </w:tcPr>
                <w:p>
                  <w:pPr>
                    <w:autoSpaceDE w:val="0"/>
                    <w:autoSpaceDN w:val="0"/>
                    <w:adjustRightInd w:val="0"/>
                    <w:jc w:val="center"/>
                    <w:rPr>
                      <w:kern w:val="0"/>
                      <w:szCs w:val="21"/>
                    </w:rPr>
                  </w:pPr>
                  <w:r>
                    <w:rPr>
                      <w:rFonts w:hint="eastAsia"/>
                      <w:kern w:val="0"/>
                      <w:szCs w:val="21"/>
                    </w:rPr>
                    <w:t>本项目位于寻甸特色产业园区羊街片区，不涉及</w:t>
                  </w:r>
                  <w:r>
                    <w:rPr>
                      <w:kern w:val="0"/>
                      <w:szCs w:val="21"/>
                    </w:rPr>
                    <w:t>违法利用、占用长江流域河湖岸线</w:t>
                  </w:r>
                  <w:r>
                    <w:rPr>
                      <w:rFonts w:hint="eastAsia"/>
                      <w:kern w:val="0"/>
                      <w:szCs w:val="21"/>
                    </w:rPr>
                    <w:t>行为。</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6</w:t>
                  </w:r>
                </w:p>
              </w:tc>
              <w:tc>
                <w:tcPr>
                  <w:tcW w:w="2634" w:type="pct"/>
                  <w:vAlign w:val="center"/>
                </w:tcPr>
                <w:p>
                  <w:pPr>
                    <w:autoSpaceDE w:val="0"/>
                    <w:autoSpaceDN w:val="0"/>
                    <w:adjustRightInd w:val="0"/>
                    <w:jc w:val="center"/>
                    <w:rPr>
                      <w:kern w:val="0"/>
                      <w:szCs w:val="21"/>
                    </w:rPr>
                  </w:pPr>
                  <w:r>
                    <w:rPr>
                      <w:kern w:val="0"/>
                      <w:szCs w:val="21"/>
                    </w:rPr>
                    <w:t>禁止未经许可在长江干支流及湖泊新设、改设或扩大排污</w:t>
                  </w:r>
                  <w:r>
                    <w:rPr>
                      <w:rFonts w:hint="eastAsia"/>
                      <w:kern w:val="0"/>
                      <w:szCs w:val="21"/>
                    </w:rPr>
                    <w:t>口。</w:t>
                  </w:r>
                </w:p>
              </w:tc>
              <w:tc>
                <w:tcPr>
                  <w:tcW w:w="1565" w:type="pct"/>
                  <w:vAlign w:val="center"/>
                </w:tcPr>
                <w:p>
                  <w:pPr>
                    <w:autoSpaceDE w:val="0"/>
                    <w:autoSpaceDN w:val="0"/>
                    <w:adjustRightInd w:val="0"/>
                    <w:jc w:val="center"/>
                    <w:rPr>
                      <w:kern w:val="0"/>
                      <w:szCs w:val="21"/>
                    </w:rPr>
                  </w:pPr>
                  <w:r>
                    <w:rPr>
                      <w:rFonts w:hint="eastAsia"/>
                      <w:kern w:val="0"/>
                      <w:szCs w:val="21"/>
                    </w:rPr>
                    <w:t>本项目生产废水均不外排，不涉及</w:t>
                  </w:r>
                  <w:r>
                    <w:rPr>
                      <w:kern w:val="0"/>
                      <w:szCs w:val="21"/>
                    </w:rPr>
                    <w:t>在长江干支流及湖泊新设、改设或扩大排污</w:t>
                  </w:r>
                  <w:r>
                    <w:rPr>
                      <w:rFonts w:hint="eastAsia"/>
                      <w:kern w:val="0"/>
                      <w:szCs w:val="21"/>
                    </w:rPr>
                    <w:t>口。</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7</w:t>
                  </w:r>
                </w:p>
              </w:tc>
              <w:tc>
                <w:tcPr>
                  <w:tcW w:w="2634" w:type="pct"/>
                  <w:vAlign w:val="center"/>
                </w:tcPr>
                <w:p>
                  <w:pPr>
                    <w:autoSpaceDE w:val="0"/>
                    <w:autoSpaceDN w:val="0"/>
                    <w:adjustRightInd w:val="0"/>
                    <w:jc w:val="center"/>
                    <w:rPr>
                      <w:kern w:val="0"/>
                      <w:szCs w:val="21"/>
                    </w:rPr>
                  </w:pPr>
                  <w:r>
                    <w:rPr>
                      <w:kern w:val="0"/>
                      <w:szCs w:val="21"/>
                    </w:rPr>
                    <w:t>禁止在“一江一口两湖七河”和332个水生生物保护区开展生产性捕捞。</w:t>
                  </w:r>
                </w:p>
              </w:tc>
              <w:tc>
                <w:tcPr>
                  <w:tcW w:w="1565" w:type="pct"/>
                  <w:vAlign w:val="center"/>
                </w:tcPr>
                <w:p>
                  <w:pPr>
                    <w:autoSpaceDE w:val="0"/>
                    <w:autoSpaceDN w:val="0"/>
                    <w:adjustRightInd w:val="0"/>
                    <w:jc w:val="center"/>
                    <w:rPr>
                      <w:kern w:val="0"/>
                      <w:szCs w:val="21"/>
                    </w:rPr>
                  </w:pPr>
                  <w:r>
                    <w:rPr>
                      <w:rFonts w:hint="eastAsia"/>
                      <w:kern w:val="0"/>
                      <w:szCs w:val="21"/>
                    </w:rPr>
                    <w:t>本项目不涉及在“</w:t>
                  </w:r>
                  <w:r>
                    <w:rPr>
                      <w:kern w:val="0"/>
                      <w:szCs w:val="21"/>
                    </w:rPr>
                    <w:t>一江一口两湖七河</w:t>
                  </w:r>
                  <w:r>
                    <w:rPr>
                      <w:rFonts w:hint="eastAsia"/>
                      <w:kern w:val="0"/>
                      <w:szCs w:val="21"/>
                    </w:rPr>
                    <w:t>”</w:t>
                  </w:r>
                  <w:r>
                    <w:rPr>
                      <w:kern w:val="0"/>
                      <w:szCs w:val="21"/>
                    </w:rPr>
                    <w:t>和332个水生生物保护区开展生产性捕捞</w:t>
                  </w:r>
                  <w:r>
                    <w:rPr>
                      <w:rFonts w:hint="eastAsia"/>
                      <w:kern w:val="0"/>
                      <w:szCs w:val="21"/>
                    </w:rPr>
                    <w:t>的行为。</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8</w:t>
                  </w:r>
                </w:p>
              </w:tc>
              <w:tc>
                <w:tcPr>
                  <w:tcW w:w="2634" w:type="pct"/>
                  <w:vAlign w:val="center"/>
                </w:tcPr>
                <w:p>
                  <w:pPr>
                    <w:autoSpaceDE w:val="0"/>
                    <w:autoSpaceDN w:val="0"/>
                    <w:adjustRightInd w:val="0"/>
                    <w:jc w:val="center"/>
                    <w:rPr>
                      <w:kern w:val="0"/>
                      <w:szCs w:val="21"/>
                    </w:rPr>
                  </w:pPr>
                  <w:r>
                    <w:rPr>
                      <w:kern w:val="0"/>
                      <w:szCs w:val="21"/>
                    </w:rPr>
                    <w:t>禁止在长江</w:t>
                  </w:r>
                  <w:r>
                    <w:rPr>
                      <w:rFonts w:hint="eastAsia"/>
                      <w:kern w:val="0"/>
                      <w:szCs w:val="21"/>
                    </w:rPr>
                    <w:t>干</w:t>
                  </w:r>
                  <w:r>
                    <w:rPr>
                      <w:kern w:val="0"/>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565" w:type="pct"/>
                  <w:vAlign w:val="center"/>
                </w:tcPr>
                <w:p>
                  <w:pPr>
                    <w:autoSpaceDE w:val="0"/>
                    <w:autoSpaceDN w:val="0"/>
                    <w:adjustRightInd w:val="0"/>
                    <w:jc w:val="center"/>
                    <w:rPr>
                      <w:kern w:val="0"/>
                      <w:szCs w:val="21"/>
                    </w:rPr>
                  </w:pPr>
                  <w:r>
                    <w:rPr>
                      <w:rFonts w:hint="eastAsia"/>
                      <w:kern w:val="0"/>
                      <w:szCs w:val="21"/>
                    </w:rPr>
                    <w:t>本项目为现有项目的配套供热工程和环保工程技改项目，不属于</w:t>
                  </w:r>
                  <w:r>
                    <w:rPr>
                      <w:kern w:val="0"/>
                      <w:szCs w:val="21"/>
                    </w:rPr>
                    <w:t>化工园区和化工项目</w:t>
                  </w:r>
                  <w:r>
                    <w:rPr>
                      <w:rFonts w:hint="eastAsia"/>
                      <w:kern w:val="0"/>
                      <w:szCs w:val="21"/>
                    </w:rPr>
                    <w:t>，不属于</w:t>
                  </w:r>
                  <w:r>
                    <w:rPr>
                      <w:kern w:val="0"/>
                      <w:szCs w:val="21"/>
                    </w:rPr>
                    <w:t>尾矿库、冶炼渣库和磷石膏库</w:t>
                  </w:r>
                  <w:r>
                    <w:rPr>
                      <w:rFonts w:hint="eastAsia"/>
                      <w:kern w:val="0"/>
                      <w:szCs w:val="21"/>
                    </w:rPr>
                    <w:t>。</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9</w:t>
                  </w:r>
                </w:p>
              </w:tc>
              <w:tc>
                <w:tcPr>
                  <w:tcW w:w="2634" w:type="pct"/>
                  <w:vAlign w:val="center"/>
                </w:tcPr>
                <w:p>
                  <w:pPr>
                    <w:autoSpaceDE w:val="0"/>
                    <w:autoSpaceDN w:val="0"/>
                    <w:adjustRightInd w:val="0"/>
                    <w:jc w:val="center"/>
                    <w:rPr>
                      <w:kern w:val="0"/>
                      <w:szCs w:val="21"/>
                    </w:rPr>
                  </w:pPr>
                  <w:r>
                    <w:rPr>
                      <w:kern w:val="0"/>
                      <w:szCs w:val="21"/>
                    </w:rPr>
                    <w:t>禁止在合规园区外新建、扩建钢铁、石化、化工、焦化、建材、有色、制浆造纸等高污染项目。</w:t>
                  </w:r>
                </w:p>
              </w:tc>
              <w:tc>
                <w:tcPr>
                  <w:tcW w:w="1565" w:type="pct"/>
                  <w:vAlign w:val="center"/>
                </w:tcPr>
                <w:p>
                  <w:pPr>
                    <w:autoSpaceDE w:val="0"/>
                    <w:autoSpaceDN w:val="0"/>
                    <w:adjustRightInd w:val="0"/>
                    <w:jc w:val="center"/>
                    <w:rPr>
                      <w:kern w:val="0"/>
                      <w:szCs w:val="21"/>
                    </w:rPr>
                  </w:pPr>
                  <w:r>
                    <w:rPr>
                      <w:rFonts w:hint="eastAsia"/>
                      <w:kern w:val="0"/>
                      <w:szCs w:val="21"/>
                    </w:rPr>
                    <w:t>本项目位于寻甸特色产业园区羊街片区，位于</w:t>
                  </w:r>
                  <w:r>
                    <w:rPr>
                      <w:kern w:val="0"/>
                      <w:szCs w:val="21"/>
                    </w:rPr>
                    <w:t>合规园区</w:t>
                  </w:r>
                  <w:r>
                    <w:rPr>
                      <w:rFonts w:hint="eastAsia"/>
                      <w:kern w:val="0"/>
                      <w:szCs w:val="21"/>
                    </w:rPr>
                    <w:t>，且不属于</w:t>
                  </w:r>
                  <w:r>
                    <w:rPr>
                      <w:kern w:val="0"/>
                      <w:szCs w:val="21"/>
                    </w:rPr>
                    <w:t>钢铁、石化、化工、焦化、建材、有色、制浆造纸等高污染项目</w:t>
                  </w:r>
                  <w:r>
                    <w:rPr>
                      <w:rFonts w:hint="eastAsia"/>
                      <w:kern w:val="0"/>
                      <w:szCs w:val="21"/>
                    </w:rPr>
                    <w:t>。</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10</w:t>
                  </w:r>
                </w:p>
              </w:tc>
              <w:tc>
                <w:tcPr>
                  <w:tcW w:w="2634" w:type="pct"/>
                  <w:vAlign w:val="center"/>
                </w:tcPr>
                <w:p>
                  <w:pPr>
                    <w:autoSpaceDE w:val="0"/>
                    <w:autoSpaceDN w:val="0"/>
                    <w:adjustRightInd w:val="0"/>
                    <w:jc w:val="center"/>
                    <w:rPr>
                      <w:kern w:val="0"/>
                      <w:szCs w:val="21"/>
                    </w:rPr>
                  </w:pPr>
                  <w:r>
                    <w:rPr>
                      <w:kern w:val="0"/>
                      <w:szCs w:val="21"/>
                    </w:rPr>
                    <w:t>禁止新建、扩建不符合国家石化、现代煤化工等产业布局规划的项目。</w:t>
                  </w:r>
                </w:p>
              </w:tc>
              <w:tc>
                <w:tcPr>
                  <w:tcW w:w="1565" w:type="pct"/>
                  <w:vAlign w:val="center"/>
                </w:tcPr>
                <w:p>
                  <w:pPr>
                    <w:autoSpaceDE w:val="0"/>
                    <w:autoSpaceDN w:val="0"/>
                    <w:adjustRightInd w:val="0"/>
                    <w:jc w:val="center"/>
                    <w:rPr>
                      <w:kern w:val="0"/>
                      <w:szCs w:val="21"/>
                    </w:rPr>
                  </w:pPr>
                  <w:r>
                    <w:rPr>
                      <w:rFonts w:hint="eastAsia"/>
                      <w:kern w:val="0"/>
                      <w:szCs w:val="21"/>
                    </w:rPr>
                    <w:t>本项目为现有项目的配套供热工程和环保工程技改项目，不属于</w:t>
                  </w:r>
                  <w:r>
                    <w:rPr>
                      <w:kern w:val="0"/>
                      <w:szCs w:val="21"/>
                    </w:rPr>
                    <w:t>石化、现代煤化工</w:t>
                  </w:r>
                  <w:r>
                    <w:rPr>
                      <w:rFonts w:hint="eastAsia"/>
                      <w:kern w:val="0"/>
                      <w:szCs w:val="21"/>
                    </w:rPr>
                    <w:t>项目。</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11</w:t>
                  </w:r>
                </w:p>
              </w:tc>
              <w:tc>
                <w:tcPr>
                  <w:tcW w:w="2634" w:type="pct"/>
                  <w:vAlign w:val="center"/>
                </w:tcPr>
                <w:p>
                  <w:pPr>
                    <w:autoSpaceDE w:val="0"/>
                    <w:autoSpaceDN w:val="0"/>
                    <w:adjustRightInd w:val="0"/>
                    <w:jc w:val="center"/>
                    <w:rPr>
                      <w:kern w:val="0"/>
                      <w:szCs w:val="21"/>
                    </w:rPr>
                  </w:pPr>
                  <w:r>
                    <w:rPr>
                      <w:kern w:val="0"/>
                      <w:szCs w:val="21"/>
                    </w:rPr>
                    <w:t>禁止新建、扩建法律法规和相关政策明令禁止的落后产能项目。禁止新建、扩建不符合国家产能置换要求的严重过剩产能行业的项目。禁止新建、扩建不符合要求的高耗能高排放项目。</w:t>
                  </w:r>
                </w:p>
              </w:tc>
              <w:tc>
                <w:tcPr>
                  <w:tcW w:w="1565" w:type="pct"/>
                  <w:vAlign w:val="center"/>
                </w:tcPr>
                <w:p>
                  <w:pPr>
                    <w:autoSpaceDE w:val="0"/>
                    <w:autoSpaceDN w:val="0"/>
                    <w:adjustRightInd w:val="0"/>
                    <w:jc w:val="center"/>
                    <w:rPr>
                      <w:kern w:val="0"/>
                      <w:szCs w:val="21"/>
                    </w:rPr>
                  </w:pPr>
                  <w:r>
                    <w:rPr>
                      <w:rFonts w:hint="eastAsia"/>
                      <w:kern w:val="0"/>
                      <w:szCs w:val="21"/>
                    </w:rPr>
                    <w:t>本项目为现有项目配套供热工程和环保工程进行技改，</w:t>
                  </w:r>
                  <w:r>
                    <w:rPr>
                      <w:rFonts w:hint="eastAsia"/>
                      <w:kern w:val="0"/>
                      <w:szCs w:val="21"/>
                      <w:highlight w:val="green"/>
                    </w:rPr>
                    <w:t>供热工程技改</w:t>
                  </w:r>
                  <w:r>
                    <w:rPr>
                      <w:rFonts w:hint="eastAsia"/>
                      <w:kern w:val="0"/>
                      <w:szCs w:val="21"/>
                    </w:rPr>
                    <w:t>新建1间锅炉房，新增1台5</w:t>
                  </w:r>
                  <w:r>
                    <w:rPr>
                      <w:kern w:val="0"/>
                      <w:szCs w:val="21"/>
                    </w:rPr>
                    <w:t>t/h</w:t>
                  </w:r>
                  <w:r>
                    <w:rPr>
                      <w:rFonts w:hint="eastAsia"/>
                      <w:kern w:val="0"/>
                      <w:szCs w:val="21"/>
                    </w:rPr>
                    <w:t>导热油锅炉；</w:t>
                  </w:r>
                  <w:r>
                    <w:rPr>
                      <w:rFonts w:hint="eastAsia"/>
                      <w:kern w:val="0"/>
                      <w:szCs w:val="21"/>
                      <w:highlight w:val="green"/>
                    </w:rPr>
                    <w:t>环保工程技改针对</w:t>
                  </w:r>
                  <w:r>
                    <w:rPr>
                      <w:rFonts w:hint="eastAsia"/>
                      <w:szCs w:val="21"/>
                      <w:highlight w:val="green"/>
                    </w:rPr>
                    <w:t>7t/h导热油锅炉、筛选打磨工序、热压凉板工序</w:t>
                  </w:r>
                  <w:r>
                    <w:rPr>
                      <w:rFonts w:hint="eastAsia"/>
                      <w:kern w:val="0"/>
                      <w:szCs w:val="21"/>
                      <w:highlight w:val="green"/>
                    </w:rPr>
                    <w:t>新增废气治理设施。</w:t>
                  </w:r>
                  <w:r>
                    <w:rPr>
                      <w:rFonts w:hint="eastAsia"/>
                      <w:kern w:val="0"/>
                      <w:szCs w:val="21"/>
                    </w:rPr>
                    <w:t>不属于</w:t>
                  </w:r>
                  <w:r>
                    <w:rPr>
                      <w:kern w:val="0"/>
                      <w:szCs w:val="21"/>
                    </w:rPr>
                    <w:t>法律法规和相关政策明令禁止的落后产能项目</w:t>
                  </w:r>
                  <w:r>
                    <w:rPr>
                      <w:rFonts w:hint="eastAsia"/>
                      <w:kern w:val="0"/>
                      <w:szCs w:val="21"/>
                    </w:rPr>
                    <w:t>，不属于</w:t>
                  </w:r>
                  <w:r>
                    <w:rPr>
                      <w:kern w:val="0"/>
                      <w:szCs w:val="21"/>
                    </w:rPr>
                    <w:t>严重过剩产能行业的项目</w:t>
                  </w:r>
                  <w:r>
                    <w:rPr>
                      <w:rFonts w:hint="eastAsia"/>
                      <w:kern w:val="0"/>
                      <w:szCs w:val="21"/>
                    </w:rPr>
                    <w:t>，不属于</w:t>
                  </w:r>
                  <w:r>
                    <w:rPr>
                      <w:kern w:val="0"/>
                      <w:szCs w:val="21"/>
                    </w:rPr>
                    <w:t>高耗能高排放项目</w:t>
                  </w:r>
                  <w:r>
                    <w:rPr>
                      <w:rFonts w:hint="eastAsia"/>
                      <w:kern w:val="0"/>
                      <w:szCs w:val="21"/>
                    </w:rPr>
                    <w:t>。</w:t>
                  </w:r>
                </w:p>
              </w:tc>
              <w:tc>
                <w:tcPr>
                  <w:tcW w:w="435" w:type="pct"/>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366" w:type="pct"/>
                  <w:vAlign w:val="center"/>
                </w:tcPr>
                <w:p>
                  <w:pPr>
                    <w:autoSpaceDE w:val="0"/>
                    <w:autoSpaceDN w:val="0"/>
                    <w:adjustRightInd w:val="0"/>
                    <w:jc w:val="center"/>
                    <w:rPr>
                      <w:kern w:val="0"/>
                      <w:szCs w:val="21"/>
                    </w:rPr>
                  </w:pPr>
                  <w:r>
                    <w:rPr>
                      <w:rFonts w:hint="eastAsia"/>
                      <w:kern w:val="0"/>
                      <w:szCs w:val="21"/>
                    </w:rPr>
                    <w:t>12</w:t>
                  </w:r>
                </w:p>
              </w:tc>
              <w:tc>
                <w:tcPr>
                  <w:tcW w:w="2634" w:type="pct"/>
                  <w:vAlign w:val="center"/>
                </w:tcPr>
                <w:p>
                  <w:pPr>
                    <w:autoSpaceDE w:val="0"/>
                    <w:autoSpaceDN w:val="0"/>
                    <w:adjustRightInd w:val="0"/>
                    <w:jc w:val="center"/>
                    <w:rPr>
                      <w:kern w:val="0"/>
                      <w:szCs w:val="21"/>
                    </w:rPr>
                  </w:pPr>
                  <w:r>
                    <w:rPr>
                      <w:kern w:val="0"/>
                      <w:szCs w:val="21"/>
                    </w:rPr>
                    <w:t>法律法规及相关政策文件有更加严格规定的从其规定。</w:t>
                  </w:r>
                </w:p>
              </w:tc>
              <w:tc>
                <w:tcPr>
                  <w:tcW w:w="1565" w:type="pct"/>
                  <w:vAlign w:val="center"/>
                </w:tcPr>
                <w:p>
                  <w:pPr>
                    <w:autoSpaceDE w:val="0"/>
                    <w:autoSpaceDN w:val="0"/>
                    <w:adjustRightInd w:val="0"/>
                    <w:jc w:val="center"/>
                    <w:rPr>
                      <w:kern w:val="0"/>
                      <w:szCs w:val="21"/>
                    </w:rPr>
                  </w:pPr>
                  <w:r>
                    <w:rPr>
                      <w:rFonts w:hint="eastAsia"/>
                      <w:kern w:val="0"/>
                      <w:szCs w:val="21"/>
                    </w:rPr>
                    <w:t>不涉及。</w:t>
                  </w:r>
                </w:p>
              </w:tc>
              <w:tc>
                <w:tcPr>
                  <w:tcW w:w="435" w:type="pct"/>
                  <w:vAlign w:val="center"/>
                </w:tcPr>
                <w:p>
                  <w:pPr>
                    <w:autoSpaceDE w:val="0"/>
                    <w:autoSpaceDN w:val="0"/>
                    <w:adjustRightInd w:val="0"/>
                    <w:jc w:val="center"/>
                    <w:rPr>
                      <w:kern w:val="0"/>
                      <w:szCs w:val="21"/>
                    </w:rPr>
                  </w:pPr>
                  <w:r>
                    <w:rPr>
                      <w:kern w:val="0"/>
                      <w:szCs w:val="21"/>
                    </w:rPr>
                    <w:t>符合</w:t>
                  </w:r>
                </w:p>
              </w:tc>
            </w:tr>
          </w:tbl>
          <w:p>
            <w:pPr>
              <w:pStyle w:val="61"/>
              <w:spacing w:before="120" w:beforeLines="50"/>
              <w:ind w:left="0" w:right="0" w:firstLine="480" w:firstLineChars="200"/>
              <w:jc w:val="both"/>
              <w:rPr>
                <w:sz w:val="24"/>
                <w:szCs w:val="24"/>
              </w:rPr>
            </w:pPr>
            <w:r>
              <w:rPr>
                <w:rFonts w:hint="eastAsia"/>
                <w:sz w:val="24"/>
                <w:szCs w:val="24"/>
              </w:rPr>
              <w:t>综上，本项目建设不违反《长江经济带发展负面清单指南（试行，2022年版）》，符合《长江经济带生态环境保护规划》。</w:t>
            </w:r>
          </w:p>
          <w:p>
            <w:pPr>
              <w:spacing w:line="360" w:lineRule="auto"/>
              <w:ind w:firstLine="482" w:firstLineChars="200"/>
            </w:pPr>
            <w:r>
              <w:rPr>
                <w:b/>
                <w:bCs/>
                <w:sz w:val="24"/>
              </w:rPr>
              <w:t>7</w:t>
            </w:r>
            <w:r>
              <w:rPr>
                <w:rFonts w:hint="eastAsia"/>
                <w:b/>
                <w:bCs/>
                <w:sz w:val="24"/>
              </w:rPr>
              <w:t>、与《云南省长江经济带发展负面清单指南实施细则（试行，2022年版）》的符合性分析</w:t>
            </w:r>
          </w:p>
          <w:p>
            <w:pPr>
              <w:spacing w:line="360" w:lineRule="auto"/>
              <w:ind w:firstLine="480" w:firstLineChars="200"/>
              <w:rPr>
                <w:sz w:val="24"/>
              </w:rPr>
            </w:pPr>
            <w:r>
              <w:rPr>
                <w:rFonts w:hint="eastAsia"/>
                <w:sz w:val="24"/>
              </w:rPr>
              <w:t>本</w:t>
            </w:r>
            <w:r>
              <w:rPr>
                <w:sz w:val="24"/>
              </w:rPr>
              <w:t>项目与《云南省长江经济带发展负面清单指南实施细则（试行，2022年版）》对比分析情况见下表。</w:t>
            </w:r>
          </w:p>
          <w:p>
            <w:pPr>
              <w:autoSpaceDE w:val="0"/>
              <w:autoSpaceDN w:val="0"/>
              <w:adjustRightInd w:val="0"/>
              <w:spacing w:line="360" w:lineRule="auto"/>
              <w:jc w:val="center"/>
              <w:rPr>
                <w:b/>
                <w:bCs/>
                <w:kern w:val="0"/>
                <w:sz w:val="24"/>
              </w:rPr>
            </w:pPr>
            <w:r>
              <w:rPr>
                <w:b/>
                <w:bCs/>
                <w:kern w:val="0"/>
                <w:sz w:val="24"/>
              </w:rPr>
              <w:t>表</w:t>
            </w:r>
            <w:r>
              <w:rPr>
                <w:rFonts w:hint="eastAsia"/>
                <w:b/>
                <w:bCs/>
                <w:kern w:val="0"/>
                <w:sz w:val="24"/>
              </w:rPr>
              <w:t>1-9</w:t>
            </w:r>
            <w:r>
              <w:rPr>
                <w:b/>
                <w:bCs/>
                <w:kern w:val="0"/>
                <w:sz w:val="24"/>
              </w:rPr>
              <w:t xml:space="preserve">  与《云南省长江经济带发展负面清单指南实施细则（试行，2022年版）》相符性分析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733"/>
              <w:gridCol w:w="2313"/>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jc w:val="center"/>
                    <w:rPr>
                      <w:b/>
                      <w:kern w:val="0"/>
                      <w:szCs w:val="21"/>
                    </w:rPr>
                  </w:pPr>
                  <w:r>
                    <w:rPr>
                      <w:b/>
                      <w:kern w:val="0"/>
                      <w:szCs w:val="21"/>
                    </w:rPr>
                    <w:t>云南省长江经济带发展负面清单指南实施细则</w:t>
                  </w:r>
                </w:p>
              </w:tc>
              <w:tc>
                <w:tcPr>
                  <w:tcW w:w="1457" w:type="pct"/>
                  <w:vAlign w:val="center"/>
                </w:tcPr>
                <w:p>
                  <w:pPr>
                    <w:autoSpaceDE w:val="0"/>
                    <w:autoSpaceDN w:val="0"/>
                    <w:adjustRightInd w:val="0"/>
                    <w:jc w:val="center"/>
                    <w:rPr>
                      <w:b/>
                      <w:kern w:val="0"/>
                      <w:szCs w:val="21"/>
                    </w:rPr>
                  </w:pPr>
                  <w:r>
                    <w:rPr>
                      <w:rFonts w:hint="eastAsia"/>
                      <w:b/>
                      <w:kern w:val="0"/>
                      <w:szCs w:val="21"/>
                    </w:rPr>
                    <w:t>本</w:t>
                  </w:r>
                  <w:r>
                    <w:rPr>
                      <w:b/>
                      <w:kern w:val="0"/>
                      <w:szCs w:val="21"/>
                    </w:rPr>
                    <w:t>项目情况</w:t>
                  </w:r>
                </w:p>
              </w:tc>
              <w:tc>
                <w:tcPr>
                  <w:tcW w:w="562" w:type="pct"/>
                  <w:vAlign w:val="center"/>
                </w:tcPr>
                <w:p>
                  <w:pPr>
                    <w:autoSpaceDE w:val="0"/>
                    <w:autoSpaceDN w:val="0"/>
                    <w:adjustRightInd w:val="0"/>
                    <w:jc w:val="center"/>
                    <w:rPr>
                      <w:b/>
                      <w:kern w:val="0"/>
                      <w:szCs w:val="21"/>
                    </w:rPr>
                  </w:pPr>
                  <w:r>
                    <w:rPr>
                      <w:b/>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kern w:val="0"/>
                      <w:szCs w:val="21"/>
                    </w:rPr>
                    <w:t>一</w:t>
                  </w:r>
                  <w:r>
                    <w:rPr>
                      <w:rFonts w:hint="eastAsia"/>
                      <w:kern w:val="0"/>
                      <w:szCs w:val="21"/>
                    </w:rPr>
                    <w:t>、</w:t>
                  </w:r>
                  <w:r>
                    <w:rPr>
                      <w:kern w:val="0"/>
                      <w:szCs w:val="21"/>
                    </w:rPr>
                    <w:t>禁止建设不符合全国和省级港口布局规划以及港口总体规划的码头项目。</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本项目为现有项目的配套供热工程和环保工程技改项目，不属于码头项目</w:t>
                  </w:r>
                  <w:r>
                    <w:rPr>
                      <w:kern w:val="0"/>
                      <w:szCs w:val="21"/>
                    </w:rPr>
                    <w:t>。</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kern w:val="0"/>
                      <w:szCs w:val="21"/>
                    </w:rPr>
                    <w:t>二</w:t>
                  </w:r>
                  <w:r>
                    <w:rPr>
                      <w:rFonts w:hint="eastAsia"/>
                      <w:kern w:val="0"/>
                      <w:szCs w:val="21"/>
                    </w:rPr>
                    <w:t>、</w:t>
                  </w:r>
                  <w:r>
                    <w:rPr>
                      <w:kern w:val="0"/>
                      <w:szCs w:val="21"/>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w:t>
                  </w:r>
                  <w:r>
                    <w:rPr>
                      <w:kern w:val="0"/>
                      <w:szCs w:val="21"/>
                    </w:rPr>
                    <w:t>项目</w:t>
                  </w:r>
                  <w:r>
                    <w:rPr>
                      <w:rFonts w:hint="eastAsia"/>
                      <w:kern w:val="0"/>
                      <w:szCs w:val="21"/>
                    </w:rPr>
                    <w:t>位于寻甸特色产业园区羊街片区，不在</w:t>
                  </w:r>
                  <w:r>
                    <w:rPr>
                      <w:kern w:val="0"/>
                      <w:szCs w:val="21"/>
                    </w:rPr>
                    <w:t>生态保护红线范围内。</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kern w:val="0"/>
                      <w:szCs w:val="21"/>
                    </w:rPr>
                    <w:t>三</w:t>
                  </w:r>
                  <w:r>
                    <w:rPr>
                      <w:rFonts w:hint="eastAsia"/>
                      <w:kern w:val="0"/>
                      <w:szCs w:val="21"/>
                    </w:rPr>
                    <w:t>、</w:t>
                  </w:r>
                  <w:r>
                    <w:rPr>
                      <w:kern w:val="0"/>
                      <w:szCs w:val="21"/>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w:t>
                  </w:r>
                  <w:r>
                    <w:rPr>
                      <w:kern w:val="0"/>
                      <w:szCs w:val="21"/>
                    </w:rPr>
                    <w:t>项目</w:t>
                  </w:r>
                  <w:r>
                    <w:rPr>
                      <w:rFonts w:hint="eastAsia"/>
                      <w:kern w:val="0"/>
                      <w:szCs w:val="21"/>
                    </w:rPr>
                    <w:t>位于寻甸特色产业园区羊街片区，不涉及自然保护区</w:t>
                  </w:r>
                  <w:r>
                    <w:rPr>
                      <w:kern w:val="0"/>
                      <w:szCs w:val="21"/>
                    </w:rPr>
                    <w:t>。</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四、</w:t>
                  </w:r>
                  <w:r>
                    <w:rPr>
                      <w:kern w:val="0"/>
                      <w:szCs w:val="21"/>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w:t>
                  </w:r>
                  <w:r>
                    <w:rPr>
                      <w:kern w:val="0"/>
                      <w:szCs w:val="21"/>
                    </w:rPr>
                    <w:t>项目</w:t>
                  </w:r>
                  <w:r>
                    <w:rPr>
                      <w:rFonts w:hint="eastAsia"/>
                      <w:kern w:val="0"/>
                      <w:szCs w:val="21"/>
                    </w:rPr>
                    <w:t>位于寻甸特色产业园区羊街片区，不涉及</w:t>
                  </w:r>
                  <w:r>
                    <w:rPr>
                      <w:kern w:val="0"/>
                      <w:szCs w:val="21"/>
                    </w:rPr>
                    <w:t>风景名胜区。</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五、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r>
                    <w:rPr>
                      <w:kern w:val="0"/>
                      <w:szCs w:val="21"/>
                    </w:rPr>
                    <w:t>。</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w:t>
                  </w:r>
                  <w:r>
                    <w:rPr>
                      <w:kern w:val="0"/>
                      <w:szCs w:val="21"/>
                    </w:rPr>
                    <w:t>项目</w:t>
                  </w:r>
                  <w:r>
                    <w:rPr>
                      <w:rFonts w:hint="eastAsia"/>
                      <w:kern w:val="0"/>
                      <w:szCs w:val="21"/>
                    </w:rPr>
                    <w:t>位于寻甸特色产业园区羊街片区，不涉及国家湿地公园</w:t>
                  </w:r>
                  <w:r>
                    <w:rPr>
                      <w:kern w:val="0"/>
                      <w:szCs w:val="21"/>
                    </w:rPr>
                    <w:t>。</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六、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r>
                    <w:rPr>
                      <w:kern w:val="0"/>
                      <w:szCs w:val="21"/>
                    </w:rPr>
                    <w:t>。</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w:t>
                  </w:r>
                  <w:r>
                    <w:rPr>
                      <w:kern w:val="0"/>
                      <w:szCs w:val="21"/>
                    </w:rPr>
                    <w:t>项目</w:t>
                  </w:r>
                  <w:r>
                    <w:rPr>
                      <w:rFonts w:hint="eastAsia"/>
                      <w:kern w:val="0"/>
                      <w:szCs w:val="21"/>
                    </w:rPr>
                    <w:t>位于寻甸特色产业园区羊街片区，不涉及饮用水水源保护区</w:t>
                  </w:r>
                  <w:r>
                    <w:rPr>
                      <w:kern w:val="0"/>
                      <w:szCs w:val="21"/>
                    </w:rPr>
                    <w:t>。</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七、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w:t>
                  </w:r>
                  <w:r>
                    <w:rPr>
                      <w:rFonts w:hint="eastAsia"/>
                      <w:kern w:val="0"/>
                      <w:szCs w:val="21"/>
                      <w:lang w:val="en"/>
                    </w:rPr>
                    <w:t>，</w:t>
                  </w:r>
                  <w:r>
                    <w:rPr>
                      <w:rFonts w:hint="eastAsia"/>
                      <w:kern w:val="0"/>
                      <w:szCs w:val="21"/>
                    </w:rPr>
                    <w:t>禁止在永久基本农田范围内投资建设项目。重大建设项目选址确实难以避让永久基本农田的，需在可行性研究阶段，对占用的必要性、合理性和补划方案的可行性进行严格论证，按照“数量不减、质量不降、布局稳定”的要求进行补划，报自然资源部用地预审，依法依规办理农用地转用和土地征收，和法定程序修改相应的国土空间规划用途</w:t>
                  </w:r>
                  <w:r>
                    <w:rPr>
                      <w:kern w:val="0"/>
                      <w:szCs w:val="21"/>
                    </w:rPr>
                    <w:t>。</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w:t>
                  </w:r>
                  <w:r>
                    <w:rPr>
                      <w:kern w:val="0"/>
                      <w:szCs w:val="21"/>
                    </w:rPr>
                    <w:t>项目</w:t>
                  </w:r>
                  <w:r>
                    <w:rPr>
                      <w:rFonts w:hint="eastAsia"/>
                      <w:kern w:val="0"/>
                      <w:szCs w:val="21"/>
                    </w:rPr>
                    <w:t>位于寻甸特色产业园区羊街片区，不涉及违法利用、占用长江流域河湖岸线行为</w:t>
                  </w:r>
                  <w:r>
                    <w:rPr>
                      <w:kern w:val="0"/>
                      <w:szCs w:val="21"/>
                    </w:rPr>
                    <w:t>。</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八、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其他排口”外。禁止在水产种质资源保护区内新建排污口，以及从事围湖造田、围湖造地或围填海工程</w:t>
                  </w:r>
                  <w:r>
                    <w:rPr>
                      <w:kern w:val="0"/>
                      <w:szCs w:val="21"/>
                    </w:rPr>
                    <w:t>。</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w:t>
                  </w:r>
                  <w:r>
                    <w:rPr>
                      <w:kern w:val="0"/>
                      <w:szCs w:val="21"/>
                    </w:rPr>
                    <w:t>项目</w:t>
                  </w:r>
                  <w:r>
                    <w:rPr>
                      <w:rFonts w:hint="eastAsia"/>
                      <w:kern w:val="0"/>
                      <w:szCs w:val="21"/>
                    </w:rPr>
                    <w:t>位于寻甸特色产业园区羊街片区，不在《全国重要江河湖泊水功能区划》划定的河段及湖泊保护区、保留区内，不在金沙江、长江一级支流，不在长江流域、九大高原湖泊流域，不在水产种质资源保护区</w:t>
                  </w:r>
                  <w:r>
                    <w:rPr>
                      <w:kern w:val="0"/>
                      <w:szCs w:val="21"/>
                    </w:rPr>
                    <w:t>。</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九、禁止在金沙江、赤水河、乌江河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r>
                    <w:rPr>
                      <w:kern w:val="0"/>
                      <w:szCs w:val="21"/>
                    </w:rPr>
                    <w:t>。</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w:t>
                  </w:r>
                  <w:r>
                    <w:rPr>
                      <w:kern w:val="0"/>
                      <w:szCs w:val="21"/>
                    </w:rPr>
                    <w:t>项目不</w:t>
                  </w:r>
                  <w:r>
                    <w:rPr>
                      <w:rFonts w:hint="eastAsia"/>
                      <w:kern w:val="0"/>
                      <w:szCs w:val="21"/>
                    </w:rPr>
                    <w:t>涉及在金沙江、赤水河、乌江河等水生动植物自然保护区、水产种质资源保护区长江流域禁捕水域开展天然渔业资源生产性捕捞活动，不涉及开（围）垦、填埋或者排干湿地，不涉及截断湿地水源、挖沙、采矿、引入外来物种行为，不涉及禁止擅自放牧、捕捞、取土、取水、排污、放生行为，不涉及其他破坏湿地及其生态功能的活动。</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kern w:val="0"/>
                      <w:szCs w:val="21"/>
                    </w:rPr>
                    <w:t>十</w:t>
                  </w:r>
                  <w:r>
                    <w:rPr>
                      <w:rFonts w:hint="eastAsia"/>
                      <w:kern w:val="0"/>
                      <w:szCs w:val="21"/>
                    </w:rPr>
                    <w:t>、禁止在金沙江、长江一级支流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r>
                    <w:rPr>
                      <w:kern w:val="0"/>
                      <w:szCs w:val="21"/>
                    </w:rPr>
                    <w:t>。</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本项目为现有项目的配套供热工程和环保工程技改项目，不属于</w:t>
                  </w:r>
                  <w:r>
                    <w:rPr>
                      <w:kern w:val="0"/>
                      <w:szCs w:val="21"/>
                    </w:rPr>
                    <w:t>化工园区和化工项目</w:t>
                  </w:r>
                  <w:r>
                    <w:rPr>
                      <w:rFonts w:hint="eastAsia"/>
                      <w:kern w:val="0"/>
                      <w:szCs w:val="21"/>
                    </w:rPr>
                    <w:t>。</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十一、禁止在金沙江干流岸线3公里、长江（金沙江）一级支流岸线1公里范围内新建、改建、扩建尾矿库、冶炼渣库和磷石膏库，以提升安全、生态环境保护水平为目的的改建除外。</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本项目为现有项目的配套供热工程和环保工程技改项目，不属于</w:t>
                  </w:r>
                  <w:r>
                    <w:rPr>
                      <w:kern w:val="0"/>
                      <w:szCs w:val="21"/>
                    </w:rPr>
                    <w:t>尾矿库、冶炼渣库和磷石膏库</w:t>
                  </w:r>
                  <w:r>
                    <w:rPr>
                      <w:rFonts w:hint="eastAsia"/>
                      <w:kern w:val="0"/>
                      <w:szCs w:val="21"/>
                    </w:rPr>
                    <w:t>。</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十二、禁止在合规园区外新建、扩建钢铁、石化、化工、焦化、建材、有色、制浆造纸等高污染项目。禁止新增钢铁、水泥、平板玻璃等行业建设产能，确有必要建设的，应按规定实施产能等量或减量置换。</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本项目位于寻甸特色产业园区羊街片区，位于合规园区内，且不属于钢铁、石化、化工、焦化、建材、有色、制浆造纸等高污染项目，不属于钢铁、水泥、平板玻璃等行业。</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十三、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本项目为现有项目的配套供热工程和环保工程技改项目，不属于石化、现代煤化工等项目。项目未列入《云南省城镇人口密集区危险化学品生产企业搬迁改造名单》。</w:t>
                  </w:r>
                </w:p>
              </w:tc>
              <w:tc>
                <w:tcPr>
                  <w:tcW w:w="562" w:type="pct"/>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981" w:type="pct"/>
                  <w:vAlign w:val="center"/>
                </w:tcPr>
                <w:p>
                  <w:pPr>
                    <w:autoSpaceDE w:val="0"/>
                    <w:autoSpaceDN w:val="0"/>
                    <w:adjustRightInd w:val="0"/>
                    <w:ind w:firstLine="420" w:firstLineChars="200"/>
                    <w:rPr>
                      <w:kern w:val="0"/>
                      <w:szCs w:val="21"/>
                    </w:rPr>
                  </w:pPr>
                  <w:r>
                    <w:rPr>
                      <w:rFonts w:hint="eastAsia"/>
                      <w:kern w:val="0"/>
                      <w:szCs w:val="21"/>
                    </w:rPr>
                    <w:t>十四、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1457" w:type="pct"/>
                  <w:vAlign w:val="center"/>
                </w:tcPr>
                <w:p>
                  <w:pPr>
                    <w:autoSpaceDE w:val="0"/>
                    <w:autoSpaceDN w:val="0"/>
                    <w:adjustRightInd w:val="0"/>
                    <w:ind w:firstLine="420" w:firstLineChars="200"/>
                    <w:rPr>
                      <w:kern w:val="0"/>
                      <w:szCs w:val="21"/>
                    </w:rPr>
                  </w:pPr>
                  <w:r>
                    <w:rPr>
                      <w:rFonts w:hint="eastAsia"/>
                      <w:kern w:val="0"/>
                      <w:szCs w:val="21"/>
                    </w:rPr>
                    <w:t>本项目为现有项目配套供热工程和环保工程进行技改，</w:t>
                  </w:r>
                  <w:r>
                    <w:rPr>
                      <w:rFonts w:hint="eastAsia"/>
                      <w:kern w:val="0"/>
                      <w:szCs w:val="21"/>
                      <w:highlight w:val="green"/>
                    </w:rPr>
                    <w:t>供热工程技改</w:t>
                  </w:r>
                  <w:r>
                    <w:rPr>
                      <w:rFonts w:hint="eastAsia"/>
                      <w:kern w:val="0"/>
                      <w:szCs w:val="21"/>
                    </w:rPr>
                    <w:t>新建1间锅炉房，新增1台5</w:t>
                  </w:r>
                  <w:r>
                    <w:rPr>
                      <w:kern w:val="0"/>
                      <w:szCs w:val="21"/>
                    </w:rPr>
                    <w:t>t/h</w:t>
                  </w:r>
                  <w:r>
                    <w:rPr>
                      <w:rFonts w:hint="eastAsia"/>
                      <w:kern w:val="0"/>
                      <w:szCs w:val="21"/>
                    </w:rPr>
                    <w:t>导热油锅炉；</w:t>
                  </w:r>
                  <w:r>
                    <w:rPr>
                      <w:rFonts w:hint="eastAsia"/>
                      <w:kern w:val="0"/>
                      <w:szCs w:val="21"/>
                      <w:highlight w:val="green"/>
                    </w:rPr>
                    <w:t>环保工程技改针对</w:t>
                  </w:r>
                  <w:r>
                    <w:rPr>
                      <w:rFonts w:hint="eastAsia"/>
                      <w:szCs w:val="21"/>
                      <w:highlight w:val="green"/>
                    </w:rPr>
                    <w:t>7t/h导热油锅炉、筛选打磨工序、热压凉板工序</w:t>
                  </w:r>
                  <w:r>
                    <w:rPr>
                      <w:rFonts w:hint="eastAsia"/>
                      <w:kern w:val="0"/>
                      <w:szCs w:val="21"/>
                      <w:highlight w:val="green"/>
                    </w:rPr>
                    <w:t>新增废气治理设施。</w:t>
                  </w:r>
                  <w:r>
                    <w:rPr>
                      <w:rFonts w:hint="eastAsia"/>
                      <w:kern w:val="0"/>
                      <w:szCs w:val="21"/>
                    </w:rPr>
                    <w:t>不属于</w:t>
                  </w:r>
                  <w:r>
                    <w:rPr>
                      <w:kern w:val="0"/>
                      <w:szCs w:val="21"/>
                    </w:rPr>
                    <w:t>法律法规和相关政策明令禁止的落后产能项目</w:t>
                  </w:r>
                  <w:r>
                    <w:rPr>
                      <w:rFonts w:hint="eastAsia"/>
                      <w:kern w:val="0"/>
                      <w:szCs w:val="21"/>
                    </w:rPr>
                    <w:t>，不使用电石炉及开放式电石炉、无化产回收的单一炼焦生产设施，不涉及硫铁矿制酸、硫磺制酸、黄磷生产、有钙焙烧铬化合物生产装置和有机—无机复混肥料、过磷酸钙和钙镁磷肥生产线，不属于</w:t>
                  </w:r>
                  <w:r>
                    <w:rPr>
                      <w:kern w:val="0"/>
                      <w:szCs w:val="21"/>
                    </w:rPr>
                    <w:t>严重过剩产能行业的项目</w:t>
                  </w:r>
                  <w:r>
                    <w:rPr>
                      <w:rFonts w:hint="eastAsia"/>
                      <w:kern w:val="0"/>
                      <w:szCs w:val="21"/>
                    </w:rPr>
                    <w:t>，不涉及农药原药生产装置，不属于尿素、磷铵、电石、焦炭、黄磷、烧碱、纯碱、聚氯乙烯等行业。</w:t>
                  </w:r>
                </w:p>
              </w:tc>
              <w:tc>
                <w:tcPr>
                  <w:tcW w:w="562" w:type="pct"/>
                  <w:vAlign w:val="center"/>
                </w:tcPr>
                <w:p>
                  <w:pPr>
                    <w:autoSpaceDE w:val="0"/>
                    <w:autoSpaceDN w:val="0"/>
                    <w:adjustRightInd w:val="0"/>
                    <w:jc w:val="center"/>
                    <w:rPr>
                      <w:kern w:val="0"/>
                      <w:szCs w:val="21"/>
                    </w:rPr>
                  </w:pPr>
                  <w:r>
                    <w:rPr>
                      <w:kern w:val="0"/>
                      <w:szCs w:val="21"/>
                    </w:rPr>
                    <w:t>相符</w:t>
                  </w:r>
                </w:p>
              </w:tc>
            </w:tr>
          </w:tbl>
          <w:p>
            <w:pPr>
              <w:pStyle w:val="61"/>
              <w:spacing w:before="120" w:beforeLines="50"/>
              <w:ind w:left="0" w:right="0" w:firstLine="480" w:firstLineChars="200"/>
              <w:jc w:val="both"/>
              <w:rPr>
                <w:sz w:val="24"/>
                <w:szCs w:val="24"/>
              </w:rPr>
            </w:pPr>
            <w:r>
              <w:rPr>
                <w:rFonts w:hint="eastAsia"/>
                <w:sz w:val="24"/>
                <w:szCs w:val="24"/>
              </w:rPr>
              <w:t>综上，本项目建设与《云南省长江经济带发展负面清单指南实施细则（试行，2022年版）》相符。</w:t>
            </w:r>
          </w:p>
          <w:p>
            <w:pPr>
              <w:adjustRightInd w:val="0"/>
              <w:spacing w:line="360" w:lineRule="auto"/>
              <w:ind w:firstLine="482" w:firstLineChars="200"/>
              <w:rPr>
                <w:b/>
                <w:bCs/>
                <w:sz w:val="24"/>
              </w:rPr>
            </w:pPr>
            <w:r>
              <w:rPr>
                <w:b/>
                <w:bCs/>
                <w:sz w:val="24"/>
              </w:rPr>
              <w:t>8</w:t>
            </w:r>
            <w:r>
              <w:rPr>
                <w:rFonts w:hint="eastAsia"/>
                <w:b/>
                <w:bCs/>
                <w:sz w:val="24"/>
              </w:rPr>
              <w:t>、与《中华人民共和国长江保护法》相符性分析</w:t>
            </w:r>
          </w:p>
          <w:p>
            <w:pPr>
              <w:spacing w:line="360" w:lineRule="auto"/>
              <w:ind w:firstLine="480" w:firstLineChars="200"/>
              <w:rPr>
                <w:sz w:val="24"/>
              </w:rPr>
            </w:pPr>
            <w:r>
              <w:rPr>
                <w:sz w:val="24"/>
              </w:rPr>
              <w:t>2020年12月26日第十三届全国人民代表大会常务委员会第二十四次会议通过</w:t>
            </w:r>
            <w:r>
              <w:rPr>
                <w:rFonts w:hint="eastAsia"/>
                <w:sz w:val="24"/>
              </w:rPr>
              <w:t>《中华人民共和国长江保护法》。</w:t>
            </w:r>
          </w:p>
          <w:p>
            <w:pPr>
              <w:autoSpaceDN w:val="0"/>
              <w:adjustRightInd w:val="0"/>
              <w:spacing w:line="360" w:lineRule="auto"/>
              <w:ind w:firstLine="480" w:firstLineChars="200"/>
              <w:rPr>
                <w:sz w:val="24"/>
              </w:rPr>
            </w:pPr>
            <w:r>
              <w:rPr>
                <w:rFonts w:hint="eastAsia"/>
                <w:sz w:val="24"/>
              </w:rPr>
              <w:t>本项目为现有项目的配套供热工程和环保工程技改项目，不属于</w:t>
            </w:r>
            <w:r>
              <w:rPr>
                <w:sz w:val="24"/>
              </w:rPr>
              <w:t>《</w:t>
            </w:r>
            <w:r>
              <w:rPr>
                <w:rFonts w:hint="eastAsia"/>
                <w:sz w:val="24"/>
              </w:rPr>
              <w:t>中华人民共和国长江保护法</w:t>
            </w:r>
            <w:r>
              <w:rPr>
                <w:sz w:val="24"/>
              </w:rPr>
              <w:t>》中</w:t>
            </w:r>
            <w:r>
              <w:rPr>
                <w:rFonts w:hint="eastAsia"/>
                <w:sz w:val="24"/>
              </w:rPr>
              <w:t>禁止建设的行业，不</w:t>
            </w:r>
            <w:r>
              <w:rPr>
                <w:sz w:val="24"/>
              </w:rPr>
              <w:t>违反生态环境准入清单的规定进行生产建设活动</w:t>
            </w:r>
            <w:r>
              <w:rPr>
                <w:rFonts w:hint="eastAsia"/>
                <w:sz w:val="24"/>
              </w:rPr>
              <w:t>，</w:t>
            </w:r>
            <w:r>
              <w:rPr>
                <w:sz w:val="24"/>
              </w:rPr>
              <w:t>符合国家产业政策</w:t>
            </w:r>
            <w:r>
              <w:rPr>
                <w:rFonts w:hint="eastAsia"/>
                <w:sz w:val="24"/>
              </w:rPr>
              <w:t>。本项目位于寻甸特色产业园区羊街片区，</w:t>
            </w:r>
            <w:r>
              <w:rPr>
                <w:sz w:val="24"/>
              </w:rPr>
              <w:t>选址不涉及自然保护区、饮用水源保护区、水产种质资源保护区、生态红线、基本农田等环境敏感区域，满足《</w:t>
            </w:r>
            <w:r>
              <w:rPr>
                <w:rFonts w:hint="eastAsia"/>
                <w:sz w:val="24"/>
              </w:rPr>
              <w:t>中华人民共和国长江保护法</w:t>
            </w:r>
            <w:r>
              <w:rPr>
                <w:sz w:val="24"/>
              </w:rPr>
              <w:t>》中的要求。</w:t>
            </w:r>
          </w:p>
          <w:p>
            <w:pPr>
              <w:adjustRightInd w:val="0"/>
              <w:spacing w:line="360" w:lineRule="auto"/>
              <w:ind w:firstLine="482" w:firstLineChars="200"/>
              <w:rPr>
                <w:b/>
                <w:bCs/>
                <w:sz w:val="24"/>
              </w:rPr>
            </w:pPr>
            <w:r>
              <w:rPr>
                <w:b/>
                <w:bCs/>
                <w:sz w:val="24"/>
              </w:rPr>
              <w:t>9</w:t>
            </w:r>
            <w:r>
              <w:rPr>
                <w:rFonts w:hint="eastAsia"/>
                <w:b/>
                <w:bCs/>
                <w:sz w:val="24"/>
              </w:rPr>
              <w:t>、</w:t>
            </w:r>
            <w:r>
              <w:rPr>
                <w:b/>
                <w:bCs/>
                <w:sz w:val="24"/>
              </w:rPr>
              <w:t>与《重点行业挥发性有机物综合治理方案》符合性分析</w:t>
            </w:r>
          </w:p>
          <w:p>
            <w:pPr>
              <w:adjustRightInd w:val="0"/>
              <w:spacing w:line="360" w:lineRule="auto"/>
              <w:ind w:firstLine="480" w:firstLineChars="200"/>
              <w:rPr>
                <w:sz w:val="24"/>
              </w:rPr>
            </w:pPr>
            <w:r>
              <w:rPr>
                <w:sz w:val="24"/>
              </w:rPr>
              <w:t>为贯彻落实《中共中央国务院关于全面加强生态环境保护坚决打好污染防治攻坚战的意见》</w:t>
            </w:r>
            <w:r>
              <w:rPr>
                <w:rFonts w:hint="eastAsia"/>
                <w:sz w:val="24"/>
              </w:rPr>
              <w:t>、</w:t>
            </w:r>
            <w:r>
              <w:rPr>
                <w:sz w:val="24"/>
              </w:rPr>
              <w:t>《国务院关于印发打赢蓝天保卫战三年行动计划的通知》有关要求，深入实施《</w:t>
            </w:r>
            <w:r>
              <w:rPr>
                <w:rFonts w:hint="eastAsia"/>
                <w:sz w:val="24"/>
              </w:rPr>
              <w:t>“</w:t>
            </w:r>
            <w:r>
              <w:rPr>
                <w:sz w:val="24"/>
              </w:rPr>
              <w:t>十三五</w:t>
            </w:r>
            <w:r>
              <w:rPr>
                <w:rFonts w:hint="eastAsia"/>
                <w:sz w:val="24"/>
              </w:rPr>
              <w:t>”</w:t>
            </w:r>
            <w:r>
              <w:rPr>
                <w:sz w:val="24"/>
              </w:rPr>
              <w:t>挥发性有机物污染防治工作方案》，加强对各地工作指导，提高挥发性有机物（VOCs）治理的科学性、针对性和有效性，协同控制温室气体排放。</w:t>
            </w:r>
          </w:p>
          <w:p>
            <w:pPr>
              <w:adjustRightInd w:val="0"/>
              <w:spacing w:line="360" w:lineRule="auto"/>
              <w:ind w:firstLine="480" w:firstLineChars="200"/>
              <w:rPr>
                <w:sz w:val="24"/>
              </w:rPr>
            </w:pPr>
            <w:r>
              <w:rPr>
                <w:sz w:val="24"/>
              </w:rPr>
              <w:t>（一）大力推进源头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pPr>
              <w:adjustRightInd w:val="0"/>
              <w:spacing w:line="360" w:lineRule="auto"/>
              <w:ind w:firstLine="480" w:firstLineChars="200"/>
              <w:rPr>
                <w:sz w:val="24"/>
              </w:rPr>
            </w:pPr>
            <w:r>
              <w:rPr>
                <w:sz w:val="24"/>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sz w:val="24"/>
              </w:rPr>
              <w:t>。</w:t>
            </w:r>
          </w:p>
          <w:p>
            <w:pPr>
              <w:adjustRightInd w:val="0"/>
              <w:spacing w:line="360" w:lineRule="auto"/>
              <w:ind w:firstLine="480" w:firstLineChars="200"/>
              <w:rPr>
                <w:sz w:val="24"/>
              </w:rPr>
            </w:pPr>
            <w:r>
              <w:rPr>
                <w:sz w:val="24"/>
              </w:rPr>
              <w:t>（三）推进建设适宜高效的治污设施。企业新建治污设施或对现有治污设施实施改造，应依据排放废气的浓度、组分、风量，温度、湿度、压力，以及生产工况等，合理选择治理技术。</w:t>
            </w:r>
          </w:p>
          <w:p>
            <w:pPr>
              <w:adjustRightInd w:val="0"/>
              <w:spacing w:line="360" w:lineRule="auto"/>
              <w:ind w:firstLine="480" w:firstLineChars="200"/>
              <w:rPr>
                <w:sz w:val="24"/>
              </w:rPr>
            </w:pPr>
            <w:r>
              <w:rPr>
                <w:sz w:val="24"/>
              </w:rPr>
              <w:t>（四）深入实施精细化管控。各地应围绕当地环境空气质量改善需求，根据O</w:t>
            </w:r>
            <w:r>
              <w:rPr>
                <w:sz w:val="24"/>
                <w:vertAlign w:val="subscript"/>
              </w:rPr>
              <w:t>3</w:t>
            </w:r>
            <w:r>
              <w:rPr>
                <w:sz w:val="24"/>
              </w:rPr>
              <w:t>、PM</w:t>
            </w:r>
            <w:r>
              <w:rPr>
                <w:sz w:val="24"/>
                <w:vertAlign w:val="subscript"/>
              </w:rPr>
              <w:t>2.5</w:t>
            </w:r>
            <w:r>
              <w:rPr>
                <w:sz w:val="24"/>
              </w:rPr>
              <w:t>来源解析，结合行业污染排放特征和VOCs物质光化学反应活性等，确定本地区VOCs控制的重点行业和重点污染物，兼顾恶臭污染物和有毒有害物质控制等，提出有效管控方案，提高VOCs治理的精准性、针对性和有效性。</w:t>
            </w:r>
          </w:p>
          <w:p>
            <w:pPr>
              <w:adjustRightInd w:val="0"/>
              <w:spacing w:line="360" w:lineRule="auto"/>
              <w:ind w:firstLine="480" w:firstLineChars="200"/>
              <w:rPr>
                <w:sz w:val="24"/>
              </w:rPr>
            </w:pPr>
            <w:r>
              <w:rPr>
                <w:rFonts w:hint="eastAsia"/>
                <w:sz w:val="24"/>
                <w:highlight w:val="green"/>
              </w:rPr>
              <w:t>本项目环保工程技改针对现有项目热压凉板有机废气治理设施新增三级活性炭吸附净化装置，</w:t>
            </w:r>
            <w:r>
              <w:rPr>
                <w:rFonts w:hint="eastAsia"/>
                <w:sz w:val="24"/>
              </w:rPr>
              <w:t>技改后</w:t>
            </w:r>
            <w:r>
              <w:rPr>
                <w:sz w:val="24"/>
              </w:rPr>
              <w:t>项目热压</w:t>
            </w:r>
            <w:r>
              <w:rPr>
                <w:rFonts w:hint="eastAsia"/>
                <w:sz w:val="24"/>
              </w:rPr>
              <w:t>凉板过程产生的甲醛、挥发性有机废气（以非甲烷总烃计）经“集气罩+三级活性炭吸附净化装置”处理达标后，由1根</w:t>
            </w:r>
            <w:r>
              <w:rPr>
                <w:sz w:val="24"/>
              </w:rPr>
              <w:t>15</w:t>
            </w:r>
            <w:r>
              <w:rPr>
                <w:rFonts w:hint="eastAsia"/>
                <w:sz w:val="24"/>
              </w:rPr>
              <w:t>m高排气筒排放</w:t>
            </w:r>
            <w:r>
              <w:rPr>
                <w:rFonts w:hint="eastAsia"/>
                <w:sz w:val="24"/>
                <w:highlight w:val="green"/>
              </w:rPr>
              <w:t>，现有项目排放有机废气得到了削减</w:t>
            </w:r>
            <w:r>
              <w:rPr>
                <w:rFonts w:hint="eastAsia"/>
                <w:sz w:val="24"/>
              </w:rPr>
              <w:t>，</w:t>
            </w:r>
            <w:r>
              <w:rPr>
                <w:sz w:val="24"/>
              </w:rPr>
              <w:t>符合《重点行业挥发性有机物综合治理方案》的相关技术要求。</w:t>
            </w:r>
          </w:p>
          <w:p>
            <w:pPr>
              <w:adjustRightInd w:val="0"/>
              <w:spacing w:line="360" w:lineRule="auto"/>
              <w:ind w:left="420" w:leftChars="200"/>
              <w:rPr>
                <w:b/>
                <w:bCs/>
                <w:sz w:val="24"/>
              </w:rPr>
            </w:pPr>
            <w:r>
              <w:rPr>
                <w:b/>
                <w:bCs/>
                <w:sz w:val="24"/>
              </w:rPr>
              <w:t>10</w:t>
            </w:r>
            <w:r>
              <w:rPr>
                <w:rFonts w:hint="eastAsia"/>
                <w:b/>
                <w:bCs/>
                <w:sz w:val="24"/>
              </w:rPr>
              <w:t>、与《云南省重点行业挥发性有机物综合治理实施方案》符合性分析</w:t>
            </w:r>
          </w:p>
          <w:p>
            <w:pPr>
              <w:spacing w:line="360" w:lineRule="auto"/>
              <w:ind w:firstLine="480" w:firstLineChars="200"/>
              <w:rPr>
                <w:sz w:val="24"/>
              </w:rPr>
            </w:pPr>
            <w:r>
              <w:rPr>
                <w:sz w:val="24"/>
              </w:rPr>
              <w:t>2019年9月4日，云南省生态环境厅印发了《云南省重点行业挥发性有机物综合治理实施方案》（云环通〔2019〕125号）。项目与《云南省重点行业挥发性有机物综合治理实施方案》的相符性分析见</w:t>
            </w:r>
            <w:r>
              <w:rPr>
                <w:rFonts w:hint="eastAsia"/>
                <w:sz w:val="24"/>
              </w:rPr>
              <w:t>下</w:t>
            </w:r>
            <w:r>
              <w:rPr>
                <w:sz w:val="24"/>
              </w:rPr>
              <w:t>表。</w:t>
            </w:r>
          </w:p>
          <w:p>
            <w:pPr>
              <w:autoSpaceDE w:val="0"/>
              <w:autoSpaceDN w:val="0"/>
              <w:adjustRightInd w:val="0"/>
              <w:spacing w:line="360" w:lineRule="auto"/>
              <w:jc w:val="center"/>
              <w:rPr>
                <w:b/>
                <w:bCs/>
                <w:kern w:val="0"/>
                <w:sz w:val="24"/>
              </w:rPr>
            </w:pPr>
            <w:r>
              <w:rPr>
                <w:b/>
                <w:bCs/>
                <w:kern w:val="0"/>
                <w:sz w:val="24"/>
              </w:rPr>
              <w:t>表1-10  与《云南省重点行业挥发性有机物综合治理实施方案》相符性分析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50"/>
              <w:gridCol w:w="2962"/>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8" w:hRule="atLeast"/>
              </w:trPr>
              <w:tc>
                <w:tcPr>
                  <w:tcW w:w="2551" w:type="pct"/>
                  <w:vAlign w:val="center"/>
                </w:tcPr>
                <w:p>
                  <w:pPr>
                    <w:pStyle w:val="28"/>
                    <w:widowControl w:val="0"/>
                    <w:adjustRightInd w:val="0"/>
                    <w:spacing w:before="0" w:beforeAutospacing="0" w:after="0" w:afterAutospacing="0"/>
                    <w:jc w:val="center"/>
                    <w:rPr>
                      <w:rFonts w:ascii="Times New Roman" w:hAnsi="Times New Roman"/>
                      <w:b/>
                      <w:sz w:val="21"/>
                      <w:szCs w:val="21"/>
                      <w:lang w:bidi="ar"/>
                    </w:rPr>
                  </w:pPr>
                  <w:r>
                    <w:rPr>
                      <w:rFonts w:ascii="Times New Roman" w:hAnsi="Times New Roman"/>
                      <w:b/>
                      <w:sz w:val="21"/>
                      <w:szCs w:val="21"/>
                      <w:lang w:bidi="ar"/>
                    </w:rPr>
                    <w:t>《云南省重点行业挥发性有机物综合治理实施方案》</w:t>
                  </w:r>
                </w:p>
              </w:tc>
              <w:tc>
                <w:tcPr>
                  <w:tcW w:w="1866" w:type="pct"/>
                  <w:vAlign w:val="center"/>
                </w:tcPr>
                <w:p>
                  <w:pPr>
                    <w:adjustRightInd w:val="0"/>
                    <w:jc w:val="center"/>
                    <w:rPr>
                      <w:b/>
                      <w:szCs w:val="21"/>
                    </w:rPr>
                  </w:pPr>
                  <w:r>
                    <w:rPr>
                      <w:b/>
                      <w:szCs w:val="21"/>
                    </w:rPr>
                    <w:t>本项目</w:t>
                  </w:r>
                </w:p>
              </w:tc>
              <w:tc>
                <w:tcPr>
                  <w:tcW w:w="583" w:type="pct"/>
                  <w:vAlign w:val="center"/>
                </w:tcPr>
                <w:p>
                  <w:pPr>
                    <w:adjustRightInd w:val="0"/>
                    <w:jc w:val="center"/>
                    <w:rPr>
                      <w:b/>
                      <w:szCs w:val="21"/>
                    </w:rPr>
                  </w:pPr>
                  <w:r>
                    <w:rPr>
                      <w:b/>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6" w:hRule="atLeast"/>
              </w:trPr>
              <w:tc>
                <w:tcPr>
                  <w:tcW w:w="2551" w:type="pct"/>
                  <w:vAlign w:val="center"/>
                </w:tcPr>
                <w:p>
                  <w:pPr>
                    <w:pStyle w:val="28"/>
                    <w:adjustRightInd w:val="0"/>
                    <w:ind w:firstLine="420" w:firstLineChars="200"/>
                    <w:jc w:val="both"/>
                    <w:rPr>
                      <w:rFonts w:ascii="Times New Roman" w:hAnsi="Times New Roman"/>
                      <w:sz w:val="21"/>
                      <w:szCs w:val="21"/>
                      <w:lang w:bidi="ar"/>
                    </w:rPr>
                  </w:pPr>
                  <w:r>
                    <w:rPr>
                      <w:rFonts w:ascii="Times New Roman" w:hAnsi="Times New Roman"/>
                      <w:sz w:val="21"/>
                      <w:szCs w:val="21"/>
                      <w:lang w:bidi="ar"/>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866" w:type="pct"/>
                  <w:vMerge w:val="restart"/>
                  <w:vAlign w:val="center"/>
                </w:tcPr>
                <w:p>
                  <w:pPr>
                    <w:adjustRightInd w:val="0"/>
                    <w:ind w:firstLine="420" w:firstLineChars="200"/>
                    <w:rPr>
                      <w:szCs w:val="21"/>
                      <w:lang w:bidi="ar"/>
                    </w:rPr>
                  </w:pPr>
                  <w:r>
                    <w:rPr>
                      <w:rFonts w:hint="eastAsia"/>
                      <w:szCs w:val="21"/>
                      <w:highlight w:val="green"/>
                    </w:rPr>
                    <w:t>本项目环保工程技改针对现有项目热压凉板有机废气治理设施新增三级活性炭吸附净化装置，技改后项目热压凉板过程产生的甲醛、挥发性有机废气（以非甲烷总烃计）经“集气罩+三级活性炭吸附净化装置”处理达标后，由1根15m高排气筒排放，现有项目排放有机废气得到了削减。</w:t>
                  </w:r>
                </w:p>
              </w:tc>
              <w:tc>
                <w:tcPr>
                  <w:tcW w:w="583" w:type="pct"/>
                  <w:vAlign w:val="center"/>
                </w:tcPr>
                <w:p>
                  <w:pPr>
                    <w:pStyle w:val="28"/>
                    <w:widowControl w:val="0"/>
                    <w:adjustRightInd w:val="0"/>
                    <w:spacing w:before="0" w:beforeAutospacing="0" w:after="0" w:afterAutospacing="0"/>
                    <w:jc w:val="center"/>
                    <w:rPr>
                      <w:rFonts w:ascii="Times New Roman" w:hAnsi="Times New Roman"/>
                      <w:sz w:val="21"/>
                      <w:szCs w:val="21"/>
                      <w:lang w:bidi="ar"/>
                    </w:rPr>
                  </w:pPr>
                  <w:r>
                    <w:rPr>
                      <w:rFonts w:ascii="Times New Roman" w:hAnsi="Times New Roman"/>
                      <w:sz w:val="21"/>
                      <w:szCs w:val="21"/>
                      <w:lang w:bidi="ar"/>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85" w:hRule="atLeast"/>
              </w:trPr>
              <w:tc>
                <w:tcPr>
                  <w:tcW w:w="2551" w:type="pct"/>
                  <w:vAlign w:val="center"/>
                </w:tcPr>
                <w:p>
                  <w:pPr>
                    <w:pStyle w:val="28"/>
                    <w:adjustRightInd w:val="0"/>
                    <w:ind w:firstLine="420" w:firstLineChars="200"/>
                    <w:jc w:val="both"/>
                    <w:rPr>
                      <w:rFonts w:ascii="Times New Roman" w:hAnsi="Times New Roman"/>
                      <w:sz w:val="21"/>
                      <w:szCs w:val="21"/>
                      <w:lang w:bidi="ar"/>
                    </w:rPr>
                  </w:pPr>
                  <w:r>
                    <w:rPr>
                      <w:rFonts w:ascii="Times New Roman" w:hAnsi="Times New Roman"/>
                      <w:sz w:val="21"/>
                      <w:szCs w:val="21"/>
                      <w:lang w:bidi="ar"/>
                    </w:rPr>
                    <w:t>提高废气收集率。遵循</w:t>
                  </w:r>
                  <w:r>
                    <w:rPr>
                      <w:rFonts w:hint="eastAsia" w:ascii="Times New Roman" w:hAnsi="Times New Roman"/>
                      <w:sz w:val="21"/>
                      <w:szCs w:val="21"/>
                      <w:lang w:bidi="ar"/>
                    </w:rPr>
                    <w:t>“</w:t>
                  </w:r>
                  <w:r>
                    <w:rPr>
                      <w:rFonts w:ascii="Times New Roman" w:hAnsi="Times New Roman"/>
                      <w:sz w:val="21"/>
                      <w:szCs w:val="21"/>
                      <w:lang w:bidi="ar"/>
                    </w:rPr>
                    <w:t>应收尽收、分质收集</w:t>
                  </w:r>
                  <w:r>
                    <w:rPr>
                      <w:rFonts w:hint="eastAsia" w:ascii="Times New Roman" w:hAnsi="Times New Roman"/>
                      <w:sz w:val="21"/>
                      <w:szCs w:val="21"/>
                      <w:lang w:bidi="ar"/>
                    </w:rPr>
                    <w:t>”</w:t>
                  </w:r>
                  <w:r>
                    <w:rPr>
                      <w:rFonts w:ascii="Times New Roman" w:hAnsi="Times New Roman"/>
                      <w:sz w:val="21"/>
                      <w:szCs w:val="21"/>
                      <w:lang w:bidi="ar"/>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866" w:type="pct"/>
                  <w:vMerge w:val="continue"/>
                  <w:vAlign w:val="center"/>
                </w:tcPr>
                <w:p>
                  <w:pPr>
                    <w:pStyle w:val="28"/>
                    <w:adjustRightInd w:val="0"/>
                    <w:spacing w:before="0" w:beforeAutospacing="0" w:after="0" w:afterAutospacing="0"/>
                    <w:ind w:firstLine="420" w:firstLineChars="200"/>
                    <w:jc w:val="both"/>
                    <w:rPr>
                      <w:rFonts w:ascii="Times New Roman" w:hAnsi="Times New Roman"/>
                      <w:sz w:val="21"/>
                      <w:szCs w:val="21"/>
                      <w:lang w:bidi="ar"/>
                    </w:rPr>
                  </w:pPr>
                </w:p>
              </w:tc>
              <w:tc>
                <w:tcPr>
                  <w:tcW w:w="583" w:type="pct"/>
                  <w:vAlign w:val="center"/>
                </w:tcPr>
                <w:p>
                  <w:pPr>
                    <w:pStyle w:val="28"/>
                    <w:widowControl w:val="0"/>
                    <w:adjustRightInd w:val="0"/>
                    <w:spacing w:before="0" w:beforeAutospacing="0" w:after="0" w:afterAutospacing="0"/>
                    <w:jc w:val="center"/>
                    <w:rPr>
                      <w:rFonts w:ascii="Times New Roman" w:hAnsi="Times New Roman"/>
                      <w:sz w:val="21"/>
                      <w:szCs w:val="21"/>
                      <w:lang w:bidi="ar"/>
                    </w:rPr>
                  </w:pPr>
                  <w:r>
                    <w:rPr>
                      <w:rFonts w:ascii="Times New Roman" w:hAnsi="Times New Roman"/>
                      <w:sz w:val="21"/>
                      <w:szCs w:val="21"/>
                      <w:lang w:bidi="ar"/>
                    </w:rPr>
                    <w:t>相符</w:t>
                  </w:r>
                </w:p>
              </w:tc>
            </w:tr>
          </w:tbl>
          <w:p>
            <w:pPr>
              <w:adjustRightInd w:val="0"/>
              <w:spacing w:before="120" w:beforeLines="50" w:line="360" w:lineRule="auto"/>
              <w:ind w:firstLine="480" w:firstLineChars="200"/>
              <w:rPr>
                <w:sz w:val="24"/>
              </w:rPr>
            </w:pPr>
            <w:r>
              <w:rPr>
                <w:sz w:val="24"/>
              </w:rPr>
              <w:t>综上所述，项目与《云南省重点行业挥发性有机物综合治理实施方案》（云环通〔2019〕125号）相符。</w:t>
            </w:r>
          </w:p>
          <w:p>
            <w:pPr>
              <w:adjustRightInd w:val="0"/>
              <w:spacing w:line="360" w:lineRule="auto"/>
              <w:ind w:firstLine="482" w:firstLineChars="200"/>
              <w:rPr>
                <w:b/>
                <w:bCs/>
                <w:sz w:val="24"/>
              </w:rPr>
            </w:pPr>
            <w:r>
              <w:rPr>
                <w:b/>
                <w:bCs/>
                <w:sz w:val="24"/>
              </w:rPr>
              <w:t>11</w:t>
            </w:r>
            <w:r>
              <w:rPr>
                <w:rFonts w:hint="eastAsia"/>
                <w:b/>
                <w:bCs/>
                <w:sz w:val="24"/>
              </w:rPr>
              <w:t>、与《昆明市重点行业挥发性有机物综合治理实施方案》（昆生环通[2019]185号）符合性分析</w:t>
            </w:r>
          </w:p>
          <w:p>
            <w:pPr>
              <w:autoSpaceDE w:val="0"/>
              <w:autoSpaceDN w:val="0"/>
              <w:adjustRightInd w:val="0"/>
              <w:spacing w:before="120" w:beforeLines="50" w:line="360" w:lineRule="auto"/>
              <w:jc w:val="center"/>
              <w:rPr>
                <w:b/>
                <w:bCs/>
                <w:kern w:val="0"/>
                <w:sz w:val="24"/>
              </w:rPr>
            </w:pPr>
            <w:r>
              <w:rPr>
                <w:b/>
                <w:bCs/>
                <w:kern w:val="0"/>
                <w:sz w:val="24"/>
              </w:rPr>
              <w:t>表1-</w:t>
            </w:r>
            <w:r>
              <w:rPr>
                <w:rFonts w:hint="eastAsia"/>
                <w:b/>
                <w:bCs/>
                <w:kern w:val="0"/>
                <w:sz w:val="24"/>
              </w:rPr>
              <w:t>1</w:t>
            </w:r>
            <w:r>
              <w:rPr>
                <w:b/>
                <w:bCs/>
                <w:kern w:val="0"/>
                <w:sz w:val="24"/>
              </w:rPr>
              <w:t>1  与《昆明市重点行业挥发性有机物综合治理实施方案》相符性分析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34"/>
              <w:gridCol w:w="2688"/>
              <w:gridCol w:w="916"/>
            </w:tblGrid>
            <w:tr>
              <w:tblPrEx>
                <w:tblCellMar>
                  <w:top w:w="0" w:type="dxa"/>
                  <w:left w:w="57" w:type="dxa"/>
                  <w:bottom w:w="0" w:type="dxa"/>
                  <w:right w:w="57" w:type="dxa"/>
                </w:tblCellMar>
              </w:tblPrEx>
              <w:trPr>
                <w:trHeight w:val="443" w:hRule="atLeast"/>
              </w:trPr>
              <w:tc>
                <w:tcPr>
                  <w:tcW w:w="2730" w:type="pct"/>
                  <w:vAlign w:val="center"/>
                </w:tcPr>
                <w:p>
                  <w:pPr>
                    <w:pStyle w:val="28"/>
                    <w:widowControl w:val="0"/>
                    <w:adjustRightInd w:val="0"/>
                    <w:spacing w:before="0" w:beforeAutospacing="0" w:after="0" w:afterAutospacing="0"/>
                    <w:jc w:val="center"/>
                    <w:rPr>
                      <w:rFonts w:ascii="Times New Roman" w:hAnsi="Times New Roman"/>
                      <w:b/>
                      <w:sz w:val="21"/>
                      <w:szCs w:val="21"/>
                      <w:lang w:bidi="ar"/>
                    </w:rPr>
                  </w:pPr>
                  <w:r>
                    <w:rPr>
                      <w:rFonts w:ascii="Times New Roman" w:hAnsi="Times New Roman"/>
                      <w:b/>
                      <w:sz w:val="21"/>
                      <w:szCs w:val="21"/>
                      <w:lang w:bidi="ar"/>
                    </w:rPr>
                    <w:t>《昆明市重点行业挥发性有机物综合治理实施方案》</w:t>
                  </w:r>
                </w:p>
              </w:tc>
              <w:tc>
                <w:tcPr>
                  <w:tcW w:w="1693" w:type="pct"/>
                  <w:vAlign w:val="center"/>
                </w:tcPr>
                <w:p>
                  <w:pPr>
                    <w:adjustRightInd w:val="0"/>
                    <w:jc w:val="center"/>
                    <w:rPr>
                      <w:b/>
                      <w:szCs w:val="21"/>
                    </w:rPr>
                  </w:pPr>
                  <w:r>
                    <w:rPr>
                      <w:b/>
                      <w:szCs w:val="21"/>
                    </w:rPr>
                    <w:t>本项目</w:t>
                  </w:r>
                </w:p>
              </w:tc>
              <w:tc>
                <w:tcPr>
                  <w:tcW w:w="577" w:type="pct"/>
                  <w:vAlign w:val="center"/>
                </w:tcPr>
                <w:p>
                  <w:pPr>
                    <w:adjustRightInd w:val="0"/>
                    <w:jc w:val="center"/>
                    <w:rPr>
                      <w:b/>
                      <w:szCs w:val="21"/>
                    </w:rPr>
                  </w:pPr>
                  <w:r>
                    <w:rPr>
                      <w:b/>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6" w:hRule="atLeast"/>
              </w:trPr>
              <w:tc>
                <w:tcPr>
                  <w:tcW w:w="2730" w:type="pct"/>
                  <w:vAlign w:val="center"/>
                </w:tcPr>
                <w:p>
                  <w:pPr>
                    <w:pStyle w:val="28"/>
                    <w:adjustRightInd w:val="0"/>
                    <w:spacing w:before="0" w:beforeAutospacing="0" w:after="0" w:afterAutospacing="0"/>
                    <w:ind w:firstLine="420" w:firstLineChars="200"/>
                    <w:jc w:val="both"/>
                    <w:rPr>
                      <w:rFonts w:ascii="Times New Roman" w:hAnsi="Times New Roman"/>
                      <w:sz w:val="21"/>
                      <w:szCs w:val="21"/>
                      <w:lang w:bidi="ar"/>
                    </w:rPr>
                  </w:pPr>
                  <w:r>
                    <w:rPr>
                      <w:rFonts w:hint="eastAsia" w:ascii="Times New Roman" w:hAnsi="Times New Roman"/>
                      <w:sz w:val="21"/>
                      <w:szCs w:val="21"/>
                      <w:lang w:bidi="ar"/>
                    </w:rPr>
                    <w:t>（</w:t>
                  </w:r>
                  <w:r>
                    <w:rPr>
                      <w:rFonts w:ascii="Times New Roman" w:hAnsi="Times New Roman"/>
                      <w:sz w:val="21"/>
                      <w:szCs w:val="21"/>
                      <w:lang w:bidi="ar"/>
                    </w:rPr>
                    <w:t>一</w:t>
                  </w:r>
                  <w:r>
                    <w:rPr>
                      <w:rFonts w:hint="eastAsia" w:ascii="Times New Roman" w:hAnsi="Times New Roman"/>
                      <w:sz w:val="21"/>
                      <w:szCs w:val="21"/>
                      <w:lang w:bidi="ar"/>
                    </w:rPr>
                    <w:t>）</w:t>
                  </w:r>
                  <w:r>
                    <w:rPr>
                      <w:rFonts w:ascii="Times New Roman" w:hAnsi="Times New Roman"/>
                      <w:sz w:val="21"/>
                      <w:szCs w:val="21"/>
                      <w:lang w:bidi="ar"/>
                    </w:rPr>
                    <w:t>严格环境准入进一步提高行业准入门槛，严格限制石化、化工、包装印刷、工业涂装等高VOCs排放建设项目，控制新增污染物排放量</w:t>
                  </w:r>
                  <w:r>
                    <w:rPr>
                      <w:rFonts w:hint="eastAsia" w:ascii="Times New Roman" w:hAnsi="Times New Roman"/>
                      <w:sz w:val="21"/>
                      <w:szCs w:val="21"/>
                      <w:lang w:bidi="ar"/>
                    </w:rPr>
                    <w:t>；</w:t>
                  </w:r>
                  <w:r>
                    <w:rPr>
                      <w:rFonts w:ascii="Times New Roman" w:hAnsi="Times New Roman"/>
                      <w:sz w:val="21"/>
                      <w:szCs w:val="21"/>
                      <w:lang w:bidi="ar"/>
                    </w:rPr>
                    <w:t>鼓励提倡新、改、扩建涉VOCs排放项目使用低VOCs含量原辅材料，采取密闭措施，加强废气收集，配套安装高效治理设施，减少污染排放。同时，淘汰国家及地方明令禁止的落后工艺和设备。</w:t>
                  </w:r>
                </w:p>
              </w:tc>
              <w:tc>
                <w:tcPr>
                  <w:tcW w:w="1693" w:type="pct"/>
                  <w:vAlign w:val="center"/>
                </w:tcPr>
                <w:p>
                  <w:pPr>
                    <w:adjustRightInd w:val="0"/>
                    <w:ind w:firstLine="420" w:firstLineChars="200"/>
                    <w:rPr>
                      <w:szCs w:val="21"/>
                      <w:lang w:bidi="ar"/>
                    </w:rPr>
                  </w:pPr>
                  <w:r>
                    <w:rPr>
                      <w:rFonts w:hint="eastAsia"/>
                      <w:szCs w:val="21"/>
                      <w:lang w:bidi="ar"/>
                    </w:rPr>
                    <w:t>本项目不属于石化、化工、包装印刷、工业涂装等高VOCs排放项目；</w:t>
                  </w:r>
                  <w:r>
                    <w:rPr>
                      <w:rFonts w:hint="eastAsia"/>
                      <w:szCs w:val="21"/>
                      <w:highlight w:val="green"/>
                      <w:lang w:bidi="ar"/>
                    </w:rPr>
                    <w:t>本项目环保工程技改针对现有项目热压凉板有机废气治理设施新增三级活性炭吸附净化装置，技改后项目热压凉板过程产生的甲醛、挥发性有机废气（以非甲烷总烃计）经“集气罩+三级活性炭吸附净化装置”处理达标后，由1根15m高排气筒排放，现有项目排放有机废气得到了削减</w:t>
                  </w:r>
                  <w:r>
                    <w:rPr>
                      <w:rFonts w:hint="eastAsia"/>
                      <w:szCs w:val="21"/>
                    </w:rPr>
                    <w:t>。本</w:t>
                  </w:r>
                  <w:r>
                    <w:rPr>
                      <w:rFonts w:hint="eastAsia"/>
                      <w:szCs w:val="21"/>
                      <w:lang w:bidi="ar"/>
                    </w:rPr>
                    <w:t>项目不涉及国家及地方明令禁止的落后工艺和设备。</w:t>
                  </w:r>
                </w:p>
              </w:tc>
              <w:tc>
                <w:tcPr>
                  <w:tcW w:w="577" w:type="pct"/>
                  <w:vAlign w:val="center"/>
                </w:tcPr>
                <w:p>
                  <w:pPr>
                    <w:pStyle w:val="28"/>
                    <w:widowControl w:val="0"/>
                    <w:adjustRightInd w:val="0"/>
                    <w:spacing w:before="0" w:beforeAutospacing="0" w:after="0" w:afterAutospacing="0"/>
                    <w:jc w:val="center"/>
                    <w:rPr>
                      <w:rFonts w:ascii="Times New Roman" w:hAnsi="Times New Roman"/>
                      <w:sz w:val="21"/>
                      <w:szCs w:val="21"/>
                      <w:lang w:bidi="ar"/>
                    </w:rPr>
                  </w:pPr>
                  <w:r>
                    <w:rPr>
                      <w:rFonts w:ascii="Times New Roman" w:hAnsi="Times New Roman"/>
                      <w:sz w:val="21"/>
                      <w:szCs w:val="21"/>
                      <w:lang w:bidi="ar"/>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4" w:hRule="atLeast"/>
              </w:trPr>
              <w:tc>
                <w:tcPr>
                  <w:tcW w:w="2730" w:type="pct"/>
                  <w:vAlign w:val="center"/>
                </w:tcPr>
                <w:p>
                  <w:pPr>
                    <w:pStyle w:val="28"/>
                    <w:adjustRightInd w:val="0"/>
                    <w:spacing w:before="0" w:beforeAutospacing="0" w:after="0" w:afterAutospacing="0"/>
                    <w:ind w:firstLine="420" w:firstLineChars="200"/>
                    <w:jc w:val="both"/>
                    <w:rPr>
                      <w:rFonts w:ascii="Times New Roman" w:hAnsi="Times New Roman"/>
                      <w:sz w:val="21"/>
                      <w:szCs w:val="21"/>
                      <w:lang w:bidi="ar"/>
                    </w:rPr>
                  </w:pPr>
                  <w:r>
                    <w:rPr>
                      <w:rFonts w:hint="eastAsia" w:ascii="Times New Roman" w:hAnsi="Times New Roman"/>
                      <w:sz w:val="21"/>
                      <w:szCs w:val="21"/>
                      <w:lang w:bidi="ar"/>
                    </w:rPr>
                    <w:t>（</w:t>
                  </w:r>
                  <w:r>
                    <w:rPr>
                      <w:rFonts w:ascii="Times New Roman" w:hAnsi="Times New Roman"/>
                      <w:sz w:val="21"/>
                      <w:szCs w:val="21"/>
                      <w:lang w:bidi="ar"/>
                    </w:rPr>
                    <w:t>二</w:t>
                  </w:r>
                  <w:r>
                    <w:rPr>
                      <w:rFonts w:hint="eastAsia" w:ascii="Times New Roman" w:hAnsi="Times New Roman"/>
                      <w:sz w:val="21"/>
                      <w:szCs w:val="21"/>
                      <w:lang w:bidi="ar"/>
                    </w:rPr>
                    <w:t>）</w:t>
                  </w:r>
                  <w:r>
                    <w:rPr>
                      <w:rFonts w:ascii="Times New Roman" w:hAnsi="Times New Roman"/>
                      <w:sz w:val="21"/>
                      <w:szCs w:val="21"/>
                      <w:lang w:bidi="ar"/>
                    </w:rPr>
                    <w:t>积极推广先进生产工艺通过采用全密闭、连续化、自动化等生产技术，以及高效工艺与设备等，减少工艺过程无组织排放。挥发性有机液体装载优先采用底部装载方式。石化、化工行业重点推进使用低 (无)泄漏的泵、压缩机、过滤机、离心机、干燥设备等，推广采用油品在线调和技术、密闭式循环水冷却系统等。工业涂装行业重点推进使用紧凑式涂装工艺，推广采用</w:t>
                  </w:r>
                  <w:r>
                    <w:rPr>
                      <w:rFonts w:hint="eastAsia" w:ascii="Times New Roman" w:hAnsi="Times New Roman"/>
                      <w:sz w:val="21"/>
                      <w:szCs w:val="21"/>
                      <w:lang w:eastAsia="zh-CN" w:bidi="ar"/>
                    </w:rPr>
                    <w:t>辊</w:t>
                  </w:r>
                  <w:r>
                    <w:rPr>
                      <w:rFonts w:ascii="Times New Roman" w:hAnsi="Times New Roman"/>
                      <w:sz w:val="21"/>
                      <w:szCs w:val="21"/>
                      <w:lang w:bidi="ar"/>
                    </w:rPr>
                    <w:t>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693" w:type="pct"/>
                  <w:vAlign w:val="center"/>
                </w:tcPr>
                <w:p>
                  <w:pPr>
                    <w:pStyle w:val="28"/>
                    <w:adjustRightInd w:val="0"/>
                    <w:spacing w:before="0" w:beforeAutospacing="0" w:after="0" w:afterAutospacing="0"/>
                    <w:ind w:firstLine="420" w:firstLineChars="200"/>
                    <w:jc w:val="both"/>
                    <w:rPr>
                      <w:rFonts w:ascii="Times New Roman" w:hAnsi="Times New Roman"/>
                      <w:sz w:val="21"/>
                      <w:szCs w:val="21"/>
                      <w:lang w:bidi="ar"/>
                    </w:rPr>
                  </w:pPr>
                  <w:r>
                    <w:rPr>
                      <w:rFonts w:hint="eastAsia"/>
                      <w:sz w:val="21"/>
                      <w:szCs w:val="21"/>
                    </w:rPr>
                    <w:t>本项目对现有项目的配套供热工程和环保工程技改，主体工程生产工艺等均不改变，</w:t>
                  </w:r>
                  <w:r>
                    <w:rPr>
                      <w:rFonts w:hint="eastAsia" w:ascii="Times New Roman" w:hAnsi="Times New Roman"/>
                      <w:sz w:val="21"/>
                      <w:szCs w:val="21"/>
                      <w:lang w:bidi="ar"/>
                    </w:rPr>
                    <w:t>现有项目为木质刨花板生产，属于家居制造产业，生产过程中使用高效工艺及设备。</w:t>
                  </w:r>
                </w:p>
                <w:p>
                  <w:pPr>
                    <w:pStyle w:val="28"/>
                    <w:adjustRightInd w:val="0"/>
                    <w:spacing w:before="0" w:beforeAutospacing="0" w:after="0" w:afterAutospacing="0"/>
                    <w:ind w:firstLine="420" w:firstLineChars="200"/>
                    <w:jc w:val="both"/>
                    <w:rPr>
                      <w:rFonts w:ascii="Times New Roman" w:hAnsi="Times New Roman"/>
                      <w:sz w:val="21"/>
                      <w:szCs w:val="21"/>
                      <w:lang w:bidi="ar"/>
                    </w:rPr>
                  </w:pPr>
                  <w:r>
                    <w:rPr>
                      <w:rFonts w:hint="eastAsia" w:ascii="Times New Roman" w:hAnsi="Times New Roman"/>
                      <w:sz w:val="21"/>
                      <w:szCs w:val="21"/>
                      <w:lang w:bidi="ar"/>
                    </w:rPr>
                    <w:t>本项目不涉及</w:t>
                  </w:r>
                  <w:r>
                    <w:rPr>
                      <w:rFonts w:ascii="Times New Roman" w:hAnsi="Times New Roman"/>
                      <w:sz w:val="21"/>
                      <w:szCs w:val="21"/>
                      <w:lang w:bidi="ar"/>
                    </w:rPr>
                    <w:t>挥发性有机液体装载</w:t>
                  </w:r>
                  <w:r>
                    <w:rPr>
                      <w:rFonts w:hint="eastAsia" w:ascii="Times New Roman" w:hAnsi="Times New Roman"/>
                      <w:sz w:val="21"/>
                      <w:szCs w:val="21"/>
                      <w:lang w:bidi="ar"/>
                    </w:rPr>
                    <w:t>、不属于</w:t>
                  </w:r>
                  <w:r>
                    <w:rPr>
                      <w:rFonts w:ascii="Times New Roman" w:hAnsi="Times New Roman"/>
                      <w:sz w:val="21"/>
                      <w:szCs w:val="21"/>
                      <w:lang w:bidi="ar"/>
                    </w:rPr>
                    <w:t>石化、化工行业</w:t>
                  </w:r>
                  <w:r>
                    <w:rPr>
                      <w:rFonts w:hint="eastAsia" w:ascii="Times New Roman" w:hAnsi="Times New Roman"/>
                      <w:sz w:val="21"/>
                      <w:szCs w:val="21"/>
                      <w:lang w:bidi="ar"/>
                    </w:rPr>
                    <w:t>，不涉及</w:t>
                  </w:r>
                  <w:r>
                    <w:rPr>
                      <w:rFonts w:ascii="Times New Roman" w:hAnsi="Times New Roman"/>
                      <w:sz w:val="21"/>
                      <w:szCs w:val="21"/>
                      <w:lang w:bidi="ar"/>
                    </w:rPr>
                    <w:t>工业涂装行业</w:t>
                  </w:r>
                  <w:r>
                    <w:rPr>
                      <w:rFonts w:hint="eastAsia" w:ascii="Times New Roman" w:hAnsi="Times New Roman"/>
                      <w:sz w:val="21"/>
                      <w:szCs w:val="21"/>
                      <w:lang w:bidi="ar"/>
                    </w:rPr>
                    <w:t>、</w:t>
                  </w:r>
                  <w:r>
                    <w:rPr>
                      <w:rFonts w:ascii="Times New Roman" w:hAnsi="Times New Roman"/>
                      <w:sz w:val="21"/>
                      <w:szCs w:val="21"/>
                      <w:lang w:bidi="ar"/>
                    </w:rPr>
                    <w:t>包装印刷行业</w:t>
                  </w:r>
                  <w:r>
                    <w:rPr>
                      <w:rFonts w:hint="eastAsia" w:ascii="Times New Roman" w:hAnsi="Times New Roman"/>
                      <w:sz w:val="21"/>
                      <w:szCs w:val="21"/>
                      <w:lang w:bidi="ar"/>
                    </w:rPr>
                    <w:t>。</w:t>
                  </w:r>
                </w:p>
              </w:tc>
              <w:tc>
                <w:tcPr>
                  <w:tcW w:w="577" w:type="pct"/>
                  <w:vAlign w:val="center"/>
                </w:tcPr>
                <w:p>
                  <w:pPr>
                    <w:pStyle w:val="28"/>
                    <w:widowControl w:val="0"/>
                    <w:adjustRightInd w:val="0"/>
                    <w:spacing w:before="0" w:beforeAutospacing="0" w:after="0" w:afterAutospacing="0"/>
                    <w:jc w:val="center"/>
                    <w:rPr>
                      <w:rFonts w:ascii="Times New Roman" w:hAnsi="Times New Roman"/>
                      <w:sz w:val="21"/>
                      <w:szCs w:val="21"/>
                      <w:lang w:bidi="ar"/>
                    </w:rPr>
                  </w:pPr>
                  <w:r>
                    <w:rPr>
                      <w:rFonts w:ascii="Times New Roman" w:hAnsi="Times New Roman"/>
                      <w:sz w:val="21"/>
                      <w:szCs w:val="21"/>
                      <w:lang w:bidi="ar"/>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1" w:hRule="atLeast"/>
              </w:trPr>
              <w:tc>
                <w:tcPr>
                  <w:tcW w:w="2730" w:type="pct"/>
                  <w:vAlign w:val="center"/>
                </w:tcPr>
                <w:p>
                  <w:pPr>
                    <w:pStyle w:val="28"/>
                    <w:adjustRightInd w:val="0"/>
                    <w:spacing w:before="0" w:beforeAutospacing="0" w:after="0" w:afterAutospacing="0"/>
                    <w:ind w:firstLine="420" w:firstLineChars="200"/>
                    <w:jc w:val="both"/>
                    <w:rPr>
                      <w:rFonts w:ascii="Times New Roman" w:hAnsi="Times New Roman"/>
                      <w:sz w:val="21"/>
                      <w:szCs w:val="21"/>
                      <w:lang w:bidi="ar"/>
                    </w:rPr>
                  </w:pPr>
                  <w:r>
                    <w:rPr>
                      <w:rFonts w:hint="eastAsia" w:ascii="Times New Roman" w:hAnsi="Times New Roman"/>
                      <w:sz w:val="21"/>
                      <w:szCs w:val="21"/>
                      <w:lang w:bidi="ar"/>
                    </w:rPr>
                    <w:t>（</w:t>
                  </w:r>
                  <w:r>
                    <w:rPr>
                      <w:rFonts w:ascii="Times New Roman" w:hAnsi="Times New Roman"/>
                      <w:sz w:val="21"/>
                      <w:szCs w:val="21"/>
                      <w:lang w:bidi="ar"/>
                    </w:rPr>
                    <w:t>三</w:t>
                  </w:r>
                  <w:r>
                    <w:rPr>
                      <w:rFonts w:hint="eastAsia" w:ascii="Times New Roman" w:hAnsi="Times New Roman"/>
                      <w:sz w:val="21"/>
                      <w:szCs w:val="21"/>
                      <w:lang w:bidi="ar"/>
                    </w:rPr>
                    <w:t>）</w:t>
                  </w:r>
                  <w:r>
                    <w:rPr>
                      <w:rFonts w:ascii="Times New Roman" w:hAnsi="Times New Roman"/>
                      <w:sz w:val="21"/>
                      <w:szCs w:val="21"/>
                      <w:lang w:bidi="ar"/>
                    </w:rPr>
                    <w:t>推进建设适宜高效的治污设施</w:t>
                  </w:r>
                  <w:r>
                    <w:rPr>
                      <w:rFonts w:hint="eastAsia" w:ascii="Times New Roman" w:hAnsi="Times New Roman"/>
                      <w:sz w:val="21"/>
                      <w:szCs w:val="21"/>
                      <w:lang w:bidi="ar"/>
                    </w:rPr>
                    <w:t>。</w:t>
                  </w:r>
                  <w:r>
                    <w:rPr>
                      <w:rFonts w:ascii="Times New Roman" w:hAnsi="Times New Roman"/>
                      <w:sz w:val="21"/>
                      <w:szCs w:val="21"/>
                      <w:lang w:bidi="ar"/>
                    </w:rPr>
                    <w:t>鼓励企业采用多种技术的组合工艺，提高VOCs治理效率。低浓度、大风量废气，宜采用沸石转轮吸附、二级活性炭吸附、减风增浓等浓缩技术，提高VOCs浓度后净化处理。</w:t>
                  </w:r>
                </w:p>
              </w:tc>
              <w:tc>
                <w:tcPr>
                  <w:tcW w:w="1693" w:type="pct"/>
                  <w:vAlign w:val="center"/>
                </w:tcPr>
                <w:p>
                  <w:pPr>
                    <w:adjustRightInd w:val="0"/>
                    <w:ind w:firstLine="420" w:firstLineChars="200"/>
                    <w:rPr>
                      <w:kern w:val="0"/>
                      <w:szCs w:val="21"/>
                      <w:lang w:bidi="ar"/>
                    </w:rPr>
                  </w:pPr>
                  <w:r>
                    <w:rPr>
                      <w:rFonts w:hint="eastAsia"/>
                      <w:szCs w:val="21"/>
                      <w:highlight w:val="green"/>
                    </w:rPr>
                    <w:t>本项目环保工程技改针对现有项目热压凉板有机废气治理设施进行技改，新增三级活性炭吸附净化装置，技改后项目热压凉板过程产生的甲醛、挥发性有机废气（以非甲烷总烃计）经“集气罩+三级活性炭吸附净化装置”处理达标后，由1根15m高排气筒排放，现有项目排放有机废气得到了削减</w:t>
                  </w:r>
                  <w:r>
                    <w:rPr>
                      <w:rFonts w:hint="eastAsia"/>
                      <w:szCs w:val="21"/>
                    </w:rPr>
                    <w:t>，</w:t>
                  </w:r>
                  <w:r>
                    <w:rPr>
                      <w:kern w:val="0"/>
                      <w:szCs w:val="21"/>
                      <w:lang w:bidi="ar"/>
                    </w:rPr>
                    <w:t>本项目</w:t>
                  </w:r>
                  <w:r>
                    <w:rPr>
                      <w:rFonts w:hint="eastAsia"/>
                      <w:kern w:val="0"/>
                      <w:szCs w:val="21"/>
                      <w:lang w:bidi="ar"/>
                    </w:rPr>
                    <w:t>技改</w:t>
                  </w:r>
                  <w:r>
                    <w:rPr>
                      <w:rFonts w:hint="eastAsia"/>
                      <w:kern w:val="0"/>
                      <w:szCs w:val="21"/>
                      <w:highlight w:val="green"/>
                      <w:lang w:bidi="ar"/>
                    </w:rPr>
                    <w:t>新增三级</w:t>
                  </w:r>
                  <w:r>
                    <w:rPr>
                      <w:szCs w:val="21"/>
                      <w:highlight w:val="green"/>
                      <w:lang w:bidi="ar"/>
                    </w:rPr>
                    <w:t>活性炭吸附净化装置</w:t>
                  </w:r>
                  <w:r>
                    <w:rPr>
                      <w:rFonts w:hint="eastAsia"/>
                      <w:szCs w:val="21"/>
                      <w:lang w:bidi="ar"/>
                    </w:rPr>
                    <w:t>处理热压凉板工序有机废气</w:t>
                  </w:r>
                  <w:r>
                    <w:rPr>
                      <w:kern w:val="0"/>
                      <w:szCs w:val="21"/>
                      <w:lang w:bidi="ar"/>
                    </w:rPr>
                    <w:t>，为《排污许可证申请与核发技术规范 人造板工业》（HJ 1032-2019）中的</w:t>
                  </w:r>
                  <w:r>
                    <w:rPr>
                      <w:rFonts w:hint="eastAsia"/>
                      <w:kern w:val="0"/>
                      <w:szCs w:val="21"/>
                      <w:lang w:bidi="ar"/>
                    </w:rPr>
                    <w:t>可行</w:t>
                  </w:r>
                  <w:r>
                    <w:rPr>
                      <w:kern w:val="0"/>
                      <w:szCs w:val="21"/>
                      <w:lang w:bidi="ar"/>
                    </w:rPr>
                    <w:t>技术。</w:t>
                  </w:r>
                </w:p>
              </w:tc>
              <w:tc>
                <w:tcPr>
                  <w:tcW w:w="577" w:type="pct"/>
                  <w:vAlign w:val="center"/>
                </w:tcPr>
                <w:p>
                  <w:pPr>
                    <w:pStyle w:val="28"/>
                    <w:widowControl w:val="0"/>
                    <w:adjustRightInd w:val="0"/>
                    <w:spacing w:before="0" w:beforeAutospacing="0" w:after="0" w:afterAutospacing="0"/>
                    <w:jc w:val="center"/>
                    <w:rPr>
                      <w:rFonts w:ascii="Times New Roman" w:hAnsi="Times New Roman"/>
                      <w:sz w:val="21"/>
                      <w:szCs w:val="21"/>
                      <w:lang w:bidi="ar"/>
                    </w:rPr>
                  </w:pPr>
                  <w:r>
                    <w:rPr>
                      <w:rFonts w:hint="eastAsia" w:ascii="Times New Roman" w:hAnsi="Times New Roman"/>
                      <w:sz w:val="21"/>
                      <w:szCs w:val="21"/>
                      <w:lang w:bidi="ar"/>
                    </w:rPr>
                    <w:t>相符</w:t>
                  </w:r>
                </w:p>
              </w:tc>
            </w:tr>
          </w:tbl>
          <w:p>
            <w:pPr>
              <w:adjustRightInd w:val="0"/>
              <w:spacing w:before="120" w:beforeLines="50" w:line="360" w:lineRule="auto"/>
              <w:ind w:firstLine="480" w:firstLineChars="200"/>
              <w:rPr>
                <w:sz w:val="24"/>
              </w:rPr>
            </w:pPr>
            <w:r>
              <w:rPr>
                <w:sz w:val="24"/>
              </w:rPr>
              <w:t>综上所述，</w:t>
            </w:r>
            <w:r>
              <w:rPr>
                <w:rFonts w:hint="eastAsia"/>
                <w:sz w:val="24"/>
              </w:rPr>
              <w:t>本</w:t>
            </w:r>
            <w:r>
              <w:rPr>
                <w:sz w:val="24"/>
              </w:rPr>
              <w:t>项目与《昆明市重点行业挥发性有机物综合治理实施方案》</w:t>
            </w:r>
            <w:r>
              <w:rPr>
                <w:rFonts w:hint="eastAsia"/>
                <w:sz w:val="24"/>
              </w:rPr>
              <w:t>（昆生环通[2019]185号）</w:t>
            </w:r>
            <w:r>
              <w:rPr>
                <w:sz w:val="24"/>
              </w:rPr>
              <w:t>相符。</w:t>
            </w:r>
          </w:p>
          <w:p>
            <w:pPr>
              <w:pStyle w:val="15"/>
              <w:adjustRightInd w:val="0"/>
              <w:spacing w:line="360" w:lineRule="auto"/>
              <w:ind w:firstLine="482" w:firstLineChars="200"/>
              <w:rPr>
                <w:rFonts w:ascii="Times New Roman" w:hAnsi="Times New Roman"/>
                <w:b/>
                <w:bCs/>
                <w:kern w:val="2"/>
                <w:sz w:val="24"/>
                <w:szCs w:val="24"/>
              </w:rPr>
            </w:pPr>
            <w:r>
              <w:rPr>
                <w:rFonts w:ascii="Times New Roman" w:hAnsi="Times New Roman"/>
                <w:b/>
                <w:bCs/>
                <w:kern w:val="2"/>
                <w:sz w:val="24"/>
                <w:szCs w:val="24"/>
              </w:rPr>
              <w:t>12</w:t>
            </w:r>
            <w:r>
              <w:rPr>
                <w:rFonts w:hint="eastAsia" w:ascii="Times New Roman" w:hAnsi="Times New Roman"/>
                <w:b/>
                <w:bCs/>
                <w:kern w:val="2"/>
                <w:sz w:val="24"/>
                <w:szCs w:val="24"/>
              </w:rPr>
              <w:t>、</w:t>
            </w:r>
            <w:r>
              <w:rPr>
                <w:rFonts w:ascii="Times New Roman" w:hAnsi="Times New Roman"/>
                <w:b/>
                <w:bCs/>
                <w:kern w:val="2"/>
                <w:sz w:val="24"/>
                <w:szCs w:val="24"/>
              </w:rPr>
              <w:t>与《昆明市大气污染防治条例》相符性分析</w:t>
            </w:r>
          </w:p>
          <w:p>
            <w:pPr>
              <w:spacing w:line="360" w:lineRule="auto"/>
              <w:ind w:firstLine="480" w:firstLineChars="200"/>
              <w:rPr>
                <w:kern w:val="0"/>
                <w:sz w:val="24"/>
              </w:rPr>
            </w:pPr>
            <w:r>
              <w:rPr>
                <w:rFonts w:hint="eastAsia"/>
                <w:kern w:val="0"/>
                <w:sz w:val="24"/>
              </w:rPr>
              <w:t>本</w:t>
            </w:r>
            <w:r>
              <w:rPr>
                <w:kern w:val="0"/>
                <w:sz w:val="24"/>
              </w:rPr>
              <w:t>项目与《昆明市大气污染防治条例》相符性分析见表1-</w:t>
            </w:r>
            <w:r>
              <w:rPr>
                <w:rFonts w:hint="eastAsia"/>
                <w:kern w:val="0"/>
                <w:sz w:val="24"/>
              </w:rPr>
              <w:t>1</w:t>
            </w:r>
            <w:r>
              <w:rPr>
                <w:kern w:val="0"/>
                <w:sz w:val="24"/>
              </w:rPr>
              <w:t>2。</w:t>
            </w:r>
          </w:p>
          <w:p>
            <w:pPr>
              <w:autoSpaceDE w:val="0"/>
              <w:autoSpaceDN w:val="0"/>
              <w:adjustRightInd w:val="0"/>
              <w:spacing w:line="360" w:lineRule="auto"/>
              <w:jc w:val="center"/>
              <w:rPr>
                <w:b/>
                <w:bCs/>
                <w:kern w:val="0"/>
                <w:sz w:val="24"/>
              </w:rPr>
            </w:pPr>
          </w:p>
          <w:p>
            <w:pPr>
              <w:autoSpaceDE w:val="0"/>
              <w:autoSpaceDN w:val="0"/>
              <w:adjustRightInd w:val="0"/>
              <w:spacing w:line="360" w:lineRule="auto"/>
              <w:jc w:val="center"/>
              <w:rPr>
                <w:b/>
                <w:bCs/>
                <w:kern w:val="0"/>
                <w:sz w:val="24"/>
              </w:rPr>
            </w:pPr>
          </w:p>
          <w:p>
            <w:pPr>
              <w:autoSpaceDE w:val="0"/>
              <w:autoSpaceDN w:val="0"/>
              <w:adjustRightInd w:val="0"/>
              <w:spacing w:before="120" w:beforeLines="50" w:line="360" w:lineRule="auto"/>
              <w:jc w:val="center"/>
              <w:rPr>
                <w:b/>
                <w:bCs/>
                <w:kern w:val="0"/>
                <w:sz w:val="24"/>
              </w:rPr>
            </w:pPr>
            <w:r>
              <w:rPr>
                <w:rFonts w:hint="eastAsia"/>
                <w:b/>
                <w:bCs/>
                <w:kern w:val="0"/>
                <w:sz w:val="24"/>
              </w:rPr>
              <w:t>表1-1</w:t>
            </w:r>
            <w:r>
              <w:rPr>
                <w:b/>
                <w:bCs/>
                <w:kern w:val="0"/>
                <w:sz w:val="24"/>
              </w:rPr>
              <w:t>2</w:t>
            </w:r>
            <w:r>
              <w:rPr>
                <w:rFonts w:hint="eastAsia"/>
                <w:b/>
                <w:bCs/>
                <w:kern w:val="0"/>
                <w:sz w:val="24"/>
              </w:rPr>
              <w:t xml:space="preserve">  与《昆明市大气污染防治条例》的符合性分析</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18"/>
              <w:gridCol w:w="3134"/>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4" w:hRule="atLeast"/>
              </w:trPr>
              <w:tc>
                <w:tcPr>
                  <w:tcW w:w="2532" w:type="pct"/>
                  <w:vAlign w:val="center"/>
                </w:tcPr>
                <w:p>
                  <w:pPr>
                    <w:jc w:val="center"/>
                    <w:rPr>
                      <w:b/>
                      <w:bCs/>
                      <w:szCs w:val="21"/>
                    </w:rPr>
                  </w:pPr>
                  <w:r>
                    <w:rPr>
                      <w:b/>
                      <w:bCs/>
                      <w:kern w:val="0"/>
                      <w:szCs w:val="21"/>
                    </w:rPr>
                    <w:t>昆明市大气污染防治条例要求</w:t>
                  </w:r>
                </w:p>
              </w:tc>
              <w:tc>
                <w:tcPr>
                  <w:tcW w:w="1975" w:type="pct"/>
                  <w:vAlign w:val="center"/>
                </w:tcPr>
                <w:p>
                  <w:pPr>
                    <w:jc w:val="center"/>
                    <w:rPr>
                      <w:b/>
                      <w:bCs/>
                      <w:szCs w:val="21"/>
                    </w:rPr>
                  </w:pPr>
                  <w:r>
                    <w:rPr>
                      <w:b/>
                      <w:bCs/>
                      <w:kern w:val="0"/>
                      <w:szCs w:val="21"/>
                    </w:rPr>
                    <w:t>项目情况</w:t>
                  </w:r>
                </w:p>
              </w:tc>
              <w:tc>
                <w:tcPr>
                  <w:tcW w:w="493" w:type="pct"/>
                  <w:vAlign w:val="center"/>
                </w:tcPr>
                <w:p>
                  <w:pPr>
                    <w:jc w:val="center"/>
                    <w:rPr>
                      <w:b/>
                      <w:bCs/>
                      <w:szCs w:val="21"/>
                    </w:rPr>
                  </w:pPr>
                  <w:r>
                    <w:rPr>
                      <w:b/>
                      <w:bCs/>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2532" w:type="pct"/>
                  <w:vAlign w:val="center"/>
                </w:tcPr>
                <w:p>
                  <w:pPr>
                    <w:ind w:firstLine="420" w:firstLineChars="200"/>
                    <w:rPr>
                      <w:szCs w:val="21"/>
                    </w:rPr>
                  </w:pPr>
                  <w:r>
                    <w:rPr>
                      <w:szCs w:val="21"/>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975" w:type="pct"/>
                  <w:vAlign w:val="center"/>
                </w:tcPr>
                <w:p>
                  <w:pPr>
                    <w:widowControl/>
                    <w:ind w:firstLine="420" w:firstLineChars="200"/>
                    <w:rPr>
                      <w:szCs w:val="21"/>
                      <w:lang w:bidi="ar"/>
                    </w:rPr>
                  </w:pPr>
                  <w:r>
                    <w:rPr>
                      <w:szCs w:val="21"/>
                    </w:rPr>
                    <w:t>本项目</w:t>
                  </w:r>
                  <w:r>
                    <w:rPr>
                      <w:rFonts w:hint="eastAsia"/>
                      <w:szCs w:val="21"/>
                    </w:rPr>
                    <w:t>为现有项目配套</w:t>
                  </w:r>
                  <w:r>
                    <w:rPr>
                      <w:szCs w:val="21"/>
                    </w:rPr>
                    <w:t>供热工程</w:t>
                  </w:r>
                  <w:r>
                    <w:rPr>
                      <w:rFonts w:hint="eastAsia"/>
                      <w:szCs w:val="21"/>
                    </w:rPr>
                    <w:t>和</w:t>
                  </w:r>
                  <w:r>
                    <w:rPr>
                      <w:szCs w:val="21"/>
                    </w:rPr>
                    <w:t>环保工程</w:t>
                  </w:r>
                  <w:r>
                    <w:rPr>
                      <w:rFonts w:hint="eastAsia"/>
                      <w:szCs w:val="21"/>
                    </w:rPr>
                    <w:t>进行技改</w:t>
                  </w:r>
                  <w:r>
                    <w:rPr>
                      <w:szCs w:val="21"/>
                    </w:rPr>
                    <w:t>，</w:t>
                  </w:r>
                  <w:r>
                    <w:rPr>
                      <w:rFonts w:hint="eastAsia"/>
                      <w:szCs w:val="21"/>
                    </w:rPr>
                    <w:t>现有项目</w:t>
                  </w:r>
                  <w:r>
                    <w:rPr>
                      <w:rFonts w:hint="eastAsia" w:cs="宋体"/>
                      <w:kern w:val="0"/>
                      <w:szCs w:val="21"/>
                    </w:rPr>
                    <w:t>主体工程原辅材料、生产工艺及污染物种类、产品及规模等均未发生变化。</w:t>
                  </w:r>
                </w:p>
                <w:p>
                  <w:pPr>
                    <w:widowControl/>
                    <w:ind w:firstLine="420" w:firstLineChars="200"/>
                    <w:rPr>
                      <w:szCs w:val="21"/>
                    </w:rPr>
                  </w:pPr>
                  <w:r>
                    <w:rPr>
                      <w:rFonts w:hint="eastAsia"/>
                      <w:szCs w:val="21"/>
                      <w:highlight w:val="green"/>
                    </w:rPr>
                    <w:t>本项目供热工程技改新增5</w:t>
                  </w:r>
                  <w:r>
                    <w:rPr>
                      <w:szCs w:val="21"/>
                      <w:highlight w:val="green"/>
                    </w:rPr>
                    <w:t>t/h</w:t>
                  </w:r>
                  <w:r>
                    <w:rPr>
                      <w:rFonts w:hint="eastAsia"/>
                      <w:szCs w:val="21"/>
                      <w:highlight w:val="green"/>
                    </w:rPr>
                    <w:t>导热油锅炉产生的锅炉废气采用“旋风多管除尘+水膜除尘”处理后经过35m高排气筒达标排放；环保工程技改新增环保设施本身不产生废气，现有7t/h导热油锅炉、筛选打磨工序、热压凉板工序排放污染物得到了削减。</w:t>
                  </w:r>
                  <w:r>
                    <w:rPr>
                      <w:szCs w:val="21"/>
                    </w:rPr>
                    <w:t>本项目废气均设置合理的处置措施处理后达标排放，不存在偷排</w:t>
                  </w:r>
                  <w:r>
                    <w:rPr>
                      <w:snapToGrid w:val="0"/>
                      <w:kern w:val="0"/>
                      <w:szCs w:val="21"/>
                    </w:rPr>
                    <w:t>。</w:t>
                  </w:r>
                </w:p>
              </w:tc>
              <w:tc>
                <w:tcPr>
                  <w:tcW w:w="493" w:type="pct"/>
                  <w:vAlign w:val="center"/>
                </w:tcPr>
                <w:p>
                  <w:pPr>
                    <w:jc w:val="center"/>
                    <w:rPr>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532" w:type="pct"/>
                  <w:vAlign w:val="center"/>
                </w:tcPr>
                <w:p>
                  <w:pPr>
                    <w:ind w:firstLine="420" w:firstLineChars="200"/>
                    <w:rPr>
                      <w:szCs w:val="21"/>
                    </w:rPr>
                  </w:pPr>
                  <w:r>
                    <w:rPr>
                      <w:szCs w:val="21"/>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975" w:type="pct"/>
                  <w:vAlign w:val="center"/>
                </w:tcPr>
                <w:p>
                  <w:pPr>
                    <w:widowControl/>
                    <w:ind w:firstLine="420" w:firstLineChars="200"/>
                    <w:rPr>
                      <w:szCs w:val="21"/>
                    </w:rPr>
                  </w:pPr>
                  <w:r>
                    <w:rPr>
                      <w:rFonts w:hint="eastAsia"/>
                      <w:szCs w:val="21"/>
                      <w:highlight w:val="green"/>
                    </w:rPr>
                    <w:t>本项目环保工程技改针对现有项目热压凉板有机废气治理设施进行技改，新增三级活性炭吸附净化装置，技改后项目热压凉板过程产生的甲醛、挥发性有机废气（以非甲烷总烃计）经“集气罩+三级活性炭吸附净化装置”处理达标后，由1根15m高排气筒排放，现有项目排放有机废气得到了削减</w:t>
                  </w:r>
                  <w:r>
                    <w:rPr>
                      <w:rFonts w:hint="eastAsia"/>
                      <w:szCs w:val="21"/>
                      <w:lang w:bidi="ar"/>
                    </w:rPr>
                    <w:t>，</w:t>
                  </w:r>
                  <w:r>
                    <w:rPr>
                      <w:szCs w:val="21"/>
                    </w:rPr>
                    <w:t>本项目</w:t>
                  </w:r>
                  <w:r>
                    <w:rPr>
                      <w:rFonts w:hint="eastAsia"/>
                      <w:szCs w:val="21"/>
                    </w:rPr>
                    <w:t>有机</w:t>
                  </w:r>
                  <w:r>
                    <w:rPr>
                      <w:szCs w:val="21"/>
                    </w:rPr>
                    <w:t>废气均设置合理的处置措施处理后达标排放，不存在偷排</w:t>
                  </w:r>
                  <w:r>
                    <w:rPr>
                      <w:snapToGrid w:val="0"/>
                      <w:kern w:val="0"/>
                      <w:szCs w:val="21"/>
                    </w:rPr>
                    <w:t>。</w:t>
                  </w:r>
                </w:p>
              </w:tc>
              <w:tc>
                <w:tcPr>
                  <w:tcW w:w="493" w:type="pct"/>
                  <w:vAlign w:val="center"/>
                </w:tcPr>
                <w:p>
                  <w:pPr>
                    <w:jc w:val="center"/>
                    <w:rPr>
                      <w:szCs w:val="21"/>
                    </w:rPr>
                  </w:pPr>
                  <w:r>
                    <w:rPr>
                      <w:kern w:val="0"/>
                      <w:szCs w:val="21"/>
                    </w:rPr>
                    <w:t>符合</w:t>
                  </w:r>
                </w:p>
              </w:tc>
            </w:tr>
          </w:tbl>
          <w:p>
            <w:pPr>
              <w:adjustRightInd w:val="0"/>
              <w:spacing w:before="120" w:beforeLines="50" w:line="360" w:lineRule="auto"/>
              <w:ind w:firstLine="480" w:firstLineChars="200"/>
              <w:rPr>
                <w:sz w:val="24"/>
              </w:rPr>
            </w:pPr>
            <w:r>
              <w:rPr>
                <w:sz w:val="24"/>
              </w:rPr>
              <w:t>综上，</w:t>
            </w:r>
            <w:r>
              <w:rPr>
                <w:rFonts w:hint="eastAsia"/>
                <w:sz w:val="24"/>
              </w:rPr>
              <w:t>本</w:t>
            </w:r>
            <w:r>
              <w:rPr>
                <w:sz w:val="24"/>
              </w:rPr>
              <w:t>项目符合</w:t>
            </w:r>
            <w:r>
              <w:rPr>
                <w:rFonts w:hint="eastAsia"/>
                <w:sz w:val="24"/>
              </w:rPr>
              <w:t>《昆明市大气污染防治条例》</w:t>
            </w:r>
            <w:r>
              <w:rPr>
                <w:sz w:val="24"/>
              </w:rPr>
              <w:t>要求。</w:t>
            </w:r>
          </w:p>
          <w:p>
            <w:pPr>
              <w:autoSpaceDE w:val="0"/>
              <w:autoSpaceDN w:val="0"/>
              <w:adjustRightInd w:val="0"/>
              <w:spacing w:line="360" w:lineRule="auto"/>
              <w:ind w:firstLine="482" w:firstLineChars="200"/>
              <w:rPr>
                <w:b/>
                <w:bCs/>
                <w:sz w:val="24"/>
                <w:szCs w:val="21"/>
              </w:rPr>
            </w:pPr>
            <w:r>
              <w:rPr>
                <w:rFonts w:hint="eastAsia"/>
                <w:b/>
                <w:bCs/>
                <w:sz w:val="24"/>
                <w:szCs w:val="21"/>
              </w:rPr>
              <w:t>1</w:t>
            </w:r>
            <w:r>
              <w:rPr>
                <w:b/>
                <w:bCs/>
                <w:sz w:val="24"/>
                <w:szCs w:val="21"/>
              </w:rPr>
              <w:t>3</w:t>
            </w:r>
            <w:r>
              <w:rPr>
                <w:rFonts w:hint="eastAsia"/>
                <w:b/>
                <w:bCs/>
                <w:sz w:val="24"/>
                <w:szCs w:val="21"/>
              </w:rPr>
              <w:t>、与《昆明市高污染燃料禁燃区管理规定》符合性分析</w:t>
            </w:r>
          </w:p>
          <w:p>
            <w:pPr>
              <w:autoSpaceDE w:val="0"/>
              <w:autoSpaceDN w:val="0"/>
              <w:adjustRightInd w:val="0"/>
              <w:spacing w:line="360" w:lineRule="auto"/>
              <w:ind w:firstLine="480" w:firstLineChars="200"/>
              <w:rPr>
                <w:bCs/>
                <w:sz w:val="24"/>
                <w:szCs w:val="21"/>
              </w:rPr>
            </w:pPr>
            <w:r>
              <w:rPr>
                <w:rFonts w:hint="eastAsia"/>
                <w:bCs/>
                <w:sz w:val="24"/>
                <w:szCs w:val="21"/>
              </w:rPr>
              <w:t>《昆明市高污染燃料禁燃区管理规定》中：第二条 本规定所称的高污染燃料是指：（一）煤炭及其制品（包括原煤、散煤、煤矸石、煤泥、煤粉、水煤浆、型煤、焦炭、兰炭等）。（二）石油焦、油页岩、原油、重油、渣油、煤焦油。（三）非专用锅炉或者未配置高效除尘设施的专用锅炉燃用的生物质成型燃料。第三条本市高污染燃料禁燃区是指下列区域：（一）主城规划建设区330平方公里范围内，即北至茨坝、普吉，西至海源寺、眠山、马街，南至福保、六甲、广卫，东至呈贡大冲、黄土坡、官渡阿拉乡、东白沙河一线的区域；（二）呈贡新区规划建设区107平方公里范围内，即北至官渡区和昆明经济技术开发区，西至滇池沿岸，南至关山，东至白龙潭山、大尖山、大官山的区域。</w:t>
            </w:r>
          </w:p>
          <w:p>
            <w:pPr>
              <w:autoSpaceDE w:val="0"/>
              <w:autoSpaceDN w:val="0"/>
              <w:adjustRightInd w:val="0"/>
              <w:spacing w:line="360" w:lineRule="auto"/>
              <w:ind w:firstLine="480" w:firstLineChars="200"/>
              <w:rPr>
                <w:bCs/>
                <w:sz w:val="24"/>
                <w:szCs w:val="21"/>
              </w:rPr>
            </w:pPr>
            <w:r>
              <w:rPr>
                <w:rFonts w:hint="eastAsia"/>
                <w:bCs/>
                <w:sz w:val="24"/>
                <w:szCs w:val="21"/>
              </w:rPr>
              <w:t>本项目位于寻甸特色产业园区羊街片区，不属于第三条中所列高污染燃料禁燃区域；本项目新增1台5t/h导热油锅炉及配套废气治理设施，锅炉使用项目生产运行过程中产生的木粉、废弃木柴、树皮及检验不合格的不可利用的产品为燃料，是专用的导热油热载体锅炉，且配套了“多管旋风+水膜除尘”设施，根据自行监测，燃料经燃烧后均能达标排放。</w:t>
            </w:r>
          </w:p>
          <w:p>
            <w:pPr>
              <w:autoSpaceDE w:val="0"/>
              <w:autoSpaceDN w:val="0"/>
              <w:adjustRightInd w:val="0"/>
              <w:spacing w:line="360" w:lineRule="auto"/>
              <w:ind w:firstLine="480" w:firstLineChars="200"/>
              <w:rPr>
                <w:bCs/>
                <w:sz w:val="24"/>
                <w:szCs w:val="21"/>
              </w:rPr>
            </w:pPr>
            <w:r>
              <w:rPr>
                <w:rFonts w:hint="eastAsia"/>
                <w:bCs/>
                <w:sz w:val="24"/>
                <w:szCs w:val="21"/>
              </w:rPr>
              <w:t>综上分析，本项目与《昆明市高污染燃料禁燃区管理规定》不冲突。</w:t>
            </w:r>
          </w:p>
          <w:p>
            <w:pPr>
              <w:autoSpaceDE w:val="0"/>
              <w:autoSpaceDN w:val="0"/>
              <w:adjustRightInd w:val="0"/>
              <w:spacing w:line="360" w:lineRule="auto"/>
              <w:ind w:firstLine="482" w:firstLineChars="200"/>
              <w:rPr>
                <w:b/>
                <w:bCs/>
                <w:sz w:val="24"/>
                <w:szCs w:val="21"/>
              </w:rPr>
            </w:pPr>
            <w:r>
              <w:rPr>
                <w:b/>
                <w:bCs/>
                <w:sz w:val="24"/>
                <w:szCs w:val="21"/>
              </w:rPr>
              <w:t>14</w:t>
            </w:r>
            <w:r>
              <w:rPr>
                <w:rFonts w:hint="eastAsia"/>
                <w:b/>
                <w:bCs/>
                <w:sz w:val="24"/>
                <w:szCs w:val="21"/>
              </w:rPr>
              <w:t>、选址合理性分析</w:t>
            </w:r>
          </w:p>
          <w:p>
            <w:pPr>
              <w:widowControl/>
              <w:spacing w:line="360" w:lineRule="auto"/>
              <w:ind w:firstLine="480" w:firstLineChars="200"/>
              <w:rPr>
                <w:sz w:val="24"/>
                <w:szCs w:val="21"/>
              </w:rPr>
            </w:pPr>
            <w:r>
              <w:rPr>
                <w:rFonts w:hint="eastAsia" w:cs="宋体"/>
                <w:kern w:val="0"/>
                <w:sz w:val="24"/>
                <w:lang w:bidi="ar"/>
              </w:rPr>
              <w:t>本项目</w:t>
            </w:r>
            <w:r>
              <w:rPr>
                <w:sz w:val="24"/>
              </w:rPr>
              <w:t>主要针对现有</w:t>
            </w:r>
            <w:r>
              <w:rPr>
                <w:rFonts w:hint="eastAsia"/>
                <w:sz w:val="24"/>
              </w:rPr>
              <w:t>项目</w:t>
            </w:r>
            <w:r>
              <w:rPr>
                <w:sz w:val="24"/>
              </w:rPr>
              <w:t>的</w:t>
            </w:r>
            <w:r>
              <w:rPr>
                <w:rFonts w:hint="eastAsia"/>
                <w:sz w:val="24"/>
              </w:rPr>
              <w:t>配套</w:t>
            </w:r>
            <w:r>
              <w:rPr>
                <w:sz w:val="24"/>
              </w:rPr>
              <w:t>供热工程</w:t>
            </w:r>
            <w:r>
              <w:rPr>
                <w:rFonts w:hint="eastAsia"/>
                <w:sz w:val="24"/>
              </w:rPr>
              <w:t>和</w:t>
            </w:r>
            <w:r>
              <w:rPr>
                <w:sz w:val="24"/>
              </w:rPr>
              <w:t>环保工程进行技改</w:t>
            </w:r>
            <w:r>
              <w:rPr>
                <w:rFonts w:hint="eastAsia"/>
                <w:sz w:val="24"/>
              </w:rPr>
              <w:t>，</w:t>
            </w:r>
            <w:r>
              <w:rPr>
                <w:rFonts w:hint="eastAsia" w:cs="宋体"/>
                <w:kern w:val="0"/>
                <w:sz w:val="24"/>
                <w:lang w:bidi="ar"/>
              </w:rPr>
              <w:t>位于云南省昆明市寻甸县特色产业园区羊街片区，用地性质属工业用地，符合园区规划。在采取相应环保措施后，本项目</w:t>
            </w:r>
            <w:r>
              <w:rPr>
                <w:rFonts w:hint="eastAsia" w:cs="宋体"/>
                <w:kern w:val="0"/>
                <w:sz w:val="24"/>
                <w:highlight w:val="green"/>
                <w:lang w:bidi="ar"/>
              </w:rPr>
              <w:t>新增5t/h导热油锅炉</w:t>
            </w:r>
            <w:r>
              <w:rPr>
                <w:rFonts w:hint="eastAsia" w:cs="宋体"/>
                <w:kern w:val="0"/>
                <w:sz w:val="24"/>
                <w:lang w:bidi="ar"/>
              </w:rPr>
              <w:t>产生的废气可达标排放</w:t>
            </w:r>
            <w:r>
              <w:rPr>
                <w:rFonts w:hint="eastAsia" w:cs="宋体"/>
                <w:kern w:val="0"/>
                <w:sz w:val="24"/>
                <w:highlight w:val="green"/>
                <w:lang w:bidi="ar"/>
              </w:rPr>
              <w:t>且本项目环保工程技改新增治理设施本身不产生污染物，使现有7t/h导热油锅炉、筛选打磨、热压凉板工序排放污染物得到了削减，有效削减了企业大气污染物排放量，</w:t>
            </w:r>
            <w:r>
              <w:rPr>
                <w:rFonts w:hint="eastAsia" w:cs="宋体"/>
                <w:kern w:val="0"/>
                <w:sz w:val="24"/>
                <w:lang w:bidi="ar"/>
              </w:rPr>
              <w:t>对周围环境影响不大；</w:t>
            </w:r>
            <w:r>
              <w:rPr>
                <w:rFonts w:hint="eastAsia" w:cs="宋体"/>
                <w:kern w:val="0"/>
                <w:sz w:val="24"/>
                <w:highlight w:val="green"/>
                <w:lang w:bidi="ar"/>
              </w:rPr>
              <w:t>水膜除尘废水经沉淀后循环使用，</w:t>
            </w:r>
            <w:r>
              <w:rPr>
                <w:rFonts w:hint="eastAsia" w:cs="宋体"/>
                <w:kern w:val="0"/>
                <w:sz w:val="24"/>
                <w:lang w:bidi="ar"/>
              </w:rPr>
              <w:t>不外排，对周围地表水环境影响不大；厂界噪声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r>
              <w:rPr>
                <w:bCs/>
                <w:sz w:val="24"/>
              </w:rPr>
              <w:t>。</w:t>
            </w:r>
          </w:p>
          <w:p>
            <w:pPr>
              <w:autoSpaceDE w:val="0"/>
              <w:autoSpaceDN w:val="0"/>
              <w:adjustRightInd w:val="0"/>
              <w:ind w:firstLine="480" w:firstLineChars="200"/>
              <w:rPr>
                <w:rFonts w:cs="宋体"/>
                <w:kern w:val="0"/>
                <w:sz w:val="24"/>
                <w:szCs w:val="21"/>
              </w:rPr>
            </w:pPr>
            <w:r>
              <w:rPr>
                <w:rFonts w:hint="eastAsia" w:cs="宋体"/>
                <w:kern w:val="0"/>
                <w:sz w:val="24"/>
                <w:szCs w:val="21"/>
              </w:rPr>
              <w:t>综上分析，项目选址合理。</w:t>
            </w: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ind w:firstLine="480" w:firstLineChars="200"/>
              <w:rPr>
                <w:rFonts w:cs="宋体"/>
                <w:kern w:val="0"/>
                <w:sz w:val="24"/>
                <w:szCs w:val="21"/>
              </w:rPr>
            </w:pPr>
          </w:p>
          <w:p>
            <w:pPr>
              <w:autoSpaceDE w:val="0"/>
              <w:autoSpaceDN w:val="0"/>
              <w:adjustRightInd w:val="0"/>
              <w:rPr>
                <w:rFonts w:cs="宋体"/>
                <w:kern w:val="0"/>
                <w:sz w:val="24"/>
                <w:szCs w:val="21"/>
              </w:rPr>
            </w:pPr>
          </w:p>
        </w:tc>
      </w:tr>
    </w:tbl>
    <w:p>
      <w:pPr>
        <w:spacing w:line="360" w:lineRule="auto"/>
        <w:rPr>
          <w:rFonts w:eastAsia="黑体"/>
          <w:sz w:val="30"/>
        </w:rPr>
        <w:sectPr>
          <w:footerReference r:id="rId6" w:type="default"/>
          <w:pgSz w:w="11906" w:h="16838"/>
          <w:pgMar w:top="1701" w:right="1531" w:bottom="1701" w:left="1531" w:header="851" w:footer="1077" w:gutter="0"/>
          <w:pgNumType w:start="1"/>
          <w:cols w:space="720" w:num="1"/>
          <w:docGrid w:linePitch="312" w:charSpace="0"/>
        </w:sectPr>
      </w:pPr>
    </w:p>
    <w:p>
      <w:pPr>
        <w:pStyle w:val="28"/>
        <w:jc w:val="center"/>
        <w:outlineLvl w:val="0"/>
        <w:rPr>
          <w:rFonts w:ascii="黑体" w:hAnsi="黑体" w:eastAsia="黑体"/>
          <w:snapToGrid w:val="0"/>
          <w:sz w:val="30"/>
          <w:szCs w:val="30"/>
        </w:rPr>
      </w:pPr>
      <w:bookmarkStart w:id="4" w:name="_Toc140937502"/>
      <w:r>
        <w:rPr>
          <w:rFonts w:hint="eastAsia" w:ascii="黑体" w:hAnsi="黑体" w:eastAsia="黑体"/>
          <w:snapToGrid w:val="0"/>
          <w:sz w:val="30"/>
          <w:szCs w:val="30"/>
        </w:rPr>
        <w:t>二、建设项目工程分析</w:t>
      </w:r>
      <w:bookmarkEnd w:id="4"/>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85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477" w:type="pct"/>
            <w:vAlign w:val="center"/>
          </w:tcPr>
          <w:p>
            <w:pPr>
              <w:pStyle w:val="28"/>
              <w:adjustRightInd w:val="0"/>
              <w:spacing w:before="0" w:beforeAutospacing="0" w:after="0" w:afterAutospacing="0"/>
              <w:jc w:val="center"/>
              <w:rPr>
                <w:rFonts w:ascii="Times New Roman" w:hAnsi="Times New Roman" w:cs="宋体"/>
                <w:szCs w:val="21"/>
              </w:rPr>
            </w:pPr>
            <w:r>
              <w:rPr>
                <w:rFonts w:hint="eastAsia" w:ascii="Times New Roman" w:hAnsi="Times New Roman" w:cs="宋体"/>
                <w:b/>
                <w:bCs/>
                <w:szCs w:val="21"/>
              </w:rPr>
              <w:t>建设内容</w:t>
            </w:r>
          </w:p>
        </w:tc>
        <w:tc>
          <w:tcPr>
            <w:tcW w:w="4523" w:type="pct"/>
          </w:tcPr>
          <w:p>
            <w:pPr>
              <w:adjustRightInd w:val="0"/>
              <w:spacing w:before="120" w:beforeLines="50" w:line="360" w:lineRule="auto"/>
              <w:ind w:firstLine="482" w:firstLineChars="200"/>
              <w:jc w:val="left"/>
              <w:rPr>
                <w:b/>
                <w:bCs/>
                <w:sz w:val="24"/>
              </w:rPr>
            </w:pPr>
            <w:r>
              <w:rPr>
                <w:rFonts w:hint="eastAsia"/>
                <w:b/>
                <w:bCs/>
                <w:sz w:val="24"/>
              </w:rPr>
              <w:t>一、项目建设背景</w:t>
            </w:r>
          </w:p>
          <w:p>
            <w:pPr>
              <w:spacing w:line="360" w:lineRule="auto"/>
              <w:ind w:firstLine="480" w:firstLineChars="200"/>
              <w:rPr>
                <w:sz w:val="24"/>
                <w:szCs w:val="21"/>
              </w:rPr>
            </w:pPr>
            <w:r>
              <w:rPr>
                <w:rFonts w:hint="eastAsia"/>
                <w:sz w:val="24"/>
                <w:szCs w:val="21"/>
              </w:rPr>
              <w:t>2013年3月，昆明市澳松人造板制造有限责任公司于寻甸县特色产业园区羊街片区5号道路左侧选址用地25.65亩建设木质刨花板生产项目，该项目于2013年9月22日取得寻甸回族彝族自治县环境保护局关于对《昆明市澳松人造板制造有限责任公司年产5万立方米木质刨花板项目环境影响报告书》的批复（寻环[2013]102号）。于2013年10月开工建设，2014年3月竣工。2019年7月2日项目通过竣工环境保护自主验收。</w:t>
            </w:r>
          </w:p>
          <w:p>
            <w:pPr>
              <w:spacing w:line="360" w:lineRule="auto"/>
              <w:ind w:firstLine="480" w:firstLineChars="200"/>
              <w:rPr>
                <w:sz w:val="24"/>
              </w:rPr>
            </w:pPr>
            <w:r>
              <w:rPr>
                <w:rFonts w:hint="eastAsia"/>
                <w:sz w:val="24"/>
                <w:szCs w:val="21"/>
              </w:rPr>
              <w:t>根据项目原环评批复，项目总投资4500万元，其中环保投资201万元，占地面积17080.1平方米，总建筑面积8500平方米，</w:t>
            </w:r>
            <w:r>
              <w:rPr>
                <w:sz w:val="24"/>
              </w:rPr>
              <w:t>设置连续平压法生产线1条，年生产</w:t>
            </w:r>
            <w:r>
              <w:rPr>
                <w:rFonts w:hint="eastAsia"/>
                <w:sz w:val="24"/>
              </w:rPr>
              <w:t>木质</w:t>
            </w:r>
            <w:r>
              <w:rPr>
                <w:sz w:val="24"/>
              </w:rPr>
              <w:t>刨花板5万</w:t>
            </w:r>
            <w:r>
              <w:rPr>
                <w:rFonts w:hint="eastAsia"/>
                <w:sz w:val="24"/>
              </w:rPr>
              <w:t>立方；生产车间7t</w:t>
            </w:r>
            <w:r>
              <w:rPr>
                <w:sz w:val="24"/>
              </w:rPr>
              <w:t>/h</w:t>
            </w:r>
            <w:r>
              <w:rPr>
                <w:rFonts w:hint="eastAsia"/>
                <w:sz w:val="24"/>
              </w:rPr>
              <w:t>导热油锅炉废气采用多管除尘器除尘后经过35m高烟囱排放；配套</w:t>
            </w:r>
            <w:r>
              <w:rPr>
                <w:sz w:val="24"/>
              </w:rPr>
              <w:t>制胶车间</w:t>
            </w:r>
            <w:r>
              <w:rPr>
                <w:rFonts w:hint="eastAsia"/>
                <w:sz w:val="24"/>
              </w:rPr>
              <w:t>设置</w:t>
            </w:r>
            <w:r>
              <w:rPr>
                <w:sz w:val="24"/>
              </w:rPr>
              <w:t>反应釜</w:t>
            </w:r>
            <w:r>
              <w:rPr>
                <w:rFonts w:hint="eastAsia"/>
                <w:sz w:val="24"/>
              </w:rPr>
              <w:t>1</w:t>
            </w:r>
            <w:r>
              <w:rPr>
                <w:sz w:val="24"/>
              </w:rPr>
              <w:t>套，</w:t>
            </w:r>
            <w:r>
              <w:rPr>
                <w:rFonts w:hint="eastAsia"/>
                <w:sz w:val="24"/>
              </w:rPr>
              <w:t>用于</w:t>
            </w:r>
            <w:r>
              <w:rPr>
                <w:sz w:val="24"/>
              </w:rPr>
              <w:t>制作脲醛树脂胶。</w:t>
            </w:r>
          </w:p>
          <w:p>
            <w:pPr>
              <w:spacing w:line="360" w:lineRule="auto"/>
              <w:ind w:firstLine="480" w:firstLineChars="200"/>
              <w:rPr>
                <w:sz w:val="24"/>
                <w:szCs w:val="21"/>
              </w:rPr>
            </w:pPr>
            <w:r>
              <w:rPr>
                <w:rFonts w:hint="eastAsia"/>
                <w:sz w:val="24"/>
              </w:rPr>
              <w:t>项目建成后</w:t>
            </w:r>
            <w:r>
              <w:rPr>
                <w:sz w:val="24"/>
              </w:rPr>
              <w:t>，</w:t>
            </w:r>
            <w:r>
              <w:rPr>
                <w:rFonts w:hint="eastAsia"/>
                <w:sz w:val="24"/>
              </w:rPr>
              <w:t>由于设计问题，</w:t>
            </w:r>
            <w:r>
              <w:rPr>
                <w:sz w:val="24"/>
              </w:rPr>
              <w:t>在</w:t>
            </w:r>
            <w:r>
              <w:rPr>
                <w:rFonts w:hint="eastAsia"/>
                <w:sz w:val="24"/>
              </w:rPr>
              <w:t>实际</w:t>
            </w:r>
            <w:r>
              <w:rPr>
                <w:sz w:val="24"/>
              </w:rPr>
              <w:t>运行</w:t>
            </w:r>
            <w:r>
              <w:rPr>
                <w:rFonts w:hint="eastAsia"/>
                <w:sz w:val="24"/>
              </w:rPr>
              <w:t>过程中</w:t>
            </w:r>
            <w:r>
              <w:rPr>
                <w:sz w:val="24"/>
              </w:rPr>
              <w:t>，</w:t>
            </w:r>
            <w:r>
              <w:rPr>
                <w:rFonts w:hint="eastAsia"/>
                <w:sz w:val="24"/>
              </w:rPr>
              <w:t>发现7t</w:t>
            </w:r>
            <w:r>
              <w:rPr>
                <w:sz w:val="24"/>
              </w:rPr>
              <w:t>/h</w:t>
            </w:r>
            <w:r>
              <w:rPr>
                <w:rFonts w:hint="eastAsia"/>
                <w:sz w:val="24"/>
              </w:rPr>
              <w:t>导热油锅炉满足不了刨花板生产线供热</w:t>
            </w:r>
            <w:r>
              <w:rPr>
                <w:sz w:val="24"/>
              </w:rPr>
              <w:t>需求</w:t>
            </w:r>
            <w:r>
              <w:rPr>
                <w:rFonts w:hint="eastAsia"/>
                <w:sz w:val="24"/>
              </w:rPr>
              <w:t>，为了满足设计生产规模供热需求，建设单位又重新建设了一间锅炉房并新增了1台5t/h导热油锅炉</w:t>
            </w:r>
            <w:r>
              <w:rPr>
                <w:rFonts w:hint="eastAsia"/>
                <w:sz w:val="24"/>
                <w:szCs w:val="21"/>
              </w:rPr>
              <w:t>，并配套设置“多管旋风除尘+水膜除尘”废气处理设施，废气处理后经1根35m高排气筒排放，同时在现有锅炉房7</w:t>
            </w:r>
            <w:r>
              <w:rPr>
                <w:sz w:val="24"/>
                <w:szCs w:val="21"/>
              </w:rPr>
              <w:t>t/h</w:t>
            </w:r>
            <w:r>
              <w:rPr>
                <w:rFonts w:hint="eastAsia"/>
                <w:sz w:val="24"/>
                <w:szCs w:val="21"/>
              </w:rPr>
              <w:t>导热油锅炉配套的多管旋风除尘设施的基础上增加了水膜除尘装置。根据现场踏勘，锅炉房及新增5</w:t>
            </w:r>
            <w:r>
              <w:rPr>
                <w:sz w:val="24"/>
                <w:szCs w:val="21"/>
              </w:rPr>
              <w:t>t/h</w:t>
            </w:r>
            <w:r>
              <w:rPr>
                <w:rFonts w:hint="eastAsia"/>
                <w:sz w:val="24"/>
                <w:szCs w:val="21"/>
              </w:rPr>
              <w:t>导热油锅炉已于20</w:t>
            </w:r>
            <w:r>
              <w:rPr>
                <w:sz w:val="24"/>
                <w:szCs w:val="21"/>
              </w:rPr>
              <w:t>17</w:t>
            </w:r>
            <w:r>
              <w:rPr>
                <w:rFonts w:hint="eastAsia"/>
                <w:sz w:val="24"/>
                <w:szCs w:val="21"/>
              </w:rPr>
              <w:t>年建成并投入运行。</w:t>
            </w:r>
          </w:p>
          <w:p>
            <w:pPr>
              <w:adjustRightInd w:val="0"/>
              <w:spacing w:line="360" w:lineRule="auto"/>
              <w:ind w:firstLine="480" w:firstLineChars="200"/>
              <w:rPr>
                <w:rFonts w:cs="宋体"/>
                <w:kern w:val="0"/>
                <w:sz w:val="24"/>
                <w:lang w:bidi="ar"/>
              </w:rPr>
            </w:pPr>
            <w:r>
              <w:rPr>
                <w:rFonts w:hint="eastAsia"/>
                <w:bCs/>
                <w:sz w:val="24"/>
                <w:szCs w:val="28"/>
              </w:rPr>
              <w:t>根据收集的企业</w:t>
            </w:r>
            <w:r>
              <w:rPr>
                <w:rFonts w:hint="eastAsia" w:cs="宋体"/>
                <w:kern w:val="0"/>
                <w:sz w:val="24"/>
                <w:lang w:bidi="ar"/>
              </w:rPr>
              <w:t>2</w:t>
            </w:r>
            <w:r>
              <w:rPr>
                <w:rFonts w:cs="宋体"/>
                <w:kern w:val="0"/>
                <w:sz w:val="24"/>
                <w:lang w:bidi="ar"/>
              </w:rPr>
              <w:t>022</w:t>
            </w:r>
            <w:r>
              <w:rPr>
                <w:rFonts w:hint="eastAsia" w:cs="宋体"/>
                <w:kern w:val="0"/>
                <w:sz w:val="24"/>
                <w:lang w:bidi="ar"/>
              </w:rPr>
              <w:t>年8月~</w:t>
            </w:r>
            <w:r>
              <w:rPr>
                <w:rFonts w:cs="宋体"/>
                <w:kern w:val="0"/>
                <w:sz w:val="24"/>
                <w:lang w:bidi="ar"/>
              </w:rPr>
              <w:t>12</w:t>
            </w:r>
            <w:r>
              <w:rPr>
                <w:rFonts w:hint="eastAsia" w:cs="宋体"/>
                <w:kern w:val="0"/>
                <w:sz w:val="24"/>
                <w:lang w:bidi="ar"/>
              </w:rPr>
              <w:t>月自行监测数据核算锅炉排放污染物情况与环评锅炉排放污染物量对比情况见下表：</w:t>
            </w:r>
          </w:p>
          <w:p>
            <w:pPr>
              <w:adjustRightInd w:val="0"/>
              <w:spacing w:line="360" w:lineRule="auto"/>
              <w:jc w:val="center"/>
              <w:rPr>
                <w:rFonts w:cs="宋体"/>
                <w:b/>
                <w:kern w:val="0"/>
                <w:sz w:val="24"/>
                <w:lang w:bidi="ar"/>
              </w:rPr>
            </w:pPr>
            <w:r>
              <w:rPr>
                <w:rFonts w:hint="eastAsia" w:cs="宋体"/>
                <w:b/>
                <w:kern w:val="0"/>
                <w:sz w:val="24"/>
                <w:lang w:bidi="ar"/>
              </w:rPr>
              <w:t>表2-</w:t>
            </w:r>
            <w:r>
              <w:rPr>
                <w:rFonts w:cs="宋体"/>
                <w:b/>
                <w:kern w:val="0"/>
                <w:sz w:val="24"/>
                <w:lang w:bidi="ar"/>
              </w:rPr>
              <w:t xml:space="preserve">1  </w:t>
            </w:r>
            <w:r>
              <w:rPr>
                <w:rFonts w:hint="eastAsia" w:cs="宋体"/>
                <w:b/>
                <w:kern w:val="0"/>
                <w:sz w:val="24"/>
                <w:lang w:bidi="ar"/>
              </w:rPr>
              <w:t>项目环评排放污染物量与现状实测结果核算量对比情况一览表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2322"/>
              <w:gridCol w:w="2900"/>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tcMar>
                    <w:left w:w="57" w:type="dxa"/>
                    <w:right w:w="57" w:type="dxa"/>
                  </w:tcMar>
                  <w:vAlign w:val="center"/>
                </w:tcPr>
                <w:p>
                  <w:pPr>
                    <w:adjustRightInd w:val="0"/>
                    <w:jc w:val="center"/>
                    <w:rPr>
                      <w:b/>
                      <w:bCs/>
                      <w:szCs w:val="21"/>
                    </w:rPr>
                  </w:pPr>
                  <w:r>
                    <w:rPr>
                      <w:rFonts w:hint="eastAsia"/>
                      <w:b/>
                      <w:bCs/>
                      <w:szCs w:val="21"/>
                    </w:rPr>
                    <w:t>污染物</w:t>
                  </w:r>
                </w:p>
              </w:tc>
              <w:tc>
                <w:tcPr>
                  <w:tcW w:w="1392" w:type="pct"/>
                  <w:tcMar>
                    <w:left w:w="57" w:type="dxa"/>
                    <w:right w:w="57" w:type="dxa"/>
                  </w:tcMar>
                  <w:vAlign w:val="center"/>
                </w:tcPr>
                <w:p>
                  <w:pPr>
                    <w:adjustRightInd w:val="0"/>
                    <w:jc w:val="center"/>
                    <w:rPr>
                      <w:b/>
                      <w:bCs/>
                      <w:szCs w:val="21"/>
                    </w:rPr>
                  </w:pPr>
                  <w:r>
                    <w:rPr>
                      <w:rFonts w:hint="eastAsia"/>
                      <w:b/>
                      <w:bCs/>
                      <w:szCs w:val="21"/>
                    </w:rPr>
                    <w:t>原环评排放量（t</w:t>
                  </w:r>
                  <w:r>
                    <w:rPr>
                      <w:b/>
                      <w:bCs/>
                      <w:szCs w:val="21"/>
                    </w:rPr>
                    <w:t>/a</w:t>
                  </w:r>
                  <w:r>
                    <w:rPr>
                      <w:rFonts w:hint="eastAsia"/>
                      <w:b/>
                      <w:bCs/>
                      <w:szCs w:val="21"/>
                    </w:rPr>
                    <w:t>）</w:t>
                  </w:r>
                </w:p>
              </w:tc>
              <w:tc>
                <w:tcPr>
                  <w:tcW w:w="1738" w:type="pct"/>
                  <w:tcMar>
                    <w:left w:w="57" w:type="dxa"/>
                    <w:right w:w="57" w:type="dxa"/>
                  </w:tcMar>
                  <w:vAlign w:val="center"/>
                </w:tcPr>
                <w:p>
                  <w:pPr>
                    <w:adjustRightInd w:val="0"/>
                    <w:jc w:val="center"/>
                    <w:rPr>
                      <w:b/>
                      <w:bCs/>
                      <w:szCs w:val="21"/>
                    </w:rPr>
                  </w:pPr>
                  <w:r>
                    <w:rPr>
                      <w:rFonts w:hint="eastAsia"/>
                      <w:b/>
                      <w:bCs/>
                      <w:szCs w:val="21"/>
                    </w:rPr>
                    <w:t>实测结果核算排放量（t</w:t>
                  </w:r>
                  <w:r>
                    <w:rPr>
                      <w:b/>
                      <w:bCs/>
                      <w:szCs w:val="21"/>
                    </w:rPr>
                    <w:t>/a</w:t>
                  </w:r>
                  <w:r>
                    <w:rPr>
                      <w:rFonts w:hint="eastAsia"/>
                      <w:b/>
                      <w:bCs/>
                      <w:szCs w:val="21"/>
                    </w:rPr>
                    <w:t>）</w:t>
                  </w:r>
                </w:p>
              </w:tc>
              <w:tc>
                <w:tcPr>
                  <w:tcW w:w="1086" w:type="pct"/>
                  <w:tcMar>
                    <w:left w:w="57" w:type="dxa"/>
                    <w:right w:w="57" w:type="dxa"/>
                  </w:tcMar>
                  <w:vAlign w:val="center"/>
                </w:tcPr>
                <w:p>
                  <w:pPr>
                    <w:adjustRightInd w:val="0"/>
                    <w:jc w:val="center"/>
                    <w:rPr>
                      <w:b/>
                      <w:bCs/>
                      <w:szCs w:val="21"/>
                    </w:rPr>
                  </w:pPr>
                  <w:r>
                    <w:rPr>
                      <w:rFonts w:hint="eastAsia"/>
                      <w:b/>
                      <w:bCs/>
                      <w:szCs w:val="21"/>
                    </w:rPr>
                    <w:t>变化量（t</w:t>
                  </w:r>
                  <w:r>
                    <w:rPr>
                      <w:b/>
                      <w:bCs/>
                      <w:szCs w:val="21"/>
                    </w:rPr>
                    <w:t>/a</w:t>
                  </w:r>
                  <w:r>
                    <w:rPr>
                      <w:rFonts w:hint="eastAsia"/>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tcMar>
                    <w:left w:w="57" w:type="dxa"/>
                    <w:right w:w="57" w:type="dxa"/>
                  </w:tcMar>
                  <w:vAlign w:val="center"/>
                </w:tcPr>
                <w:p>
                  <w:pPr>
                    <w:adjustRightInd w:val="0"/>
                    <w:jc w:val="center"/>
                    <w:rPr>
                      <w:bCs/>
                      <w:szCs w:val="21"/>
                    </w:rPr>
                  </w:pPr>
                  <w:r>
                    <w:rPr>
                      <w:rFonts w:hint="eastAsia"/>
                      <w:bCs/>
                      <w:szCs w:val="21"/>
                    </w:rPr>
                    <w:t>烟尘</w:t>
                  </w:r>
                </w:p>
              </w:tc>
              <w:tc>
                <w:tcPr>
                  <w:tcW w:w="1392" w:type="pct"/>
                  <w:tcMar>
                    <w:left w:w="57" w:type="dxa"/>
                    <w:right w:w="57" w:type="dxa"/>
                  </w:tcMar>
                  <w:vAlign w:val="center"/>
                </w:tcPr>
                <w:p>
                  <w:pPr>
                    <w:autoSpaceDE w:val="0"/>
                    <w:autoSpaceDN w:val="0"/>
                    <w:jc w:val="center"/>
                    <w:rPr>
                      <w:szCs w:val="21"/>
                    </w:rPr>
                  </w:pPr>
                  <w:r>
                    <w:rPr>
                      <w:rFonts w:hint="eastAsia"/>
                      <w:szCs w:val="21"/>
                    </w:rPr>
                    <w:t>5.08</w:t>
                  </w:r>
                </w:p>
              </w:tc>
              <w:tc>
                <w:tcPr>
                  <w:tcW w:w="1738" w:type="pct"/>
                  <w:tcMar>
                    <w:left w:w="57" w:type="dxa"/>
                    <w:right w:w="57" w:type="dxa"/>
                  </w:tcMar>
                  <w:vAlign w:val="center"/>
                </w:tcPr>
                <w:p>
                  <w:pPr>
                    <w:adjustRightInd w:val="0"/>
                    <w:jc w:val="center"/>
                    <w:rPr>
                      <w:bCs/>
                      <w:szCs w:val="21"/>
                    </w:rPr>
                  </w:pPr>
                  <w:r>
                    <w:rPr>
                      <w:rFonts w:hint="eastAsia"/>
                      <w:bCs/>
                      <w:szCs w:val="21"/>
                      <w:highlight w:val="green"/>
                    </w:rPr>
                    <w:t>1.467</w:t>
                  </w:r>
                </w:p>
              </w:tc>
              <w:tc>
                <w:tcPr>
                  <w:tcW w:w="1086" w:type="pct"/>
                  <w:tcMar>
                    <w:left w:w="57" w:type="dxa"/>
                    <w:right w:w="57" w:type="dxa"/>
                  </w:tcMar>
                  <w:vAlign w:val="center"/>
                </w:tcPr>
                <w:p>
                  <w:pPr>
                    <w:adjustRightInd w:val="0"/>
                    <w:jc w:val="center"/>
                    <w:rPr>
                      <w:bCs/>
                      <w:szCs w:val="21"/>
                    </w:rPr>
                  </w:pPr>
                  <w:r>
                    <w:rPr>
                      <w:rFonts w:hint="eastAsia"/>
                      <w:bCs/>
                      <w:szCs w:val="21"/>
                    </w:rPr>
                    <w:t>-3.613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3" w:type="pct"/>
                  <w:tcMar>
                    <w:left w:w="57" w:type="dxa"/>
                    <w:right w:w="57" w:type="dxa"/>
                  </w:tcMar>
                  <w:vAlign w:val="center"/>
                </w:tcPr>
                <w:p>
                  <w:pPr>
                    <w:adjustRightInd w:val="0"/>
                    <w:jc w:val="center"/>
                    <w:rPr>
                      <w:bCs/>
                      <w:szCs w:val="21"/>
                    </w:rPr>
                  </w:pPr>
                  <w:r>
                    <w:rPr>
                      <w:rFonts w:hint="eastAsia"/>
                      <w:bCs/>
                      <w:szCs w:val="21"/>
                    </w:rPr>
                    <w:t>S</w:t>
                  </w:r>
                  <w:r>
                    <w:rPr>
                      <w:bCs/>
                      <w:szCs w:val="21"/>
                    </w:rPr>
                    <w:t>O</w:t>
                  </w:r>
                  <w:r>
                    <w:rPr>
                      <w:bCs/>
                      <w:szCs w:val="21"/>
                      <w:vertAlign w:val="subscript"/>
                    </w:rPr>
                    <w:t>2</w:t>
                  </w:r>
                </w:p>
              </w:tc>
              <w:tc>
                <w:tcPr>
                  <w:tcW w:w="1392" w:type="pct"/>
                  <w:tcMar>
                    <w:left w:w="57" w:type="dxa"/>
                    <w:right w:w="57" w:type="dxa"/>
                  </w:tcMar>
                  <w:vAlign w:val="center"/>
                </w:tcPr>
                <w:p>
                  <w:pPr>
                    <w:autoSpaceDE w:val="0"/>
                    <w:autoSpaceDN w:val="0"/>
                    <w:jc w:val="center"/>
                    <w:rPr>
                      <w:szCs w:val="21"/>
                    </w:rPr>
                  </w:pPr>
                  <w:r>
                    <w:rPr>
                      <w:rFonts w:hint="eastAsia"/>
                      <w:szCs w:val="21"/>
                    </w:rPr>
                    <w:t>0.612</w:t>
                  </w:r>
                </w:p>
              </w:tc>
              <w:tc>
                <w:tcPr>
                  <w:tcW w:w="1738" w:type="pct"/>
                  <w:tcMar>
                    <w:left w:w="57" w:type="dxa"/>
                    <w:right w:w="57" w:type="dxa"/>
                  </w:tcMar>
                  <w:vAlign w:val="center"/>
                </w:tcPr>
                <w:p>
                  <w:pPr>
                    <w:adjustRightInd w:val="0"/>
                    <w:jc w:val="center"/>
                    <w:rPr>
                      <w:bCs/>
                      <w:szCs w:val="21"/>
                      <w:highlight w:val="green"/>
                    </w:rPr>
                  </w:pPr>
                  <w:r>
                    <w:rPr>
                      <w:rFonts w:hint="eastAsia"/>
                      <w:bCs/>
                      <w:szCs w:val="21"/>
                      <w:highlight w:val="green"/>
                    </w:rPr>
                    <w:t>9.88</w:t>
                  </w:r>
                </w:p>
              </w:tc>
              <w:tc>
                <w:tcPr>
                  <w:tcW w:w="1086" w:type="pct"/>
                  <w:tcMar>
                    <w:left w:w="57" w:type="dxa"/>
                    <w:right w:w="57" w:type="dxa"/>
                  </w:tcMar>
                  <w:vAlign w:val="center"/>
                </w:tcPr>
                <w:p>
                  <w:pPr>
                    <w:adjustRightInd w:val="0"/>
                    <w:jc w:val="center"/>
                    <w:rPr>
                      <w:bCs/>
                      <w:szCs w:val="21"/>
                    </w:rPr>
                  </w:pPr>
                  <w:r>
                    <w:rPr>
                      <w:rFonts w:hint="eastAsia"/>
                      <w:bCs/>
                      <w:szCs w:val="21"/>
                    </w:rPr>
                    <w:t>+</w:t>
                  </w:r>
                  <w:r>
                    <w:rPr>
                      <w:bCs/>
                      <w:szCs w:val="21"/>
                    </w:rPr>
                    <w:t>9.268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tcMar>
                    <w:left w:w="57" w:type="dxa"/>
                    <w:right w:w="57" w:type="dxa"/>
                  </w:tcMar>
                  <w:vAlign w:val="center"/>
                </w:tcPr>
                <w:p>
                  <w:pPr>
                    <w:adjustRightInd w:val="0"/>
                    <w:jc w:val="center"/>
                    <w:rPr>
                      <w:bCs/>
                      <w:szCs w:val="21"/>
                    </w:rPr>
                  </w:pPr>
                  <w:r>
                    <w:rPr>
                      <w:rFonts w:hint="eastAsia"/>
                      <w:bCs/>
                      <w:szCs w:val="21"/>
                    </w:rPr>
                    <w:t>N</w:t>
                  </w:r>
                  <w:r>
                    <w:rPr>
                      <w:bCs/>
                      <w:szCs w:val="21"/>
                    </w:rPr>
                    <w:t>O</w:t>
                  </w:r>
                  <w:r>
                    <w:rPr>
                      <w:bCs/>
                      <w:szCs w:val="21"/>
                      <w:vertAlign w:val="subscript"/>
                    </w:rPr>
                    <w:t>X</w:t>
                  </w:r>
                </w:p>
              </w:tc>
              <w:tc>
                <w:tcPr>
                  <w:tcW w:w="1392" w:type="pct"/>
                  <w:tcMar>
                    <w:left w:w="57" w:type="dxa"/>
                    <w:right w:w="57" w:type="dxa"/>
                  </w:tcMar>
                  <w:vAlign w:val="center"/>
                </w:tcPr>
                <w:p>
                  <w:pPr>
                    <w:autoSpaceDE w:val="0"/>
                    <w:autoSpaceDN w:val="0"/>
                    <w:jc w:val="center"/>
                    <w:rPr>
                      <w:szCs w:val="21"/>
                    </w:rPr>
                  </w:pPr>
                  <w:r>
                    <w:rPr>
                      <w:rFonts w:hint="eastAsia"/>
                      <w:szCs w:val="21"/>
                    </w:rPr>
                    <w:t>1.81</w:t>
                  </w:r>
                </w:p>
              </w:tc>
              <w:tc>
                <w:tcPr>
                  <w:tcW w:w="1738" w:type="pct"/>
                  <w:tcMar>
                    <w:left w:w="57" w:type="dxa"/>
                    <w:right w:w="57" w:type="dxa"/>
                  </w:tcMar>
                  <w:vAlign w:val="center"/>
                </w:tcPr>
                <w:p>
                  <w:pPr>
                    <w:adjustRightInd w:val="0"/>
                    <w:jc w:val="center"/>
                    <w:rPr>
                      <w:bCs/>
                      <w:szCs w:val="21"/>
                      <w:highlight w:val="green"/>
                    </w:rPr>
                  </w:pPr>
                  <w:r>
                    <w:rPr>
                      <w:bCs/>
                      <w:szCs w:val="21"/>
                      <w:highlight w:val="green"/>
                    </w:rPr>
                    <w:t>10.45</w:t>
                  </w:r>
                </w:p>
              </w:tc>
              <w:tc>
                <w:tcPr>
                  <w:tcW w:w="1086" w:type="pct"/>
                  <w:tcMar>
                    <w:left w:w="57" w:type="dxa"/>
                    <w:right w:w="57" w:type="dxa"/>
                  </w:tcMar>
                  <w:vAlign w:val="center"/>
                </w:tcPr>
                <w:p>
                  <w:pPr>
                    <w:adjustRightInd w:val="0"/>
                    <w:jc w:val="center"/>
                    <w:rPr>
                      <w:bCs/>
                      <w:szCs w:val="21"/>
                    </w:rPr>
                  </w:pPr>
                  <w:r>
                    <w:rPr>
                      <w:rFonts w:hint="eastAsia"/>
                      <w:bCs/>
                      <w:szCs w:val="21"/>
                    </w:rPr>
                    <w:t>+</w:t>
                  </w:r>
                  <w:r>
                    <w:rPr>
                      <w:bCs/>
                      <w:szCs w:val="21"/>
                    </w:rPr>
                    <w:t>8.64</w:t>
                  </w:r>
                </w:p>
              </w:tc>
            </w:tr>
          </w:tbl>
          <w:p>
            <w:pPr>
              <w:adjustRightInd w:val="0"/>
              <w:spacing w:before="120" w:beforeLines="50" w:line="360" w:lineRule="auto"/>
              <w:ind w:firstLine="480" w:firstLineChars="200"/>
              <w:rPr>
                <w:sz w:val="24"/>
                <w:szCs w:val="21"/>
              </w:rPr>
            </w:pPr>
            <w:r>
              <w:rPr>
                <w:rFonts w:hint="eastAsia"/>
                <w:bCs/>
                <w:sz w:val="24"/>
                <w:szCs w:val="28"/>
              </w:rPr>
              <w:t>根据上表，项目原环评中核算7</w:t>
            </w:r>
            <w:r>
              <w:rPr>
                <w:bCs/>
                <w:sz w:val="24"/>
                <w:szCs w:val="28"/>
              </w:rPr>
              <w:t>t/h</w:t>
            </w:r>
            <w:r>
              <w:rPr>
                <w:rFonts w:hint="eastAsia"/>
                <w:bCs/>
                <w:sz w:val="24"/>
                <w:szCs w:val="28"/>
              </w:rPr>
              <w:t>导热油锅炉S</w:t>
            </w:r>
            <w:r>
              <w:rPr>
                <w:bCs/>
                <w:sz w:val="24"/>
                <w:szCs w:val="28"/>
              </w:rPr>
              <w:t>O</w:t>
            </w:r>
            <w:r>
              <w:rPr>
                <w:bCs/>
                <w:sz w:val="24"/>
                <w:szCs w:val="28"/>
                <w:vertAlign w:val="subscript"/>
              </w:rPr>
              <w:t>2</w:t>
            </w:r>
            <w:r>
              <w:rPr>
                <w:rFonts w:hint="eastAsia"/>
                <w:bCs/>
                <w:sz w:val="24"/>
                <w:szCs w:val="28"/>
              </w:rPr>
              <w:t>、N</w:t>
            </w:r>
            <w:r>
              <w:rPr>
                <w:bCs/>
                <w:sz w:val="24"/>
                <w:szCs w:val="28"/>
              </w:rPr>
              <w:t>O</w:t>
            </w:r>
            <w:r>
              <w:rPr>
                <w:rFonts w:hint="eastAsia"/>
                <w:bCs/>
                <w:sz w:val="24"/>
                <w:szCs w:val="28"/>
                <w:vertAlign w:val="subscript"/>
              </w:rPr>
              <w:t>x</w:t>
            </w:r>
            <w:r>
              <w:rPr>
                <w:rFonts w:hint="eastAsia"/>
                <w:bCs/>
                <w:sz w:val="24"/>
                <w:szCs w:val="28"/>
              </w:rPr>
              <w:t>排放量时，以使用单一的原生木质材料作为燃料核算，木质燃料类比昆明新飞林人造板有限公司对木质燃料的分析化验报告，</w:t>
            </w:r>
            <w:r>
              <w:rPr>
                <w:kern w:val="0"/>
                <w:sz w:val="24"/>
                <w:szCs w:val="20"/>
                <w:lang w:val="zh-CN"/>
              </w:rPr>
              <w:t>木质燃料的灰分为1.31%，</w:t>
            </w:r>
            <w:r>
              <w:rPr>
                <w:rFonts w:hint="eastAsia"/>
                <w:bCs/>
                <w:sz w:val="24"/>
                <w:szCs w:val="28"/>
              </w:rPr>
              <w:t>氮分2.24%、硫分0.02%，在实际运行过程中，锅炉使用燃料除废弃木柴、树皮等原生木质燃料外，还使用原生木材经过加工后砂光工序除尘设施收集的木粉、不合格产品及产品齐边等过程剩余边角料作为燃料；根据上表，项目新增5t/h导热油锅炉后导致全厂S</w:t>
            </w:r>
            <w:r>
              <w:rPr>
                <w:bCs/>
                <w:sz w:val="24"/>
                <w:szCs w:val="28"/>
              </w:rPr>
              <w:t>O</w:t>
            </w:r>
            <w:r>
              <w:rPr>
                <w:bCs/>
                <w:sz w:val="24"/>
                <w:szCs w:val="28"/>
                <w:vertAlign w:val="subscript"/>
              </w:rPr>
              <w:t>2</w:t>
            </w:r>
            <w:r>
              <w:rPr>
                <w:rFonts w:hint="eastAsia"/>
                <w:bCs/>
                <w:sz w:val="24"/>
                <w:szCs w:val="28"/>
              </w:rPr>
              <w:t>、N</w:t>
            </w:r>
            <w:r>
              <w:rPr>
                <w:bCs/>
                <w:sz w:val="24"/>
                <w:szCs w:val="28"/>
              </w:rPr>
              <w:t>O</w:t>
            </w:r>
            <w:r>
              <w:rPr>
                <w:rFonts w:hint="eastAsia"/>
                <w:bCs/>
                <w:sz w:val="24"/>
                <w:szCs w:val="28"/>
                <w:vertAlign w:val="subscript"/>
              </w:rPr>
              <w:t>x</w:t>
            </w:r>
            <w:r>
              <w:rPr>
                <w:rFonts w:hint="eastAsia"/>
                <w:bCs/>
                <w:sz w:val="24"/>
                <w:szCs w:val="28"/>
              </w:rPr>
              <w:t>排放量较环评核算排放量增加已超过1</w:t>
            </w:r>
            <w:r>
              <w:rPr>
                <w:bCs/>
                <w:sz w:val="24"/>
                <w:szCs w:val="28"/>
              </w:rPr>
              <w:t>0</w:t>
            </w:r>
            <w:r>
              <w:rPr>
                <w:rFonts w:hint="eastAsia"/>
                <w:bCs/>
                <w:sz w:val="24"/>
                <w:szCs w:val="28"/>
              </w:rPr>
              <w:t>%，对照</w:t>
            </w:r>
            <w:r>
              <w:rPr>
                <w:rFonts w:hint="eastAsia"/>
                <w:sz w:val="24"/>
                <w:szCs w:val="21"/>
              </w:rPr>
              <w:t>《污染影响类建设项目重大变动清单（试行）》（环办环评函〔2020〕688号），属于第六条主要燃料变化导致污染物排放量增加1</w:t>
            </w:r>
            <w:r>
              <w:rPr>
                <w:sz w:val="24"/>
                <w:szCs w:val="21"/>
              </w:rPr>
              <w:t>0</w:t>
            </w:r>
            <w:r>
              <w:rPr>
                <w:rFonts w:hint="eastAsia"/>
                <w:sz w:val="24"/>
                <w:szCs w:val="21"/>
              </w:rPr>
              <w:t>%及以上的，因此，新增5t/h导热油锅炉属于重大变更，需要完善新增5</w:t>
            </w:r>
            <w:r>
              <w:rPr>
                <w:sz w:val="24"/>
                <w:szCs w:val="21"/>
              </w:rPr>
              <w:t>t/h</w:t>
            </w:r>
            <w:r>
              <w:rPr>
                <w:rFonts w:hint="eastAsia"/>
                <w:sz w:val="24"/>
                <w:szCs w:val="21"/>
              </w:rPr>
              <w:t>导热油锅炉环保手续。</w:t>
            </w:r>
          </w:p>
          <w:p>
            <w:pPr>
              <w:adjustRightInd w:val="0"/>
              <w:spacing w:line="360" w:lineRule="auto"/>
              <w:ind w:firstLine="480" w:firstLineChars="200"/>
              <w:rPr>
                <w:sz w:val="24"/>
                <w:szCs w:val="21"/>
              </w:rPr>
            </w:pPr>
            <w:r>
              <w:rPr>
                <w:rFonts w:hint="eastAsia"/>
                <w:sz w:val="24"/>
                <w:szCs w:val="21"/>
              </w:rPr>
              <w:t>为此，建设单位对新增</w:t>
            </w:r>
            <w:r>
              <w:rPr>
                <w:sz w:val="24"/>
                <w:szCs w:val="21"/>
              </w:rPr>
              <w:t>5</w:t>
            </w:r>
            <w:r>
              <w:rPr>
                <w:rFonts w:hint="eastAsia"/>
                <w:sz w:val="24"/>
                <w:szCs w:val="21"/>
              </w:rPr>
              <w:t>t/h导热油锅炉，并针对现有筛选工序、打磨工序废气治理设施需要改进部分进行了立项备案，统一实施“昆明市澳松人造板制造有限责任公司年产5万立方米木质刨花板技改项目”，完善已建新增5t/h导热油锅炉环保手续。项目于</w:t>
            </w:r>
            <w:r>
              <w:rPr>
                <w:sz w:val="24"/>
                <w:szCs w:val="21"/>
              </w:rPr>
              <w:t>202</w:t>
            </w:r>
            <w:r>
              <w:rPr>
                <w:rFonts w:hint="eastAsia"/>
                <w:sz w:val="24"/>
                <w:szCs w:val="21"/>
              </w:rPr>
              <w:t>2</w:t>
            </w:r>
            <w:r>
              <w:rPr>
                <w:sz w:val="24"/>
                <w:szCs w:val="21"/>
              </w:rPr>
              <w:t>年</w:t>
            </w:r>
            <w:r>
              <w:rPr>
                <w:rFonts w:hint="eastAsia"/>
                <w:sz w:val="24"/>
                <w:szCs w:val="21"/>
              </w:rPr>
              <w:t>11</w:t>
            </w:r>
            <w:r>
              <w:rPr>
                <w:sz w:val="24"/>
                <w:szCs w:val="21"/>
              </w:rPr>
              <w:t>月2</w:t>
            </w:r>
            <w:r>
              <w:rPr>
                <w:rFonts w:hint="eastAsia"/>
                <w:sz w:val="24"/>
                <w:szCs w:val="21"/>
              </w:rPr>
              <w:t>1</w:t>
            </w:r>
            <w:r>
              <w:rPr>
                <w:sz w:val="24"/>
                <w:szCs w:val="21"/>
              </w:rPr>
              <w:t>日取得了寻甸回族彝族自治县发展和改革局下发的</w:t>
            </w:r>
            <w:r>
              <w:rPr>
                <w:rFonts w:hint="eastAsia"/>
                <w:sz w:val="24"/>
                <w:szCs w:val="21"/>
              </w:rPr>
              <w:t>“</w:t>
            </w:r>
            <w:r>
              <w:rPr>
                <w:sz w:val="24"/>
                <w:szCs w:val="21"/>
              </w:rPr>
              <w:t>投资项目备案证</w:t>
            </w:r>
            <w:r>
              <w:rPr>
                <w:rFonts w:hint="eastAsia"/>
                <w:sz w:val="24"/>
                <w:szCs w:val="21"/>
              </w:rPr>
              <w:t>”，</w:t>
            </w:r>
            <w:r>
              <w:rPr>
                <w:sz w:val="24"/>
                <w:szCs w:val="21"/>
              </w:rPr>
              <w:t>项目代码为：</w:t>
            </w:r>
            <w:r>
              <w:rPr>
                <w:rFonts w:hint="eastAsia" w:cs="宋体"/>
                <w:sz w:val="24"/>
                <w:szCs w:val="21"/>
              </w:rPr>
              <w:t>2211-530129-04-02-521840</w:t>
            </w:r>
            <w:r>
              <w:rPr>
                <w:sz w:val="24"/>
                <w:szCs w:val="21"/>
              </w:rPr>
              <w:t>。</w:t>
            </w:r>
          </w:p>
          <w:p>
            <w:pPr>
              <w:spacing w:line="360" w:lineRule="auto"/>
              <w:ind w:firstLine="480" w:firstLineChars="200"/>
              <w:rPr>
                <w:sz w:val="24"/>
                <w:szCs w:val="21"/>
              </w:rPr>
            </w:pPr>
            <w:r>
              <w:rPr>
                <w:rFonts w:hint="eastAsia"/>
                <w:sz w:val="24"/>
                <w:szCs w:val="21"/>
              </w:rPr>
              <w:t>本项目主要针对现有年产5万m</w:t>
            </w:r>
            <w:r>
              <w:rPr>
                <w:rFonts w:hint="eastAsia"/>
                <w:sz w:val="24"/>
                <w:szCs w:val="21"/>
                <w:vertAlign w:val="superscript"/>
              </w:rPr>
              <w:t>3</w:t>
            </w:r>
            <w:r>
              <w:rPr>
                <w:rFonts w:hint="eastAsia"/>
                <w:sz w:val="24"/>
                <w:szCs w:val="21"/>
              </w:rPr>
              <w:t>木质刨花板制造项目配套供热工程和环保工程进行技改，现有项目主体工程、原辅材料、生产工艺及污染物种类、产品及规模等均未发生变化，因此本次环评仅评价技改部分工程，不考虑整个厂区的改扩建。</w:t>
            </w:r>
          </w:p>
          <w:p>
            <w:pPr>
              <w:spacing w:line="360" w:lineRule="auto"/>
              <w:ind w:firstLine="480" w:firstLineChars="200"/>
              <w:rPr>
                <w:sz w:val="24"/>
                <w:szCs w:val="21"/>
              </w:rPr>
            </w:pPr>
            <w:r>
              <w:rPr>
                <w:rFonts w:hint="eastAsia"/>
                <w:sz w:val="24"/>
                <w:szCs w:val="21"/>
              </w:rPr>
              <w:t>根据《中华人民共和国环境保护法》、《中华人民共和国环境影响评价法》和《建设项目环境保护管理条例》的规定，本项目应开展环境影响评价工作，为此，建设单位委托云南清蓝源环保科技有限公司承担本项目环境影响评价工作。</w:t>
            </w:r>
          </w:p>
          <w:p>
            <w:pPr>
              <w:spacing w:line="360" w:lineRule="auto"/>
              <w:ind w:firstLine="480" w:firstLineChars="200"/>
              <w:rPr>
                <w:sz w:val="24"/>
                <w:szCs w:val="21"/>
              </w:rPr>
            </w:pPr>
            <w:r>
              <w:rPr>
                <w:rFonts w:hint="eastAsia"/>
                <w:sz w:val="24"/>
              </w:rPr>
              <w:t>根据项目投资备案证，</w:t>
            </w:r>
            <w:r>
              <w:rPr>
                <w:sz w:val="24"/>
              </w:rPr>
              <w:t>本</w:t>
            </w:r>
            <w:r>
              <w:rPr>
                <w:rFonts w:hint="eastAsia"/>
                <w:sz w:val="24"/>
              </w:rPr>
              <w:t>项目</w:t>
            </w:r>
            <w:r>
              <w:rPr>
                <w:sz w:val="24"/>
              </w:rPr>
              <w:t>主要针对现有</w:t>
            </w:r>
            <w:r>
              <w:rPr>
                <w:rFonts w:hint="eastAsia"/>
                <w:sz w:val="24"/>
              </w:rPr>
              <w:t>项目</w:t>
            </w:r>
            <w:r>
              <w:rPr>
                <w:sz w:val="24"/>
              </w:rPr>
              <w:t>的</w:t>
            </w:r>
            <w:r>
              <w:rPr>
                <w:rFonts w:hint="eastAsia"/>
                <w:sz w:val="24"/>
              </w:rPr>
              <w:t>配套</w:t>
            </w:r>
            <w:r>
              <w:rPr>
                <w:sz w:val="24"/>
              </w:rPr>
              <w:t>供热工程</w:t>
            </w:r>
            <w:r>
              <w:rPr>
                <w:rFonts w:hint="eastAsia"/>
                <w:sz w:val="24"/>
              </w:rPr>
              <w:t>和</w:t>
            </w:r>
            <w:r>
              <w:rPr>
                <w:sz w:val="24"/>
              </w:rPr>
              <w:t>环保工程进行技改</w:t>
            </w:r>
            <w:r>
              <w:rPr>
                <w:rFonts w:hint="eastAsia"/>
                <w:sz w:val="24"/>
                <w:szCs w:val="21"/>
              </w:rPr>
              <w:t>。根据国家《建设项目环境影响评价分类管理名录》（2021年版）规定，本项目供热工程技改新增5t导热油锅炉属于“四十一、电力、热力生产和供应业—91热力生产和供应工程（包括建设单位自建自用的供热工程）”，应当编制环境影响报告表。环保工程技改属于“四十七、生态环境保护和环境治理业—1</w:t>
            </w:r>
            <w:r>
              <w:rPr>
                <w:sz w:val="24"/>
                <w:szCs w:val="21"/>
              </w:rPr>
              <w:t>00</w:t>
            </w:r>
            <w:r>
              <w:rPr>
                <w:rFonts w:hint="eastAsia"/>
                <w:sz w:val="24"/>
                <w:szCs w:val="21"/>
              </w:rPr>
              <w:t>脱硫、脱硝、除尘、</w:t>
            </w:r>
            <w:r>
              <w:rPr>
                <w:sz w:val="24"/>
                <w:szCs w:val="21"/>
              </w:rPr>
              <w:t>VOC</w:t>
            </w:r>
            <w:r>
              <w:rPr>
                <w:rFonts w:hint="eastAsia"/>
                <w:sz w:val="24"/>
                <w:szCs w:val="21"/>
              </w:rPr>
              <w:t>s治理等大气污染治理工程”，填报登记表。本项目环境影响评价类别按照其中单项等级最高的确定，故本项目应编制环境影响报告表。</w:t>
            </w:r>
          </w:p>
          <w:p>
            <w:pPr>
              <w:adjustRightInd w:val="0"/>
              <w:spacing w:line="360" w:lineRule="auto"/>
              <w:ind w:firstLine="482" w:firstLineChars="200"/>
              <w:jc w:val="left"/>
              <w:rPr>
                <w:b/>
                <w:sz w:val="24"/>
                <w:szCs w:val="21"/>
              </w:rPr>
            </w:pPr>
            <w:r>
              <w:rPr>
                <w:rFonts w:hint="eastAsia"/>
                <w:b/>
                <w:sz w:val="24"/>
                <w:szCs w:val="21"/>
              </w:rPr>
              <w:t>二、现有项目概况</w:t>
            </w:r>
          </w:p>
          <w:p>
            <w:pPr>
              <w:spacing w:line="360" w:lineRule="auto"/>
              <w:ind w:firstLine="482" w:firstLineChars="200"/>
              <w:rPr>
                <w:b/>
                <w:sz w:val="24"/>
              </w:rPr>
            </w:pPr>
            <w:r>
              <w:rPr>
                <w:rFonts w:hint="eastAsia"/>
                <w:b/>
                <w:sz w:val="24"/>
              </w:rPr>
              <w:t>1、现有项目概况</w:t>
            </w:r>
          </w:p>
          <w:p>
            <w:pPr>
              <w:spacing w:line="360" w:lineRule="auto"/>
              <w:ind w:firstLine="480" w:firstLineChars="200"/>
              <w:rPr>
                <w:bCs/>
                <w:sz w:val="24"/>
              </w:rPr>
            </w:pPr>
            <w:r>
              <w:rPr>
                <w:rFonts w:hint="eastAsia"/>
                <w:bCs/>
                <w:sz w:val="24"/>
              </w:rPr>
              <w:t>（1）</w:t>
            </w:r>
            <w:r>
              <w:rPr>
                <w:bCs/>
                <w:sz w:val="24"/>
              </w:rPr>
              <w:t>项目名称：</w:t>
            </w:r>
            <w:r>
              <w:rPr>
                <w:rFonts w:hint="eastAsia"/>
                <w:bCs/>
                <w:sz w:val="24"/>
              </w:rPr>
              <w:t>昆明市澳松人造板制造有限责任公司年产5万立方米木质刨花板项目</w:t>
            </w:r>
          </w:p>
          <w:p>
            <w:pPr>
              <w:spacing w:line="360" w:lineRule="auto"/>
              <w:ind w:firstLine="480" w:firstLineChars="200"/>
              <w:rPr>
                <w:bCs/>
                <w:sz w:val="24"/>
              </w:rPr>
            </w:pPr>
            <w:r>
              <w:rPr>
                <w:bCs/>
                <w:sz w:val="24"/>
              </w:rPr>
              <w:t>（2）建设单位：</w:t>
            </w:r>
            <w:r>
              <w:rPr>
                <w:rFonts w:hint="eastAsia"/>
                <w:bCs/>
                <w:sz w:val="24"/>
              </w:rPr>
              <w:t>昆明市澳松人造板制造有限责任公司</w:t>
            </w:r>
          </w:p>
          <w:p>
            <w:pPr>
              <w:spacing w:line="360" w:lineRule="auto"/>
              <w:ind w:firstLine="480" w:firstLineChars="200"/>
              <w:rPr>
                <w:bCs/>
                <w:sz w:val="24"/>
              </w:rPr>
            </w:pPr>
            <w:r>
              <w:rPr>
                <w:bCs/>
                <w:sz w:val="24"/>
              </w:rPr>
              <w:t>（3）项目地点：</w:t>
            </w:r>
            <w:r>
              <w:rPr>
                <w:rFonts w:hint="eastAsia"/>
                <w:bCs/>
                <w:sz w:val="24"/>
              </w:rPr>
              <w:t>昆明市寻甸特色产业园区羊街片区</w:t>
            </w:r>
          </w:p>
          <w:p>
            <w:pPr>
              <w:spacing w:line="360" w:lineRule="auto"/>
              <w:ind w:firstLine="480" w:firstLineChars="200"/>
              <w:rPr>
                <w:sz w:val="24"/>
              </w:rPr>
            </w:pPr>
            <w:r>
              <w:rPr>
                <w:rFonts w:hint="eastAsia"/>
                <w:bCs/>
                <w:sz w:val="24"/>
                <w:szCs w:val="21"/>
              </w:rPr>
              <w:t>（</w:t>
            </w:r>
            <w:r>
              <w:rPr>
                <w:bCs/>
                <w:sz w:val="24"/>
                <w:szCs w:val="21"/>
              </w:rPr>
              <w:t>4</w:t>
            </w:r>
            <w:r>
              <w:rPr>
                <w:rFonts w:hint="eastAsia"/>
                <w:bCs/>
                <w:sz w:val="24"/>
                <w:szCs w:val="21"/>
              </w:rPr>
              <w:t>）建设规模及内容：</w:t>
            </w:r>
            <w:r>
              <w:rPr>
                <w:rFonts w:hint="eastAsia"/>
                <w:sz w:val="24"/>
              </w:rPr>
              <w:t>年产5万方木质刨花板</w:t>
            </w:r>
            <w:r>
              <w:rPr>
                <w:rFonts w:hint="eastAsia" w:ascii="宋体" w:hAnsi="宋体"/>
                <w:sz w:val="24"/>
              </w:rPr>
              <w:t>，主要建设内容包括“L”型标</w:t>
            </w:r>
            <w:r>
              <w:rPr>
                <w:rFonts w:hAnsi="宋体"/>
                <w:sz w:val="24"/>
              </w:rPr>
              <w:t>准厂房</w:t>
            </w:r>
            <w:r>
              <w:rPr>
                <w:sz w:val="24"/>
              </w:rPr>
              <w:t>1</w:t>
            </w:r>
            <w:r>
              <w:rPr>
                <w:rFonts w:hAnsi="宋体"/>
                <w:sz w:val="24"/>
              </w:rPr>
              <w:t>间（</w:t>
            </w:r>
            <w:r>
              <w:rPr>
                <w:sz w:val="24"/>
              </w:rPr>
              <w:t>内</w:t>
            </w:r>
            <w:r>
              <w:rPr>
                <w:rFonts w:hint="eastAsia"/>
                <w:sz w:val="24"/>
              </w:rPr>
              <w:t>部</w:t>
            </w:r>
            <w:r>
              <w:rPr>
                <w:sz w:val="24"/>
              </w:rPr>
              <w:t>设置7t的</w:t>
            </w:r>
            <w:r>
              <w:rPr>
                <w:rFonts w:hint="eastAsia"/>
                <w:sz w:val="24"/>
              </w:rPr>
              <w:t>导热油锅炉</w:t>
            </w:r>
            <w:r>
              <w:rPr>
                <w:sz w:val="24"/>
              </w:rPr>
              <w:t>1台、刨花板生产线1条、脲醛树脂胶生产设备1套</w:t>
            </w:r>
            <w:r>
              <w:rPr>
                <w:rFonts w:hAnsi="宋体"/>
                <w:sz w:val="24"/>
              </w:rPr>
              <w:t>），</w:t>
            </w:r>
            <w:r>
              <w:rPr>
                <w:rFonts w:hint="eastAsia" w:hAnsi="宋体"/>
                <w:sz w:val="24"/>
              </w:rPr>
              <w:t>堆料场一个，</w:t>
            </w:r>
            <w:r>
              <w:rPr>
                <w:rFonts w:hAnsi="宋体"/>
                <w:sz w:val="24"/>
              </w:rPr>
              <w:t>后勤用房</w:t>
            </w:r>
            <w:r>
              <w:rPr>
                <w:sz w:val="24"/>
              </w:rPr>
              <w:t>2</w:t>
            </w:r>
            <w:r>
              <w:rPr>
                <w:rFonts w:hAnsi="宋体"/>
                <w:sz w:val="24"/>
              </w:rPr>
              <w:t>栋</w:t>
            </w:r>
            <w:r>
              <w:rPr>
                <w:sz w:val="24"/>
              </w:rPr>
              <w:t>2</w:t>
            </w:r>
            <w:r>
              <w:rPr>
                <w:rFonts w:hAnsi="宋体"/>
                <w:sz w:val="24"/>
              </w:rPr>
              <w:t>层（包括</w:t>
            </w:r>
            <w:r>
              <w:rPr>
                <w:sz w:val="24"/>
              </w:rPr>
              <w:t>办公室、门卫室、实验室、设备仓库、配电室及宿舍</w:t>
            </w:r>
            <w:r>
              <w:rPr>
                <w:rFonts w:hAnsi="宋体"/>
                <w:sz w:val="24"/>
              </w:rPr>
              <w:t>），</w:t>
            </w:r>
            <w:r>
              <w:rPr>
                <w:sz w:val="24"/>
              </w:rPr>
              <w:t>以及配套的</w:t>
            </w:r>
            <w:r>
              <w:rPr>
                <w:rFonts w:hint="eastAsia"/>
                <w:sz w:val="24"/>
              </w:rPr>
              <w:t>蓄水池</w:t>
            </w:r>
            <w:r>
              <w:rPr>
                <w:sz w:val="24"/>
              </w:rPr>
              <w:t>、污水处理系统等。</w:t>
            </w:r>
          </w:p>
          <w:p>
            <w:pPr>
              <w:spacing w:line="360" w:lineRule="auto"/>
              <w:ind w:firstLine="480" w:firstLineChars="200"/>
              <w:rPr>
                <w:sz w:val="24"/>
              </w:rPr>
            </w:pPr>
            <w:r>
              <w:rPr>
                <w:rFonts w:hint="eastAsia"/>
                <w:sz w:val="24"/>
              </w:rPr>
              <w:t>现有项目建设内容见下表：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表2-1  现有项目建设内容一览表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29"/>
              <w:gridCol w:w="580"/>
              <w:gridCol w:w="1449"/>
              <w:gridCol w:w="5582"/>
            </w:tblGrid>
            <w:tr>
              <w:tblPrEx>
                <w:tblCellMar>
                  <w:top w:w="0" w:type="dxa"/>
                  <w:left w:w="57" w:type="dxa"/>
                  <w:bottom w:w="0" w:type="dxa"/>
                  <w:right w:w="57" w:type="dxa"/>
                </w:tblCellMar>
              </w:tblPrEx>
              <w:trPr>
                <w:cantSplit/>
                <w:jc w:val="center"/>
              </w:trPr>
              <w:tc>
                <w:tcPr>
                  <w:tcW w:w="437" w:type="pct"/>
                  <w:vAlign w:val="center"/>
                </w:tcPr>
                <w:p>
                  <w:pPr>
                    <w:widowControl/>
                    <w:adjustRightInd w:val="0"/>
                    <w:jc w:val="center"/>
                    <w:rPr>
                      <w:b/>
                      <w:szCs w:val="21"/>
                    </w:rPr>
                  </w:pPr>
                  <w:r>
                    <w:rPr>
                      <w:rFonts w:hint="eastAsia"/>
                      <w:b/>
                      <w:szCs w:val="21"/>
                    </w:rPr>
                    <w:t>类别</w:t>
                  </w:r>
                </w:p>
              </w:tc>
              <w:tc>
                <w:tcPr>
                  <w:tcW w:w="1217" w:type="pct"/>
                  <w:gridSpan w:val="2"/>
                  <w:vAlign w:val="center"/>
                </w:tcPr>
                <w:p>
                  <w:pPr>
                    <w:widowControl/>
                    <w:adjustRightInd w:val="0"/>
                    <w:jc w:val="center"/>
                    <w:rPr>
                      <w:b/>
                      <w:szCs w:val="21"/>
                    </w:rPr>
                  </w:pPr>
                  <w:r>
                    <w:rPr>
                      <w:rFonts w:hint="eastAsia"/>
                      <w:b/>
                      <w:szCs w:val="21"/>
                    </w:rPr>
                    <w:t>工程名称</w:t>
                  </w:r>
                </w:p>
              </w:tc>
              <w:tc>
                <w:tcPr>
                  <w:tcW w:w="3346" w:type="pct"/>
                  <w:vAlign w:val="center"/>
                </w:tcPr>
                <w:p>
                  <w:pPr>
                    <w:widowControl/>
                    <w:adjustRightInd w:val="0"/>
                    <w:jc w:val="center"/>
                    <w:rPr>
                      <w:b/>
                      <w:szCs w:val="21"/>
                    </w:rPr>
                  </w:pPr>
                  <w:r>
                    <w:rPr>
                      <w:rFonts w:hint="eastAsia"/>
                      <w:b/>
                      <w:szCs w:val="21"/>
                    </w:rPr>
                    <w:t>现有项目工程内容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restart"/>
                  <w:vAlign w:val="center"/>
                </w:tcPr>
                <w:p>
                  <w:pPr>
                    <w:widowControl/>
                    <w:adjustRightInd w:val="0"/>
                    <w:jc w:val="center"/>
                    <w:rPr>
                      <w:szCs w:val="21"/>
                    </w:rPr>
                  </w:pPr>
                  <w:r>
                    <w:rPr>
                      <w:rFonts w:hint="eastAsia"/>
                      <w:szCs w:val="21"/>
                    </w:rPr>
                    <w:t>主体工程</w:t>
                  </w:r>
                </w:p>
              </w:tc>
              <w:tc>
                <w:tcPr>
                  <w:tcW w:w="1217" w:type="pct"/>
                  <w:gridSpan w:val="2"/>
                  <w:vAlign w:val="center"/>
                </w:tcPr>
                <w:p>
                  <w:pPr>
                    <w:adjustRightInd w:val="0"/>
                    <w:jc w:val="center"/>
                    <w:rPr>
                      <w:szCs w:val="21"/>
                    </w:rPr>
                  </w:pPr>
                  <w:r>
                    <w:rPr>
                      <w:rFonts w:hint="eastAsia"/>
                      <w:szCs w:val="21"/>
                    </w:rPr>
                    <w:t>刨花板生产线</w:t>
                  </w:r>
                </w:p>
              </w:tc>
              <w:tc>
                <w:tcPr>
                  <w:tcW w:w="3346" w:type="pct"/>
                  <w:vAlign w:val="center"/>
                </w:tcPr>
                <w:p>
                  <w:pPr>
                    <w:adjustRightInd w:val="0"/>
                    <w:jc w:val="center"/>
                    <w:rPr>
                      <w:szCs w:val="21"/>
                    </w:rPr>
                  </w:pPr>
                  <w:r>
                    <w:rPr>
                      <w:szCs w:val="21"/>
                    </w:rPr>
                    <w:t>刨花板生产线1条</w:t>
                  </w:r>
                  <w:r>
                    <w:rPr>
                      <w:rFonts w:hint="eastAsia"/>
                      <w:szCs w:val="21"/>
                    </w:rPr>
                    <w:t>，主要设有削片机、刨片机、转子干燥机、摆动筛、拌胶机、铺装机、预压机、装板机、热压机、皮带运输机等，热压机热源来自7t/h导热油锅炉供热。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adjustRightInd w:val="0"/>
                    <w:jc w:val="center"/>
                    <w:rPr>
                      <w:szCs w:val="21"/>
                    </w:rPr>
                  </w:pPr>
                  <w:r>
                    <w:rPr>
                      <w:rFonts w:hint="eastAsia"/>
                      <w:szCs w:val="21"/>
                    </w:rPr>
                    <w:t>制胶生产线</w:t>
                  </w:r>
                </w:p>
              </w:tc>
              <w:tc>
                <w:tcPr>
                  <w:tcW w:w="3346" w:type="pct"/>
                  <w:vAlign w:val="center"/>
                </w:tcPr>
                <w:p>
                  <w:pPr>
                    <w:adjustRightInd w:val="0"/>
                    <w:jc w:val="center"/>
                    <w:rPr>
                      <w:szCs w:val="21"/>
                    </w:rPr>
                  </w:pPr>
                  <w:r>
                    <w:rPr>
                      <w:rFonts w:hint="eastAsia"/>
                      <w:szCs w:val="21"/>
                    </w:rPr>
                    <w:t>设置</w:t>
                  </w:r>
                  <w:r>
                    <w:rPr>
                      <w:szCs w:val="21"/>
                    </w:rPr>
                    <w:t>脲醛树脂胶生产设备1套</w:t>
                  </w:r>
                  <w:r>
                    <w:rPr>
                      <w:rFonts w:hint="eastAsia"/>
                      <w:szCs w:val="21"/>
                    </w:rPr>
                    <w:t>，设有1台制胶反应釜，1个甲醛储罐，4个储胶罐；反应釜的热源来自7t/h导热油锅炉的导热油加热。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adjustRightInd w:val="0"/>
                    <w:jc w:val="center"/>
                    <w:rPr>
                      <w:szCs w:val="21"/>
                    </w:rPr>
                  </w:pPr>
                  <w:r>
                    <w:rPr>
                      <w:szCs w:val="21"/>
                    </w:rPr>
                    <w:t>7t/h</w:t>
                  </w:r>
                  <w:r>
                    <w:rPr>
                      <w:rFonts w:hint="eastAsia"/>
                      <w:szCs w:val="21"/>
                    </w:rPr>
                    <w:t>吨导热油锅炉</w:t>
                  </w:r>
                </w:p>
              </w:tc>
              <w:tc>
                <w:tcPr>
                  <w:tcW w:w="3346" w:type="pct"/>
                  <w:vAlign w:val="center"/>
                </w:tcPr>
                <w:p>
                  <w:pPr>
                    <w:adjustRightInd w:val="0"/>
                    <w:jc w:val="center"/>
                    <w:rPr>
                      <w:szCs w:val="21"/>
                    </w:rPr>
                  </w:pPr>
                  <w:r>
                    <w:rPr>
                      <w:szCs w:val="21"/>
                    </w:rPr>
                    <w:t>7t/h的</w:t>
                  </w:r>
                  <w:r>
                    <w:rPr>
                      <w:rFonts w:hint="eastAsia"/>
                      <w:szCs w:val="21"/>
                    </w:rPr>
                    <w:t>导热油锅炉</w:t>
                  </w:r>
                  <w:r>
                    <w:rPr>
                      <w:szCs w:val="21"/>
                    </w:rPr>
                    <w:t>1台</w:t>
                  </w:r>
                  <w:r>
                    <w:rPr>
                      <w:rFonts w:hint="eastAsia"/>
                      <w:szCs w:val="21"/>
                    </w:rPr>
                    <w:t>，锅炉型号：Y</w:t>
                  </w:r>
                  <w:r>
                    <w:rPr>
                      <w:szCs w:val="21"/>
                    </w:rPr>
                    <w:t>GW-4600</w:t>
                  </w:r>
                  <w:r>
                    <w:rPr>
                      <w:rFonts w:hint="eastAsia"/>
                      <w:szCs w:val="21"/>
                    </w:rPr>
                    <w:t>，额定热功率4</w:t>
                  </w:r>
                  <w:r>
                    <w:rPr>
                      <w:szCs w:val="21"/>
                    </w:rPr>
                    <w:t>600KW</w:t>
                  </w:r>
                  <w:r>
                    <w:rPr>
                      <w:rFonts w:hint="eastAsia"/>
                      <w:szCs w:val="21"/>
                    </w:rPr>
                    <w:t>（4</w:t>
                  </w:r>
                  <w:r>
                    <w:rPr>
                      <w:szCs w:val="21"/>
                    </w:rPr>
                    <w:t>.6MW</w:t>
                  </w:r>
                  <w:r>
                    <w:rPr>
                      <w:rFonts w:hint="eastAsia"/>
                      <w:szCs w:val="21"/>
                    </w:rPr>
                    <w:t>），生产用热来自导热油锅炉，用于干燥、热压、制胶工段，采用砂光木粉、废弃木柴、树皮及检验不合格的不可利用的产品作为燃料；不烧煤。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restart"/>
                  <w:vAlign w:val="center"/>
                </w:tcPr>
                <w:p>
                  <w:pPr>
                    <w:widowControl/>
                    <w:adjustRightInd w:val="0"/>
                    <w:jc w:val="center"/>
                    <w:rPr>
                      <w:szCs w:val="21"/>
                    </w:rPr>
                  </w:pPr>
                  <w:r>
                    <w:rPr>
                      <w:rFonts w:hint="eastAsia"/>
                      <w:szCs w:val="21"/>
                    </w:rPr>
                    <w:t>辅助工程</w:t>
                  </w:r>
                </w:p>
              </w:tc>
              <w:tc>
                <w:tcPr>
                  <w:tcW w:w="1217" w:type="pct"/>
                  <w:gridSpan w:val="2"/>
                  <w:vAlign w:val="center"/>
                </w:tcPr>
                <w:p>
                  <w:pPr>
                    <w:widowControl/>
                    <w:adjustRightInd w:val="0"/>
                    <w:jc w:val="center"/>
                    <w:rPr>
                      <w:szCs w:val="21"/>
                    </w:rPr>
                  </w:pPr>
                  <w:r>
                    <w:rPr>
                      <w:rFonts w:hint="eastAsia"/>
                      <w:szCs w:val="21"/>
                    </w:rPr>
                    <w:t>后勤用房</w:t>
                  </w:r>
                </w:p>
              </w:tc>
              <w:tc>
                <w:tcPr>
                  <w:tcW w:w="3346" w:type="pct"/>
                  <w:vAlign w:val="center"/>
                </w:tcPr>
                <w:p>
                  <w:pPr>
                    <w:widowControl/>
                    <w:adjustRightInd w:val="0"/>
                    <w:jc w:val="center"/>
                    <w:rPr>
                      <w:szCs w:val="21"/>
                    </w:rPr>
                  </w:pPr>
                  <w:r>
                    <w:rPr>
                      <w:szCs w:val="21"/>
                    </w:rPr>
                    <w:t>包括办公室</w:t>
                  </w:r>
                  <w:r>
                    <w:rPr>
                      <w:rFonts w:hint="eastAsia"/>
                      <w:szCs w:val="21"/>
                    </w:rPr>
                    <w:t>5间</w:t>
                  </w:r>
                  <w:r>
                    <w:rPr>
                      <w:szCs w:val="21"/>
                    </w:rPr>
                    <w:t>、门卫室</w:t>
                  </w:r>
                  <w:r>
                    <w:rPr>
                      <w:rFonts w:hint="eastAsia"/>
                      <w:szCs w:val="21"/>
                    </w:rPr>
                    <w:t>1间</w:t>
                  </w:r>
                  <w:r>
                    <w:rPr>
                      <w:szCs w:val="21"/>
                    </w:rPr>
                    <w:t>、实验室</w:t>
                  </w:r>
                  <w:r>
                    <w:rPr>
                      <w:rFonts w:hint="eastAsia"/>
                      <w:szCs w:val="21"/>
                    </w:rPr>
                    <w:t>1间</w:t>
                  </w:r>
                  <w:r>
                    <w:rPr>
                      <w:szCs w:val="21"/>
                    </w:rPr>
                    <w:t>、设备仓库</w:t>
                  </w:r>
                  <w:r>
                    <w:rPr>
                      <w:rFonts w:hint="eastAsia"/>
                      <w:szCs w:val="21"/>
                    </w:rPr>
                    <w:t>3间</w:t>
                  </w:r>
                  <w:r>
                    <w:rPr>
                      <w:szCs w:val="21"/>
                    </w:rPr>
                    <w:t>、配电室</w:t>
                  </w:r>
                  <w:r>
                    <w:rPr>
                      <w:rFonts w:hint="eastAsia"/>
                      <w:szCs w:val="21"/>
                    </w:rPr>
                    <w:t>1间、2间洗浴室</w:t>
                  </w:r>
                  <w:r>
                    <w:rPr>
                      <w:szCs w:val="21"/>
                    </w:rPr>
                    <w:t>及宿舍</w:t>
                  </w:r>
                  <w:r>
                    <w:rPr>
                      <w:rFonts w:hint="eastAsia"/>
                      <w:szCs w:val="21"/>
                    </w:rPr>
                    <w:t>12间。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widowControl/>
                    <w:adjustRightInd w:val="0"/>
                    <w:jc w:val="center"/>
                    <w:rPr>
                      <w:szCs w:val="21"/>
                    </w:rPr>
                  </w:pPr>
                  <w:r>
                    <w:rPr>
                      <w:rFonts w:hint="eastAsia"/>
                      <w:szCs w:val="21"/>
                    </w:rPr>
                    <w:t>停车场</w:t>
                  </w:r>
                </w:p>
              </w:tc>
              <w:tc>
                <w:tcPr>
                  <w:tcW w:w="3346" w:type="pct"/>
                  <w:vAlign w:val="center"/>
                </w:tcPr>
                <w:p>
                  <w:pPr>
                    <w:widowControl/>
                    <w:adjustRightInd w:val="0"/>
                    <w:jc w:val="center"/>
                    <w:rPr>
                      <w:szCs w:val="21"/>
                    </w:rPr>
                  </w:pPr>
                  <w:r>
                    <w:rPr>
                      <w:rFonts w:hint="eastAsia"/>
                      <w:szCs w:val="21"/>
                    </w:rPr>
                    <w:t>位于后勤用房的北侧，占地面积450</w:t>
                  </w:r>
                  <w:r>
                    <w:rPr>
                      <w:szCs w:val="21"/>
                    </w:rPr>
                    <w:t>m</w:t>
                  </w:r>
                  <w:r>
                    <w:rPr>
                      <w:szCs w:val="21"/>
                      <w:vertAlign w:val="superscript"/>
                    </w:rPr>
                    <w:t>2</w:t>
                  </w:r>
                  <w:r>
                    <w:rPr>
                      <w:rFonts w:hint="eastAsia"/>
                      <w:szCs w:val="21"/>
                    </w:rPr>
                    <w:t>，停车位18个。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restart"/>
                  <w:vAlign w:val="center"/>
                </w:tcPr>
                <w:p>
                  <w:pPr>
                    <w:widowControl/>
                    <w:adjustRightInd w:val="0"/>
                    <w:jc w:val="center"/>
                    <w:rPr>
                      <w:szCs w:val="21"/>
                    </w:rPr>
                  </w:pPr>
                  <w:r>
                    <w:rPr>
                      <w:rFonts w:hint="eastAsia"/>
                      <w:szCs w:val="21"/>
                    </w:rPr>
                    <w:t>储运工程</w:t>
                  </w:r>
                </w:p>
              </w:tc>
              <w:tc>
                <w:tcPr>
                  <w:tcW w:w="1217" w:type="pct"/>
                  <w:gridSpan w:val="2"/>
                  <w:vAlign w:val="center"/>
                </w:tcPr>
                <w:p>
                  <w:pPr>
                    <w:adjustRightInd w:val="0"/>
                    <w:jc w:val="center"/>
                    <w:rPr>
                      <w:szCs w:val="21"/>
                    </w:rPr>
                  </w:pPr>
                  <w:r>
                    <w:rPr>
                      <w:rFonts w:hint="eastAsia"/>
                      <w:szCs w:val="21"/>
                    </w:rPr>
                    <w:t>叉车</w:t>
                  </w:r>
                </w:p>
              </w:tc>
              <w:tc>
                <w:tcPr>
                  <w:tcW w:w="3346" w:type="pct"/>
                  <w:vAlign w:val="center"/>
                </w:tcPr>
                <w:p>
                  <w:pPr>
                    <w:widowControl/>
                    <w:adjustRightInd w:val="0"/>
                    <w:jc w:val="center"/>
                    <w:rPr>
                      <w:szCs w:val="21"/>
                    </w:rPr>
                  </w:pPr>
                  <w:r>
                    <w:rPr>
                      <w:rFonts w:hint="eastAsia"/>
                      <w:szCs w:val="21"/>
                    </w:rPr>
                    <w:t>用于运输项目内生产的板材，在项目内直接移动。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adjustRightInd w:val="0"/>
                    <w:jc w:val="center"/>
                    <w:rPr>
                      <w:szCs w:val="21"/>
                    </w:rPr>
                  </w:pPr>
                  <w:r>
                    <w:rPr>
                      <w:rFonts w:hint="eastAsia"/>
                      <w:szCs w:val="21"/>
                    </w:rPr>
                    <w:t>料场</w:t>
                  </w:r>
                </w:p>
              </w:tc>
              <w:tc>
                <w:tcPr>
                  <w:tcW w:w="3346" w:type="pct"/>
                  <w:vAlign w:val="center"/>
                </w:tcPr>
                <w:p>
                  <w:pPr>
                    <w:widowControl/>
                    <w:adjustRightInd w:val="0"/>
                    <w:jc w:val="center"/>
                    <w:rPr>
                      <w:szCs w:val="21"/>
                    </w:rPr>
                  </w:pPr>
                  <w:r>
                    <w:rPr>
                      <w:rFonts w:hint="eastAsia"/>
                      <w:szCs w:val="21"/>
                    </w:rPr>
                    <w:t>项目中心东部，占地面积3792</w:t>
                  </w:r>
                  <w:r>
                    <w:rPr>
                      <w:szCs w:val="21"/>
                    </w:rPr>
                    <w:t>m</w:t>
                  </w:r>
                  <w:r>
                    <w:rPr>
                      <w:szCs w:val="21"/>
                      <w:vertAlign w:val="superscript"/>
                    </w:rPr>
                    <w:t>2</w:t>
                  </w:r>
                  <w:r>
                    <w:rPr>
                      <w:rFonts w:hint="eastAsia"/>
                      <w:szCs w:val="21"/>
                    </w:rPr>
                    <w:t>，主要堆存木屑、刨花、枝桠材等原料，堆存量约为10</w:t>
                  </w:r>
                  <w:r>
                    <w:rPr>
                      <w:szCs w:val="21"/>
                    </w:rPr>
                    <w:t>000t</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widowControl/>
                    <w:adjustRightInd w:val="0"/>
                    <w:jc w:val="center"/>
                    <w:rPr>
                      <w:szCs w:val="21"/>
                    </w:rPr>
                  </w:pPr>
                  <w:r>
                    <w:rPr>
                      <w:rFonts w:hint="eastAsia"/>
                      <w:szCs w:val="21"/>
                    </w:rPr>
                    <w:t>半成品、成品堆放处</w:t>
                  </w:r>
                </w:p>
              </w:tc>
              <w:tc>
                <w:tcPr>
                  <w:tcW w:w="3346" w:type="pct"/>
                  <w:vAlign w:val="center"/>
                </w:tcPr>
                <w:p>
                  <w:pPr>
                    <w:widowControl/>
                    <w:adjustRightInd w:val="0"/>
                    <w:jc w:val="center"/>
                    <w:rPr>
                      <w:szCs w:val="21"/>
                    </w:rPr>
                  </w:pPr>
                  <w:r>
                    <w:rPr>
                      <w:rFonts w:hint="eastAsia"/>
                      <w:szCs w:val="21"/>
                    </w:rPr>
                    <w:t>位于厂房内部的北侧，占地面积</w:t>
                  </w:r>
                  <w:r>
                    <w:rPr>
                      <w:szCs w:val="21"/>
                    </w:rPr>
                    <w:t>576m</w:t>
                  </w:r>
                  <w:r>
                    <w:rPr>
                      <w:szCs w:val="21"/>
                      <w:vertAlign w:val="superscript"/>
                    </w:rPr>
                    <w:t>2</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widowControl/>
                    <w:adjustRightInd w:val="0"/>
                    <w:jc w:val="center"/>
                    <w:rPr>
                      <w:szCs w:val="21"/>
                    </w:rPr>
                  </w:pPr>
                  <w:r>
                    <w:rPr>
                      <w:rFonts w:hint="eastAsia"/>
                      <w:szCs w:val="21"/>
                    </w:rPr>
                    <w:t>甲醛储罐</w:t>
                  </w:r>
                </w:p>
              </w:tc>
              <w:tc>
                <w:tcPr>
                  <w:tcW w:w="3346" w:type="pct"/>
                  <w:vAlign w:val="center"/>
                </w:tcPr>
                <w:p>
                  <w:pPr>
                    <w:widowControl/>
                    <w:adjustRightInd w:val="0"/>
                    <w:jc w:val="center"/>
                    <w:rPr>
                      <w:szCs w:val="21"/>
                    </w:rPr>
                  </w:pPr>
                  <w:r>
                    <w:rPr>
                      <w:rFonts w:hint="eastAsia"/>
                      <w:szCs w:val="21"/>
                    </w:rPr>
                    <w:t>1个，容</w:t>
                  </w:r>
                  <w:r>
                    <w:rPr>
                      <w:szCs w:val="21"/>
                    </w:rPr>
                    <w:t>积60m</w:t>
                  </w:r>
                  <w:r>
                    <w:rPr>
                      <w:szCs w:val="21"/>
                      <w:vertAlign w:val="superscript"/>
                    </w:rPr>
                    <w:t>3</w:t>
                  </w:r>
                  <w:r>
                    <w:rPr>
                      <w:szCs w:val="21"/>
                    </w:rPr>
                    <w:t>，位于</w:t>
                  </w:r>
                  <w:r>
                    <w:rPr>
                      <w:rFonts w:hint="eastAsia"/>
                      <w:szCs w:val="21"/>
                    </w:rPr>
                    <w:t>标准厂房的制胶生产线旁，占地面积</w:t>
                  </w:r>
                  <w:r>
                    <w:rPr>
                      <w:szCs w:val="21"/>
                    </w:rPr>
                    <w:t>78.5m</w:t>
                  </w:r>
                  <w:r>
                    <w:rPr>
                      <w:szCs w:val="21"/>
                      <w:vertAlign w:val="superscript"/>
                    </w:rPr>
                    <w:t>2</w:t>
                  </w:r>
                  <w:r>
                    <w:rPr>
                      <w:rFonts w:hint="eastAsia"/>
                      <w:szCs w:val="21"/>
                    </w:rPr>
                    <w:t>，四周设有围堰</w:t>
                  </w:r>
                  <w:r>
                    <w:rPr>
                      <w:szCs w:val="21"/>
                    </w:rPr>
                    <w:t>65</w:t>
                  </w:r>
                  <w:r>
                    <w:rPr>
                      <w:rFonts w:hint="eastAsia"/>
                      <w:szCs w:val="21"/>
                    </w:rPr>
                    <w:t>m</w:t>
                  </w:r>
                  <w:r>
                    <w:rPr>
                      <w:szCs w:val="21"/>
                      <w:vertAlign w:val="superscript"/>
                    </w:rPr>
                    <w:t>3</w:t>
                  </w:r>
                  <w:r>
                    <w:rPr>
                      <w:szCs w:val="21"/>
                    </w:rPr>
                    <w:t>，</w:t>
                  </w:r>
                  <w:r>
                    <w:rPr>
                      <w:rFonts w:hint="eastAsia"/>
                      <w:szCs w:val="21"/>
                    </w:rPr>
                    <w:t>并</w:t>
                  </w:r>
                  <w:r>
                    <w:rPr>
                      <w:szCs w:val="21"/>
                    </w:rPr>
                    <w:t>配备备用</w:t>
                  </w:r>
                  <w:r>
                    <w:rPr>
                      <w:rFonts w:hint="eastAsia"/>
                      <w:szCs w:val="21"/>
                    </w:rPr>
                    <w:t>应急池（容积7</w:t>
                  </w:r>
                  <w:r>
                    <w:rPr>
                      <w:szCs w:val="21"/>
                    </w:rPr>
                    <w:t>5m</w:t>
                  </w:r>
                  <w:r>
                    <w:rPr>
                      <w:szCs w:val="21"/>
                      <w:vertAlign w:val="superscript"/>
                    </w:rPr>
                    <w:t>3</w:t>
                  </w:r>
                  <w:r>
                    <w:rPr>
                      <w:rFonts w:hint="eastAsia"/>
                      <w:szCs w:val="21"/>
                    </w:rPr>
                    <w:t>）</w:t>
                  </w:r>
                  <w:r>
                    <w:rPr>
                      <w:szCs w:val="21"/>
                    </w:rPr>
                    <w:t>作为甲醛事故泄露的倒罐使用</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restart"/>
                  <w:vAlign w:val="center"/>
                </w:tcPr>
                <w:p>
                  <w:pPr>
                    <w:widowControl/>
                    <w:adjustRightInd w:val="0"/>
                    <w:jc w:val="center"/>
                    <w:rPr>
                      <w:szCs w:val="21"/>
                    </w:rPr>
                  </w:pPr>
                  <w:r>
                    <w:rPr>
                      <w:rFonts w:hint="eastAsia"/>
                      <w:szCs w:val="21"/>
                    </w:rPr>
                    <w:t>公用工程</w:t>
                  </w:r>
                </w:p>
              </w:tc>
              <w:tc>
                <w:tcPr>
                  <w:tcW w:w="1217" w:type="pct"/>
                  <w:gridSpan w:val="2"/>
                  <w:vAlign w:val="center"/>
                </w:tcPr>
                <w:p>
                  <w:pPr>
                    <w:widowControl/>
                    <w:adjustRightInd w:val="0"/>
                    <w:jc w:val="center"/>
                    <w:rPr>
                      <w:szCs w:val="21"/>
                    </w:rPr>
                  </w:pPr>
                  <w:r>
                    <w:rPr>
                      <w:rFonts w:hint="eastAsia"/>
                      <w:szCs w:val="21"/>
                    </w:rPr>
                    <w:t>供电</w:t>
                  </w:r>
                </w:p>
              </w:tc>
              <w:tc>
                <w:tcPr>
                  <w:tcW w:w="3346" w:type="pct"/>
                  <w:vAlign w:val="center"/>
                </w:tcPr>
                <w:p>
                  <w:pPr>
                    <w:widowControl/>
                    <w:adjustRightInd w:val="0"/>
                    <w:jc w:val="center"/>
                    <w:rPr>
                      <w:szCs w:val="21"/>
                    </w:rPr>
                  </w:pPr>
                  <w:r>
                    <w:rPr>
                      <w:rFonts w:hint="eastAsia"/>
                      <w:szCs w:val="21"/>
                    </w:rPr>
                    <w:t>由园区电网供给，项目内设</w:t>
                  </w:r>
                  <w:r>
                    <w:rPr>
                      <w:szCs w:val="21"/>
                    </w:rPr>
                    <w:t>630KVA</w:t>
                  </w:r>
                  <w:r>
                    <w:rPr>
                      <w:rFonts w:hint="eastAsia"/>
                      <w:szCs w:val="21"/>
                    </w:rPr>
                    <w:t>变压器一台。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widowControl/>
                    <w:adjustRightInd w:val="0"/>
                    <w:jc w:val="center"/>
                    <w:rPr>
                      <w:szCs w:val="21"/>
                    </w:rPr>
                  </w:pPr>
                  <w:r>
                    <w:rPr>
                      <w:rFonts w:hint="eastAsia"/>
                      <w:szCs w:val="21"/>
                    </w:rPr>
                    <w:t>供水</w:t>
                  </w:r>
                </w:p>
              </w:tc>
              <w:tc>
                <w:tcPr>
                  <w:tcW w:w="3346" w:type="pct"/>
                  <w:vAlign w:val="center"/>
                </w:tcPr>
                <w:p>
                  <w:pPr>
                    <w:widowControl/>
                    <w:adjustRightInd w:val="0"/>
                    <w:jc w:val="center"/>
                    <w:rPr>
                      <w:szCs w:val="21"/>
                    </w:rPr>
                  </w:pPr>
                  <w:r>
                    <w:rPr>
                      <w:rFonts w:hint="eastAsia"/>
                      <w:bCs/>
                      <w:szCs w:val="21"/>
                    </w:rPr>
                    <w:t>由园区供水管网直接供给。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widowControl/>
                    <w:adjustRightInd w:val="0"/>
                    <w:jc w:val="center"/>
                    <w:rPr>
                      <w:szCs w:val="21"/>
                    </w:rPr>
                  </w:pPr>
                  <w:r>
                    <w:rPr>
                      <w:rFonts w:hint="eastAsia"/>
                      <w:szCs w:val="21"/>
                    </w:rPr>
                    <w:t>排水</w:t>
                  </w:r>
                </w:p>
              </w:tc>
              <w:tc>
                <w:tcPr>
                  <w:tcW w:w="3346" w:type="pct"/>
                  <w:vAlign w:val="center"/>
                </w:tcPr>
                <w:p>
                  <w:pPr>
                    <w:widowControl/>
                    <w:adjustRightInd w:val="0"/>
                    <w:jc w:val="center"/>
                    <w:rPr>
                      <w:szCs w:val="21"/>
                    </w:rPr>
                  </w:pPr>
                  <w:r>
                    <w:rPr>
                      <w:rFonts w:hint="eastAsia"/>
                      <w:szCs w:val="21"/>
                    </w:rPr>
                    <w:t>项目内实行雨污分流，雨水经收集后排入园区雨水管网；生产废水和生活污水经中水处理站处理后，回用于项目内冲厕及冷却用水，不外排。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widowControl/>
                    <w:adjustRightInd w:val="0"/>
                    <w:jc w:val="center"/>
                    <w:rPr>
                      <w:szCs w:val="21"/>
                    </w:rPr>
                  </w:pPr>
                  <w:r>
                    <w:rPr>
                      <w:rFonts w:hint="eastAsia"/>
                      <w:szCs w:val="21"/>
                    </w:rPr>
                    <w:t>供热</w:t>
                  </w:r>
                </w:p>
              </w:tc>
              <w:tc>
                <w:tcPr>
                  <w:tcW w:w="3346" w:type="pct"/>
                  <w:vAlign w:val="center"/>
                </w:tcPr>
                <w:p>
                  <w:pPr>
                    <w:widowControl/>
                    <w:adjustRightInd w:val="0"/>
                    <w:jc w:val="center"/>
                    <w:rPr>
                      <w:szCs w:val="21"/>
                    </w:rPr>
                  </w:pPr>
                  <w:r>
                    <w:rPr>
                      <w:rFonts w:hint="eastAsia"/>
                      <w:szCs w:val="21"/>
                    </w:rPr>
                    <w:t>生产用热来自1台</w:t>
                  </w:r>
                  <w:r>
                    <w:rPr>
                      <w:szCs w:val="21"/>
                    </w:rPr>
                    <w:t>7t/h</w:t>
                  </w:r>
                  <w:r>
                    <w:rPr>
                      <w:rFonts w:hint="eastAsia"/>
                      <w:szCs w:val="21"/>
                    </w:rPr>
                    <w:t>导热油锅炉；生活供热及其他生产设备采用电能。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restart"/>
                  <w:vAlign w:val="center"/>
                </w:tcPr>
                <w:p>
                  <w:pPr>
                    <w:widowControl/>
                    <w:adjustRightInd w:val="0"/>
                    <w:jc w:val="center"/>
                    <w:rPr>
                      <w:szCs w:val="21"/>
                    </w:rPr>
                  </w:pPr>
                  <w:r>
                    <w:rPr>
                      <w:rFonts w:hint="eastAsia"/>
                      <w:szCs w:val="21"/>
                    </w:rPr>
                    <w:t>环保</w:t>
                  </w:r>
                </w:p>
                <w:p>
                  <w:pPr>
                    <w:widowControl/>
                    <w:adjustRightInd w:val="0"/>
                    <w:jc w:val="center"/>
                    <w:rPr>
                      <w:szCs w:val="21"/>
                    </w:rPr>
                  </w:pPr>
                  <w:r>
                    <w:rPr>
                      <w:rFonts w:hint="eastAsia"/>
                      <w:szCs w:val="21"/>
                    </w:rPr>
                    <w:t>工程</w:t>
                  </w:r>
                </w:p>
              </w:tc>
              <w:tc>
                <w:tcPr>
                  <w:tcW w:w="348" w:type="pct"/>
                  <w:vMerge w:val="restart"/>
                  <w:vAlign w:val="center"/>
                </w:tcPr>
                <w:p>
                  <w:pPr>
                    <w:widowControl/>
                    <w:adjustRightInd w:val="0"/>
                    <w:jc w:val="center"/>
                    <w:rPr>
                      <w:szCs w:val="21"/>
                    </w:rPr>
                  </w:pPr>
                  <w:r>
                    <w:rPr>
                      <w:rFonts w:hint="eastAsia"/>
                      <w:szCs w:val="21"/>
                    </w:rPr>
                    <w:t>废水处理设施</w:t>
                  </w:r>
                </w:p>
              </w:tc>
              <w:tc>
                <w:tcPr>
                  <w:tcW w:w="869" w:type="pct"/>
                  <w:vAlign w:val="center"/>
                </w:tcPr>
                <w:p>
                  <w:pPr>
                    <w:widowControl/>
                    <w:adjustRightInd w:val="0"/>
                    <w:jc w:val="center"/>
                    <w:rPr>
                      <w:szCs w:val="21"/>
                    </w:rPr>
                  </w:pPr>
                  <w:r>
                    <w:rPr>
                      <w:rFonts w:hint="eastAsia"/>
                      <w:szCs w:val="21"/>
                    </w:rPr>
                    <w:t>废水收集池</w:t>
                  </w:r>
                </w:p>
              </w:tc>
              <w:tc>
                <w:tcPr>
                  <w:tcW w:w="3346" w:type="pct"/>
                  <w:vAlign w:val="center"/>
                </w:tcPr>
                <w:p>
                  <w:pPr>
                    <w:widowControl/>
                    <w:adjustRightInd w:val="0"/>
                    <w:jc w:val="center"/>
                    <w:rPr>
                      <w:szCs w:val="21"/>
                    </w:rPr>
                  </w:pPr>
                  <w:r>
                    <w:rPr>
                      <w:rFonts w:hint="eastAsia"/>
                      <w:szCs w:val="21"/>
                    </w:rPr>
                    <w:t>在项目东北侧卫生间南侧旁建设一个容积为50m</w:t>
                  </w:r>
                  <w:r>
                    <w:rPr>
                      <w:rFonts w:hint="eastAsia"/>
                      <w:szCs w:val="21"/>
                      <w:vertAlign w:val="superscript"/>
                    </w:rPr>
                    <w:t>3</w:t>
                  </w:r>
                  <w:r>
                    <w:rPr>
                      <w:rFonts w:hint="eastAsia"/>
                      <w:szCs w:val="21"/>
                    </w:rPr>
                    <w:t>的废水收集池，用于收集初期雨水、生产废水（主要是制胶地面清洁水）和生活污水，该废水收集池起到调节水量和水质的作用。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中水处理站</w:t>
                  </w:r>
                </w:p>
              </w:tc>
              <w:tc>
                <w:tcPr>
                  <w:tcW w:w="3346" w:type="pct"/>
                  <w:vAlign w:val="center"/>
                </w:tcPr>
                <w:p>
                  <w:pPr>
                    <w:widowControl/>
                    <w:adjustRightInd w:val="0"/>
                    <w:jc w:val="center"/>
                    <w:rPr>
                      <w:szCs w:val="21"/>
                    </w:rPr>
                  </w:pPr>
                  <w:r>
                    <w:rPr>
                      <w:rFonts w:hint="eastAsia"/>
                      <w:szCs w:val="21"/>
                    </w:rPr>
                    <w:t>用于处理项目内产生的生产废水和生活污水，位于项目东南角，设计规模为10m</w:t>
                  </w:r>
                  <w:r>
                    <w:rPr>
                      <w:rFonts w:hint="eastAsia"/>
                      <w:szCs w:val="21"/>
                      <w:vertAlign w:val="superscript"/>
                    </w:rPr>
                    <w:t>3</w:t>
                  </w:r>
                  <w:r>
                    <w:rPr>
                      <w:rFonts w:hint="eastAsia"/>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蓄水池（消防水池）</w:t>
                  </w:r>
                </w:p>
              </w:tc>
              <w:tc>
                <w:tcPr>
                  <w:tcW w:w="3346" w:type="pct"/>
                  <w:vAlign w:val="center"/>
                </w:tcPr>
                <w:p>
                  <w:pPr>
                    <w:widowControl/>
                    <w:adjustRightInd w:val="0"/>
                    <w:jc w:val="center"/>
                    <w:rPr>
                      <w:szCs w:val="21"/>
                    </w:rPr>
                  </w:pPr>
                  <w:r>
                    <w:rPr>
                      <w:rFonts w:hint="eastAsia"/>
                      <w:szCs w:val="21"/>
                    </w:rPr>
                    <w:t>项目区南侧后勤用房东边，容积250m</w:t>
                  </w:r>
                  <w:r>
                    <w:rPr>
                      <w:rFonts w:hint="eastAsia"/>
                      <w:szCs w:val="21"/>
                      <w:vertAlign w:val="superscript"/>
                    </w:rPr>
                    <w:t>3</w:t>
                  </w:r>
                  <w:r>
                    <w:rPr>
                      <w:rFonts w:hint="eastAsia"/>
                      <w:szCs w:val="21"/>
                    </w:rPr>
                    <w:t>的蓄水池（兼做消防水池），消防水罐3个。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restart"/>
                  <w:vAlign w:val="center"/>
                </w:tcPr>
                <w:p>
                  <w:pPr>
                    <w:widowControl/>
                    <w:adjustRightInd w:val="0"/>
                    <w:jc w:val="center"/>
                    <w:rPr>
                      <w:szCs w:val="21"/>
                    </w:rPr>
                  </w:pPr>
                  <w:r>
                    <w:rPr>
                      <w:rFonts w:hint="eastAsia"/>
                      <w:szCs w:val="21"/>
                    </w:rPr>
                    <w:t>废气处理设施</w:t>
                  </w:r>
                </w:p>
              </w:tc>
              <w:tc>
                <w:tcPr>
                  <w:tcW w:w="869" w:type="pct"/>
                  <w:vAlign w:val="center"/>
                </w:tcPr>
                <w:p>
                  <w:pPr>
                    <w:widowControl/>
                    <w:adjustRightInd w:val="0"/>
                    <w:jc w:val="center"/>
                    <w:rPr>
                      <w:szCs w:val="21"/>
                    </w:rPr>
                  </w:pPr>
                  <w:r>
                    <w:rPr>
                      <w:rFonts w:hint="eastAsia"/>
                      <w:szCs w:val="21"/>
                    </w:rPr>
                    <w:t>7t</w:t>
                  </w:r>
                  <w:r>
                    <w:rPr>
                      <w:szCs w:val="21"/>
                    </w:rPr>
                    <w:t>/h</w:t>
                  </w:r>
                  <w:r>
                    <w:rPr>
                      <w:rFonts w:hint="eastAsia"/>
                      <w:szCs w:val="21"/>
                    </w:rPr>
                    <w:t>导热油锅炉废气</w:t>
                  </w:r>
                </w:p>
              </w:tc>
              <w:tc>
                <w:tcPr>
                  <w:tcW w:w="3346" w:type="pct"/>
                  <w:vAlign w:val="center"/>
                </w:tcPr>
                <w:p>
                  <w:pPr>
                    <w:widowControl/>
                    <w:adjustRightInd w:val="0"/>
                    <w:jc w:val="center"/>
                    <w:rPr>
                      <w:szCs w:val="21"/>
                    </w:rPr>
                  </w:pPr>
                  <w:r>
                    <w:rPr>
                      <w:rFonts w:hint="eastAsia"/>
                      <w:szCs w:val="21"/>
                    </w:rPr>
                    <w:t>1套多管旋风除尘器，后通过一根烟囱（DA007）排放，高度35m。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刨片工段粉尘</w:t>
                  </w:r>
                </w:p>
              </w:tc>
              <w:tc>
                <w:tcPr>
                  <w:tcW w:w="3346" w:type="pct"/>
                  <w:vAlign w:val="center"/>
                </w:tcPr>
                <w:p>
                  <w:pPr>
                    <w:widowControl/>
                    <w:adjustRightInd w:val="0"/>
                    <w:jc w:val="center"/>
                    <w:rPr>
                      <w:szCs w:val="21"/>
                    </w:rPr>
                  </w:pPr>
                  <w:r>
                    <w:rPr>
                      <w:rFonts w:hint="eastAsia"/>
                      <w:szCs w:val="21"/>
                    </w:rPr>
                    <w:t>1套旋风除尘器收集处理后经过一根15m高排气筒（DA008）排放；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刨花干燥工序废气</w:t>
                  </w:r>
                </w:p>
              </w:tc>
              <w:tc>
                <w:tcPr>
                  <w:tcW w:w="3346" w:type="pct"/>
                  <w:vAlign w:val="center"/>
                </w:tcPr>
                <w:p>
                  <w:pPr>
                    <w:widowControl/>
                    <w:adjustRightInd w:val="0"/>
                    <w:jc w:val="center"/>
                    <w:rPr>
                      <w:szCs w:val="21"/>
                    </w:rPr>
                  </w:pPr>
                  <w:r>
                    <w:rPr>
                      <w:rFonts w:hint="eastAsia"/>
                      <w:szCs w:val="21"/>
                    </w:rPr>
                    <w:t>1套旋风除尘器处理后经过同一根15m高排气筒（DA009）排放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铺装、齐边、锯边工段废气</w:t>
                  </w:r>
                </w:p>
              </w:tc>
              <w:tc>
                <w:tcPr>
                  <w:tcW w:w="3346" w:type="pct"/>
                  <w:vAlign w:val="center"/>
                </w:tcPr>
                <w:p>
                  <w:pPr>
                    <w:widowControl/>
                    <w:adjustRightInd w:val="0"/>
                    <w:jc w:val="center"/>
                    <w:rPr>
                      <w:szCs w:val="21"/>
                    </w:rPr>
                  </w:pPr>
                  <w:r>
                    <w:rPr>
                      <w:rFonts w:hint="eastAsia"/>
                      <w:szCs w:val="21"/>
                    </w:rPr>
                    <w:t>1套旋风除尘器处理后，通过同一根排气筒（DA010）排放，排气筒高度为15m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热压、凉板工段废气</w:t>
                  </w:r>
                </w:p>
              </w:tc>
              <w:tc>
                <w:tcPr>
                  <w:tcW w:w="3346" w:type="pct"/>
                  <w:vAlign w:val="center"/>
                </w:tcPr>
                <w:p>
                  <w:pPr>
                    <w:widowControl/>
                    <w:adjustRightInd w:val="0"/>
                    <w:jc w:val="center"/>
                    <w:rPr>
                      <w:szCs w:val="21"/>
                    </w:rPr>
                  </w:pPr>
                  <w:r>
                    <w:rPr>
                      <w:rFonts w:hint="eastAsia"/>
                      <w:szCs w:val="21"/>
                    </w:rPr>
                    <w:t>2套集气罩收集后，通过一根15m高排气筒（DA011）排放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筛选工序废气</w:t>
                  </w:r>
                </w:p>
              </w:tc>
              <w:tc>
                <w:tcPr>
                  <w:tcW w:w="3346" w:type="pct"/>
                  <w:vAlign w:val="center"/>
                </w:tcPr>
                <w:p>
                  <w:pPr>
                    <w:widowControl/>
                    <w:adjustRightInd w:val="0"/>
                    <w:jc w:val="center"/>
                    <w:rPr>
                      <w:szCs w:val="21"/>
                    </w:rPr>
                  </w:pPr>
                  <w:r>
                    <w:rPr>
                      <w:rFonts w:hint="eastAsia"/>
                      <w:szCs w:val="21"/>
                    </w:rPr>
                    <w:t>2台筛分机共用一套旋风除尘处理后，颗粒物呈无组织形式排放；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打磨工序废气</w:t>
                  </w:r>
                </w:p>
              </w:tc>
              <w:tc>
                <w:tcPr>
                  <w:tcW w:w="3346" w:type="pct"/>
                  <w:vAlign w:val="center"/>
                </w:tcPr>
                <w:p>
                  <w:pPr>
                    <w:widowControl/>
                    <w:adjustRightInd w:val="0"/>
                    <w:jc w:val="center"/>
                    <w:rPr>
                      <w:szCs w:val="21"/>
                    </w:rPr>
                  </w:pPr>
                  <w:r>
                    <w:rPr>
                      <w:rFonts w:hint="eastAsia"/>
                      <w:szCs w:val="21"/>
                    </w:rPr>
                    <w:t>2台打磨机处分别设置一套旋风除尘，经除尘装置处理后的颗粒物呈无组织形式排放；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砂光工段废气</w:t>
                  </w:r>
                </w:p>
              </w:tc>
              <w:tc>
                <w:tcPr>
                  <w:tcW w:w="3346" w:type="pct"/>
                  <w:vAlign w:val="center"/>
                </w:tcPr>
                <w:p>
                  <w:pPr>
                    <w:widowControl/>
                    <w:adjustRightInd w:val="0"/>
                    <w:jc w:val="center"/>
                    <w:rPr>
                      <w:szCs w:val="21"/>
                    </w:rPr>
                  </w:pPr>
                  <w:r>
                    <w:rPr>
                      <w:rFonts w:hint="eastAsia"/>
                      <w:szCs w:val="21"/>
                    </w:rPr>
                    <w:t>1套旋风除尘+布袋除尘装置，旋风除尘器处理后的砂光粉经粉仓收集后用作导热油锅炉的燃料，经除尘装置处理后的颗粒物呈无组织形式排放；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restart"/>
                  <w:vAlign w:val="center"/>
                </w:tcPr>
                <w:p>
                  <w:pPr>
                    <w:widowControl/>
                    <w:adjustRightInd w:val="0"/>
                    <w:jc w:val="center"/>
                    <w:rPr>
                      <w:szCs w:val="21"/>
                    </w:rPr>
                  </w:pPr>
                  <w:r>
                    <w:rPr>
                      <w:rFonts w:hint="eastAsia"/>
                      <w:szCs w:val="21"/>
                    </w:rPr>
                    <w:t>固体</w:t>
                  </w:r>
                </w:p>
                <w:p>
                  <w:pPr>
                    <w:widowControl/>
                    <w:adjustRightInd w:val="0"/>
                    <w:jc w:val="center"/>
                    <w:rPr>
                      <w:szCs w:val="21"/>
                    </w:rPr>
                  </w:pPr>
                  <w:r>
                    <w:rPr>
                      <w:rFonts w:hint="eastAsia"/>
                      <w:szCs w:val="21"/>
                    </w:rPr>
                    <w:t>废物</w:t>
                  </w:r>
                </w:p>
              </w:tc>
              <w:tc>
                <w:tcPr>
                  <w:tcW w:w="869" w:type="pct"/>
                  <w:vAlign w:val="center"/>
                </w:tcPr>
                <w:p>
                  <w:pPr>
                    <w:widowControl/>
                    <w:adjustRightInd w:val="0"/>
                    <w:jc w:val="center"/>
                    <w:rPr>
                      <w:szCs w:val="21"/>
                    </w:rPr>
                  </w:pPr>
                  <w:r>
                    <w:rPr>
                      <w:rFonts w:hint="eastAsia"/>
                      <w:szCs w:val="21"/>
                    </w:rPr>
                    <w:t>生活垃圾桶</w:t>
                  </w:r>
                </w:p>
              </w:tc>
              <w:tc>
                <w:tcPr>
                  <w:tcW w:w="3346" w:type="pct"/>
                  <w:vAlign w:val="center"/>
                </w:tcPr>
                <w:p>
                  <w:pPr>
                    <w:widowControl/>
                    <w:adjustRightInd w:val="0"/>
                    <w:jc w:val="center"/>
                    <w:rPr>
                      <w:szCs w:val="21"/>
                    </w:rPr>
                  </w:pPr>
                  <w:r>
                    <w:rPr>
                      <w:rFonts w:hint="eastAsia"/>
                      <w:szCs w:val="21"/>
                    </w:rPr>
                    <w:t>位于后勤用房内，收集项目内产生的生活垃圾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一般固废暂存区</w:t>
                  </w:r>
                </w:p>
              </w:tc>
              <w:tc>
                <w:tcPr>
                  <w:tcW w:w="3346" w:type="pct"/>
                  <w:vAlign w:val="center"/>
                </w:tcPr>
                <w:p>
                  <w:pPr>
                    <w:widowControl/>
                    <w:adjustRightInd w:val="0"/>
                    <w:jc w:val="center"/>
                    <w:rPr>
                      <w:szCs w:val="21"/>
                    </w:rPr>
                  </w:pPr>
                  <w:r>
                    <w:rPr>
                      <w:rFonts w:hint="eastAsia"/>
                      <w:szCs w:val="21"/>
                    </w:rPr>
                    <w:t>位于项目区北侧，占地面积10m</w:t>
                  </w:r>
                  <w:r>
                    <w:rPr>
                      <w:rFonts w:hint="eastAsia"/>
                      <w:szCs w:val="21"/>
                      <w:vertAlign w:val="superscript"/>
                    </w:rPr>
                    <w:t>2</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348" w:type="pct"/>
                  <w:vMerge w:val="continue"/>
                  <w:vAlign w:val="center"/>
                </w:tcPr>
                <w:p>
                  <w:pPr>
                    <w:widowControl/>
                    <w:adjustRightInd w:val="0"/>
                    <w:jc w:val="center"/>
                    <w:rPr>
                      <w:szCs w:val="21"/>
                    </w:rPr>
                  </w:pPr>
                </w:p>
              </w:tc>
              <w:tc>
                <w:tcPr>
                  <w:tcW w:w="869" w:type="pct"/>
                  <w:vAlign w:val="center"/>
                </w:tcPr>
                <w:p>
                  <w:pPr>
                    <w:widowControl/>
                    <w:adjustRightInd w:val="0"/>
                    <w:jc w:val="center"/>
                    <w:rPr>
                      <w:szCs w:val="21"/>
                    </w:rPr>
                  </w:pPr>
                  <w:r>
                    <w:rPr>
                      <w:rFonts w:hint="eastAsia"/>
                      <w:szCs w:val="21"/>
                    </w:rPr>
                    <w:t>危废暂存间</w:t>
                  </w:r>
                </w:p>
              </w:tc>
              <w:tc>
                <w:tcPr>
                  <w:tcW w:w="3346" w:type="pct"/>
                  <w:vAlign w:val="center"/>
                </w:tcPr>
                <w:p>
                  <w:pPr>
                    <w:widowControl/>
                    <w:adjustRightInd w:val="0"/>
                    <w:jc w:val="center"/>
                    <w:rPr>
                      <w:szCs w:val="21"/>
                    </w:rPr>
                  </w:pPr>
                  <w:r>
                    <w:rPr>
                      <w:rFonts w:hint="eastAsia"/>
                      <w:szCs w:val="21"/>
                    </w:rPr>
                    <w:t>位于项目区北侧，占地面积5m</w:t>
                  </w:r>
                  <w:r>
                    <w:rPr>
                      <w:rFonts w:hint="eastAsia"/>
                      <w:szCs w:val="21"/>
                      <w:vertAlign w:val="superscript"/>
                    </w:rPr>
                    <w:t>2</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37" w:type="pct"/>
                  <w:vMerge w:val="continue"/>
                  <w:vAlign w:val="center"/>
                </w:tcPr>
                <w:p>
                  <w:pPr>
                    <w:widowControl/>
                    <w:adjustRightInd w:val="0"/>
                    <w:jc w:val="center"/>
                    <w:rPr>
                      <w:szCs w:val="21"/>
                    </w:rPr>
                  </w:pPr>
                </w:p>
              </w:tc>
              <w:tc>
                <w:tcPr>
                  <w:tcW w:w="1217" w:type="pct"/>
                  <w:gridSpan w:val="2"/>
                  <w:vAlign w:val="center"/>
                </w:tcPr>
                <w:p>
                  <w:pPr>
                    <w:widowControl/>
                    <w:adjustRightInd w:val="0"/>
                    <w:jc w:val="center"/>
                    <w:rPr>
                      <w:szCs w:val="21"/>
                    </w:rPr>
                  </w:pPr>
                  <w:r>
                    <w:rPr>
                      <w:rFonts w:hint="eastAsia"/>
                      <w:szCs w:val="21"/>
                    </w:rPr>
                    <w:t>绿化</w:t>
                  </w:r>
                </w:p>
              </w:tc>
              <w:tc>
                <w:tcPr>
                  <w:tcW w:w="3346" w:type="pct"/>
                  <w:vAlign w:val="center"/>
                </w:tcPr>
                <w:p>
                  <w:pPr>
                    <w:widowControl/>
                    <w:adjustRightInd w:val="0"/>
                    <w:jc w:val="center"/>
                    <w:rPr>
                      <w:szCs w:val="21"/>
                    </w:rPr>
                  </w:pPr>
                  <w:r>
                    <w:rPr>
                      <w:rFonts w:hint="eastAsia"/>
                      <w:szCs w:val="21"/>
                    </w:rPr>
                    <w:t>沿项目边界、后勤用房、停车场周围设置绿化带，绿化面积100m</w:t>
                  </w:r>
                  <w:r>
                    <w:rPr>
                      <w:rFonts w:hint="eastAsia"/>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1654" w:type="pct"/>
                  <w:gridSpan w:val="3"/>
                  <w:vAlign w:val="center"/>
                </w:tcPr>
                <w:p>
                  <w:pPr>
                    <w:widowControl/>
                    <w:adjustRightInd w:val="0"/>
                    <w:jc w:val="center"/>
                    <w:rPr>
                      <w:szCs w:val="21"/>
                    </w:rPr>
                  </w:pPr>
                  <w:r>
                    <w:rPr>
                      <w:rFonts w:hint="eastAsia"/>
                      <w:szCs w:val="21"/>
                    </w:rPr>
                    <w:t>环境风险</w:t>
                  </w:r>
                </w:p>
              </w:tc>
              <w:tc>
                <w:tcPr>
                  <w:tcW w:w="3346" w:type="pct"/>
                  <w:vAlign w:val="center"/>
                </w:tcPr>
                <w:p>
                  <w:pPr>
                    <w:widowControl/>
                    <w:adjustRightInd w:val="0"/>
                    <w:jc w:val="center"/>
                    <w:rPr>
                      <w:szCs w:val="21"/>
                    </w:rPr>
                  </w:pPr>
                  <w:r>
                    <w:rPr>
                      <w:rFonts w:hint="eastAsia"/>
                      <w:szCs w:val="21"/>
                    </w:rPr>
                    <w:t>①项目甲醛储罐</w:t>
                  </w:r>
                  <w:r>
                    <w:rPr>
                      <w:szCs w:val="21"/>
                    </w:rPr>
                    <w:t>四周</w:t>
                  </w:r>
                  <w:r>
                    <w:rPr>
                      <w:rFonts w:hint="eastAsia"/>
                      <w:szCs w:val="21"/>
                    </w:rPr>
                    <w:t>已</w:t>
                  </w:r>
                  <w:r>
                    <w:rPr>
                      <w:szCs w:val="21"/>
                    </w:rPr>
                    <w:t>设置围堰65</w:t>
                  </w:r>
                  <w:r>
                    <w:rPr>
                      <w:rFonts w:hint="eastAsia"/>
                      <w:szCs w:val="21"/>
                    </w:rPr>
                    <w:t>m</w:t>
                  </w:r>
                  <w:r>
                    <w:rPr>
                      <w:szCs w:val="21"/>
                      <w:vertAlign w:val="superscript"/>
                    </w:rPr>
                    <w:t>3</w:t>
                  </w:r>
                  <w:r>
                    <w:rPr>
                      <w:szCs w:val="21"/>
                    </w:rPr>
                    <w:t>，</w:t>
                  </w:r>
                  <w:r>
                    <w:rPr>
                      <w:rFonts w:hint="eastAsia"/>
                      <w:szCs w:val="21"/>
                    </w:rPr>
                    <w:t>并</w:t>
                  </w:r>
                  <w:r>
                    <w:rPr>
                      <w:szCs w:val="21"/>
                    </w:rPr>
                    <w:t>配备备用</w:t>
                  </w:r>
                  <w:r>
                    <w:rPr>
                      <w:rFonts w:hint="eastAsia"/>
                      <w:szCs w:val="21"/>
                    </w:rPr>
                    <w:t>应急池（容积7</w:t>
                  </w:r>
                  <w:r>
                    <w:rPr>
                      <w:szCs w:val="21"/>
                    </w:rPr>
                    <w:t>5m</w:t>
                  </w:r>
                  <w:r>
                    <w:rPr>
                      <w:szCs w:val="21"/>
                      <w:vertAlign w:val="superscript"/>
                    </w:rPr>
                    <w:t>3</w:t>
                  </w:r>
                  <w:r>
                    <w:rPr>
                      <w:rFonts w:hint="eastAsia"/>
                      <w:szCs w:val="21"/>
                    </w:rPr>
                    <w:t>）</w:t>
                  </w:r>
                  <w:r>
                    <w:rPr>
                      <w:szCs w:val="21"/>
                    </w:rPr>
                    <w:t>作为甲醛事故泄露的倒罐使用</w:t>
                  </w:r>
                  <w:r>
                    <w:rPr>
                      <w:rFonts w:hint="eastAsia"/>
                      <w:szCs w:val="21"/>
                    </w:rPr>
                    <w:t>。</w:t>
                  </w:r>
                </w:p>
                <w:p>
                  <w:pPr>
                    <w:widowControl/>
                    <w:adjustRightInd w:val="0"/>
                    <w:jc w:val="center"/>
                    <w:rPr>
                      <w:szCs w:val="20"/>
                    </w:rPr>
                  </w:pPr>
                  <w:r>
                    <w:rPr>
                      <w:rFonts w:hint="eastAsia"/>
                      <w:szCs w:val="21"/>
                    </w:rPr>
                    <w:t>②项目区已设置1个8</w:t>
                  </w:r>
                  <w:r>
                    <w:rPr>
                      <w:szCs w:val="21"/>
                    </w:rPr>
                    <w:t>0m</w:t>
                  </w:r>
                  <w:r>
                    <w:rPr>
                      <w:szCs w:val="21"/>
                      <w:vertAlign w:val="superscript"/>
                    </w:rPr>
                    <w:t>3</w:t>
                  </w:r>
                  <w:r>
                    <w:rPr>
                      <w:rFonts w:hint="eastAsia"/>
                      <w:szCs w:val="21"/>
                    </w:rPr>
                    <w:t>事故水池及4个3</w:t>
                  </w:r>
                  <w:r>
                    <w:rPr>
                      <w:szCs w:val="21"/>
                    </w:rPr>
                    <w:t>0m</w:t>
                  </w:r>
                  <w:r>
                    <w:rPr>
                      <w:szCs w:val="21"/>
                      <w:vertAlign w:val="superscript"/>
                    </w:rPr>
                    <w:t>3</w:t>
                  </w:r>
                  <w:r>
                    <w:rPr>
                      <w:rFonts w:hint="eastAsia"/>
                      <w:szCs w:val="21"/>
                    </w:rPr>
                    <w:t>事故水罐收集事故废水</w:t>
                  </w:r>
                  <w:r>
                    <w:rPr>
                      <w:szCs w:val="21"/>
                    </w:rPr>
                    <w:t>。</w:t>
                  </w:r>
                </w:p>
              </w:tc>
            </w:tr>
          </w:tbl>
          <w:p>
            <w:pPr>
              <w:adjustRightInd w:val="0"/>
              <w:spacing w:before="120" w:beforeLines="50" w:line="360" w:lineRule="auto"/>
              <w:ind w:firstLine="482" w:firstLineChars="200"/>
              <w:jc w:val="left"/>
              <w:rPr>
                <w:b/>
                <w:sz w:val="24"/>
                <w:szCs w:val="21"/>
              </w:rPr>
            </w:pPr>
            <w:r>
              <w:rPr>
                <w:rFonts w:hint="eastAsia"/>
                <w:b/>
                <w:sz w:val="24"/>
                <w:szCs w:val="21"/>
              </w:rPr>
              <w:t>2、现有项目生产工艺及产污节点</w:t>
            </w:r>
          </w:p>
          <w:p>
            <w:pPr>
              <w:adjustRightInd w:val="0"/>
              <w:spacing w:line="360" w:lineRule="auto"/>
              <w:ind w:firstLine="482" w:firstLineChars="200"/>
              <w:rPr>
                <w:b/>
                <w:sz w:val="24"/>
                <w:szCs w:val="21"/>
              </w:rPr>
            </w:pPr>
            <w:r>
              <w:rPr>
                <w:rFonts w:hint="eastAsia"/>
                <w:b/>
                <w:sz w:val="24"/>
                <w:szCs w:val="21"/>
              </w:rPr>
              <w:t>（1）刨花板生产工艺流程及产污节点</w:t>
            </w:r>
          </w:p>
          <w:p>
            <w:pPr>
              <w:autoSpaceDE w:val="0"/>
              <w:autoSpaceDN w:val="0"/>
              <w:spacing w:line="360" w:lineRule="auto"/>
              <w:ind w:firstLine="482" w:firstLineChars="200"/>
              <w:rPr>
                <w:b/>
                <w:sz w:val="24"/>
                <w:szCs w:val="21"/>
              </w:rPr>
            </w:pPr>
            <w:r>
              <w:rPr>
                <w:rFonts w:hint="eastAsia"/>
                <w:b/>
                <w:sz w:val="24"/>
                <w:szCs w:val="21"/>
              </w:rPr>
              <w:t>刨花板生产工艺流程简述：</w:t>
            </w:r>
          </w:p>
          <w:p>
            <w:pPr>
              <w:autoSpaceDE w:val="0"/>
              <w:autoSpaceDN w:val="0"/>
              <w:spacing w:line="360" w:lineRule="auto"/>
              <w:ind w:firstLine="482" w:firstLineChars="200"/>
              <w:rPr>
                <w:rFonts w:ascii="宋体" w:hAnsi="宋体"/>
                <w:sz w:val="24"/>
              </w:rPr>
            </w:pPr>
            <w:r>
              <w:rPr>
                <w:rFonts w:hint="eastAsia" w:ascii="宋体" w:hAnsi="宋体"/>
                <w:b/>
                <w:sz w:val="24"/>
              </w:rPr>
              <w:t>削片：</w:t>
            </w:r>
            <w:r>
              <w:rPr>
                <w:rFonts w:hint="eastAsia" w:ascii="宋体" w:hAnsi="宋体"/>
                <w:sz w:val="24"/>
              </w:rPr>
              <w:t>外购进厂的小直径枝丫材经削片机削成木片，通过皮带运输机送至圆筒筛进行筛选，然后经皮带运输机输送至地面堆场区域暂存。在此过程中会有噪声、及细粉、泥沙产生，粉尘呈无组织排放。</w:t>
            </w:r>
          </w:p>
          <w:p>
            <w:pPr>
              <w:autoSpaceDE w:val="0"/>
              <w:autoSpaceDN w:val="0"/>
              <w:spacing w:line="360" w:lineRule="auto"/>
              <w:ind w:firstLine="482" w:firstLineChars="200"/>
              <w:rPr>
                <w:rFonts w:ascii="宋体" w:hAnsi="宋体"/>
                <w:sz w:val="24"/>
              </w:rPr>
            </w:pPr>
            <w:r>
              <w:rPr>
                <w:rFonts w:hint="eastAsia" w:ascii="宋体" w:hAnsi="宋体"/>
                <w:b/>
                <w:sz w:val="24"/>
              </w:rPr>
              <w:t>刨片：</w:t>
            </w:r>
            <w:r>
              <w:rPr>
                <w:rFonts w:hint="eastAsia" w:ascii="宋体" w:hAnsi="宋体"/>
                <w:bCs/>
                <w:sz w:val="24"/>
              </w:rPr>
              <w:t>一部分削制木片运送至粉碎机进行进一步粉碎，一部分削制木片</w:t>
            </w:r>
            <w:r>
              <w:rPr>
                <w:rFonts w:hint="eastAsia" w:ascii="宋体" w:hAnsi="宋体"/>
                <w:sz w:val="24"/>
              </w:rPr>
              <w:t>利用输送带输送至刨片机进一步细化为木刨花，然后利用干燥机干燥。在此过程中会有噪声产生，产生的粉尘通过风机形成负压后，</w:t>
            </w:r>
            <w:r>
              <w:rPr>
                <w:sz w:val="24"/>
              </w:rPr>
              <w:t>采用</w:t>
            </w:r>
            <w:r>
              <w:rPr>
                <w:rFonts w:hint="eastAsia"/>
                <w:sz w:val="24"/>
              </w:rPr>
              <w:t>“</w:t>
            </w:r>
            <w:r>
              <w:rPr>
                <w:sz w:val="24"/>
              </w:rPr>
              <w:t>旋风除尘器</w:t>
            </w:r>
            <w:r>
              <w:rPr>
                <w:rFonts w:hint="eastAsia"/>
                <w:sz w:val="24"/>
              </w:rPr>
              <w:t>”</w:t>
            </w:r>
            <w:r>
              <w:rPr>
                <w:sz w:val="24"/>
              </w:rPr>
              <w:t>除尘后通过15m高排气筒（DA008）排放</w:t>
            </w:r>
            <w:r>
              <w:rPr>
                <w:rFonts w:hint="eastAsia" w:ascii="宋体" w:hAnsi="宋体"/>
                <w:sz w:val="24"/>
              </w:rPr>
              <w:t>。</w:t>
            </w:r>
          </w:p>
          <w:p>
            <w:pPr>
              <w:autoSpaceDE w:val="0"/>
              <w:autoSpaceDN w:val="0"/>
              <w:spacing w:line="360" w:lineRule="auto"/>
              <w:ind w:firstLine="482" w:firstLineChars="200"/>
              <w:rPr>
                <w:rFonts w:ascii="宋体" w:hAnsi="宋体"/>
                <w:sz w:val="24"/>
              </w:rPr>
            </w:pPr>
            <w:r>
              <w:rPr>
                <w:rFonts w:hint="eastAsia" w:ascii="宋体" w:hAnsi="宋体"/>
                <w:b/>
                <w:sz w:val="24"/>
              </w:rPr>
              <w:t>干燥：</w:t>
            </w:r>
            <w:r>
              <w:rPr>
                <w:rFonts w:hint="eastAsia" w:ascii="宋体" w:hAnsi="宋体"/>
                <w:sz w:val="24"/>
              </w:rPr>
              <w:t>刨片和合格的锯末进行干燥，干燥系统采用转子干燥机进行干燥（非接触式加热）。热源为锅炉加热后的导热油，转子干燥机是密封的，刨花出口处产生的粉尘采用“旋风除尘器”</w:t>
            </w:r>
            <w:r>
              <w:rPr>
                <w:sz w:val="24"/>
              </w:rPr>
              <w:t>处理后通过15m高排气筒（DA009）排放。</w:t>
            </w:r>
          </w:p>
          <w:p>
            <w:pPr>
              <w:autoSpaceDE w:val="0"/>
              <w:autoSpaceDN w:val="0"/>
              <w:spacing w:line="360" w:lineRule="auto"/>
              <w:ind w:firstLine="482" w:firstLineChars="200"/>
              <w:rPr>
                <w:rFonts w:ascii="宋体" w:hAnsi="宋体"/>
                <w:sz w:val="24"/>
              </w:rPr>
            </w:pPr>
            <w:r>
              <w:rPr>
                <w:rFonts w:hint="eastAsia" w:ascii="宋体" w:hAnsi="宋体"/>
                <w:b/>
                <w:sz w:val="24"/>
              </w:rPr>
              <w:t>筛选、打磨：</w:t>
            </w:r>
            <w:r>
              <w:rPr>
                <w:rFonts w:hint="eastAsia" w:ascii="宋体" w:hAnsi="宋体"/>
                <w:sz w:val="24"/>
              </w:rPr>
              <w:t>干燥系统干燥后的刨片和锯末混合物采用振动筛进行分选，大刨花再采用打磨机进行粉碎打磨处理，细刨花进入芯料料仓暂存，面料进入面料料仓暂存。合格的刨片和锯末混合物通过摇筛分为颗粒物直径较小、较细的表层刨花和颗粒物直径较大、较粗的芯层刨花。利用风力输送系统送入料仓。筛选过程是密封的。在此过程中会有噪声产生，产生的粉尘采用“旋风除尘器”处理后呈无组织形式排放。</w:t>
            </w:r>
          </w:p>
          <w:p>
            <w:pPr>
              <w:autoSpaceDE w:val="0"/>
              <w:autoSpaceDN w:val="0"/>
              <w:spacing w:line="360" w:lineRule="auto"/>
              <w:ind w:firstLine="482" w:firstLineChars="200"/>
              <w:rPr>
                <w:rFonts w:ascii="宋体" w:hAnsi="宋体"/>
                <w:sz w:val="24"/>
              </w:rPr>
            </w:pPr>
            <w:r>
              <w:rPr>
                <w:rFonts w:hint="eastAsia" w:ascii="宋体" w:hAnsi="宋体"/>
                <w:b/>
                <w:sz w:val="24"/>
              </w:rPr>
              <w:t>调胶、拌胶：</w:t>
            </w:r>
            <w:r>
              <w:rPr>
                <w:rFonts w:hint="eastAsia" w:ascii="宋体" w:hAnsi="宋体"/>
                <w:sz w:val="24"/>
              </w:rPr>
              <w:t>脲醛树脂胶加入石蜡乳液、固化剂等助剂进行调胶，再按一定的比例分别与表层刨花、芯层刨花均匀拌合。调胶时需对其进行加热，采用导热油对其间接加热。</w:t>
            </w:r>
          </w:p>
          <w:p>
            <w:pPr>
              <w:autoSpaceDE w:val="0"/>
              <w:autoSpaceDN w:val="0"/>
              <w:spacing w:line="360" w:lineRule="auto"/>
              <w:ind w:firstLine="482" w:firstLineChars="200"/>
              <w:rPr>
                <w:sz w:val="24"/>
              </w:rPr>
            </w:pPr>
            <w:r>
              <w:rPr>
                <w:rFonts w:hint="eastAsia" w:ascii="宋体" w:hAnsi="宋体"/>
                <w:b/>
                <w:sz w:val="24"/>
              </w:rPr>
              <w:t>铺装：</w:t>
            </w:r>
            <w:r>
              <w:rPr>
                <w:rFonts w:hint="eastAsia" w:ascii="宋体" w:hAnsi="宋体"/>
                <w:sz w:val="24"/>
              </w:rPr>
              <w:t>经拌胶后的刨花分别通过表层刨花皮带输送机和芯层刨花输送机送至铺装机料仓内，再通过分料器和铺装器按由细到粗，再由粗至细的顺序进行铺装。在此过程中会有噪声产生，</w:t>
            </w:r>
            <w:r>
              <w:rPr>
                <w:sz w:val="24"/>
              </w:rPr>
              <w:t>产生的粉尘采用</w:t>
            </w:r>
            <w:r>
              <w:rPr>
                <w:rFonts w:hint="eastAsia"/>
                <w:sz w:val="24"/>
              </w:rPr>
              <w:t>“</w:t>
            </w:r>
            <w:r>
              <w:rPr>
                <w:sz w:val="24"/>
              </w:rPr>
              <w:t>旋风除尘器</w:t>
            </w:r>
            <w:r>
              <w:rPr>
                <w:rFonts w:hint="eastAsia"/>
                <w:sz w:val="24"/>
              </w:rPr>
              <w:t>”</w:t>
            </w:r>
            <w:r>
              <w:rPr>
                <w:sz w:val="24"/>
              </w:rPr>
              <w:t>除尘后通过15m高排气筒（DA010）排放。</w:t>
            </w:r>
          </w:p>
          <w:p>
            <w:pPr>
              <w:autoSpaceDE w:val="0"/>
              <w:autoSpaceDN w:val="0"/>
              <w:spacing w:line="360" w:lineRule="auto"/>
              <w:ind w:firstLine="482" w:firstLineChars="200"/>
              <w:rPr>
                <w:rFonts w:ascii="宋体" w:hAnsi="宋体"/>
                <w:bCs/>
                <w:sz w:val="24"/>
              </w:rPr>
            </w:pPr>
            <w:r>
              <w:rPr>
                <w:rFonts w:hint="eastAsia" w:ascii="宋体" w:hAnsi="宋体"/>
                <w:b/>
                <w:sz w:val="24"/>
              </w:rPr>
              <w:t>纵横齐边：</w:t>
            </w:r>
            <w:r>
              <w:rPr>
                <w:rFonts w:hint="eastAsia" w:ascii="宋体" w:hAnsi="宋体"/>
                <w:bCs/>
                <w:sz w:val="24"/>
              </w:rPr>
              <w:t>铺装后的板材先进行纵横齐边锯进行齐边。齐边</w:t>
            </w:r>
            <w:r>
              <w:rPr>
                <w:rFonts w:hint="eastAsia" w:ascii="宋体" w:hAnsi="宋体"/>
                <w:sz w:val="24"/>
              </w:rPr>
              <w:t>产生的粉尘与铺装工段采用同一台“旋风除尘器”处理后</w:t>
            </w:r>
            <w:r>
              <w:rPr>
                <w:sz w:val="24"/>
              </w:rPr>
              <w:t>通过15m高排气筒（DA010）排放</w:t>
            </w:r>
            <w:r>
              <w:rPr>
                <w:rFonts w:hint="eastAsia" w:ascii="宋体" w:hAnsi="宋体"/>
                <w:sz w:val="24"/>
              </w:rPr>
              <w:t>。</w:t>
            </w:r>
          </w:p>
          <w:p>
            <w:pPr>
              <w:autoSpaceDE w:val="0"/>
              <w:autoSpaceDN w:val="0"/>
              <w:spacing w:line="360" w:lineRule="auto"/>
              <w:ind w:firstLine="482" w:firstLineChars="200"/>
              <w:rPr>
                <w:rFonts w:ascii="宋体" w:hAnsi="宋体"/>
                <w:sz w:val="24"/>
              </w:rPr>
            </w:pPr>
            <w:r>
              <w:rPr>
                <w:rFonts w:hint="eastAsia" w:ascii="宋体" w:hAnsi="宋体"/>
                <w:b/>
                <w:sz w:val="24"/>
              </w:rPr>
              <w:t>热压：</w:t>
            </w:r>
            <w:r>
              <w:rPr>
                <w:rFonts w:hint="eastAsia" w:ascii="宋体" w:hAnsi="宋体"/>
                <w:sz w:val="24"/>
              </w:rPr>
              <w:t>铺装齐边好的板材通过输送机进入热压机内进行热压，热压过程中使用的热源来自热油产生的热量（经导管非接触式加热）。该过程中会有噪声产生，加热板材所</w:t>
            </w:r>
            <w:r>
              <w:rPr>
                <w:sz w:val="24"/>
              </w:rPr>
              <w:t>产生的少量甲醛废气经2套集气罩收集后，通过一根15m高排气筒</w:t>
            </w:r>
            <w:r>
              <w:rPr>
                <w:rFonts w:hint="eastAsia"/>
                <w:sz w:val="24"/>
              </w:rPr>
              <w:t>（D</w:t>
            </w:r>
            <w:r>
              <w:rPr>
                <w:sz w:val="24"/>
              </w:rPr>
              <w:t>A011</w:t>
            </w:r>
            <w:r>
              <w:rPr>
                <w:rFonts w:hint="eastAsia"/>
                <w:sz w:val="24"/>
              </w:rPr>
              <w:t>）</w:t>
            </w:r>
            <w:r>
              <w:rPr>
                <w:sz w:val="24"/>
              </w:rPr>
              <w:t>排放；热压机由</w:t>
            </w:r>
            <w:r>
              <w:rPr>
                <w:rFonts w:hint="eastAsia"/>
                <w:sz w:val="24"/>
              </w:rPr>
              <w:t>7t</w:t>
            </w:r>
            <w:r>
              <w:rPr>
                <w:sz w:val="24"/>
              </w:rPr>
              <w:t>/h</w:t>
            </w:r>
            <w:r>
              <w:rPr>
                <w:rFonts w:hint="eastAsia"/>
                <w:sz w:val="24"/>
              </w:rPr>
              <w:t>导热油锅炉</w:t>
            </w:r>
            <w:r>
              <w:rPr>
                <w:sz w:val="24"/>
              </w:rPr>
              <w:t>供应热能，锅炉燃烧会产生废气SO</w:t>
            </w:r>
            <w:r>
              <w:rPr>
                <w:sz w:val="24"/>
                <w:vertAlign w:val="subscript"/>
              </w:rPr>
              <w:t>2</w:t>
            </w:r>
            <w:r>
              <w:rPr>
                <w:sz w:val="24"/>
              </w:rPr>
              <w:t>、NO</w:t>
            </w:r>
            <w:r>
              <w:rPr>
                <w:sz w:val="24"/>
                <w:vertAlign w:val="subscript"/>
              </w:rPr>
              <w:t>x</w:t>
            </w:r>
            <w:r>
              <w:rPr>
                <w:sz w:val="24"/>
              </w:rPr>
              <w:t>、及少量烟尘（颗粒物）。</w:t>
            </w:r>
          </w:p>
          <w:p>
            <w:pPr>
              <w:autoSpaceDE w:val="0"/>
              <w:autoSpaceDN w:val="0"/>
              <w:spacing w:line="360" w:lineRule="auto"/>
              <w:ind w:firstLine="482" w:firstLineChars="200"/>
              <w:rPr>
                <w:rFonts w:ascii="宋体" w:hAnsi="宋体"/>
                <w:sz w:val="24"/>
              </w:rPr>
            </w:pPr>
            <w:r>
              <w:rPr>
                <w:rFonts w:hint="eastAsia" w:ascii="宋体" w:hAnsi="宋体"/>
                <w:b/>
                <w:sz w:val="24"/>
              </w:rPr>
              <w:t>凉板：</w:t>
            </w:r>
            <w:r>
              <w:rPr>
                <w:rFonts w:hint="eastAsia" w:ascii="宋体" w:hAnsi="宋体"/>
                <w:sz w:val="24"/>
              </w:rPr>
              <w:t>热压后的板材具有较高的温度，需进行降温处理，主要是采用冷却翻板机进行晾板，该过程中会有噪声产生。另外有少量的甲醛废气产生，通过集气罩收集后，</w:t>
            </w:r>
            <w:r>
              <w:rPr>
                <w:sz w:val="24"/>
              </w:rPr>
              <w:t>通过一根15m高排气筒</w:t>
            </w:r>
            <w:r>
              <w:rPr>
                <w:rFonts w:hint="eastAsia"/>
                <w:sz w:val="24"/>
              </w:rPr>
              <w:t>（D</w:t>
            </w:r>
            <w:r>
              <w:rPr>
                <w:sz w:val="24"/>
              </w:rPr>
              <w:t>A011</w:t>
            </w:r>
            <w:r>
              <w:rPr>
                <w:rFonts w:hint="eastAsia"/>
                <w:sz w:val="24"/>
              </w:rPr>
              <w:t>）</w:t>
            </w:r>
            <w:r>
              <w:rPr>
                <w:sz w:val="24"/>
              </w:rPr>
              <w:t>排放</w:t>
            </w:r>
            <w:r>
              <w:rPr>
                <w:rFonts w:hint="eastAsia" w:ascii="宋体" w:hAnsi="宋体"/>
                <w:sz w:val="24"/>
              </w:rPr>
              <w:t>。</w:t>
            </w:r>
          </w:p>
          <w:p>
            <w:pPr>
              <w:autoSpaceDE w:val="0"/>
              <w:autoSpaceDN w:val="0"/>
              <w:spacing w:line="360" w:lineRule="auto"/>
              <w:ind w:firstLine="482" w:firstLineChars="200"/>
              <w:rPr>
                <w:rFonts w:ascii="宋体" w:hAnsi="宋体"/>
                <w:sz w:val="24"/>
              </w:rPr>
            </w:pPr>
            <w:r>
              <w:rPr>
                <w:rFonts w:hint="eastAsia" w:ascii="宋体" w:hAnsi="宋体"/>
                <w:b/>
                <w:sz w:val="24"/>
              </w:rPr>
              <w:t>纵横锯边：</w:t>
            </w:r>
            <w:r>
              <w:rPr>
                <w:rFonts w:hint="eastAsia" w:ascii="宋体" w:hAnsi="宋体"/>
                <w:sz w:val="24"/>
              </w:rPr>
              <w:t>热压后的刨花板经翻板冷却后，由裁边机等设备进行齐边。产生的粉尘与铺装工段采用同一台“旋风除尘器”处理后</w:t>
            </w:r>
            <w:r>
              <w:rPr>
                <w:sz w:val="24"/>
              </w:rPr>
              <w:t>通过15m高排气筒（DA010）排放</w:t>
            </w:r>
            <w:r>
              <w:rPr>
                <w:rFonts w:hint="eastAsia" w:ascii="宋体" w:hAnsi="宋体"/>
                <w:sz w:val="24"/>
              </w:rPr>
              <w:t>。</w:t>
            </w:r>
          </w:p>
          <w:p>
            <w:pPr>
              <w:autoSpaceDE w:val="0"/>
              <w:autoSpaceDN w:val="0"/>
              <w:spacing w:line="360" w:lineRule="auto"/>
              <w:ind w:firstLine="482" w:firstLineChars="200"/>
              <w:rPr>
                <w:rFonts w:ascii="宋体" w:hAnsi="宋体"/>
                <w:sz w:val="24"/>
              </w:rPr>
            </w:pPr>
            <w:r>
              <w:rPr>
                <w:rFonts w:hint="eastAsia" w:ascii="宋体" w:hAnsi="宋体"/>
                <w:b/>
                <w:sz w:val="24"/>
              </w:rPr>
              <w:t>砂光：</w:t>
            </w:r>
            <w:r>
              <w:rPr>
                <w:rFonts w:hint="eastAsia" w:ascii="宋体" w:hAnsi="宋体"/>
                <w:sz w:val="24"/>
              </w:rPr>
              <w:t>齐边后的半成品经砂光机进行表面砂光处理。砂光过程产生的粉尘采用旋风除尘器处理，除尘下来的木粉，直接运送至热油炉站作为燃料使用，经旋风除尘处理后的粉尘进一步通过一台布袋除尘装置处理后呈无组织排放。</w:t>
            </w:r>
          </w:p>
          <w:p>
            <w:pPr>
              <w:pStyle w:val="61"/>
              <w:ind w:firstLineChars="200"/>
              <w:jc w:val="both"/>
              <w:rPr>
                <w:rFonts w:ascii="宋体" w:hAnsi="宋体"/>
                <w:sz w:val="24"/>
              </w:rPr>
            </w:pPr>
            <w:r>
              <w:rPr>
                <w:rFonts w:hint="eastAsia" w:ascii="宋体" w:hAnsi="宋体"/>
                <w:b/>
                <w:sz w:val="24"/>
              </w:rPr>
              <w:t>检验及分等：</w:t>
            </w:r>
            <w:r>
              <w:rPr>
                <w:rFonts w:hint="eastAsia" w:ascii="宋体" w:hAnsi="宋体"/>
                <w:sz w:val="24"/>
              </w:rPr>
              <w:t>经砂光后的成品需进行检验和分等，检验合格的产品，根据国标进行分等后运至成品库堆存；检验不合格的产品成型较好的作为包装板材使用，其他的均运至热油炉站内作为燃料使用。</w:t>
            </w:r>
          </w:p>
          <w:p>
            <w:pPr>
              <w:pStyle w:val="61"/>
              <w:ind w:firstLine="480" w:firstLineChars="200"/>
              <w:jc w:val="both"/>
              <w:rPr>
                <w:rFonts w:ascii="宋体" w:hAnsi="宋体"/>
                <w:sz w:val="24"/>
              </w:rPr>
            </w:pPr>
            <w:r>
              <w:rPr>
                <w:rFonts w:hint="eastAsia" w:ascii="宋体" w:hAnsi="宋体"/>
                <w:sz w:val="24"/>
              </w:rPr>
              <w:t>工艺流程及产污节点见下图：</w:t>
            </w: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pStyle w:val="61"/>
              <w:ind w:firstLine="480" w:firstLineChars="200"/>
              <w:jc w:val="both"/>
              <w:rPr>
                <w:rFonts w:ascii="宋体" w:hAnsi="宋体"/>
                <w:sz w:val="24"/>
              </w:rPr>
            </w:pPr>
          </w:p>
          <w:p>
            <w:pPr>
              <w:adjustRightInd w:val="0"/>
              <w:spacing w:before="120" w:beforeLines="50" w:line="360" w:lineRule="auto"/>
              <w:jc w:val="center"/>
              <w:rPr>
                <w:b/>
                <w:sz w:val="24"/>
                <w:szCs w:val="21"/>
              </w:rPr>
            </w:pPr>
            <w:r>
              <w:object>
                <v:shape id="_x0000_i1025" o:spt="75" type="#_x0000_t75" style="height:596.85pt;width:411.7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pPr>
              <w:adjustRightInd w:val="0"/>
              <w:spacing w:before="120" w:beforeLines="50" w:line="360" w:lineRule="auto"/>
              <w:jc w:val="center"/>
              <w:rPr>
                <w:b/>
                <w:sz w:val="24"/>
                <w:szCs w:val="21"/>
              </w:rPr>
            </w:pPr>
            <w:r>
              <w:rPr>
                <w:rFonts w:hint="eastAsia"/>
                <w:b/>
                <w:sz w:val="24"/>
                <w:szCs w:val="21"/>
              </w:rPr>
              <w:t>图2-1  现有项目刨花板生产工艺流程及产污节点图</w:t>
            </w:r>
          </w:p>
          <w:p>
            <w:pPr>
              <w:adjustRightInd w:val="0"/>
              <w:spacing w:line="360" w:lineRule="auto"/>
              <w:ind w:firstLine="482" w:firstLineChars="200"/>
              <w:jc w:val="left"/>
              <w:rPr>
                <w:b/>
                <w:sz w:val="24"/>
                <w:szCs w:val="21"/>
              </w:rPr>
            </w:pPr>
            <w:r>
              <w:rPr>
                <w:rFonts w:hint="eastAsia"/>
                <w:b/>
                <w:sz w:val="24"/>
                <w:szCs w:val="21"/>
              </w:rPr>
              <w:t>（2）制胶工艺流程及产污节点</w:t>
            </w:r>
          </w:p>
          <w:p>
            <w:pPr>
              <w:adjustRightInd w:val="0"/>
              <w:spacing w:line="360" w:lineRule="auto"/>
              <w:ind w:firstLine="482" w:firstLineChars="200"/>
              <w:jc w:val="left"/>
              <w:rPr>
                <w:b/>
                <w:sz w:val="24"/>
                <w:szCs w:val="21"/>
              </w:rPr>
            </w:pPr>
            <w:r>
              <w:rPr>
                <w:rFonts w:hint="eastAsia"/>
                <w:b/>
                <w:sz w:val="24"/>
                <w:szCs w:val="21"/>
              </w:rPr>
              <w:t>制胶生产线工艺流程简述：</w:t>
            </w:r>
          </w:p>
          <w:p>
            <w:pPr>
              <w:adjustRightInd w:val="0"/>
              <w:spacing w:line="360" w:lineRule="auto"/>
              <w:ind w:firstLine="482" w:firstLineChars="200"/>
              <w:rPr>
                <w:rFonts w:ascii="宋体" w:hAnsi="宋体"/>
                <w:b/>
                <w:sz w:val="24"/>
              </w:rPr>
            </w:pPr>
            <w:r>
              <w:rPr>
                <w:rFonts w:hint="eastAsia" w:ascii="宋体" w:hAnsi="宋体"/>
                <w:b/>
                <w:sz w:val="24"/>
              </w:rPr>
              <w:t>（1</w:t>
            </w:r>
            <w:r>
              <w:rPr>
                <w:rFonts w:ascii="宋体" w:hAnsi="宋体"/>
                <w:b/>
                <w:sz w:val="24"/>
              </w:rPr>
              <w:t>）脲醛树脂生产原理</w:t>
            </w:r>
          </w:p>
          <w:p>
            <w:pPr>
              <w:pStyle w:val="76"/>
              <w:snapToGrid/>
              <w:ind w:firstLine="480" w:firstLineChars="200"/>
              <w:rPr>
                <w:szCs w:val="24"/>
              </w:rPr>
            </w:pPr>
            <w:r>
              <w:rPr>
                <w:szCs w:val="24"/>
              </w:rPr>
              <w:t>在脲醛树脂生产工艺中，主要原料是甲醛和尿素，</w:t>
            </w:r>
            <w:r>
              <w:rPr>
                <w:rFonts w:hint="eastAsia"/>
                <w:szCs w:val="24"/>
              </w:rPr>
              <w:t>氢氧化钠、甲酸用于调节反应釜内的</w:t>
            </w:r>
            <w:r>
              <w:rPr>
                <w:szCs w:val="24"/>
              </w:rPr>
              <w:t>pH</w:t>
            </w:r>
            <w:r>
              <w:rPr>
                <w:rFonts w:hint="eastAsia"/>
                <w:szCs w:val="24"/>
              </w:rPr>
              <w:t>值</w:t>
            </w:r>
            <w:r>
              <w:rPr>
                <w:szCs w:val="24"/>
              </w:rPr>
              <w:t>，反应速度与</w:t>
            </w:r>
            <w:r>
              <w:rPr>
                <w:rFonts w:hint="eastAsia"/>
                <w:szCs w:val="24"/>
              </w:rPr>
              <w:t>反应釜内</w:t>
            </w:r>
            <w:r>
              <w:rPr>
                <w:szCs w:val="24"/>
              </w:rPr>
              <w:t>氢氧根离子或氢离子浓度成正比，一般加成反应阶段在碱性条件下进行，缩聚阶段在酸性</w:t>
            </w:r>
            <w:r>
              <w:rPr>
                <w:rFonts w:hint="eastAsia"/>
                <w:szCs w:val="24"/>
              </w:rPr>
              <w:t>条件</w:t>
            </w:r>
            <w:r>
              <w:rPr>
                <w:szCs w:val="24"/>
              </w:rPr>
              <w:t>中进行。</w:t>
            </w:r>
          </w:p>
          <w:p>
            <w:pPr>
              <w:adjustRightInd w:val="0"/>
              <w:spacing w:line="360" w:lineRule="auto"/>
              <w:ind w:firstLine="480" w:firstLineChars="200"/>
              <w:rPr>
                <w:sz w:val="24"/>
              </w:rPr>
            </w:pPr>
            <w:r>
              <w:rPr>
                <w:rFonts w:hint="eastAsia"/>
                <w:sz w:val="24"/>
              </w:rPr>
              <w:t>项目</w:t>
            </w:r>
            <w:r>
              <w:rPr>
                <w:sz w:val="24"/>
              </w:rPr>
              <w:t>配方中甲醛和尿素的比例为3</w:t>
            </w:r>
            <w:r>
              <w:rPr>
                <w:rFonts w:hint="eastAsia"/>
                <w:sz w:val="24"/>
              </w:rPr>
              <w:t>：</w:t>
            </w:r>
            <w:r>
              <w:rPr>
                <w:sz w:val="24"/>
              </w:rPr>
              <w:t>2，</w:t>
            </w:r>
            <w:r>
              <w:rPr>
                <w:rFonts w:hint="eastAsia"/>
                <w:sz w:val="24"/>
              </w:rPr>
              <w:t>脲醛树脂胶合成主要包括3个步骤，分别为</w:t>
            </w:r>
            <w:r>
              <w:rPr>
                <w:sz w:val="24"/>
              </w:rPr>
              <w:t>甲醛和尿素</w:t>
            </w:r>
            <w:r>
              <w:rPr>
                <w:rFonts w:hint="eastAsia"/>
                <w:sz w:val="24"/>
              </w:rPr>
              <w:t>的加成反应、缩聚反应、凝胶（固化反应），</w:t>
            </w:r>
            <w:r>
              <w:rPr>
                <w:sz w:val="24"/>
              </w:rPr>
              <w:t>其反应式如下：</w:t>
            </w:r>
          </w:p>
          <w:p>
            <w:pPr>
              <w:adjustRightInd w:val="0"/>
              <w:spacing w:line="360" w:lineRule="auto"/>
              <w:ind w:firstLine="482" w:firstLineChars="200"/>
              <w:rPr>
                <w:rFonts w:ascii="宋体" w:hAnsi="宋体"/>
                <w:b/>
                <w:sz w:val="24"/>
              </w:rPr>
            </w:pPr>
            <w:r>
              <w:rPr>
                <w:rFonts w:hint="eastAsia" w:ascii="宋体" w:hAnsi="宋体"/>
                <w:b/>
                <w:sz w:val="24"/>
              </w:rPr>
              <w:t>①甲醛和尿素的加成反应</w:t>
            </w:r>
          </w:p>
          <w:p>
            <w:pPr>
              <w:adjustRightInd w:val="0"/>
              <w:spacing w:line="360" w:lineRule="auto"/>
              <w:ind w:firstLine="480" w:firstLineChars="200"/>
              <w:rPr>
                <w:rFonts w:ascii="宋体" w:hAnsi="宋体"/>
                <w:sz w:val="24"/>
              </w:rPr>
            </w:pPr>
            <w:r>
              <w:rPr>
                <w:rFonts w:hint="eastAsia" w:ascii="宋体" w:hAnsi="宋体"/>
                <w:sz w:val="24"/>
              </w:rPr>
              <w:t>制胶过程中的加成反应分为两个阶段，第一阶段是在中性或弱碱性介质中，进行羟甲基化反应，生成一羟、二羟和三羟甲基脲。第二阶段是在酸性介质（</w:t>
            </w:r>
            <w:r>
              <w:rPr>
                <w:sz w:val="24"/>
              </w:rPr>
              <w:t>pH</w:t>
            </w:r>
            <w:r>
              <w:rPr>
                <w:rFonts w:hint="eastAsia" w:ascii="宋体" w:hAnsi="宋体"/>
                <w:sz w:val="24"/>
              </w:rPr>
              <w:t>值为</w:t>
            </w:r>
            <w:r>
              <w:rPr>
                <w:sz w:val="24"/>
              </w:rPr>
              <w:t>4.5</w:t>
            </w:r>
            <w:r>
              <w:rPr>
                <w:rFonts w:hint="eastAsia" w:ascii="宋体" w:hAnsi="宋体"/>
                <w:sz w:val="24"/>
              </w:rPr>
              <w:t>左右）中，羟甲基化合物分子之间脱水缩合，生成水溶性树脂，此树脂状产物在加热或酸性固化剂存在下即转变为不溶的交联树脂。</w:t>
            </w:r>
          </w:p>
          <w:p>
            <w:pPr>
              <w:adjustRightInd w:val="0"/>
              <w:spacing w:line="360" w:lineRule="auto"/>
              <w:ind w:left="199" w:leftChars="95" w:firstLine="482" w:firstLineChars="200"/>
              <w:rPr>
                <w:rFonts w:ascii="宋体" w:hAnsi="宋体"/>
                <w:b/>
                <w:sz w:val="24"/>
              </w:rPr>
            </w:pPr>
            <w:r>
              <w:rPr>
                <w:b/>
                <w:sz w:val="24"/>
              </w:rPr>
              <w:t>A</w:t>
            </w:r>
            <w:r>
              <w:rPr>
                <w:rFonts w:hint="eastAsia" w:ascii="宋体" w:hAnsi="宋体"/>
                <w:b/>
                <w:sz w:val="24"/>
              </w:rPr>
              <w:t>、</w:t>
            </w:r>
            <w:r>
              <w:rPr>
                <w:rFonts w:ascii="宋体" w:hAnsi="宋体"/>
                <w:b/>
                <w:sz w:val="24"/>
              </w:rPr>
              <w:t>甲醛和尿素</w:t>
            </w:r>
            <w:r>
              <w:rPr>
                <w:rFonts w:hint="eastAsia" w:ascii="宋体" w:hAnsi="宋体"/>
                <w:b/>
                <w:sz w:val="24"/>
              </w:rPr>
              <w:t>在中性或弱碱性条件下的羟甲基化反应</w:t>
            </w:r>
          </w:p>
          <w:p>
            <w:pPr>
              <w:adjustRightInd w:val="0"/>
              <w:spacing w:line="360" w:lineRule="auto"/>
              <w:ind w:left="199" w:leftChars="95" w:firstLine="480" w:firstLineChars="200"/>
              <w:rPr>
                <w:rFonts w:ascii="宋体" w:hAnsi="宋体"/>
                <w:sz w:val="24"/>
              </w:rPr>
            </w:pPr>
            <w:r>
              <w:rPr>
                <w:sz w:val="24"/>
              </w:rPr>
              <w:t>1mol</w:t>
            </w:r>
            <w:r>
              <w:rPr>
                <w:rFonts w:hint="eastAsia" w:ascii="宋体" w:hAnsi="宋体"/>
                <w:sz w:val="24"/>
              </w:rPr>
              <w:t>的尿素与小于</w:t>
            </w:r>
            <w:r>
              <w:rPr>
                <w:sz w:val="24"/>
              </w:rPr>
              <w:t>1mol</w:t>
            </w:r>
            <w:r>
              <w:rPr>
                <w:rFonts w:hint="eastAsia" w:ascii="宋体" w:hAnsi="宋体"/>
                <w:sz w:val="24"/>
              </w:rPr>
              <w:t>的甲醛进行反应，生成一羟基脲：</w:t>
            </w:r>
          </w:p>
          <w:p>
            <w:pPr>
              <w:spacing w:line="360" w:lineRule="auto"/>
              <w:jc w:val="center"/>
              <w:rPr>
                <w:rFonts w:ascii="宋体" w:hAnsi="宋体"/>
                <w:sz w:val="24"/>
              </w:rPr>
            </w:pPr>
            <w:r>
              <w:rPr>
                <w:rFonts w:ascii="宋体" w:hAnsi="宋体"/>
                <w:sz w:val="24"/>
              </w:rPr>
              <w:drawing>
                <wp:inline distT="0" distB="0" distL="0" distR="0">
                  <wp:extent cx="4761865" cy="958215"/>
                  <wp:effectExtent l="0" t="0" r="635" b="0"/>
                  <wp:docPr id="18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12534" cy="968488"/>
                          </a:xfrm>
                          <a:prstGeom prst="rect">
                            <a:avLst/>
                          </a:prstGeom>
                          <a:noFill/>
                          <a:ln>
                            <a:noFill/>
                          </a:ln>
                          <a:effectLst/>
                        </pic:spPr>
                      </pic:pic>
                    </a:graphicData>
                  </a:graphic>
                </wp:inline>
              </w:drawing>
            </w:r>
          </w:p>
          <w:p>
            <w:pPr>
              <w:spacing w:line="360" w:lineRule="auto"/>
              <w:ind w:firstLine="480" w:firstLineChars="200"/>
              <w:rPr>
                <w:rFonts w:ascii="宋体" w:hAnsi="宋体"/>
                <w:sz w:val="24"/>
              </w:rPr>
            </w:pPr>
            <w:r>
              <w:rPr>
                <w:sz w:val="24"/>
              </w:rPr>
              <w:t>1mol</w:t>
            </w:r>
            <w:r>
              <w:rPr>
                <w:rFonts w:hint="eastAsia" w:ascii="宋体" w:hAnsi="宋体"/>
                <w:sz w:val="24"/>
              </w:rPr>
              <w:t>的尿素与大于</w:t>
            </w:r>
            <w:r>
              <w:rPr>
                <w:sz w:val="24"/>
              </w:rPr>
              <w:t>1mol</w:t>
            </w:r>
            <w:r>
              <w:rPr>
                <w:rFonts w:hint="eastAsia" w:ascii="宋体" w:hAnsi="宋体"/>
                <w:sz w:val="24"/>
              </w:rPr>
              <w:t>的甲醛进行反应，生成二羟基脲：</w:t>
            </w:r>
          </w:p>
          <w:p>
            <w:pPr>
              <w:spacing w:line="360" w:lineRule="auto"/>
              <w:jc w:val="center"/>
              <w:rPr>
                <w:rFonts w:ascii="宋体" w:hAnsi="宋体"/>
                <w:sz w:val="24"/>
              </w:rPr>
            </w:pPr>
            <w:r>
              <w:rPr>
                <w:rFonts w:ascii="宋体" w:hAnsi="宋体"/>
                <w:sz w:val="24"/>
              </w:rPr>
              <w:drawing>
                <wp:inline distT="0" distB="0" distL="0" distR="0">
                  <wp:extent cx="3948430" cy="949960"/>
                  <wp:effectExtent l="0" t="0" r="0" b="0"/>
                  <wp:docPr id="18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48430" cy="949960"/>
                          </a:xfrm>
                          <a:prstGeom prst="rect">
                            <a:avLst/>
                          </a:prstGeom>
                          <a:noFill/>
                          <a:ln>
                            <a:noFill/>
                          </a:ln>
                          <a:effectLst/>
                        </pic:spPr>
                      </pic:pic>
                    </a:graphicData>
                  </a:graphic>
                </wp:inline>
              </w:drawing>
            </w:r>
            <w:r>
              <w:rPr>
                <w:rFonts w:ascii="宋体" w:hAnsi="宋体"/>
                <w:sz w:val="24"/>
              </w:rPr>
              <w:drawing>
                <wp:inline distT="0" distB="0" distL="0" distR="0">
                  <wp:extent cx="1240790" cy="949960"/>
                  <wp:effectExtent l="0" t="0" r="0" b="0"/>
                  <wp:docPr id="18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40790" cy="949960"/>
                          </a:xfrm>
                          <a:prstGeom prst="rect">
                            <a:avLst/>
                          </a:prstGeom>
                          <a:noFill/>
                          <a:ln>
                            <a:noFill/>
                          </a:ln>
                          <a:effectLst/>
                        </pic:spPr>
                      </pic:pic>
                    </a:graphicData>
                  </a:graphic>
                </wp:inline>
              </w:drawing>
            </w:r>
          </w:p>
          <w:p>
            <w:pPr>
              <w:spacing w:line="360" w:lineRule="auto"/>
              <w:ind w:firstLine="480" w:firstLineChars="200"/>
              <w:jc w:val="left"/>
              <w:rPr>
                <w:rFonts w:ascii="宋体" w:hAnsi="宋体"/>
                <w:sz w:val="24"/>
              </w:rPr>
            </w:pPr>
            <w:r>
              <w:rPr>
                <w:rFonts w:hint="eastAsia" w:ascii="宋体" w:hAnsi="宋体"/>
                <w:sz w:val="24"/>
              </w:rPr>
              <w:t>尿素与甲醛的羟甲基化反应，在碱性条件下反应的控制因素是尿素负离子的浓度，碱性催化剂从尿素分子中吸引了一个质子，生成带负电荷的尿素负离子，尿素负离子再与甲醛反应，其反应机理为：</w:t>
            </w: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ind w:firstLine="480" w:firstLineChars="200"/>
              <w:jc w:val="left"/>
              <w:rPr>
                <w:rFonts w:ascii="宋体" w:hAnsi="宋体"/>
                <w:sz w:val="24"/>
              </w:rPr>
            </w:pPr>
          </w:p>
          <w:p>
            <w:pPr>
              <w:spacing w:line="360" w:lineRule="auto"/>
              <w:jc w:val="center"/>
              <w:rPr>
                <w:rFonts w:ascii="宋体" w:hAnsi="宋体"/>
                <w:sz w:val="24"/>
              </w:rPr>
            </w:pPr>
            <w:r>
              <w:rPr>
                <w:rFonts w:ascii="宋体" w:hAnsi="宋体"/>
                <w:sz w:val="24"/>
              </w:rPr>
              <w:drawing>
                <wp:inline distT="0" distB="0" distL="0" distR="0">
                  <wp:extent cx="4346575" cy="1470025"/>
                  <wp:effectExtent l="0" t="0" r="0" b="0"/>
                  <wp:docPr id="1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72681" cy="1479186"/>
                          </a:xfrm>
                          <a:prstGeom prst="rect">
                            <a:avLst/>
                          </a:prstGeom>
                          <a:noFill/>
                          <a:ln>
                            <a:noFill/>
                          </a:ln>
                          <a:effectLst/>
                        </pic:spPr>
                      </pic:pic>
                    </a:graphicData>
                  </a:graphic>
                </wp:inline>
              </w:drawing>
            </w:r>
          </w:p>
          <w:p>
            <w:pPr>
              <w:spacing w:line="360" w:lineRule="auto"/>
              <w:ind w:firstLine="480" w:firstLineChars="200"/>
              <w:rPr>
                <w:sz w:val="24"/>
              </w:rPr>
            </w:pPr>
            <w:r>
              <w:rPr>
                <w:rFonts w:hint="eastAsia"/>
                <w:sz w:val="24"/>
              </w:rPr>
              <w:t>但尿素与甲醛的摩尔比大于1:1时就能生成二羟甲基脲或三羟甲基脲。</w:t>
            </w:r>
          </w:p>
          <w:p>
            <w:pPr>
              <w:spacing w:line="360" w:lineRule="auto"/>
              <w:ind w:firstLine="482" w:firstLineChars="200"/>
              <w:rPr>
                <w:b/>
                <w:sz w:val="24"/>
              </w:rPr>
            </w:pPr>
            <w:r>
              <w:rPr>
                <w:rFonts w:hint="eastAsia"/>
                <w:b/>
                <w:sz w:val="24"/>
              </w:rPr>
              <w:t>B、甲醛和尿素在酸性条件下的加成反应</w:t>
            </w:r>
          </w:p>
          <w:p>
            <w:pPr>
              <w:spacing w:line="360" w:lineRule="auto"/>
              <w:ind w:firstLine="480" w:firstLineChars="200"/>
              <w:rPr>
                <w:sz w:val="24"/>
              </w:rPr>
            </w:pPr>
            <w:r>
              <w:rPr>
                <w:rFonts w:hint="eastAsia"/>
                <w:sz w:val="24"/>
              </w:rPr>
              <w:t>在酸性条件下，甲醛受氢离子的作用，首先生成带正电荷的亚甲醇，再与尿素反应，生成不稳定的羟甲基脲，进而脱水缩聚，生成以亚甲基连接的低分子缩聚物或亚甲基脲，其反应历程如下：</w:t>
            </w:r>
          </w:p>
          <w:p>
            <w:pPr>
              <w:spacing w:line="360" w:lineRule="auto"/>
              <w:jc w:val="center"/>
              <w:rPr>
                <w:rFonts w:ascii="宋体" w:hAnsi="宋体"/>
                <w:sz w:val="24"/>
              </w:rPr>
            </w:pPr>
            <w:r>
              <w:rPr>
                <w:rFonts w:ascii="宋体" w:hAnsi="宋体"/>
                <w:sz w:val="24"/>
              </w:rPr>
              <w:drawing>
                <wp:inline distT="0" distB="0" distL="0" distR="0">
                  <wp:extent cx="4148455" cy="1609090"/>
                  <wp:effectExtent l="0" t="0" r="4445" b="0"/>
                  <wp:docPr id="19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83134" cy="1622797"/>
                          </a:xfrm>
                          <a:prstGeom prst="rect">
                            <a:avLst/>
                          </a:prstGeom>
                          <a:noFill/>
                          <a:ln>
                            <a:noFill/>
                          </a:ln>
                          <a:effectLst/>
                        </pic:spPr>
                      </pic:pic>
                    </a:graphicData>
                  </a:graphic>
                </wp:inline>
              </w:drawing>
            </w:r>
          </w:p>
          <w:p>
            <w:pPr>
              <w:spacing w:line="360" w:lineRule="auto"/>
              <w:jc w:val="center"/>
              <w:rPr>
                <w:rFonts w:ascii="宋体" w:hAnsi="宋体"/>
                <w:sz w:val="24"/>
              </w:rPr>
            </w:pPr>
            <w:r>
              <w:rPr>
                <w:rFonts w:ascii="宋体" w:hAnsi="宋体"/>
                <w:sz w:val="24"/>
              </w:rPr>
              <w:drawing>
                <wp:inline distT="0" distB="0" distL="0" distR="0">
                  <wp:extent cx="3776345" cy="1134110"/>
                  <wp:effectExtent l="0" t="0" r="0" b="0"/>
                  <wp:docPr id="19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76345" cy="1134110"/>
                          </a:xfrm>
                          <a:prstGeom prst="rect">
                            <a:avLst/>
                          </a:prstGeom>
                          <a:noFill/>
                          <a:ln>
                            <a:noFill/>
                          </a:ln>
                          <a:effectLst/>
                        </pic:spPr>
                      </pic:pic>
                    </a:graphicData>
                  </a:graphic>
                </wp:inline>
              </w:drawing>
            </w:r>
          </w:p>
          <w:p>
            <w:pPr>
              <w:spacing w:line="360" w:lineRule="auto"/>
              <w:ind w:firstLine="480"/>
              <w:rPr>
                <w:sz w:val="24"/>
              </w:rPr>
            </w:pPr>
            <w:r>
              <w:rPr>
                <w:rFonts w:hint="eastAsia"/>
                <w:sz w:val="24"/>
              </w:rPr>
              <w:t>以上尿素与甲醛的加成反应在不同的反应介质条件下，对反应的进行方向、产物的化学构造以及反应速度等都有一定的影响。尿素与甲醛的加成反应速度和反应产物的化学构造决定介质的酸碱度。</w:t>
            </w:r>
          </w:p>
          <w:p>
            <w:pPr>
              <w:spacing w:line="360" w:lineRule="auto"/>
              <w:ind w:firstLine="482" w:firstLineChars="200"/>
              <w:rPr>
                <w:b/>
                <w:sz w:val="24"/>
              </w:rPr>
            </w:pPr>
            <w:r>
              <w:rPr>
                <w:rFonts w:hint="eastAsia"/>
                <w:b/>
                <w:sz w:val="24"/>
              </w:rPr>
              <w:t>②缩聚反应</w:t>
            </w:r>
          </w:p>
          <w:p>
            <w:pPr>
              <w:spacing w:line="360" w:lineRule="auto"/>
              <w:ind w:firstLine="480" w:firstLineChars="200"/>
              <w:rPr>
                <w:sz w:val="24"/>
              </w:rPr>
            </w:pPr>
            <w:r>
              <w:rPr>
                <w:rFonts w:hint="eastAsia"/>
                <w:sz w:val="24"/>
              </w:rPr>
              <w:t>合成脲醛树脂时的缩聚反应（或树脂化反应）是羟甲基化合物形成大分子的反应。在酸性或碱性条件下都可以进行，但由于在碱性条件下的缩聚反应速度非常缓慢，因而工业上合成脲醛树脂在弱酸性条件下进行。</w:t>
            </w:r>
          </w:p>
          <w:p>
            <w:pPr>
              <w:spacing w:line="360" w:lineRule="auto"/>
              <w:ind w:firstLine="480" w:firstLineChars="200"/>
              <w:rPr>
                <w:sz w:val="24"/>
              </w:rPr>
            </w:pPr>
            <w:r>
              <w:rPr>
                <w:rFonts w:hint="eastAsia"/>
                <w:sz w:val="24"/>
              </w:rPr>
              <w:t>A、羟甲基脲中的羟基和尿素中的氨基或一羟甲基脲中氮上氢原子作用脱去一分子水。</w:t>
            </w:r>
          </w:p>
          <w:p>
            <w:pPr>
              <w:spacing w:line="360" w:lineRule="auto"/>
              <w:jc w:val="center"/>
              <w:rPr>
                <w:rFonts w:ascii="宋体" w:hAnsi="宋体"/>
                <w:sz w:val="24"/>
              </w:rPr>
            </w:pPr>
            <w:r>
              <w:rPr>
                <w:rFonts w:ascii="宋体" w:hAnsi="宋体"/>
                <w:sz w:val="24"/>
              </w:rPr>
              <w:drawing>
                <wp:inline distT="0" distB="0" distL="0" distR="0">
                  <wp:extent cx="3823970" cy="1353185"/>
                  <wp:effectExtent l="0" t="0" r="5080" b="0"/>
                  <wp:docPr id="19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33027" cy="1356517"/>
                          </a:xfrm>
                          <a:prstGeom prst="rect">
                            <a:avLst/>
                          </a:prstGeom>
                          <a:noFill/>
                          <a:ln>
                            <a:noFill/>
                          </a:ln>
                          <a:effectLst/>
                        </pic:spPr>
                      </pic:pic>
                    </a:graphicData>
                  </a:graphic>
                </wp:inline>
              </w:drawing>
            </w:r>
          </w:p>
          <w:p>
            <w:pPr>
              <w:spacing w:line="360" w:lineRule="auto"/>
              <w:ind w:firstLine="480" w:firstLineChars="200"/>
              <w:rPr>
                <w:sz w:val="24"/>
              </w:rPr>
            </w:pPr>
            <w:r>
              <w:rPr>
                <w:rFonts w:hint="eastAsia"/>
                <w:sz w:val="24"/>
              </w:rPr>
              <w:t>B、羟甲基脲中的羟基和另一羟甲基脲中的羟基相互作用脱掉一分子水形成醚键（—O—）。</w:t>
            </w:r>
          </w:p>
          <w:p>
            <w:pPr>
              <w:spacing w:line="360" w:lineRule="auto"/>
              <w:jc w:val="center"/>
              <w:rPr>
                <w:sz w:val="24"/>
              </w:rPr>
            </w:pPr>
            <w:r>
              <w:rPr>
                <w:sz w:val="24"/>
              </w:rPr>
              <w:drawing>
                <wp:inline distT="0" distB="0" distL="0" distR="0">
                  <wp:extent cx="5088890" cy="516890"/>
                  <wp:effectExtent l="0" t="0" r="0" b="0"/>
                  <wp:docPr id="19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88890" cy="51689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C、羟甲基脲中的羟甲基和另一羟甲基脲中的羟基相互作用脱掉一分子水和一分子甲醛形成次甲基（—CH</w:t>
            </w:r>
            <w:r>
              <w:rPr>
                <w:rFonts w:hint="eastAsia"/>
                <w:sz w:val="24"/>
                <w:vertAlign w:val="subscript"/>
              </w:rPr>
              <w:t>2</w:t>
            </w:r>
            <w:r>
              <w:rPr>
                <w:rFonts w:hint="eastAsia"/>
                <w:sz w:val="24"/>
              </w:rPr>
              <w:t>—）键。</w:t>
            </w:r>
          </w:p>
          <w:p>
            <w:pPr>
              <w:spacing w:line="360" w:lineRule="auto"/>
              <w:jc w:val="center"/>
              <w:rPr>
                <w:sz w:val="24"/>
              </w:rPr>
            </w:pPr>
            <w:r>
              <w:rPr>
                <w:sz w:val="24"/>
              </w:rPr>
              <w:drawing>
                <wp:inline distT="0" distB="0" distL="0" distR="0">
                  <wp:extent cx="4678680" cy="469265"/>
                  <wp:effectExtent l="0" t="0" r="0" b="0"/>
                  <wp:docPr id="19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78680" cy="46926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上述三个反应中一般第一种为主要反应，随着树脂化反应的继续进行，分子逐渐增大，粘度也随着缩聚程度的增加而增大。由于系统中羟甲基数量的减少，其水溶性逐渐降低，一般形成线型或者带有支链的线型缩聚物，其分子量从几百到几千范围内，分子量分布比较宽，含有大量活性端基如羟甲基、酰胺基等，能溶于水。如果参与反应的甲醛量多，则体系中的羟甲基量也越多。</w:t>
            </w:r>
          </w:p>
          <w:p>
            <w:pPr>
              <w:spacing w:line="360" w:lineRule="auto"/>
              <w:ind w:firstLine="480" w:firstLineChars="200"/>
              <w:rPr>
                <w:sz w:val="24"/>
              </w:rPr>
            </w:pPr>
            <w:r>
              <w:rPr>
                <w:rFonts w:hint="eastAsia"/>
                <w:sz w:val="24"/>
              </w:rPr>
              <w:t>这个阶段在具体合成工艺上</w:t>
            </w:r>
            <w:r>
              <w:rPr>
                <w:rFonts w:hint="eastAsia"/>
                <w:sz w:val="24"/>
                <w:lang w:eastAsia="zh-CN"/>
              </w:rPr>
              <w:t>使用</w:t>
            </w:r>
            <w:r>
              <w:rPr>
                <w:rFonts w:hint="eastAsia"/>
                <w:sz w:val="24"/>
              </w:rPr>
              <w:t>甲酸等调pH至4—5左右，根据使用要求控制好缩聚程度，避免凝胶。当达到预定的反应终点即用碱中和。</w:t>
            </w:r>
          </w:p>
          <w:p>
            <w:pPr>
              <w:spacing w:line="360" w:lineRule="auto"/>
              <w:ind w:firstLine="482" w:firstLineChars="200"/>
              <w:rPr>
                <w:b/>
                <w:sz w:val="24"/>
              </w:rPr>
            </w:pPr>
            <w:r>
              <w:rPr>
                <w:rFonts w:hint="eastAsia"/>
                <w:b/>
                <w:sz w:val="24"/>
              </w:rPr>
              <w:t>③凝胶（固化）反应</w:t>
            </w:r>
          </w:p>
          <w:p>
            <w:pPr>
              <w:spacing w:line="360" w:lineRule="auto"/>
              <w:ind w:firstLine="480" w:firstLineChars="200"/>
              <w:rPr>
                <w:sz w:val="24"/>
              </w:rPr>
            </w:pPr>
            <w:r>
              <w:rPr>
                <w:rFonts w:hint="eastAsia"/>
                <w:sz w:val="24"/>
              </w:rPr>
              <w:t>上述缩聚反应继续进行，达到凝胶点后则不溶的三向交联空间结构。作为胶粘剂使用的脲醛树脂，此阶段是在热压或冷压时完成最后的缩聚反应。</w:t>
            </w:r>
          </w:p>
          <w:p>
            <w:pPr>
              <w:spacing w:line="360" w:lineRule="auto"/>
              <w:ind w:firstLine="480" w:firstLineChars="200"/>
              <w:rPr>
                <w:sz w:val="24"/>
              </w:rPr>
            </w:pPr>
            <w:r>
              <w:rPr>
                <w:rFonts w:hint="eastAsia"/>
                <w:sz w:val="24"/>
              </w:rPr>
              <w:t>脲醛树脂交联固化转化成不溶的化合物时释放出水和甲醛，见下列反应式：</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jc w:val="center"/>
              <w:rPr>
                <w:rFonts w:ascii="宋体" w:hAnsi="宋体"/>
                <w:sz w:val="24"/>
              </w:rPr>
            </w:pPr>
            <w:r>
              <w:rPr>
                <w:rFonts w:ascii="宋体" w:hAnsi="宋体"/>
                <w:sz w:val="24"/>
              </w:rPr>
              <w:drawing>
                <wp:inline distT="0" distB="0" distL="0" distR="0">
                  <wp:extent cx="4221480" cy="3461385"/>
                  <wp:effectExtent l="0" t="0" r="0" b="0"/>
                  <wp:docPr id="19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21480" cy="3461385"/>
                          </a:xfrm>
                          <a:prstGeom prst="rect">
                            <a:avLst/>
                          </a:prstGeom>
                          <a:noFill/>
                          <a:ln>
                            <a:noFill/>
                          </a:ln>
                          <a:effectLst/>
                        </pic:spPr>
                      </pic:pic>
                    </a:graphicData>
                  </a:graphic>
                </wp:inline>
              </w:drawing>
            </w:r>
          </w:p>
          <w:p>
            <w:pPr>
              <w:spacing w:before="120" w:beforeLines="50" w:line="360" w:lineRule="auto"/>
              <w:ind w:firstLine="480" w:firstLineChars="200"/>
              <w:rPr>
                <w:bCs/>
                <w:sz w:val="24"/>
              </w:rPr>
            </w:pPr>
            <w:r>
              <w:rPr>
                <w:bCs/>
                <w:sz w:val="24"/>
              </w:rPr>
              <w:t>该合成反应为常压反应，最高反应温度为90℃，</w:t>
            </w:r>
            <w:r>
              <w:rPr>
                <w:rFonts w:hint="eastAsia"/>
                <w:bCs/>
                <w:sz w:val="24"/>
              </w:rPr>
              <w:t>反应</w:t>
            </w:r>
            <w:r>
              <w:rPr>
                <w:bCs/>
                <w:sz w:val="24"/>
              </w:rPr>
              <w:t>釜内温度通过冷凝回流</w:t>
            </w:r>
            <w:r>
              <w:rPr>
                <w:rFonts w:hint="eastAsia"/>
                <w:bCs/>
                <w:sz w:val="24"/>
              </w:rPr>
              <w:t>、</w:t>
            </w:r>
            <w:r>
              <w:rPr>
                <w:bCs/>
                <w:sz w:val="24"/>
              </w:rPr>
              <w:t>夹套冷却水</w:t>
            </w:r>
            <w:r>
              <w:rPr>
                <w:rFonts w:hint="eastAsia"/>
                <w:bCs/>
                <w:sz w:val="24"/>
              </w:rPr>
              <w:t>及导热油</w:t>
            </w:r>
            <w:r>
              <w:rPr>
                <w:bCs/>
                <w:sz w:val="24"/>
              </w:rPr>
              <w:t>控制，冷凝为强制冷凝回流，不设冷凝尾气排气筒。为避免投料时逸出的少量气体对车间内环境造成不良影响，在投料口上方设一集气罩，将散逸的少量气体</w:t>
            </w:r>
            <w:r>
              <w:rPr>
                <w:rFonts w:hint="eastAsia"/>
                <w:bCs/>
                <w:sz w:val="24"/>
              </w:rPr>
              <w:t>抽取后由</w:t>
            </w:r>
            <w:r>
              <w:rPr>
                <w:bCs/>
                <w:sz w:val="24"/>
              </w:rPr>
              <w:t>车间外高空排放（靠气流压差自然引出），不投加物料时关闭投料口阀门，反应釜上设采样器以便于控制反应终点。</w:t>
            </w:r>
          </w:p>
          <w:p>
            <w:pPr>
              <w:autoSpaceDE w:val="0"/>
              <w:autoSpaceDN w:val="0"/>
              <w:spacing w:line="360" w:lineRule="auto"/>
              <w:ind w:firstLine="480" w:firstLineChars="200"/>
              <w:rPr>
                <w:b/>
                <w:sz w:val="24"/>
              </w:rPr>
            </w:pPr>
            <w:r>
              <w:rPr>
                <w:bCs/>
                <w:sz w:val="24"/>
              </w:rPr>
              <w:t>在反应过程中，应对反应液进行有关参数的中间检测，并按需要加入一定量的各种</w:t>
            </w:r>
            <w:r>
              <w:rPr>
                <w:rFonts w:hint="eastAsia"/>
                <w:bCs/>
                <w:sz w:val="24"/>
              </w:rPr>
              <w:t>助</w:t>
            </w:r>
            <w:r>
              <w:rPr>
                <w:bCs/>
                <w:sz w:val="24"/>
              </w:rPr>
              <w:t>剂。当反应液经检测达到要求的指标后，往反应釜</w:t>
            </w:r>
            <w:r>
              <w:rPr>
                <w:rFonts w:hint="eastAsia"/>
                <w:bCs/>
                <w:sz w:val="24"/>
              </w:rPr>
              <w:t>夹套</w:t>
            </w:r>
            <w:r>
              <w:rPr>
                <w:bCs/>
                <w:sz w:val="24"/>
              </w:rPr>
              <w:t>内通入冷却水，进行间歇冷却。当反应液降至</w:t>
            </w:r>
            <w:r>
              <w:rPr>
                <w:rFonts w:hint="eastAsia"/>
                <w:bCs/>
                <w:sz w:val="24"/>
              </w:rPr>
              <w:t>常温后</w:t>
            </w:r>
            <w:r>
              <w:rPr>
                <w:bCs/>
                <w:sz w:val="24"/>
              </w:rPr>
              <w:t>，制备好的脲醛树脂从反应釜底流出，经过滤器，用胶泵打入胶贮槽。当</w:t>
            </w:r>
            <w:r>
              <w:rPr>
                <w:rFonts w:hint="eastAsia"/>
                <w:bCs/>
                <w:sz w:val="24"/>
              </w:rPr>
              <w:t>生产</w:t>
            </w:r>
            <w:r>
              <w:rPr>
                <w:bCs/>
                <w:sz w:val="24"/>
              </w:rPr>
              <w:t>车间需用脲醛树脂时，利用</w:t>
            </w:r>
            <w:r>
              <w:rPr>
                <w:rFonts w:hint="eastAsia"/>
                <w:bCs/>
                <w:sz w:val="24"/>
              </w:rPr>
              <w:t>胶泵输送至刨花板生产线</w:t>
            </w:r>
            <w:r>
              <w:rPr>
                <w:bCs/>
                <w:sz w:val="24"/>
              </w:rPr>
              <w:t>，供生产使用。</w:t>
            </w:r>
            <w:r>
              <w:rPr>
                <w:rFonts w:hint="eastAsia"/>
                <w:bCs/>
                <w:sz w:val="24"/>
              </w:rPr>
              <w:t>反应完全后会放出一定量的水和甲醛，该部分甲醛水溶液集中收集后，交由提供甲醛的厂家回收利用。含甲醛的废水交由生产甲醛的厂家回收利用主要是用于在生产37%的甲醛过程中，需添加一定的水，所以甲醛生产商可直接把含甲醛的水直接用于生产37%的甲醛溶液。</w:t>
            </w:r>
          </w:p>
          <w:p>
            <w:pPr>
              <w:autoSpaceDE w:val="0"/>
              <w:autoSpaceDN w:val="0"/>
              <w:adjustRightInd w:val="0"/>
              <w:spacing w:line="360" w:lineRule="auto"/>
              <w:ind w:firstLine="482" w:firstLineChars="200"/>
              <w:rPr>
                <w:b/>
                <w:sz w:val="24"/>
              </w:rPr>
            </w:pPr>
            <w:r>
              <w:rPr>
                <w:rFonts w:hint="eastAsia"/>
                <w:b/>
                <w:sz w:val="24"/>
              </w:rPr>
              <w:t>（2）脲醛树脂胶生产过程</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脲醛树脂胶的生产工艺流程及产污节点示意见所示。</w:t>
            </w:r>
          </w:p>
          <w:p>
            <w:pPr>
              <w:autoSpaceDE w:val="0"/>
              <w:autoSpaceDN w:val="0"/>
              <w:adjustRightInd w:val="0"/>
              <w:spacing w:line="360" w:lineRule="auto"/>
              <w:ind w:firstLine="482" w:firstLineChars="200"/>
              <w:rPr>
                <w:rFonts w:ascii="宋体" w:hAnsi="宋体"/>
                <w:sz w:val="24"/>
              </w:rPr>
            </w:pPr>
            <w:r>
              <w:rPr>
                <w:rFonts w:hint="eastAsia" w:ascii="宋体" w:hAnsi="宋体"/>
                <w:b/>
                <w:sz w:val="24"/>
              </w:rPr>
              <w:t>①原料投入反应釜前</w:t>
            </w:r>
          </w:p>
          <w:p>
            <w:pPr>
              <w:autoSpaceDE w:val="0"/>
              <w:autoSpaceDN w:val="0"/>
              <w:adjustRightInd w:val="0"/>
              <w:spacing w:line="360" w:lineRule="auto"/>
              <w:ind w:firstLine="480" w:firstLineChars="200"/>
              <w:rPr>
                <w:sz w:val="24"/>
              </w:rPr>
            </w:pPr>
            <w:r>
              <w:rPr>
                <w:sz w:val="24"/>
              </w:rPr>
              <w:t>外购尿素、</w:t>
            </w:r>
            <w:r>
              <w:rPr>
                <w:rFonts w:hint="eastAsia"/>
                <w:sz w:val="24"/>
              </w:rPr>
              <w:t>甲醛</w:t>
            </w:r>
            <w:r>
              <w:rPr>
                <w:sz w:val="24"/>
              </w:rPr>
              <w:t>、</w:t>
            </w:r>
            <w:r>
              <w:rPr>
                <w:rFonts w:hint="eastAsia"/>
                <w:sz w:val="24"/>
              </w:rPr>
              <w:t>甲酸</w:t>
            </w:r>
            <w:r>
              <w:rPr>
                <w:sz w:val="24"/>
              </w:rPr>
              <w:t>由汽车运至化工原料库，</w:t>
            </w:r>
            <w:r>
              <w:rPr>
                <w:rFonts w:hint="eastAsia"/>
                <w:sz w:val="24"/>
              </w:rPr>
              <w:t>尿素</w:t>
            </w:r>
            <w:r>
              <w:rPr>
                <w:sz w:val="24"/>
              </w:rPr>
              <w:t>用叉车人工卸料，整齐堆放到化工原料库指定位置，当制胶车间需用时再用叉车或手推车搬运至制胶车间指定位置。</w:t>
            </w:r>
            <w:r>
              <w:rPr>
                <w:rFonts w:hint="eastAsia"/>
                <w:sz w:val="24"/>
              </w:rPr>
              <w:t>外购的甲醛为37%浓度的水溶液，由专用槽车运到厂区后，经过滤器过滤，经吸料罐吸入甲醛储罐待用。当生产车间需要时，经电子秤称重后打入制胶车间反应釜，</w:t>
            </w:r>
            <w:r>
              <w:rPr>
                <w:sz w:val="24"/>
              </w:rPr>
              <w:t>当达到设定值时，电子计量秤发出信号停泵和关闭阀门</w:t>
            </w:r>
            <w:r>
              <w:rPr>
                <w:rFonts w:hint="eastAsia"/>
                <w:sz w:val="24"/>
              </w:rPr>
              <w:t>。尿素为普通化肥级尿素，购进的尿素均为袋装，小批量的待用品在车间投料处存放，直接通过投料斗投入反应釜内。甲醛使用时从甲醛储罐中定量加入反应釜。根据生产情况，溶解后投入反应釜。</w:t>
            </w:r>
          </w:p>
          <w:p>
            <w:pPr>
              <w:autoSpaceDE w:val="0"/>
              <w:autoSpaceDN w:val="0"/>
              <w:adjustRightInd w:val="0"/>
              <w:spacing w:line="360" w:lineRule="auto"/>
              <w:ind w:firstLine="480" w:firstLineChars="200"/>
              <w:rPr>
                <w:rFonts w:hAnsi="宋体"/>
                <w:sz w:val="24"/>
              </w:rPr>
            </w:pPr>
            <w:r>
              <w:rPr>
                <w:rFonts w:hAnsi="宋体"/>
                <w:sz w:val="24"/>
              </w:rPr>
              <w:t>甲醛打入反应釜用电子秤自动计量。电子秤采用设定重量，启动甲醛上料泵，到达设定值时发出信号停泵和关闭电动阀。</w:t>
            </w:r>
            <w:r>
              <w:rPr>
                <w:rFonts w:hint="eastAsia" w:hAnsi="宋体"/>
                <w:sz w:val="24"/>
              </w:rPr>
              <w:t>电子秤</w:t>
            </w:r>
            <w:r>
              <w:rPr>
                <w:rFonts w:hAnsi="宋体"/>
                <w:sz w:val="24"/>
              </w:rPr>
              <w:t>亦可累计、打印，亦可显示每锅胶产量。</w:t>
            </w:r>
          </w:p>
          <w:p>
            <w:pPr>
              <w:autoSpaceDE w:val="0"/>
              <w:autoSpaceDN w:val="0"/>
              <w:adjustRightInd w:val="0"/>
              <w:spacing w:line="360" w:lineRule="auto"/>
              <w:ind w:firstLine="482" w:firstLineChars="200"/>
              <w:rPr>
                <w:rFonts w:hAnsi="宋体"/>
                <w:b/>
                <w:sz w:val="24"/>
              </w:rPr>
            </w:pPr>
            <w:r>
              <w:rPr>
                <w:rFonts w:hint="eastAsia" w:ascii="宋体" w:hAnsi="宋体"/>
                <w:b/>
                <w:sz w:val="24"/>
              </w:rPr>
              <w:t>②反应釜中原料反应过程调控</w:t>
            </w:r>
          </w:p>
          <w:p>
            <w:pPr>
              <w:autoSpaceDE w:val="0"/>
              <w:autoSpaceDN w:val="0"/>
              <w:adjustRightInd w:val="0"/>
              <w:spacing w:line="360" w:lineRule="auto"/>
              <w:ind w:firstLine="480" w:firstLineChars="200"/>
              <w:rPr>
                <w:b/>
                <w:sz w:val="24"/>
              </w:rPr>
            </w:pPr>
            <w:r>
              <w:rPr>
                <w:sz w:val="24"/>
              </w:rPr>
              <w:t>反应时，各贮槽（罐）除现场配有浮球式液面计现场显示外，在制胶车间控制室的仪表盘上亦可显示各贮槽液位。碱液高位槽和冷却收集槽设有上下液位接点，可自动启、停</w:t>
            </w:r>
            <w:r>
              <w:rPr>
                <w:rFonts w:hint="eastAsia"/>
                <w:sz w:val="24"/>
              </w:rPr>
              <w:t>液</w:t>
            </w:r>
            <w:r>
              <w:rPr>
                <w:sz w:val="24"/>
              </w:rPr>
              <w:t>泵。</w:t>
            </w:r>
          </w:p>
          <w:p>
            <w:pPr>
              <w:autoSpaceDE w:val="0"/>
              <w:autoSpaceDN w:val="0"/>
              <w:adjustRightInd w:val="0"/>
              <w:spacing w:line="360" w:lineRule="auto"/>
              <w:ind w:firstLine="482" w:firstLineChars="200"/>
              <w:rPr>
                <w:sz w:val="24"/>
              </w:rPr>
            </w:pPr>
            <w:r>
              <w:rPr>
                <w:rFonts w:hint="eastAsia"/>
                <w:b/>
                <w:sz w:val="24"/>
              </w:rPr>
              <w:t>升温：</w:t>
            </w:r>
            <w:r>
              <w:rPr>
                <w:rFonts w:hint="eastAsia"/>
                <w:sz w:val="24"/>
              </w:rPr>
              <w:t>在反应釜中打开搅拌器，加入氢氧化钠溶液调整甲醛溶液的pH值呈弱碱性，并且投入第一批尿素，将反应釜升温至45</w:t>
            </w:r>
            <w:r>
              <w:rPr>
                <w:sz w:val="24"/>
              </w:rPr>
              <w:t>℃</w:t>
            </w:r>
            <w:r>
              <w:rPr>
                <w:rFonts w:hint="eastAsia"/>
                <w:sz w:val="24"/>
              </w:rPr>
              <w:t>，靠反应自身放热升温至90</w:t>
            </w:r>
            <w:r>
              <w:rPr>
                <w:sz w:val="24"/>
              </w:rPr>
              <w:t>℃</w:t>
            </w:r>
            <w:r>
              <w:rPr>
                <w:rFonts w:hint="eastAsia"/>
                <w:kern w:val="0"/>
                <w:sz w:val="24"/>
              </w:rPr>
              <w:t>左右。升温</w:t>
            </w:r>
            <w:r>
              <w:rPr>
                <w:rFonts w:hint="eastAsia"/>
                <w:sz w:val="24"/>
              </w:rPr>
              <w:t>时采用来自热油炉的导热油对其间接加热。</w:t>
            </w:r>
          </w:p>
          <w:p>
            <w:pPr>
              <w:autoSpaceDE w:val="0"/>
              <w:autoSpaceDN w:val="0"/>
              <w:adjustRightInd w:val="0"/>
              <w:spacing w:line="360" w:lineRule="auto"/>
              <w:ind w:firstLine="480" w:firstLineChars="200"/>
              <w:rPr>
                <w:sz w:val="24"/>
              </w:rPr>
            </w:pPr>
            <w:r>
              <w:rPr>
                <w:sz w:val="24"/>
              </w:rPr>
              <w:t>反应釜加热时，</w:t>
            </w:r>
            <w:r>
              <w:rPr>
                <w:rFonts w:hint="eastAsia"/>
                <w:sz w:val="24"/>
              </w:rPr>
              <w:t>关闭储存罐前端的阀门，打开冷凝回流器的回流阀门。</w:t>
            </w:r>
            <w:r>
              <w:rPr>
                <w:sz w:val="24"/>
              </w:rPr>
              <w:t>挥发出的甲醛和</w:t>
            </w:r>
            <w:r>
              <w:rPr>
                <w:rFonts w:hint="eastAsia"/>
                <w:sz w:val="24"/>
              </w:rPr>
              <w:t>水蒸气</w:t>
            </w:r>
            <w:r>
              <w:rPr>
                <w:sz w:val="24"/>
              </w:rPr>
              <w:t>，通过回流冷凝器冷凝后回流入反应釜。不凝缩气体通过抽风机抽至室外高空排放、扩散。</w:t>
            </w:r>
          </w:p>
          <w:p>
            <w:pPr>
              <w:autoSpaceDE w:val="0"/>
              <w:autoSpaceDN w:val="0"/>
              <w:adjustRightInd w:val="0"/>
              <w:spacing w:line="360" w:lineRule="auto"/>
              <w:ind w:firstLine="482" w:firstLineChars="200"/>
              <w:rPr>
                <w:sz w:val="24"/>
              </w:rPr>
            </w:pPr>
            <w:r>
              <w:rPr>
                <w:rFonts w:hint="eastAsia"/>
                <w:b/>
                <w:kern w:val="0"/>
                <w:sz w:val="24"/>
              </w:rPr>
              <w:t>保温：</w:t>
            </w:r>
            <w:r>
              <w:rPr>
                <w:rFonts w:hint="eastAsia"/>
                <w:kern w:val="0"/>
                <w:sz w:val="24"/>
              </w:rPr>
              <w:t>反应一定时间后，需对反应釜进行保温一段时间。保温的热能来自</w:t>
            </w:r>
            <w:r>
              <w:rPr>
                <w:rFonts w:hint="eastAsia"/>
                <w:sz w:val="24"/>
              </w:rPr>
              <w:t>热油炉的导热油对其间接加热</w:t>
            </w:r>
            <w:r>
              <w:rPr>
                <w:rFonts w:hint="eastAsia"/>
                <w:kern w:val="0"/>
                <w:sz w:val="24"/>
              </w:rPr>
              <w:t>。</w:t>
            </w:r>
          </w:p>
          <w:p>
            <w:pPr>
              <w:autoSpaceDE w:val="0"/>
              <w:autoSpaceDN w:val="0"/>
              <w:adjustRightInd w:val="0"/>
              <w:spacing w:line="360" w:lineRule="auto"/>
              <w:ind w:firstLine="482" w:firstLineChars="200"/>
              <w:rPr>
                <w:sz w:val="24"/>
              </w:rPr>
            </w:pPr>
            <w:r>
              <w:rPr>
                <w:rFonts w:hint="eastAsia"/>
                <w:b/>
                <w:kern w:val="0"/>
                <w:sz w:val="24"/>
              </w:rPr>
              <w:t>pH值呈弱酸性：</w:t>
            </w:r>
            <w:r>
              <w:rPr>
                <w:rFonts w:hint="eastAsia"/>
                <w:kern w:val="0"/>
                <w:sz w:val="24"/>
              </w:rPr>
              <w:t>加入氯化铵溶液调整反应液pH值呈弱酸性；</w:t>
            </w:r>
          </w:p>
          <w:p>
            <w:pPr>
              <w:autoSpaceDE w:val="0"/>
              <w:autoSpaceDN w:val="0"/>
              <w:adjustRightInd w:val="0"/>
              <w:spacing w:line="360" w:lineRule="auto"/>
              <w:ind w:firstLine="482" w:firstLineChars="200"/>
              <w:rPr>
                <w:sz w:val="24"/>
              </w:rPr>
            </w:pPr>
            <w:r>
              <w:rPr>
                <w:rFonts w:hint="eastAsia"/>
                <w:b/>
                <w:kern w:val="0"/>
                <w:sz w:val="24"/>
              </w:rPr>
              <w:t>pH值呈弱碱性：</w:t>
            </w:r>
            <w:r>
              <w:rPr>
                <w:rFonts w:hint="eastAsia"/>
                <w:kern w:val="0"/>
                <w:sz w:val="24"/>
              </w:rPr>
              <w:t>投入第二批尿素，继续反应达到要求后用氢氧化钠溶液调整反应液pH值呈弱碱性；</w:t>
            </w:r>
          </w:p>
          <w:p>
            <w:pPr>
              <w:autoSpaceDE w:val="0"/>
              <w:autoSpaceDN w:val="0"/>
              <w:adjustRightInd w:val="0"/>
              <w:spacing w:line="360" w:lineRule="auto"/>
              <w:ind w:firstLine="479" w:firstLineChars="199"/>
              <w:rPr>
                <w:kern w:val="0"/>
                <w:sz w:val="24"/>
              </w:rPr>
            </w:pPr>
            <w:r>
              <w:rPr>
                <w:rFonts w:hint="eastAsia"/>
                <w:b/>
                <w:kern w:val="0"/>
                <w:sz w:val="24"/>
              </w:rPr>
              <w:t>恒温：</w:t>
            </w:r>
            <w:r>
              <w:rPr>
                <w:rFonts w:hint="eastAsia"/>
                <w:kern w:val="0"/>
                <w:sz w:val="24"/>
              </w:rPr>
              <w:t>再投入第三批尿素，进行恒温一段时间；</w:t>
            </w:r>
            <w:r>
              <w:rPr>
                <w:sz w:val="24"/>
              </w:rPr>
              <w:t>恒温反应阶段采用加热、冷却自动控制，调节阀选用电动调节阀。</w:t>
            </w:r>
          </w:p>
          <w:p>
            <w:pPr>
              <w:autoSpaceDE w:val="0"/>
              <w:autoSpaceDN w:val="0"/>
              <w:adjustRightInd w:val="0"/>
              <w:spacing w:before="120" w:beforeLines="50" w:line="360" w:lineRule="auto"/>
              <w:ind w:firstLine="482" w:firstLineChars="200"/>
              <w:rPr>
                <w:rFonts w:ascii="宋体" w:hAnsi="宋体"/>
                <w:b/>
                <w:kern w:val="0"/>
                <w:sz w:val="24"/>
              </w:rPr>
            </w:pPr>
            <w:r>
              <w:rPr>
                <w:rFonts w:ascii="宋体" w:hAnsi="宋体"/>
                <w:b/>
                <w:kern w:val="0"/>
                <w:sz w:val="24"/>
              </w:rPr>
              <w:fldChar w:fldCharType="begin"/>
            </w:r>
            <w:r>
              <w:rPr>
                <w:rFonts w:ascii="宋体" w:hAnsi="宋体"/>
                <w:b/>
                <w:kern w:val="0"/>
                <w:sz w:val="24"/>
              </w:rPr>
              <w:instrText xml:space="preserve"> </w:instrText>
            </w:r>
            <w:r>
              <w:rPr>
                <w:rFonts w:hint="eastAsia" w:ascii="宋体" w:hAnsi="宋体"/>
                <w:b/>
                <w:kern w:val="0"/>
                <w:sz w:val="24"/>
              </w:rPr>
              <w:instrText xml:space="preserve">= 3 \* GB3</w:instrText>
            </w:r>
            <w:r>
              <w:rPr>
                <w:rFonts w:ascii="宋体" w:hAnsi="宋体"/>
                <w:b/>
                <w:kern w:val="0"/>
                <w:sz w:val="24"/>
              </w:rPr>
              <w:instrText xml:space="preserve"> </w:instrText>
            </w:r>
            <w:r>
              <w:rPr>
                <w:rFonts w:ascii="宋体" w:hAnsi="宋体"/>
                <w:b/>
                <w:kern w:val="0"/>
                <w:sz w:val="24"/>
              </w:rPr>
              <w:fldChar w:fldCharType="separate"/>
            </w:r>
            <w:r>
              <w:rPr>
                <w:rFonts w:hint="eastAsia" w:ascii="宋体" w:hAnsi="宋体"/>
                <w:b/>
                <w:kern w:val="0"/>
                <w:sz w:val="24"/>
              </w:rPr>
              <w:t>③</w:t>
            </w:r>
            <w:r>
              <w:rPr>
                <w:rFonts w:ascii="宋体" w:hAnsi="宋体"/>
                <w:b/>
                <w:kern w:val="0"/>
                <w:sz w:val="24"/>
              </w:rPr>
              <w:fldChar w:fldCharType="end"/>
            </w:r>
            <w:r>
              <w:rPr>
                <w:rFonts w:hint="eastAsia" w:ascii="宋体" w:hAnsi="宋体"/>
                <w:b/>
                <w:kern w:val="0"/>
                <w:sz w:val="24"/>
              </w:rPr>
              <w:t>反应釜反应完成后</w:t>
            </w:r>
          </w:p>
          <w:p>
            <w:pPr>
              <w:autoSpaceDE w:val="0"/>
              <w:autoSpaceDN w:val="0"/>
              <w:adjustRightInd w:val="0"/>
              <w:spacing w:line="360" w:lineRule="auto"/>
              <w:ind w:firstLine="482" w:firstLineChars="200"/>
              <w:rPr>
                <w:rFonts w:hAnsi="宋体"/>
                <w:sz w:val="24"/>
              </w:rPr>
            </w:pPr>
            <w:r>
              <w:rPr>
                <w:rFonts w:hint="eastAsia" w:ascii="宋体" w:hAnsi="宋体"/>
                <w:b/>
                <w:kern w:val="0"/>
                <w:sz w:val="24"/>
              </w:rPr>
              <w:t>储存罐：</w:t>
            </w:r>
            <w:r>
              <w:rPr>
                <w:rFonts w:hint="eastAsia" w:hAnsi="宋体"/>
                <w:sz w:val="24"/>
              </w:rPr>
              <w:t>反应完成后，关闭冷凝回收器的回流阀门，打开储存罐前端的阀门，通过真空泵抽取的脲醛树脂胶，在抽取过程中挥发出的少量甲醛气体，通过冷凝回收器冷凝回收挥发出的甲醛气体。</w:t>
            </w:r>
          </w:p>
          <w:p>
            <w:pPr>
              <w:autoSpaceDE w:val="0"/>
              <w:autoSpaceDN w:val="0"/>
              <w:adjustRightInd w:val="0"/>
              <w:spacing w:line="360" w:lineRule="auto"/>
              <w:ind w:firstLine="482" w:firstLineChars="200"/>
              <w:rPr>
                <w:rFonts w:ascii="宋体" w:hAnsi="宋体"/>
                <w:kern w:val="0"/>
                <w:sz w:val="24"/>
              </w:rPr>
            </w:pPr>
            <w:r>
              <w:rPr>
                <w:rFonts w:hint="eastAsia" w:ascii="宋体" w:hAnsi="宋体"/>
                <w:b/>
                <w:kern w:val="0"/>
                <w:sz w:val="24"/>
              </w:rPr>
              <w:t>检测：</w:t>
            </w:r>
            <w:r>
              <w:rPr>
                <w:rFonts w:hint="eastAsia" w:ascii="宋体" w:hAnsi="宋体"/>
                <w:kern w:val="0"/>
                <w:sz w:val="24"/>
              </w:rPr>
              <w:t>对达到要求的树脂胶进行取样检验，检验合格后的产品用管道放入指定的容器中。偶尔产生少量不合格的树脂胶，单独贮存小比例加入合格产品中一同使用。</w:t>
            </w:r>
          </w:p>
          <w:p>
            <w:pPr>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工艺流程及产污节点如下图：</w:t>
            </w:r>
          </w:p>
          <w:p>
            <w:pPr>
              <w:adjustRightInd w:val="0"/>
              <w:spacing w:before="120" w:beforeLines="50" w:line="360" w:lineRule="auto"/>
              <w:jc w:val="center"/>
              <w:rPr>
                <w:b/>
                <w:bCs/>
                <w:sz w:val="24"/>
              </w:rPr>
            </w:pPr>
            <w:r>
              <w:rPr>
                <w:rFonts w:hint="eastAsia"/>
                <w:b/>
                <w:bCs/>
                <w:sz w:val="24"/>
              </w:rPr>
              <w:object>
                <v:shape id="_x0000_i1026" o:spt="75" type="#_x0000_t75" style="height:370.05pt;width:334.05pt;" o:ole="t" filled="f" o:preferrelative="t" stroked="f" coordsize="21600,21600">
                  <v:path/>
                  <v:fill on="f" focussize="0,0"/>
                  <v:stroke on="f" joinstyle="miter"/>
                  <v:imagedata r:id="rId23" o:title=""/>
                  <o:lock v:ext="edit" aspectratio="f"/>
                  <w10:wrap type="none"/>
                  <w10:anchorlock/>
                </v:shape>
                <o:OLEObject Type="Embed" ProgID="Visio.Drawing.11" ShapeID="_x0000_i1026" DrawAspect="Content" ObjectID="_1468075726" r:id="rId22">
                  <o:LockedField>false</o:LockedField>
                </o:OLEObject>
              </w:object>
            </w:r>
          </w:p>
          <w:p>
            <w:pPr>
              <w:autoSpaceDE w:val="0"/>
              <w:autoSpaceDN w:val="0"/>
              <w:adjustRightInd w:val="0"/>
              <w:spacing w:line="360" w:lineRule="auto"/>
              <w:jc w:val="center"/>
              <w:rPr>
                <w:b/>
                <w:bCs/>
                <w:sz w:val="24"/>
              </w:rPr>
            </w:pPr>
            <w:r>
              <w:rPr>
                <w:rFonts w:hint="eastAsia"/>
                <w:b/>
                <w:bCs/>
                <w:sz w:val="24"/>
              </w:rPr>
              <w:t>图2-2  现有项目制胶工艺流程及产污节点图</w:t>
            </w:r>
          </w:p>
          <w:p>
            <w:pPr>
              <w:autoSpaceDE w:val="0"/>
              <w:autoSpaceDN w:val="0"/>
              <w:adjustRightInd w:val="0"/>
              <w:spacing w:before="120" w:beforeLines="50" w:line="360" w:lineRule="auto"/>
              <w:ind w:firstLine="482" w:firstLineChars="200"/>
              <w:rPr>
                <w:b/>
                <w:bCs/>
                <w:sz w:val="24"/>
              </w:rPr>
            </w:pPr>
            <w:r>
              <w:rPr>
                <w:rFonts w:hint="eastAsia"/>
                <w:b/>
                <w:bCs/>
                <w:sz w:val="24"/>
              </w:rPr>
              <w:t>3、现有项目主要设备</w:t>
            </w:r>
          </w:p>
          <w:p>
            <w:pPr>
              <w:widowControl/>
              <w:adjustRightInd w:val="0"/>
              <w:spacing w:line="360" w:lineRule="auto"/>
              <w:jc w:val="center"/>
              <w:rPr>
                <w:rFonts w:cs="宋体"/>
                <w:b/>
                <w:bCs/>
                <w:kern w:val="0"/>
                <w:sz w:val="24"/>
                <w:szCs w:val="20"/>
                <w:lang w:bidi="ar"/>
              </w:rPr>
            </w:pPr>
          </w:p>
          <w:p>
            <w:pPr>
              <w:widowControl/>
              <w:adjustRightInd w:val="0"/>
              <w:spacing w:before="120" w:beforeLines="50" w:line="360" w:lineRule="auto"/>
              <w:jc w:val="center"/>
              <w:rPr>
                <w:rFonts w:cs="宋体"/>
                <w:b/>
                <w:bCs/>
                <w:kern w:val="0"/>
                <w:sz w:val="24"/>
                <w:szCs w:val="20"/>
                <w:lang w:bidi="ar"/>
              </w:rPr>
            </w:pPr>
            <w:r>
              <w:rPr>
                <w:rFonts w:hint="eastAsia" w:cs="宋体"/>
                <w:b/>
                <w:bCs/>
                <w:kern w:val="0"/>
                <w:sz w:val="24"/>
                <w:szCs w:val="20"/>
                <w:lang w:bidi="ar"/>
              </w:rPr>
              <w:t>表2-2  现有项目主要生产设备一览表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6569"/>
              <w:gridCol w:w="989"/>
            </w:tblGrid>
            <w:tr>
              <w:tblPrEx>
                <w:tblCellMar>
                  <w:top w:w="0" w:type="dxa"/>
                  <w:left w:w="108" w:type="dxa"/>
                  <w:bottom w:w="0" w:type="dxa"/>
                  <w:right w:w="108" w:type="dxa"/>
                </w:tblCellMar>
              </w:tblPrEx>
              <w:trPr>
                <w:trHeight w:val="264" w:hRule="atLeast"/>
                <w:jc w:val="center"/>
              </w:trPr>
              <w:tc>
                <w:tcPr>
                  <w:tcW w:w="469" w:type="pct"/>
                  <w:vAlign w:val="center"/>
                </w:tcPr>
                <w:p>
                  <w:pPr>
                    <w:jc w:val="center"/>
                    <w:rPr>
                      <w:b/>
                      <w:szCs w:val="21"/>
                    </w:rPr>
                  </w:pPr>
                  <w:r>
                    <w:rPr>
                      <w:rFonts w:hint="eastAsia"/>
                      <w:b/>
                      <w:szCs w:val="21"/>
                    </w:rPr>
                    <w:t>序号</w:t>
                  </w:r>
                </w:p>
              </w:tc>
              <w:tc>
                <w:tcPr>
                  <w:tcW w:w="3938" w:type="pct"/>
                  <w:vAlign w:val="center"/>
                </w:tcPr>
                <w:p>
                  <w:pPr>
                    <w:jc w:val="center"/>
                    <w:rPr>
                      <w:b/>
                      <w:szCs w:val="21"/>
                    </w:rPr>
                  </w:pPr>
                  <w:r>
                    <w:rPr>
                      <w:rFonts w:hint="eastAsia"/>
                      <w:b/>
                      <w:szCs w:val="21"/>
                    </w:rPr>
                    <w:t>型号名称</w:t>
                  </w:r>
                </w:p>
              </w:tc>
              <w:tc>
                <w:tcPr>
                  <w:tcW w:w="593" w:type="pct"/>
                  <w:vAlign w:val="center"/>
                </w:tcPr>
                <w:p>
                  <w:pPr>
                    <w:jc w:val="center"/>
                    <w:rPr>
                      <w:b/>
                      <w:szCs w:val="21"/>
                    </w:rPr>
                  </w:pPr>
                  <w:r>
                    <w:rPr>
                      <w:rFonts w:hint="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w:t>
                  </w:r>
                </w:p>
              </w:tc>
              <w:tc>
                <w:tcPr>
                  <w:tcW w:w="3938" w:type="pct"/>
                  <w:vAlign w:val="center"/>
                </w:tcPr>
                <w:p>
                  <w:pPr>
                    <w:jc w:val="center"/>
                    <w:rPr>
                      <w:szCs w:val="21"/>
                    </w:rPr>
                  </w:pPr>
                  <w:r>
                    <w:rPr>
                      <w:rFonts w:hint="eastAsia"/>
                      <w:szCs w:val="21"/>
                    </w:rPr>
                    <w:t>BX2110削片机</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w:t>
                  </w:r>
                </w:p>
              </w:tc>
              <w:tc>
                <w:tcPr>
                  <w:tcW w:w="3938" w:type="pct"/>
                  <w:vAlign w:val="center"/>
                </w:tcPr>
                <w:p>
                  <w:pPr>
                    <w:jc w:val="center"/>
                    <w:rPr>
                      <w:szCs w:val="21"/>
                    </w:rPr>
                  </w:pPr>
                  <w:r>
                    <w:rPr>
                      <w:rFonts w:hint="eastAsia"/>
                      <w:szCs w:val="21"/>
                    </w:rPr>
                    <w:t>BX4612/5刨片机</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3</w:t>
                  </w:r>
                </w:p>
              </w:tc>
              <w:tc>
                <w:tcPr>
                  <w:tcW w:w="3938" w:type="pct"/>
                  <w:vAlign w:val="center"/>
                </w:tcPr>
                <w:p>
                  <w:pPr>
                    <w:jc w:val="center"/>
                    <w:rPr>
                      <w:szCs w:val="21"/>
                    </w:rPr>
                  </w:pPr>
                  <w:r>
                    <w:rPr>
                      <w:rFonts w:hint="eastAsia"/>
                      <w:szCs w:val="21"/>
                    </w:rPr>
                    <w:t>皮带运输机</w:t>
                  </w:r>
                </w:p>
              </w:tc>
              <w:tc>
                <w:tcPr>
                  <w:tcW w:w="593" w:type="pct"/>
                  <w:vAlign w:val="center"/>
                </w:tcPr>
                <w:p>
                  <w:pPr>
                    <w:jc w:val="center"/>
                    <w:rPr>
                      <w:szCs w:val="21"/>
                    </w:rPr>
                  </w:pPr>
                  <w:r>
                    <w:rPr>
                      <w:rFonts w:hint="eastAsia"/>
                      <w:szCs w:val="21"/>
                    </w:rPr>
                    <w:t>12台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4</w:t>
                  </w:r>
                </w:p>
              </w:tc>
              <w:tc>
                <w:tcPr>
                  <w:tcW w:w="3938" w:type="pct"/>
                  <w:vAlign w:val="center"/>
                </w:tcPr>
                <w:p>
                  <w:pPr>
                    <w:jc w:val="center"/>
                    <w:rPr>
                      <w:szCs w:val="21"/>
                    </w:rPr>
                  </w:pPr>
                  <w:r>
                    <w:rPr>
                      <w:rFonts w:hint="eastAsia"/>
                      <w:szCs w:val="21"/>
                    </w:rPr>
                    <w:t>BG2329内转子式干燥机、BG2130外转子式干燥机</w:t>
                  </w:r>
                </w:p>
              </w:tc>
              <w:tc>
                <w:tcPr>
                  <w:tcW w:w="593" w:type="pct"/>
                  <w:vAlign w:val="center"/>
                </w:tcPr>
                <w:p>
                  <w:pPr>
                    <w:jc w:val="center"/>
                    <w:rPr>
                      <w:szCs w:val="21"/>
                    </w:rPr>
                  </w:pPr>
                  <w:r>
                    <w:rPr>
                      <w:rFonts w:hint="eastAsia"/>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5</w:t>
                  </w:r>
                </w:p>
              </w:tc>
              <w:tc>
                <w:tcPr>
                  <w:tcW w:w="3938" w:type="pct"/>
                  <w:vAlign w:val="center"/>
                </w:tcPr>
                <w:p>
                  <w:pPr>
                    <w:jc w:val="center"/>
                    <w:rPr>
                      <w:szCs w:val="21"/>
                    </w:rPr>
                  </w:pPr>
                  <w:r>
                    <w:rPr>
                      <w:rFonts w:hint="eastAsia"/>
                      <w:szCs w:val="21"/>
                    </w:rPr>
                    <w:t>BF1208振动筛</w:t>
                  </w:r>
                </w:p>
              </w:tc>
              <w:tc>
                <w:tcPr>
                  <w:tcW w:w="593" w:type="pct"/>
                  <w:vAlign w:val="center"/>
                </w:tcPr>
                <w:p>
                  <w:pPr>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6</w:t>
                  </w:r>
                </w:p>
              </w:tc>
              <w:tc>
                <w:tcPr>
                  <w:tcW w:w="3938" w:type="pct"/>
                  <w:vAlign w:val="center"/>
                </w:tcPr>
                <w:p>
                  <w:pPr>
                    <w:jc w:val="center"/>
                    <w:rPr>
                      <w:szCs w:val="21"/>
                    </w:rPr>
                  </w:pPr>
                  <w:r>
                    <w:rPr>
                      <w:rFonts w:hint="eastAsia"/>
                      <w:szCs w:val="21"/>
                    </w:rPr>
                    <w:t>BX568筛环式打磨机</w:t>
                  </w:r>
                </w:p>
              </w:tc>
              <w:tc>
                <w:tcPr>
                  <w:tcW w:w="593" w:type="pct"/>
                  <w:vAlign w:val="center"/>
                </w:tcPr>
                <w:p>
                  <w:pPr>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7</w:t>
                  </w:r>
                </w:p>
              </w:tc>
              <w:tc>
                <w:tcPr>
                  <w:tcW w:w="3938" w:type="pct"/>
                  <w:vAlign w:val="center"/>
                </w:tcPr>
                <w:p>
                  <w:pPr>
                    <w:jc w:val="center"/>
                    <w:rPr>
                      <w:szCs w:val="21"/>
                    </w:rPr>
                  </w:pPr>
                  <w:r>
                    <w:rPr>
                      <w:rFonts w:hint="eastAsia"/>
                      <w:szCs w:val="21"/>
                    </w:rPr>
                    <w:t>螺旋运输机</w:t>
                  </w:r>
                </w:p>
              </w:tc>
              <w:tc>
                <w:tcPr>
                  <w:tcW w:w="593" w:type="pct"/>
                  <w:vAlign w:val="center"/>
                </w:tcPr>
                <w:p>
                  <w:pPr>
                    <w:jc w:val="center"/>
                    <w:rPr>
                      <w:szCs w:val="21"/>
                    </w:rPr>
                  </w:pPr>
                  <w:r>
                    <w:rPr>
                      <w:rFonts w:hint="eastAsia"/>
                      <w:szCs w:val="21"/>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8</w:t>
                  </w:r>
                </w:p>
              </w:tc>
              <w:tc>
                <w:tcPr>
                  <w:tcW w:w="3938" w:type="pct"/>
                  <w:vAlign w:val="center"/>
                </w:tcPr>
                <w:p>
                  <w:pPr>
                    <w:jc w:val="center"/>
                    <w:rPr>
                      <w:szCs w:val="21"/>
                    </w:rPr>
                  </w:pPr>
                  <w:r>
                    <w:rPr>
                      <w:rFonts w:hint="eastAsia"/>
                      <w:szCs w:val="21"/>
                    </w:rPr>
                    <w:t>BS123表层拌胶机、BS125芯层拌胶机</w:t>
                  </w:r>
                </w:p>
              </w:tc>
              <w:tc>
                <w:tcPr>
                  <w:tcW w:w="593" w:type="pct"/>
                  <w:vAlign w:val="center"/>
                </w:tcPr>
                <w:p>
                  <w:pPr>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9</w:t>
                  </w:r>
                </w:p>
              </w:tc>
              <w:tc>
                <w:tcPr>
                  <w:tcW w:w="3938" w:type="pct"/>
                  <w:vAlign w:val="center"/>
                </w:tcPr>
                <w:p>
                  <w:pPr>
                    <w:jc w:val="center"/>
                    <w:rPr>
                      <w:szCs w:val="21"/>
                    </w:rPr>
                  </w:pPr>
                  <w:r>
                    <w:rPr>
                      <w:rFonts w:hint="eastAsia"/>
                      <w:szCs w:val="21"/>
                    </w:rPr>
                    <w:t>BP3213芯层铺装机、BP3113表层铺装机</w:t>
                  </w:r>
                </w:p>
              </w:tc>
              <w:tc>
                <w:tcPr>
                  <w:tcW w:w="593" w:type="pct"/>
                  <w:vAlign w:val="center"/>
                </w:tcPr>
                <w:p>
                  <w:pPr>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10</w:t>
                  </w:r>
                </w:p>
              </w:tc>
              <w:tc>
                <w:tcPr>
                  <w:tcW w:w="3938" w:type="pct"/>
                  <w:vAlign w:val="center"/>
                </w:tcPr>
                <w:p>
                  <w:pPr>
                    <w:jc w:val="center"/>
                    <w:rPr>
                      <w:szCs w:val="21"/>
                    </w:rPr>
                  </w:pPr>
                  <w:r>
                    <w:rPr>
                      <w:rFonts w:hint="eastAsia"/>
                      <w:szCs w:val="21"/>
                    </w:rPr>
                    <w:t>BY8314/6预压机</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11</w:t>
                  </w:r>
                </w:p>
              </w:tc>
              <w:tc>
                <w:tcPr>
                  <w:tcW w:w="3938" w:type="pct"/>
                  <w:vAlign w:val="center"/>
                </w:tcPr>
                <w:p>
                  <w:pPr>
                    <w:widowControl/>
                    <w:jc w:val="center"/>
                    <w:textAlignment w:val="center"/>
                    <w:rPr>
                      <w:rFonts w:cs="宋体"/>
                      <w:szCs w:val="22"/>
                    </w:rPr>
                  </w:pPr>
                  <w:r>
                    <w:rPr>
                      <w:rFonts w:hint="eastAsia" w:cs="宋体"/>
                      <w:kern w:val="0"/>
                      <w:szCs w:val="22"/>
                      <w:lang w:bidi="ar"/>
                    </w:rPr>
                    <w:t>BC3324纵横锯边机</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12</w:t>
                  </w:r>
                </w:p>
              </w:tc>
              <w:tc>
                <w:tcPr>
                  <w:tcW w:w="3938" w:type="pct"/>
                  <w:vAlign w:val="center"/>
                </w:tcPr>
                <w:p>
                  <w:pPr>
                    <w:widowControl/>
                    <w:jc w:val="center"/>
                    <w:textAlignment w:val="center"/>
                    <w:rPr>
                      <w:rFonts w:cs="宋体"/>
                      <w:szCs w:val="22"/>
                    </w:rPr>
                  </w:pPr>
                  <w:r>
                    <w:rPr>
                      <w:rFonts w:hint="eastAsia" w:cs="宋体"/>
                      <w:kern w:val="0"/>
                      <w:szCs w:val="22"/>
                      <w:lang w:bidi="ar"/>
                    </w:rPr>
                    <w:t>板坯运输机</w:t>
                  </w:r>
                </w:p>
              </w:tc>
              <w:tc>
                <w:tcPr>
                  <w:tcW w:w="593" w:type="pct"/>
                  <w:vAlign w:val="center"/>
                </w:tcPr>
                <w:p>
                  <w:pPr>
                    <w:jc w:val="center"/>
                    <w:rPr>
                      <w:szCs w:val="21"/>
                    </w:rPr>
                  </w:pPr>
                  <w:r>
                    <w:rPr>
                      <w:rFonts w:hint="eastAsia"/>
                      <w:szCs w:val="21"/>
                    </w:rPr>
                    <w:t>12台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13</w:t>
                  </w:r>
                </w:p>
              </w:tc>
              <w:tc>
                <w:tcPr>
                  <w:tcW w:w="3938" w:type="pct"/>
                  <w:vAlign w:val="center"/>
                </w:tcPr>
                <w:p>
                  <w:pPr>
                    <w:jc w:val="center"/>
                    <w:rPr>
                      <w:szCs w:val="21"/>
                    </w:rPr>
                  </w:pPr>
                  <w:r>
                    <w:rPr>
                      <w:rFonts w:hint="eastAsia"/>
                      <w:szCs w:val="21"/>
                    </w:rPr>
                    <w:t>装板机</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14</w:t>
                  </w:r>
                </w:p>
              </w:tc>
              <w:tc>
                <w:tcPr>
                  <w:tcW w:w="3938" w:type="pct"/>
                  <w:vAlign w:val="center"/>
                </w:tcPr>
                <w:p>
                  <w:pPr>
                    <w:jc w:val="center"/>
                    <w:rPr>
                      <w:szCs w:val="21"/>
                    </w:rPr>
                  </w:pPr>
                  <w:r>
                    <w:rPr>
                      <w:rFonts w:hint="eastAsia"/>
                      <w:szCs w:val="21"/>
                    </w:rPr>
                    <w:t>BY124X8/12(12)热压机</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15</w:t>
                  </w:r>
                </w:p>
              </w:tc>
              <w:tc>
                <w:tcPr>
                  <w:tcW w:w="3938" w:type="pct"/>
                  <w:vAlign w:val="center"/>
                </w:tcPr>
                <w:p>
                  <w:pPr>
                    <w:jc w:val="center"/>
                    <w:rPr>
                      <w:szCs w:val="21"/>
                    </w:rPr>
                  </w:pPr>
                  <w:r>
                    <w:rPr>
                      <w:rFonts w:hint="eastAsia"/>
                      <w:szCs w:val="21"/>
                    </w:rPr>
                    <w:t>卸板机</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16</w:t>
                  </w:r>
                </w:p>
              </w:tc>
              <w:tc>
                <w:tcPr>
                  <w:tcW w:w="3938" w:type="pct"/>
                  <w:vAlign w:val="center"/>
                </w:tcPr>
                <w:p>
                  <w:pPr>
                    <w:jc w:val="center"/>
                    <w:rPr>
                      <w:szCs w:val="21"/>
                    </w:rPr>
                  </w:pPr>
                  <w:r>
                    <w:rPr>
                      <w:rFonts w:hint="eastAsia"/>
                      <w:szCs w:val="21"/>
                    </w:rPr>
                    <w:t>BF124X8/48X2冷却翻板机</w:t>
                  </w:r>
                </w:p>
              </w:tc>
              <w:tc>
                <w:tcPr>
                  <w:tcW w:w="593" w:type="pct"/>
                  <w:vAlign w:val="center"/>
                </w:tcPr>
                <w:p>
                  <w:pPr>
                    <w:jc w:val="center"/>
                    <w:rPr>
                      <w:szCs w:val="21"/>
                    </w:rPr>
                  </w:pPr>
                  <w:r>
                    <w:rPr>
                      <w:rFonts w:hint="eastAsia"/>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17</w:t>
                  </w:r>
                </w:p>
              </w:tc>
              <w:tc>
                <w:tcPr>
                  <w:tcW w:w="3938" w:type="pct"/>
                  <w:vMerge w:val="restart"/>
                  <w:vAlign w:val="center"/>
                </w:tcPr>
                <w:p>
                  <w:pPr>
                    <w:jc w:val="center"/>
                    <w:rPr>
                      <w:szCs w:val="21"/>
                    </w:rPr>
                  </w:pPr>
                  <w:r>
                    <w:rPr>
                      <w:rFonts w:hint="eastAsia"/>
                      <w:szCs w:val="21"/>
                    </w:rPr>
                    <w:t>BC3413纵横齐边锯</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18</w:t>
                  </w:r>
                </w:p>
              </w:tc>
              <w:tc>
                <w:tcPr>
                  <w:tcW w:w="3938" w:type="pct"/>
                  <w:vMerge w:val="continue"/>
                  <w:vAlign w:val="center"/>
                </w:tcPr>
                <w:p>
                  <w:pPr>
                    <w:jc w:val="center"/>
                    <w:rPr>
                      <w:szCs w:val="21"/>
                    </w:rPr>
                  </w:pP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19</w:t>
                  </w:r>
                </w:p>
              </w:tc>
              <w:tc>
                <w:tcPr>
                  <w:tcW w:w="3938" w:type="pct"/>
                  <w:vAlign w:val="center"/>
                </w:tcPr>
                <w:p>
                  <w:pPr>
                    <w:jc w:val="center"/>
                    <w:rPr>
                      <w:szCs w:val="21"/>
                    </w:rPr>
                  </w:pPr>
                  <w:r>
                    <w:rPr>
                      <w:rFonts w:hint="eastAsia"/>
                      <w:szCs w:val="21"/>
                    </w:rPr>
                    <w:t>砂光机</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20</w:t>
                  </w:r>
                </w:p>
              </w:tc>
              <w:tc>
                <w:tcPr>
                  <w:tcW w:w="3938" w:type="pct"/>
                  <w:vAlign w:val="center"/>
                </w:tcPr>
                <w:p>
                  <w:pPr>
                    <w:jc w:val="center"/>
                    <w:rPr>
                      <w:szCs w:val="21"/>
                    </w:rPr>
                  </w:pPr>
                  <w:r>
                    <w:rPr>
                      <w:rFonts w:hint="eastAsia"/>
                      <w:szCs w:val="21"/>
                    </w:rPr>
                    <w:t>运送传送装置</w:t>
                  </w:r>
                </w:p>
              </w:tc>
              <w:tc>
                <w:tcPr>
                  <w:tcW w:w="593" w:type="pct"/>
                  <w:vAlign w:val="center"/>
                </w:tcPr>
                <w:p>
                  <w:pPr>
                    <w:jc w:val="center"/>
                    <w:rPr>
                      <w:szCs w:val="21"/>
                    </w:rPr>
                  </w:pPr>
                  <w:r>
                    <w:rPr>
                      <w:rFonts w:hint="eastAsia"/>
                      <w:szCs w:val="21"/>
                    </w:rPr>
                    <w:t>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21</w:t>
                  </w:r>
                </w:p>
              </w:tc>
              <w:tc>
                <w:tcPr>
                  <w:tcW w:w="3938" w:type="pct"/>
                  <w:vAlign w:val="center"/>
                </w:tcPr>
                <w:p>
                  <w:pPr>
                    <w:jc w:val="center"/>
                    <w:rPr>
                      <w:szCs w:val="21"/>
                    </w:rPr>
                  </w:pPr>
                  <w:r>
                    <w:rPr>
                      <w:rFonts w:hint="eastAsia"/>
                      <w:szCs w:val="21"/>
                    </w:rPr>
                    <w:t>螺杆空压机</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22</w:t>
                  </w:r>
                </w:p>
              </w:tc>
              <w:tc>
                <w:tcPr>
                  <w:tcW w:w="3938" w:type="pct"/>
                  <w:vAlign w:val="center"/>
                </w:tcPr>
                <w:p>
                  <w:pPr>
                    <w:jc w:val="center"/>
                    <w:rPr>
                      <w:szCs w:val="21"/>
                    </w:rPr>
                  </w:pPr>
                  <w:r>
                    <w:rPr>
                      <w:rFonts w:hint="eastAsia"/>
                      <w:szCs w:val="21"/>
                    </w:rPr>
                    <w:t>料仓</w:t>
                  </w:r>
                </w:p>
              </w:tc>
              <w:tc>
                <w:tcPr>
                  <w:tcW w:w="593" w:type="pct"/>
                  <w:vAlign w:val="center"/>
                </w:tcPr>
                <w:p>
                  <w:pPr>
                    <w:jc w:val="center"/>
                    <w:rPr>
                      <w:szCs w:val="21"/>
                    </w:rPr>
                  </w:pPr>
                  <w:r>
                    <w:rPr>
                      <w:rFonts w:hint="eastAsia"/>
                      <w:szCs w:val="21"/>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23</w:t>
                  </w:r>
                </w:p>
              </w:tc>
              <w:tc>
                <w:tcPr>
                  <w:tcW w:w="3938" w:type="pct"/>
                  <w:vAlign w:val="center"/>
                </w:tcPr>
                <w:p>
                  <w:pPr>
                    <w:jc w:val="center"/>
                    <w:rPr>
                      <w:szCs w:val="21"/>
                    </w:rPr>
                  </w:pPr>
                  <w:r>
                    <w:rPr>
                      <w:szCs w:val="21"/>
                    </w:rPr>
                    <w:t>7t/h</w:t>
                  </w:r>
                  <w:r>
                    <w:rPr>
                      <w:rFonts w:hint="eastAsia"/>
                      <w:szCs w:val="21"/>
                    </w:rPr>
                    <w:t>导热油锅炉1台，锅炉型号：Y</w:t>
                  </w:r>
                  <w:r>
                    <w:rPr>
                      <w:szCs w:val="21"/>
                    </w:rPr>
                    <w:t>GW-4600</w:t>
                  </w:r>
                  <w:r>
                    <w:rPr>
                      <w:rFonts w:hint="eastAsia"/>
                      <w:szCs w:val="21"/>
                    </w:rPr>
                    <w:t>，额定热功率4</w:t>
                  </w:r>
                  <w:r>
                    <w:rPr>
                      <w:szCs w:val="21"/>
                    </w:rPr>
                    <w:t>600KW</w:t>
                  </w:r>
                  <w:r>
                    <w:rPr>
                      <w:rFonts w:hint="eastAsia"/>
                      <w:szCs w:val="21"/>
                    </w:rPr>
                    <w:t>（4</w:t>
                  </w:r>
                  <w:r>
                    <w:rPr>
                      <w:szCs w:val="21"/>
                    </w:rPr>
                    <w:t>.6MW</w:t>
                  </w:r>
                  <w:r>
                    <w:rPr>
                      <w:rFonts w:hint="eastAsia"/>
                      <w:szCs w:val="21"/>
                    </w:rPr>
                    <w:t>），额定压力</w:t>
                  </w:r>
                  <w:r>
                    <w:rPr>
                      <w:szCs w:val="21"/>
                    </w:rPr>
                    <w:t>0.7MP</w:t>
                  </w:r>
                  <w:r>
                    <w:rPr>
                      <w:rFonts w:hint="eastAsia"/>
                      <w:szCs w:val="21"/>
                    </w:rPr>
                    <w:t>a，最高工作温度2</w:t>
                  </w:r>
                  <w:r>
                    <w:rPr>
                      <w:szCs w:val="21"/>
                    </w:rPr>
                    <w:t>00</w:t>
                  </w:r>
                  <w:r>
                    <w:rPr>
                      <w:rFonts w:hint="eastAsia"/>
                      <w:szCs w:val="21"/>
                    </w:rPr>
                    <w:t>℃，系统回流温度1</w:t>
                  </w:r>
                  <w:r>
                    <w:rPr>
                      <w:szCs w:val="21"/>
                    </w:rPr>
                    <w:t>60</w:t>
                  </w:r>
                  <w:r>
                    <w:rPr>
                      <w:rFonts w:hint="eastAsia"/>
                      <w:szCs w:val="21"/>
                    </w:rPr>
                    <w:t>℃。</w:t>
                  </w:r>
                </w:p>
              </w:tc>
              <w:tc>
                <w:tcPr>
                  <w:tcW w:w="593" w:type="pct"/>
                  <w:vAlign w:val="center"/>
                </w:tcPr>
                <w:p>
                  <w:pPr>
                    <w:jc w:val="center"/>
                    <w:rPr>
                      <w:szCs w:val="21"/>
                    </w:rPr>
                  </w:pPr>
                  <w:r>
                    <w:rPr>
                      <w:rFonts w:hint="eastAsia"/>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24</w:t>
                  </w:r>
                </w:p>
              </w:tc>
              <w:tc>
                <w:tcPr>
                  <w:tcW w:w="3938" w:type="pct"/>
                  <w:vAlign w:val="center"/>
                </w:tcPr>
                <w:p>
                  <w:pPr>
                    <w:jc w:val="center"/>
                    <w:rPr>
                      <w:szCs w:val="21"/>
                    </w:rPr>
                  </w:pPr>
                  <w:r>
                    <w:rPr>
                      <w:rFonts w:hint="eastAsia"/>
                      <w:szCs w:val="21"/>
                    </w:rPr>
                    <w:t>制胶设备</w:t>
                  </w:r>
                </w:p>
              </w:tc>
              <w:tc>
                <w:tcPr>
                  <w:tcW w:w="593" w:type="pct"/>
                  <w:vAlign w:val="center"/>
                </w:tcPr>
                <w:p>
                  <w:pPr>
                    <w:jc w:val="center"/>
                    <w:rPr>
                      <w:szCs w:val="21"/>
                    </w:rPr>
                  </w:pPr>
                  <w:r>
                    <w:rPr>
                      <w:rFonts w:hint="eastAsia"/>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25</w:t>
                  </w:r>
                </w:p>
              </w:tc>
              <w:tc>
                <w:tcPr>
                  <w:tcW w:w="3938" w:type="pct"/>
                  <w:vAlign w:val="center"/>
                </w:tcPr>
                <w:p>
                  <w:pPr>
                    <w:jc w:val="center"/>
                    <w:rPr>
                      <w:szCs w:val="21"/>
                    </w:rPr>
                  </w:pPr>
                  <w:r>
                    <w:rPr>
                      <w:rFonts w:hint="eastAsia"/>
                      <w:szCs w:val="21"/>
                    </w:rPr>
                    <w:t>石蜡乳化装置</w:t>
                  </w:r>
                </w:p>
              </w:tc>
              <w:tc>
                <w:tcPr>
                  <w:tcW w:w="593" w:type="pct"/>
                  <w:vAlign w:val="center"/>
                </w:tcPr>
                <w:p>
                  <w:pPr>
                    <w:jc w:val="center"/>
                    <w:rPr>
                      <w:szCs w:val="21"/>
                    </w:rPr>
                  </w:pPr>
                  <w:r>
                    <w:rPr>
                      <w:rFonts w:hint="eastAsia"/>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26</w:t>
                  </w:r>
                </w:p>
              </w:tc>
              <w:tc>
                <w:tcPr>
                  <w:tcW w:w="3938" w:type="pct"/>
                  <w:vAlign w:val="center"/>
                </w:tcPr>
                <w:p>
                  <w:pPr>
                    <w:jc w:val="center"/>
                    <w:rPr>
                      <w:szCs w:val="21"/>
                    </w:rPr>
                  </w:pPr>
                  <w:r>
                    <w:rPr>
                      <w:rFonts w:hint="eastAsia"/>
                      <w:szCs w:val="21"/>
                    </w:rPr>
                    <w:t>分析化验设备</w:t>
                  </w:r>
                </w:p>
              </w:tc>
              <w:tc>
                <w:tcPr>
                  <w:tcW w:w="593" w:type="pct"/>
                  <w:vAlign w:val="center"/>
                </w:tcPr>
                <w:p>
                  <w:pPr>
                    <w:jc w:val="center"/>
                    <w:rPr>
                      <w:szCs w:val="21"/>
                    </w:rPr>
                  </w:pPr>
                  <w:r>
                    <w:rPr>
                      <w:rFonts w:hint="eastAsia"/>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27</w:t>
                  </w:r>
                </w:p>
              </w:tc>
              <w:tc>
                <w:tcPr>
                  <w:tcW w:w="3938" w:type="pct"/>
                  <w:vAlign w:val="center"/>
                </w:tcPr>
                <w:p>
                  <w:pPr>
                    <w:jc w:val="center"/>
                    <w:rPr>
                      <w:szCs w:val="21"/>
                    </w:rPr>
                  </w:pPr>
                  <w:r>
                    <w:rPr>
                      <w:rFonts w:hint="eastAsia"/>
                      <w:szCs w:val="21"/>
                    </w:rPr>
                    <w:t>旋风除尘装置</w:t>
                  </w:r>
                </w:p>
              </w:tc>
              <w:tc>
                <w:tcPr>
                  <w:tcW w:w="593" w:type="pct"/>
                  <w:vAlign w:val="center"/>
                </w:tcPr>
                <w:p>
                  <w:pPr>
                    <w:jc w:val="center"/>
                    <w:rPr>
                      <w:szCs w:val="21"/>
                    </w:rPr>
                  </w:pPr>
                  <w:r>
                    <w:rPr>
                      <w:rFonts w:hint="eastAsia"/>
                      <w:szCs w:val="21"/>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28</w:t>
                  </w:r>
                </w:p>
              </w:tc>
              <w:tc>
                <w:tcPr>
                  <w:tcW w:w="3938" w:type="pct"/>
                  <w:vAlign w:val="center"/>
                </w:tcPr>
                <w:p>
                  <w:pPr>
                    <w:jc w:val="center"/>
                    <w:rPr>
                      <w:szCs w:val="21"/>
                    </w:rPr>
                  </w:pPr>
                  <w:r>
                    <w:rPr>
                      <w:rFonts w:hint="eastAsia"/>
                      <w:szCs w:val="21"/>
                    </w:rPr>
                    <w:t>旋风除尘+布袋除尘装置</w:t>
                  </w:r>
                </w:p>
              </w:tc>
              <w:tc>
                <w:tcPr>
                  <w:tcW w:w="593" w:type="pct"/>
                  <w:vAlign w:val="center"/>
                </w:tcPr>
                <w:p>
                  <w:pPr>
                    <w:jc w:val="center"/>
                    <w:rPr>
                      <w:szCs w:val="21"/>
                    </w:rPr>
                  </w:pPr>
                  <w:r>
                    <w:rPr>
                      <w:rFonts w:hint="eastAsia"/>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29</w:t>
                  </w:r>
                </w:p>
              </w:tc>
              <w:tc>
                <w:tcPr>
                  <w:tcW w:w="3938" w:type="pct"/>
                  <w:vAlign w:val="center"/>
                </w:tcPr>
                <w:p>
                  <w:pPr>
                    <w:jc w:val="center"/>
                    <w:rPr>
                      <w:szCs w:val="21"/>
                    </w:rPr>
                  </w:pPr>
                  <w:r>
                    <w:rPr>
                      <w:rFonts w:hint="eastAsia"/>
                      <w:szCs w:val="21"/>
                    </w:rPr>
                    <w:t>叉车</w:t>
                  </w:r>
                </w:p>
              </w:tc>
              <w:tc>
                <w:tcPr>
                  <w:tcW w:w="593" w:type="pct"/>
                  <w:vAlign w:val="center"/>
                </w:tcPr>
                <w:p>
                  <w:pPr>
                    <w:jc w:val="center"/>
                    <w:rPr>
                      <w:szCs w:val="21"/>
                    </w:rPr>
                  </w:pPr>
                  <w:r>
                    <w:rPr>
                      <w:rFonts w:hint="eastAsia"/>
                      <w:szCs w:val="21"/>
                    </w:rPr>
                    <w:t>2辆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69" w:type="pct"/>
                  <w:vAlign w:val="center"/>
                </w:tcPr>
                <w:p>
                  <w:pPr>
                    <w:jc w:val="center"/>
                    <w:rPr>
                      <w:szCs w:val="21"/>
                    </w:rPr>
                  </w:pPr>
                  <w:r>
                    <w:rPr>
                      <w:rFonts w:hint="eastAsia"/>
                      <w:szCs w:val="21"/>
                    </w:rPr>
                    <w:t>30</w:t>
                  </w:r>
                </w:p>
              </w:tc>
              <w:tc>
                <w:tcPr>
                  <w:tcW w:w="3938" w:type="pct"/>
                  <w:vAlign w:val="center"/>
                </w:tcPr>
                <w:p>
                  <w:pPr>
                    <w:jc w:val="center"/>
                    <w:rPr>
                      <w:szCs w:val="21"/>
                    </w:rPr>
                  </w:pPr>
                  <w:r>
                    <w:rPr>
                      <w:rFonts w:hint="eastAsia"/>
                      <w:szCs w:val="21"/>
                    </w:rPr>
                    <w:t>污水处理站以及氧化塔</w:t>
                  </w:r>
                </w:p>
              </w:tc>
              <w:tc>
                <w:tcPr>
                  <w:tcW w:w="593" w:type="pct"/>
                  <w:vAlign w:val="center"/>
                </w:tcPr>
                <w:p>
                  <w:pPr>
                    <w:jc w:val="center"/>
                    <w:rPr>
                      <w:szCs w:val="21"/>
                    </w:rPr>
                  </w:pPr>
                  <w:r>
                    <w:rPr>
                      <w:rFonts w:hint="eastAsia"/>
                      <w:szCs w:val="21"/>
                    </w:rPr>
                    <w:t>1套</w:t>
                  </w:r>
                </w:p>
              </w:tc>
            </w:tr>
          </w:tbl>
          <w:p>
            <w:pPr>
              <w:adjustRightInd w:val="0"/>
              <w:spacing w:before="120" w:beforeLines="50" w:line="360" w:lineRule="auto"/>
              <w:ind w:firstLine="482" w:firstLineChars="200"/>
              <w:rPr>
                <w:b/>
                <w:bCs/>
                <w:sz w:val="24"/>
              </w:rPr>
            </w:pPr>
            <w:r>
              <w:rPr>
                <w:rFonts w:hint="eastAsia"/>
                <w:b/>
                <w:bCs/>
                <w:sz w:val="24"/>
              </w:rPr>
              <w:t>4、现有项目主要原辅材料、能源消耗情况</w:t>
            </w:r>
          </w:p>
          <w:p>
            <w:pPr>
              <w:adjustRightInd w:val="0"/>
              <w:spacing w:line="360" w:lineRule="auto"/>
              <w:ind w:firstLine="480" w:firstLineChars="200"/>
              <w:rPr>
                <w:sz w:val="24"/>
              </w:rPr>
            </w:pPr>
            <w:r>
              <w:rPr>
                <w:rFonts w:hint="eastAsia"/>
                <w:sz w:val="24"/>
              </w:rPr>
              <w:t>现有项目主要年产5万立方米木质刨花板，主要原辅料及能源消耗情况见下表。</w:t>
            </w:r>
          </w:p>
          <w:p>
            <w:pPr>
              <w:adjustRightInd w:val="0"/>
              <w:spacing w:before="120" w:beforeLines="50" w:line="360" w:lineRule="auto"/>
              <w:jc w:val="center"/>
              <w:rPr>
                <w:b/>
                <w:bCs/>
                <w:sz w:val="24"/>
              </w:rPr>
            </w:pPr>
            <w:r>
              <w:rPr>
                <w:rFonts w:hint="eastAsia"/>
                <w:b/>
                <w:bCs/>
                <w:sz w:val="24"/>
              </w:rPr>
              <w:t>表2-3  现有项目原辅用料一览表</w:t>
            </w:r>
          </w:p>
          <w:tbl>
            <w:tblPr>
              <w:tblStyle w:val="32"/>
              <w:tblW w:w="7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486"/>
              <w:gridCol w:w="1069"/>
              <w:gridCol w:w="1402"/>
              <w:gridCol w:w="3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trPr>
              <w:tc>
                <w:tcPr>
                  <w:tcW w:w="709" w:type="dxa"/>
                  <w:vAlign w:val="center"/>
                </w:tcPr>
                <w:p>
                  <w:pPr>
                    <w:widowControl/>
                    <w:adjustRightInd w:val="0"/>
                    <w:rPr>
                      <w:b/>
                      <w:szCs w:val="21"/>
                    </w:rPr>
                  </w:pPr>
                  <w:r>
                    <w:rPr>
                      <w:rFonts w:hAnsi="宋体"/>
                      <w:b/>
                      <w:szCs w:val="21"/>
                    </w:rPr>
                    <w:t>序号</w:t>
                  </w:r>
                </w:p>
              </w:tc>
              <w:tc>
                <w:tcPr>
                  <w:tcW w:w="1486" w:type="dxa"/>
                  <w:vAlign w:val="center"/>
                </w:tcPr>
                <w:p>
                  <w:pPr>
                    <w:widowControl/>
                    <w:adjustRightInd w:val="0"/>
                    <w:jc w:val="center"/>
                    <w:rPr>
                      <w:b/>
                      <w:szCs w:val="21"/>
                    </w:rPr>
                  </w:pPr>
                  <w:r>
                    <w:rPr>
                      <w:rFonts w:hAnsi="宋体"/>
                      <w:b/>
                      <w:szCs w:val="21"/>
                    </w:rPr>
                    <w:t>名称</w:t>
                  </w:r>
                </w:p>
              </w:tc>
              <w:tc>
                <w:tcPr>
                  <w:tcW w:w="1069" w:type="dxa"/>
                  <w:vAlign w:val="center"/>
                </w:tcPr>
                <w:p>
                  <w:pPr>
                    <w:widowControl/>
                    <w:adjustRightInd w:val="0"/>
                    <w:jc w:val="center"/>
                    <w:rPr>
                      <w:rFonts w:hAnsi="宋体"/>
                      <w:b/>
                      <w:bCs/>
                      <w:szCs w:val="21"/>
                    </w:rPr>
                  </w:pPr>
                  <w:r>
                    <w:rPr>
                      <w:rFonts w:hint="eastAsia" w:hAnsi="宋体"/>
                      <w:b/>
                      <w:bCs/>
                      <w:szCs w:val="21"/>
                    </w:rPr>
                    <w:t>厂区存储量（</w:t>
                  </w:r>
                  <w:r>
                    <w:rPr>
                      <w:rFonts w:hint="eastAsia"/>
                      <w:b/>
                      <w:bCs/>
                      <w:szCs w:val="21"/>
                    </w:rPr>
                    <w:t>t</w:t>
                  </w:r>
                  <w:r>
                    <w:rPr>
                      <w:rFonts w:hint="eastAsia" w:hAnsi="宋体"/>
                      <w:b/>
                      <w:bCs/>
                      <w:szCs w:val="21"/>
                    </w:rPr>
                    <w:t>）</w:t>
                  </w:r>
                </w:p>
              </w:tc>
              <w:tc>
                <w:tcPr>
                  <w:tcW w:w="1402" w:type="dxa"/>
                  <w:vAlign w:val="center"/>
                </w:tcPr>
                <w:p>
                  <w:pPr>
                    <w:widowControl/>
                    <w:adjustRightInd w:val="0"/>
                    <w:jc w:val="center"/>
                    <w:rPr>
                      <w:b/>
                      <w:bCs/>
                      <w:szCs w:val="21"/>
                    </w:rPr>
                  </w:pPr>
                  <w:r>
                    <w:rPr>
                      <w:rFonts w:hAnsi="宋体"/>
                      <w:b/>
                      <w:bCs/>
                      <w:szCs w:val="21"/>
                    </w:rPr>
                    <w:t>年需求量</w:t>
                  </w:r>
                  <w:r>
                    <w:rPr>
                      <w:rFonts w:hint="eastAsia" w:hAnsi="宋体"/>
                      <w:b/>
                      <w:bCs/>
                      <w:szCs w:val="21"/>
                    </w:rPr>
                    <w:t>（</w:t>
                  </w:r>
                  <w:r>
                    <w:rPr>
                      <w:rFonts w:hint="eastAsia"/>
                      <w:b/>
                      <w:bCs/>
                      <w:szCs w:val="21"/>
                    </w:rPr>
                    <w:t>t/a</w:t>
                  </w:r>
                  <w:r>
                    <w:rPr>
                      <w:rFonts w:hint="eastAsia" w:hAnsi="宋体"/>
                      <w:b/>
                      <w:bCs/>
                      <w:szCs w:val="21"/>
                    </w:rPr>
                    <w:t>）</w:t>
                  </w:r>
                </w:p>
              </w:tc>
              <w:tc>
                <w:tcPr>
                  <w:tcW w:w="3235" w:type="dxa"/>
                  <w:vAlign w:val="center"/>
                </w:tcPr>
                <w:p>
                  <w:pPr>
                    <w:widowControl/>
                    <w:adjustRightInd w:val="0"/>
                    <w:jc w:val="center"/>
                    <w:rPr>
                      <w:b/>
                      <w:szCs w:val="21"/>
                    </w:rPr>
                  </w:pPr>
                  <w:r>
                    <w:rPr>
                      <w:rFonts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09" w:type="dxa"/>
                  <w:vAlign w:val="center"/>
                </w:tcPr>
                <w:p>
                  <w:pPr>
                    <w:widowControl/>
                    <w:adjustRightInd w:val="0"/>
                    <w:jc w:val="center"/>
                    <w:rPr>
                      <w:szCs w:val="21"/>
                    </w:rPr>
                  </w:pPr>
                  <w:r>
                    <w:rPr>
                      <w:rFonts w:hint="eastAsia"/>
                      <w:szCs w:val="21"/>
                    </w:rPr>
                    <w:t>1</w:t>
                  </w:r>
                </w:p>
              </w:tc>
              <w:tc>
                <w:tcPr>
                  <w:tcW w:w="1486" w:type="dxa"/>
                  <w:vAlign w:val="center"/>
                </w:tcPr>
                <w:p>
                  <w:pPr>
                    <w:adjustRightInd w:val="0"/>
                    <w:jc w:val="center"/>
                    <w:rPr>
                      <w:rFonts w:hAnsi="宋体"/>
                      <w:szCs w:val="21"/>
                    </w:rPr>
                  </w:pPr>
                  <w:r>
                    <w:rPr>
                      <w:rFonts w:hint="eastAsia" w:ascii="宋体" w:hAnsi="宋体"/>
                      <w:szCs w:val="21"/>
                    </w:rPr>
                    <w:t>木屑、刨花、枝桠材等</w:t>
                  </w:r>
                </w:p>
              </w:tc>
              <w:tc>
                <w:tcPr>
                  <w:tcW w:w="1069" w:type="dxa"/>
                  <w:vAlign w:val="center"/>
                </w:tcPr>
                <w:p>
                  <w:pPr>
                    <w:widowControl/>
                    <w:adjustRightInd w:val="0"/>
                    <w:jc w:val="center"/>
                    <w:rPr>
                      <w:szCs w:val="21"/>
                    </w:rPr>
                  </w:pPr>
                  <w:r>
                    <w:rPr>
                      <w:rFonts w:hint="eastAsia"/>
                      <w:szCs w:val="21"/>
                    </w:rPr>
                    <w:t>1000</w:t>
                  </w:r>
                </w:p>
              </w:tc>
              <w:tc>
                <w:tcPr>
                  <w:tcW w:w="1402" w:type="dxa"/>
                  <w:vAlign w:val="center"/>
                </w:tcPr>
                <w:p>
                  <w:pPr>
                    <w:widowControl/>
                    <w:adjustRightInd w:val="0"/>
                    <w:jc w:val="center"/>
                    <w:rPr>
                      <w:szCs w:val="21"/>
                    </w:rPr>
                  </w:pPr>
                  <w:r>
                    <w:rPr>
                      <w:rFonts w:hint="eastAsia"/>
                      <w:szCs w:val="21"/>
                    </w:rPr>
                    <w:t>50000</w:t>
                  </w:r>
                </w:p>
              </w:tc>
              <w:tc>
                <w:tcPr>
                  <w:tcW w:w="3235" w:type="dxa"/>
                  <w:vAlign w:val="center"/>
                </w:tcPr>
                <w:p>
                  <w:pPr>
                    <w:widowControl/>
                    <w:adjustRightInd w:val="0"/>
                    <w:jc w:val="center"/>
                    <w:rPr>
                      <w:szCs w:val="21"/>
                    </w:rPr>
                  </w:pPr>
                  <w:r>
                    <w:rPr>
                      <w:rFonts w:hint="eastAsia" w:hAnsi="宋体"/>
                      <w:szCs w:val="21"/>
                    </w:rPr>
                    <w:t>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09" w:type="dxa"/>
                  <w:vAlign w:val="center"/>
                </w:tcPr>
                <w:p>
                  <w:pPr>
                    <w:widowControl/>
                    <w:adjustRightInd w:val="0"/>
                    <w:jc w:val="center"/>
                    <w:rPr>
                      <w:szCs w:val="21"/>
                    </w:rPr>
                  </w:pPr>
                  <w:r>
                    <w:rPr>
                      <w:rFonts w:hint="eastAsia"/>
                      <w:szCs w:val="21"/>
                    </w:rPr>
                    <w:t>2</w:t>
                  </w:r>
                </w:p>
              </w:tc>
              <w:tc>
                <w:tcPr>
                  <w:tcW w:w="1486" w:type="dxa"/>
                  <w:vAlign w:val="center"/>
                </w:tcPr>
                <w:p>
                  <w:pPr>
                    <w:adjustRightInd w:val="0"/>
                    <w:jc w:val="center"/>
                    <w:rPr>
                      <w:rFonts w:hAnsi="宋体"/>
                      <w:szCs w:val="21"/>
                    </w:rPr>
                  </w:pPr>
                  <w:r>
                    <w:rPr>
                      <w:rFonts w:hAnsi="宋体"/>
                      <w:szCs w:val="21"/>
                    </w:rPr>
                    <w:t>尿素</w:t>
                  </w:r>
                </w:p>
              </w:tc>
              <w:tc>
                <w:tcPr>
                  <w:tcW w:w="1069" w:type="dxa"/>
                  <w:vAlign w:val="center"/>
                </w:tcPr>
                <w:p>
                  <w:pPr>
                    <w:adjustRightInd w:val="0"/>
                    <w:jc w:val="center"/>
                    <w:rPr>
                      <w:szCs w:val="21"/>
                    </w:rPr>
                  </w:pPr>
                  <w:r>
                    <w:rPr>
                      <w:rFonts w:hint="eastAsia"/>
                      <w:szCs w:val="21"/>
                    </w:rPr>
                    <w:t>50</w:t>
                  </w:r>
                </w:p>
              </w:tc>
              <w:tc>
                <w:tcPr>
                  <w:tcW w:w="1402" w:type="dxa"/>
                  <w:vAlign w:val="center"/>
                </w:tcPr>
                <w:p>
                  <w:pPr>
                    <w:adjustRightInd w:val="0"/>
                    <w:jc w:val="center"/>
                    <w:rPr>
                      <w:szCs w:val="21"/>
                    </w:rPr>
                  </w:pPr>
                  <w:r>
                    <w:rPr>
                      <w:rFonts w:hint="eastAsia"/>
                      <w:szCs w:val="21"/>
                    </w:rPr>
                    <w:t>2400</w:t>
                  </w:r>
                </w:p>
              </w:tc>
              <w:tc>
                <w:tcPr>
                  <w:tcW w:w="3235" w:type="dxa"/>
                  <w:vAlign w:val="center"/>
                </w:tcPr>
                <w:p>
                  <w:pPr>
                    <w:adjustRightInd w:val="0"/>
                    <w:jc w:val="center"/>
                    <w:rPr>
                      <w:szCs w:val="21"/>
                    </w:rPr>
                  </w:pPr>
                  <w:r>
                    <w:rPr>
                      <w:rFonts w:hint="eastAsia" w:hAnsi="宋体"/>
                      <w:szCs w:val="21"/>
                    </w:rPr>
                    <w:t>存储于制胶生产线旁，最大</w:t>
                  </w:r>
                  <w:r>
                    <w:rPr>
                      <w:rFonts w:hAnsi="宋体"/>
                      <w:szCs w:val="21"/>
                    </w:rPr>
                    <w:t>储存量为</w:t>
                  </w:r>
                  <w:r>
                    <w:rPr>
                      <w:rFonts w:hint="eastAsia"/>
                      <w:szCs w:val="21"/>
                    </w:rPr>
                    <w:t>30</w:t>
                  </w:r>
                  <w:r>
                    <w:rPr>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709" w:type="dxa"/>
                  <w:vAlign w:val="center"/>
                </w:tcPr>
                <w:p>
                  <w:pPr>
                    <w:widowControl/>
                    <w:adjustRightInd w:val="0"/>
                    <w:jc w:val="center"/>
                    <w:rPr>
                      <w:szCs w:val="21"/>
                    </w:rPr>
                  </w:pPr>
                  <w:r>
                    <w:rPr>
                      <w:rFonts w:hint="eastAsia"/>
                      <w:szCs w:val="21"/>
                    </w:rPr>
                    <w:t>3</w:t>
                  </w:r>
                </w:p>
              </w:tc>
              <w:tc>
                <w:tcPr>
                  <w:tcW w:w="1486" w:type="dxa"/>
                  <w:vAlign w:val="center"/>
                </w:tcPr>
                <w:p>
                  <w:pPr>
                    <w:adjustRightInd w:val="0"/>
                    <w:jc w:val="center"/>
                    <w:rPr>
                      <w:szCs w:val="21"/>
                    </w:rPr>
                  </w:pPr>
                  <w:r>
                    <w:rPr>
                      <w:rFonts w:hAnsi="宋体"/>
                      <w:szCs w:val="21"/>
                    </w:rPr>
                    <w:t>甲醛</w:t>
                  </w:r>
                </w:p>
              </w:tc>
              <w:tc>
                <w:tcPr>
                  <w:tcW w:w="1069" w:type="dxa"/>
                  <w:vAlign w:val="center"/>
                </w:tcPr>
                <w:p>
                  <w:pPr>
                    <w:adjustRightInd w:val="0"/>
                    <w:jc w:val="center"/>
                    <w:rPr>
                      <w:szCs w:val="21"/>
                    </w:rPr>
                  </w:pPr>
                  <w:r>
                    <w:rPr>
                      <w:rFonts w:hint="eastAsia"/>
                      <w:szCs w:val="21"/>
                    </w:rPr>
                    <w:t>11</w:t>
                  </w:r>
                </w:p>
              </w:tc>
              <w:tc>
                <w:tcPr>
                  <w:tcW w:w="1402" w:type="dxa"/>
                  <w:vAlign w:val="center"/>
                </w:tcPr>
                <w:p>
                  <w:pPr>
                    <w:adjustRightInd w:val="0"/>
                    <w:jc w:val="center"/>
                    <w:rPr>
                      <w:szCs w:val="21"/>
                    </w:rPr>
                  </w:pPr>
                  <w:r>
                    <w:rPr>
                      <w:rFonts w:hint="eastAsia"/>
                      <w:szCs w:val="21"/>
                    </w:rPr>
                    <w:t>3300</w:t>
                  </w:r>
                </w:p>
              </w:tc>
              <w:tc>
                <w:tcPr>
                  <w:tcW w:w="3235" w:type="dxa"/>
                  <w:vAlign w:val="center"/>
                </w:tcPr>
                <w:p>
                  <w:pPr>
                    <w:adjustRightInd w:val="0"/>
                    <w:jc w:val="center"/>
                    <w:rPr>
                      <w:szCs w:val="21"/>
                    </w:rPr>
                  </w:pPr>
                  <w:r>
                    <w:rPr>
                      <w:rFonts w:hint="eastAsia" w:hAnsi="宋体"/>
                      <w:szCs w:val="21"/>
                    </w:rPr>
                    <w:t>外购，甲醛厂商直接运输至项目内，并存储于甲醛储罐内，最大</w:t>
                  </w:r>
                  <w:r>
                    <w:rPr>
                      <w:rFonts w:hAnsi="宋体"/>
                      <w:szCs w:val="21"/>
                    </w:rPr>
                    <w:t>储存量为</w:t>
                  </w:r>
                  <w:r>
                    <w:rPr>
                      <w:rFonts w:hint="eastAsia"/>
                      <w:szCs w:val="21"/>
                    </w:rPr>
                    <w:t>30</w:t>
                  </w:r>
                  <w:r>
                    <w:rPr>
                      <w:szCs w:val="21"/>
                    </w:rPr>
                    <w:t>t</w:t>
                  </w:r>
                  <w:r>
                    <w:rPr>
                      <w:rFonts w:hint="eastAsia"/>
                      <w:szCs w:val="21"/>
                    </w:rPr>
                    <w:t>，浓度为</w:t>
                  </w:r>
                  <w:r>
                    <w:rPr>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09" w:type="dxa"/>
                  <w:vAlign w:val="center"/>
                </w:tcPr>
                <w:p>
                  <w:pPr>
                    <w:widowControl/>
                    <w:adjustRightInd w:val="0"/>
                    <w:jc w:val="center"/>
                    <w:rPr>
                      <w:szCs w:val="21"/>
                    </w:rPr>
                  </w:pPr>
                  <w:r>
                    <w:rPr>
                      <w:rFonts w:hint="eastAsia"/>
                      <w:szCs w:val="21"/>
                    </w:rPr>
                    <w:t>4</w:t>
                  </w:r>
                </w:p>
              </w:tc>
              <w:tc>
                <w:tcPr>
                  <w:tcW w:w="1486" w:type="dxa"/>
                  <w:vAlign w:val="center"/>
                </w:tcPr>
                <w:p>
                  <w:pPr>
                    <w:adjustRightInd w:val="0"/>
                    <w:jc w:val="center"/>
                    <w:rPr>
                      <w:szCs w:val="21"/>
                    </w:rPr>
                  </w:pPr>
                  <w:r>
                    <w:rPr>
                      <w:rFonts w:hAnsi="宋体"/>
                      <w:szCs w:val="21"/>
                    </w:rPr>
                    <w:t>氢氧化钠</w:t>
                  </w:r>
                </w:p>
              </w:tc>
              <w:tc>
                <w:tcPr>
                  <w:tcW w:w="1069" w:type="dxa"/>
                  <w:vAlign w:val="center"/>
                </w:tcPr>
                <w:p>
                  <w:pPr>
                    <w:adjustRightInd w:val="0"/>
                    <w:jc w:val="center"/>
                    <w:rPr>
                      <w:szCs w:val="21"/>
                    </w:rPr>
                  </w:pPr>
                  <w:r>
                    <w:rPr>
                      <w:rFonts w:hint="eastAsia"/>
                      <w:szCs w:val="21"/>
                    </w:rPr>
                    <w:t>0.025</w:t>
                  </w:r>
                </w:p>
              </w:tc>
              <w:tc>
                <w:tcPr>
                  <w:tcW w:w="1402" w:type="dxa"/>
                  <w:vAlign w:val="center"/>
                </w:tcPr>
                <w:p>
                  <w:pPr>
                    <w:adjustRightInd w:val="0"/>
                    <w:jc w:val="center"/>
                    <w:rPr>
                      <w:szCs w:val="21"/>
                    </w:rPr>
                  </w:pPr>
                  <w:r>
                    <w:rPr>
                      <w:rFonts w:hint="eastAsia"/>
                      <w:szCs w:val="21"/>
                    </w:rPr>
                    <w:t>0.3</w:t>
                  </w:r>
                </w:p>
              </w:tc>
              <w:tc>
                <w:tcPr>
                  <w:tcW w:w="3235" w:type="dxa"/>
                  <w:vAlign w:val="center"/>
                </w:tcPr>
                <w:p>
                  <w:pPr>
                    <w:adjustRightInd w:val="0"/>
                    <w:jc w:val="center"/>
                    <w:rPr>
                      <w:szCs w:val="21"/>
                    </w:rPr>
                  </w:pPr>
                  <w:r>
                    <w:rPr>
                      <w:rFonts w:hint="eastAsia" w:hAnsi="宋体"/>
                      <w:szCs w:val="21"/>
                    </w:rPr>
                    <w:t>袋装的片状</w:t>
                  </w:r>
                  <w:r>
                    <w:rPr>
                      <w:rFonts w:hAnsi="宋体"/>
                      <w:szCs w:val="21"/>
                    </w:rPr>
                    <w:t>氢氧化钠</w:t>
                  </w:r>
                  <w:r>
                    <w:rPr>
                      <w:rFonts w:hint="eastAsia" w:hAnsi="宋体"/>
                      <w:szCs w:val="21"/>
                    </w:rPr>
                    <w:t>，储存量为1袋，每袋</w:t>
                  </w:r>
                  <w:r>
                    <w:rPr>
                      <w:rFonts w:hAnsi="宋体"/>
                      <w:szCs w:val="21"/>
                    </w:rPr>
                    <w:t>25</w:t>
                  </w:r>
                  <w:r>
                    <w:rPr>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09" w:type="dxa"/>
                  <w:vAlign w:val="center"/>
                </w:tcPr>
                <w:p>
                  <w:pPr>
                    <w:widowControl/>
                    <w:adjustRightInd w:val="0"/>
                    <w:jc w:val="center"/>
                    <w:rPr>
                      <w:szCs w:val="21"/>
                    </w:rPr>
                  </w:pPr>
                  <w:r>
                    <w:rPr>
                      <w:rFonts w:hint="eastAsia"/>
                      <w:szCs w:val="21"/>
                    </w:rPr>
                    <w:t>5</w:t>
                  </w:r>
                </w:p>
              </w:tc>
              <w:tc>
                <w:tcPr>
                  <w:tcW w:w="1486" w:type="dxa"/>
                  <w:vAlign w:val="center"/>
                </w:tcPr>
                <w:p>
                  <w:pPr>
                    <w:adjustRightInd w:val="0"/>
                    <w:jc w:val="center"/>
                    <w:rPr>
                      <w:szCs w:val="21"/>
                    </w:rPr>
                  </w:pPr>
                  <w:r>
                    <w:rPr>
                      <w:rFonts w:hAnsi="宋体"/>
                      <w:szCs w:val="21"/>
                    </w:rPr>
                    <w:t>甲酸</w:t>
                  </w:r>
                </w:p>
              </w:tc>
              <w:tc>
                <w:tcPr>
                  <w:tcW w:w="1069" w:type="dxa"/>
                  <w:vAlign w:val="center"/>
                </w:tcPr>
                <w:p>
                  <w:pPr>
                    <w:adjustRightInd w:val="0"/>
                    <w:jc w:val="center"/>
                    <w:rPr>
                      <w:szCs w:val="21"/>
                    </w:rPr>
                  </w:pPr>
                  <w:r>
                    <w:rPr>
                      <w:rFonts w:hint="eastAsia"/>
                      <w:szCs w:val="21"/>
                    </w:rPr>
                    <w:t>0.02</w:t>
                  </w:r>
                </w:p>
              </w:tc>
              <w:tc>
                <w:tcPr>
                  <w:tcW w:w="1402" w:type="dxa"/>
                  <w:vAlign w:val="center"/>
                </w:tcPr>
                <w:p>
                  <w:pPr>
                    <w:adjustRightInd w:val="0"/>
                    <w:jc w:val="center"/>
                    <w:rPr>
                      <w:szCs w:val="21"/>
                    </w:rPr>
                  </w:pPr>
                  <w:r>
                    <w:rPr>
                      <w:rFonts w:hint="eastAsia"/>
                      <w:szCs w:val="21"/>
                    </w:rPr>
                    <w:t>0.3</w:t>
                  </w:r>
                </w:p>
              </w:tc>
              <w:tc>
                <w:tcPr>
                  <w:tcW w:w="3235" w:type="dxa"/>
                  <w:vAlign w:val="center"/>
                </w:tcPr>
                <w:p>
                  <w:pPr>
                    <w:adjustRightInd w:val="0"/>
                    <w:jc w:val="center"/>
                    <w:rPr>
                      <w:szCs w:val="21"/>
                    </w:rPr>
                  </w:pPr>
                  <w:r>
                    <w:rPr>
                      <w:rFonts w:hAnsi="宋体"/>
                      <w:szCs w:val="21"/>
                    </w:rPr>
                    <w:t>采用专门的</w:t>
                  </w:r>
                  <w:r>
                    <w:rPr>
                      <w:rFonts w:hint="eastAsia" w:hAnsi="宋体"/>
                      <w:szCs w:val="21"/>
                    </w:rPr>
                    <w:t>甲酸储存</w:t>
                  </w:r>
                  <w:r>
                    <w:rPr>
                      <w:rFonts w:hAnsi="宋体"/>
                      <w:szCs w:val="21"/>
                    </w:rPr>
                    <w:t>容器储存</w:t>
                  </w:r>
                  <w:r>
                    <w:rPr>
                      <w:rFonts w:hint="eastAsia" w:hAnsi="宋体"/>
                      <w:szCs w:val="21"/>
                    </w:rPr>
                    <w:t>，每桶5kg，共4桶20kg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09" w:type="dxa"/>
                  <w:vAlign w:val="center"/>
                </w:tcPr>
                <w:p>
                  <w:pPr>
                    <w:widowControl/>
                    <w:adjustRightInd w:val="0"/>
                    <w:jc w:val="center"/>
                    <w:rPr>
                      <w:szCs w:val="21"/>
                    </w:rPr>
                  </w:pPr>
                  <w:r>
                    <w:rPr>
                      <w:rFonts w:hint="eastAsia"/>
                      <w:szCs w:val="21"/>
                    </w:rPr>
                    <w:t>6</w:t>
                  </w:r>
                </w:p>
              </w:tc>
              <w:tc>
                <w:tcPr>
                  <w:tcW w:w="1486" w:type="dxa"/>
                  <w:vAlign w:val="center"/>
                </w:tcPr>
                <w:p>
                  <w:pPr>
                    <w:adjustRightInd w:val="0"/>
                    <w:jc w:val="center"/>
                    <w:rPr>
                      <w:rFonts w:hAnsi="宋体"/>
                      <w:szCs w:val="21"/>
                    </w:rPr>
                  </w:pPr>
                  <w:r>
                    <w:rPr>
                      <w:rFonts w:hint="eastAsia" w:hAnsi="宋体"/>
                      <w:szCs w:val="21"/>
                    </w:rPr>
                    <w:t>导热油</w:t>
                  </w:r>
                </w:p>
              </w:tc>
              <w:tc>
                <w:tcPr>
                  <w:tcW w:w="1069" w:type="dxa"/>
                  <w:vAlign w:val="center"/>
                </w:tcPr>
                <w:p>
                  <w:pPr>
                    <w:adjustRightInd w:val="0"/>
                    <w:jc w:val="center"/>
                    <w:rPr>
                      <w:szCs w:val="21"/>
                    </w:rPr>
                  </w:pPr>
                  <w:r>
                    <w:rPr>
                      <w:rFonts w:hint="eastAsia"/>
                      <w:szCs w:val="21"/>
                    </w:rPr>
                    <w:t>8</w:t>
                  </w:r>
                </w:p>
              </w:tc>
              <w:tc>
                <w:tcPr>
                  <w:tcW w:w="1402" w:type="dxa"/>
                  <w:vAlign w:val="center"/>
                </w:tcPr>
                <w:p>
                  <w:pPr>
                    <w:adjustRightInd w:val="0"/>
                    <w:jc w:val="center"/>
                    <w:rPr>
                      <w:szCs w:val="21"/>
                    </w:rPr>
                  </w:pPr>
                  <w:r>
                    <w:rPr>
                      <w:szCs w:val="21"/>
                    </w:rPr>
                    <w:t>1</w:t>
                  </w:r>
                </w:p>
              </w:tc>
              <w:tc>
                <w:tcPr>
                  <w:tcW w:w="3235" w:type="dxa"/>
                  <w:vAlign w:val="center"/>
                </w:tcPr>
                <w:p>
                  <w:pPr>
                    <w:adjustRightInd w:val="0"/>
                    <w:jc w:val="center"/>
                    <w:rPr>
                      <w:rFonts w:hAnsi="宋体"/>
                      <w:szCs w:val="21"/>
                    </w:rPr>
                  </w:pPr>
                  <w:r>
                    <w:rPr>
                      <w:rFonts w:hint="eastAsia" w:hAnsi="宋体"/>
                      <w:szCs w:val="21"/>
                    </w:rPr>
                    <w:t>存储于锅炉配套导热油槽</w:t>
                  </w:r>
                </w:p>
              </w:tc>
            </w:tr>
          </w:tbl>
          <w:p>
            <w:pPr>
              <w:adjustRightInd w:val="0"/>
              <w:spacing w:before="120" w:beforeLines="50" w:line="360" w:lineRule="auto"/>
              <w:jc w:val="center"/>
              <w:rPr>
                <w:b/>
                <w:bCs/>
                <w:sz w:val="24"/>
              </w:rPr>
            </w:pPr>
            <w:r>
              <w:rPr>
                <w:rFonts w:hint="eastAsia"/>
                <w:b/>
                <w:bCs/>
                <w:sz w:val="24"/>
              </w:rPr>
              <w:t>表2-</w:t>
            </w:r>
            <w:r>
              <w:rPr>
                <w:b/>
                <w:bCs/>
                <w:sz w:val="24"/>
              </w:rPr>
              <w:t>4</w:t>
            </w:r>
            <w:r>
              <w:rPr>
                <w:rFonts w:hint="eastAsia"/>
                <w:b/>
                <w:bCs/>
                <w:sz w:val="24"/>
              </w:rPr>
              <w:t xml:space="preserve">  主要能源消耗情况一览表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128"/>
              <w:gridCol w:w="1693"/>
              <w:gridCol w:w="4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widowControl/>
                    <w:adjustRightInd w:val="0"/>
                    <w:jc w:val="center"/>
                    <w:rPr>
                      <w:b/>
                      <w:szCs w:val="21"/>
                    </w:rPr>
                  </w:pPr>
                  <w:r>
                    <w:rPr>
                      <w:rFonts w:hAnsi="宋体"/>
                      <w:b/>
                      <w:szCs w:val="21"/>
                    </w:rPr>
                    <w:t>序号</w:t>
                  </w:r>
                </w:p>
              </w:tc>
              <w:tc>
                <w:tcPr>
                  <w:tcW w:w="676" w:type="pct"/>
                  <w:vAlign w:val="center"/>
                </w:tcPr>
                <w:p>
                  <w:pPr>
                    <w:widowControl/>
                    <w:adjustRightInd w:val="0"/>
                    <w:jc w:val="center"/>
                    <w:rPr>
                      <w:b/>
                      <w:szCs w:val="21"/>
                    </w:rPr>
                  </w:pPr>
                  <w:r>
                    <w:rPr>
                      <w:rFonts w:hAnsi="宋体"/>
                      <w:b/>
                      <w:szCs w:val="21"/>
                    </w:rPr>
                    <w:t>名称</w:t>
                  </w:r>
                </w:p>
              </w:tc>
              <w:tc>
                <w:tcPr>
                  <w:tcW w:w="1015" w:type="pct"/>
                  <w:vAlign w:val="center"/>
                </w:tcPr>
                <w:p>
                  <w:pPr>
                    <w:widowControl/>
                    <w:adjustRightInd w:val="0"/>
                    <w:jc w:val="center"/>
                    <w:rPr>
                      <w:b/>
                      <w:bCs/>
                      <w:szCs w:val="21"/>
                    </w:rPr>
                  </w:pPr>
                  <w:r>
                    <w:rPr>
                      <w:rFonts w:hAnsi="宋体"/>
                      <w:b/>
                      <w:bCs/>
                      <w:szCs w:val="21"/>
                    </w:rPr>
                    <w:t>年需求量</w:t>
                  </w:r>
                  <w:r>
                    <w:rPr>
                      <w:rFonts w:hint="eastAsia" w:hAnsi="宋体"/>
                      <w:b/>
                      <w:bCs/>
                      <w:szCs w:val="21"/>
                    </w:rPr>
                    <w:t>（</w:t>
                  </w:r>
                  <w:r>
                    <w:rPr>
                      <w:rFonts w:hint="eastAsia"/>
                      <w:b/>
                      <w:bCs/>
                      <w:szCs w:val="21"/>
                    </w:rPr>
                    <w:t>t/a</w:t>
                  </w:r>
                  <w:r>
                    <w:rPr>
                      <w:rFonts w:hint="eastAsia" w:hAnsi="宋体"/>
                      <w:b/>
                      <w:bCs/>
                      <w:szCs w:val="21"/>
                    </w:rPr>
                    <w:t>）</w:t>
                  </w:r>
                </w:p>
              </w:tc>
              <w:tc>
                <w:tcPr>
                  <w:tcW w:w="2901" w:type="pct"/>
                  <w:vAlign w:val="center"/>
                </w:tcPr>
                <w:p>
                  <w:pPr>
                    <w:widowControl/>
                    <w:adjustRightInd w:val="0"/>
                    <w:jc w:val="center"/>
                    <w:rPr>
                      <w:b/>
                      <w:szCs w:val="21"/>
                    </w:rPr>
                  </w:pPr>
                  <w:r>
                    <w:rPr>
                      <w:rFonts w:hint="eastAsia"/>
                      <w:b/>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widowControl/>
                    <w:adjustRightInd w:val="0"/>
                    <w:jc w:val="center"/>
                    <w:rPr>
                      <w:szCs w:val="21"/>
                    </w:rPr>
                  </w:pPr>
                  <w:r>
                    <w:rPr>
                      <w:szCs w:val="21"/>
                    </w:rPr>
                    <w:t>1</w:t>
                  </w:r>
                </w:p>
              </w:tc>
              <w:tc>
                <w:tcPr>
                  <w:tcW w:w="676" w:type="pct"/>
                  <w:vAlign w:val="center"/>
                </w:tcPr>
                <w:p>
                  <w:pPr>
                    <w:adjustRightInd w:val="0"/>
                    <w:jc w:val="center"/>
                    <w:rPr>
                      <w:rFonts w:hAnsi="宋体"/>
                      <w:szCs w:val="21"/>
                    </w:rPr>
                  </w:pPr>
                  <w:r>
                    <w:rPr>
                      <w:rFonts w:hint="eastAsia" w:hAnsi="宋体"/>
                      <w:szCs w:val="21"/>
                    </w:rPr>
                    <w:t>锅炉燃料</w:t>
                  </w:r>
                </w:p>
              </w:tc>
              <w:tc>
                <w:tcPr>
                  <w:tcW w:w="1015" w:type="pct"/>
                  <w:vAlign w:val="center"/>
                </w:tcPr>
                <w:p>
                  <w:pPr>
                    <w:adjustRightInd w:val="0"/>
                    <w:jc w:val="center"/>
                    <w:rPr>
                      <w:szCs w:val="21"/>
                      <w:highlight w:val="yellow"/>
                    </w:rPr>
                  </w:pPr>
                  <w:r>
                    <w:rPr>
                      <w:szCs w:val="21"/>
                    </w:rPr>
                    <w:t>1200</w:t>
                  </w:r>
                </w:p>
              </w:tc>
              <w:tc>
                <w:tcPr>
                  <w:tcW w:w="2901" w:type="pct"/>
                  <w:vAlign w:val="center"/>
                </w:tcPr>
                <w:p>
                  <w:pPr>
                    <w:adjustRightInd w:val="0"/>
                    <w:jc w:val="center"/>
                    <w:rPr>
                      <w:rFonts w:hAnsi="宋体"/>
                      <w:szCs w:val="21"/>
                    </w:rPr>
                  </w:pPr>
                  <w:r>
                    <w:rPr>
                      <w:rFonts w:hint="eastAsia"/>
                      <w:szCs w:val="21"/>
                    </w:rPr>
                    <w:t>砂光木粉、废弃木柴、树皮</w:t>
                  </w:r>
                  <w:r>
                    <w:rPr>
                      <w:rFonts w:hint="eastAsia" w:hAnsi="宋体"/>
                      <w:szCs w:val="21"/>
                    </w:rPr>
                    <w:t>及检验不合格的不可利用的产品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widowControl/>
                    <w:adjustRightInd w:val="0"/>
                    <w:jc w:val="center"/>
                    <w:rPr>
                      <w:szCs w:val="21"/>
                    </w:rPr>
                  </w:pPr>
                  <w:r>
                    <w:rPr>
                      <w:szCs w:val="21"/>
                    </w:rPr>
                    <w:t>2</w:t>
                  </w:r>
                </w:p>
              </w:tc>
              <w:tc>
                <w:tcPr>
                  <w:tcW w:w="676" w:type="pct"/>
                  <w:vAlign w:val="center"/>
                </w:tcPr>
                <w:p>
                  <w:pPr>
                    <w:widowControl/>
                    <w:adjustRightInd w:val="0"/>
                    <w:jc w:val="center"/>
                    <w:rPr>
                      <w:szCs w:val="21"/>
                    </w:rPr>
                  </w:pPr>
                  <w:r>
                    <w:rPr>
                      <w:rFonts w:hint="eastAsia"/>
                      <w:szCs w:val="21"/>
                    </w:rPr>
                    <w:t>水</w:t>
                  </w:r>
                </w:p>
              </w:tc>
              <w:tc>
                <w:tcPr>
                  <w:tcW w:w="1015" w:type="pct"/>
                  <w:vAlign w:val="center"/>
                </w:tcPr>
                <w:p>
                  <w:pPr>
                    <w:widowControl/>
                    <w:adjustRightInd w:val="0"/>
                    <w:jc w:val="center"/>
                    <w:rPr>
                      <w:szCs w:val="21"/>
                    </w:rPr>
                  </w:pPr>
                  <w:r>
                    <w:rPr>
                      <w:szCs w:val="21"/>
                    </w:rPr>
                    <w:t>4428</w:t>
                  </w:r>
                  <w:r>
                    <w:rPr>
                      <w:rFonts w:hint="eastAsia"/>
                      <w:szCs w:val="21"/>
                    </w:rPr>
                    <w:t>m</w:t>
                  </w:r>
                  <w:r>
                    <w:rPr>
                      <w:rFonts w:hint="eastAsia"/>
                      <w:szCs w:val="21"/>
                      <w:vertAlign w:val="superscript"/>
                    </w:rPr>
                    <w:t>3</w:t>
                  </w:r>
                  <w:r>
                    <w:rPr>
                      <w:rFonts w:hint="eastAsia"/>
                      <w:szCs w:val="21"/>
                    </w:rPr>
                    <w:t>/a</w:t>
                  </w:r>
                </w:p>
              </w:tc>
              <w:tc>
                <w:tcPr>
                  <w:tcW w:w="2901" w:type="pct"/>
                  <w:vAlign w:val="center"/>
                </w:tcPr>
                <w:p>
                  <w:pPr>
                    <w:widowControl/>
                    <w:adjustRightInd w:val="0"/>
                    <w:jc w:val="center"/>
                    <w:rPr>
                      <w:szCs w:val="21"/>
                    </w:rPr>
                  </w:pPr>
                  <w:r>
                    <w:rPr>
                      <w:rFonts w:hint="eastAsia"/>
                      <w:szCs w:val="21"/>
                    </w:rPr>
                    <w:t>寻甸特色产业园区羊街片区供水管网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pPr>
                    <w:widowControl/>
                    <w:adjustRightInd w:val="0"/>
                    <w:jc w:val="center"/>
                    <w:rPr>
                      <w:szCs w:val="21"/>
                    </w:rPr>
                  </w:pPr>
                  <w:r>
                    <w:rPr>
                      <w:szCs w:val="21"/>
                    </w:rPr>
                    <w:t>3</w:t>
                  </w:r>
                </w:p>
              </w:tc>
              <w:tc>
                <w:tcPr>
                  <w:tcW w:w="676" w:type="pct"/>
                  <w:vAlign w:val="center"/>
                </w:tcPr>
                <w:p>
                  <w:pPr>
                    <w:widowControl/>
                    <w:adjustRightInd w:val="0"/>
                    <w:jc w:val="center"/>
                    <w:rPr>
                      <w:szCs w:val="21"/>
                    </w:rPr>
                  </w:pPr>
                  <w:r>
                    <w:rPr>
                      <w:rFonts w:hint="eastAsia"/>
                      <w:szCs w:val="21"/>
                    </w:rPr>
                    <w:t>电</w:t>
                  </w:r>
                </w:p>
              </w:tc>
              <w:tc>
                <w:tcPr>
                  <w:tcW w:w="1015" w:type="pct"/>
                  <w:vAlign w:val="center"/>
                </w:tcPr>
                <w:p>
                  <w:pPr>
                    <w:widowControl/>
                    <w:adjustRightInd w:val="0"/>
                    <w:jc w:val="center"/>
                    <w:rPr>
                      <w:szCs w:val="21"/>
                    </w:rPr>
                  </w:pPr>
                  <w:r>
                    <w:rPr>
                      <w:rFonts w:hint="eastAsia"/>
                      <w:szCs w:val="21"/>
                    </w:rPr>
                    <w:t>110万kWh</w:t>
                  </w:r>
                </w:p>
              </w:tc>
              <w:tc>
                <w:tcPr>
                  <w:tcW w:w="2901" w:type="pct"/>
                  <w:vAlign w:val="center"/>
                </w:tcPr>
                <w:p>
                  <w:pPr>
                    <w:widowControl/>
                    <w:adjustRightInd w:val="0"/>
                    <w:jc w:val="center"/>
                    <w:rPr>
                      <w:szCs w:val="21"/>
                    </w:rPr>
                  </w:pPr>
                  <w:r>
                    <w:rPr>
                      <w:rFonts w:hint="eastAsia"/>
                      <w:szCs w:val="21"/>
                    </w:rPr>
                    <w:t>寻甸特色产业园区羊街片区电网</w:t>
                  </w:r>
                </w:p>
              </w:tc>
            </w:tr>
          </w:tbl>
          <w:p>
            <w:pPr>
              <w:adjustRightInd w:val="0"/>
              <w:spacing w:before="120" w:beforeLines="50" w:line="360" w:lineRule="auto"/>
              <w:ind w:firstLine="482" w:firstLineChars="200"/>
              <w:rPr>
                <w:b/>
                <w:sz w:val="24"/>
                <w:szCs w:val="21"/>
              </w:rPr>
            </w:pPr>
            <w:r>
              <w:rPr>
                <w:b/>
                <w:sz w:val="24"/>
                <w:szCs w:val="21"/>
              </w:rPr>
              <w:t>5</w:t>
            </w:r>
            <w:r>
              <w:rPr>
                <w:rFonts w:hint="eastAsia"/>
                <w:b/>
                <w:sz w:val="24"/>
                <w:szCs w:val="21"/>
              </w:rPr>
              <w:t>、现有项目劳动定员及生产制度</w:t>
            </w:r>
          </w:p>
          <w:p>
            <w:pPr>
              <w:autoSpaceDE w:val="0"/>
              <w:autoSpaceDN w:val="0"/>
              <w:adjustRightInd w:val="0"/>
              <w:spacing w:line="360" w:lineRule="auto"/>
              <w:ind w:firstLine="480" w:firstLineChars="200"/>
              <w:rPr>
                <w:kern w:val="0"/>
                <w:sz w:val="24"/>
              </w:rPr>
            </w:pPr>
            <w:r>
              <w:rPr>
                <w:rFonts w:hint="eastAsia"/>
                <w:sz w:val="24"/>
              </w:rPr>
              <w:t>项目全厂</w:t>
            </w:r>
            <w:r>
              <w:rPr>
                <w:sz w:val="24"/>
              </w:rPr>
              <w:t>定员</w:t>
            </w:r>
            <w:r>
              <w:rPr>
                <w:rFonts w:hint="eastAsia"/>
                <w:sz w:val="24"/>
              </w:rPr>
              <w:t>25</w:t>
            </w:r>
            <w:r>
              <w:rPr>
                <w:sz w:val="24"/>
              </w:rPr>
              <w:t>人</w:t>
            </w:r>
            <w:r>
              <w:rPr>
                <w:rFonts w:hint="eastAsia"/>
                <w:sz w:val="24"/>
              </w:rPr>
              <w:t>，</w:t>
            </w:r>
            <w:r>
              <w:rPr>
                <w:kern w:val="0"/>
                <w:sz w:val="24"/>
              </w:rPr>
              <w:t>其中：管理人员5人、各类技术工人及辅助生产人员</w:t>
            </w:r>
            <w:r>
              <w:rPr>
                <w:rFonts w:hint="eastAsia"/>
                <w:kern w:val="0"/>
                <w:sz w:val="24"/>
              </w:rPr>
              <w:t>20</w:t>
            </w:r>
            <w:r>
              <w:rPr>
                <w:kern w:val="0"/>
                <w:sz w:val="24"/>
              </w:rPr>
              <w:t>人</w:t>
            </w:r>
            <w:r>
              <w:rPr>
                <w:rFonts w:hint="eastAsia"/>
                <w:kern w:val="0"/>
                <w:sz w:val="24"/>
              </w:rPr>
              <w:t>，</w:t>
            </w:r>
            <w:r>
              <w:rPr>
                <w:kern w:val="0"/>
                <w:sz w:val="24"/>
              </w:rPr>
              <w:t>项</w:t>
            </w:r>
            <w:r>
              <w:rPr>
                <w:rFonts w:hint="eastAsia"/>
                <w:kern w:val="0"/>
                <w:sz w:val="24"/>
              </w:rPr>
              <w:t>目内的员工均在项目区食宿。</w:t>
            </w:r>
          </w:p>
          <w:p>
            <w:pPr>
              <w:autoSpaceDE w:val="0"/>
              <w:autoSpaceDN w:val="0"/>
              <w:adjustRightInd w:val="0"/>
              <w:spacing w:line="360" w:lineRule="auto"/>
              <w:ind w:firstLine="480" w:firstLineChars="200"/>
              <w:rPr>
                <w:b/>
                <w:sz w:val="24"/>
                <w:szCs w:val="21"/>
              </w:rPr>
            </w:pPr>
            <w:r>
              <w:rPr>
                <w:rFonts w:hint="eastAsia"/>
                <w:sz w:val="24"/>
              </w:rPr>
              <w:t>现有</w:t>
            </w:r>
            <w:r>
              <w:rPr>
                <w:rFonts w:hint="eastAsia"/>
                <w:bCs/>
                <w:sz w:val="24"/>
              </w:rPr>
              <w:t>项目</w:t>
            </w:r>
            <w:r>
              <w:rPr>
                <w:sz w:val="24"/>
              </w:rPr>
              <w:t>年生产工作日为300天，</w:t>
            </w:r>
            <w:r>
              <w:rPr>
                <w:rFonts w:hint="eastAsia"/>
                <w:sz w:val="24"/>
              </w:rPr>
              <w:t>每天三班，每班8小时。</w:t>
            </w:r>
          </w:p>
          <w:p>
            <w:pPr>
              <w:adjustRightInd w:val="0"/>
              <w:spacing w:line="360" w:lineRule="auto"/>
              <w:ind w:firstLine="482" w:firstLineChars="200"/>
              <w:jc w:val="left"/>
              <w:rPr>
                <w:b/>
                <w:bCs/>
                <w:sz w:val="24"/>
              </w:rPr>
            </w:pPr>
            <w:r>
              <w:rPr>
                <w:rFonts w:hint="eastAsia"/>
                <w:b/>
                <w:bCs/>
                <w:sz w:val="24"/>
              </w:rPr>
              <w:t>三、本项目概况</w:t>
            </w:r>
          </w:p>
          <w:p>
            <w:pPr>
              <w:adjustRightInd w:val="0"/>
              <w:spacing w:line="360" w:lineRule="auto"/>
              <w:ind w:firstLine="482" w:firstLineChars="200"/>
              <w:outlineLvl w:val="1"/>
              <w:rPr>
                <w:b/>
                <w:bCs/>
                <w:sz w:val="24"/>
              </w:rPr>
            </w:pPr>
            <w:r>
              <w:rPr>
                <w:b/>
                <w:sz w:val="24"/>
              </w:rPr>
              <w:t>1、</w:t>
            </w:r>
            <w:r>
              <w:rPr>
                <w:rFonts w:hint="eastAsia"/>
                <w:b/>
                <w:sz w:val="24"/>
              </w:rPr>
              <w:t>本</w:t>
            </w:r>
            <w:r>
              <w:rPr>
                <w:b/>
                <w:sz w:val="24"/>
              </w:rPr>
              <w:t>项目基本情况</w:t>
            </w:r>
          </w:p>
          <w:p>
            <w:pPr>
              <w:adjustRightInd w:val="0"/>
              <w:spacing w:line="360" w:lineRule="auto"/>
              <w:ind w:firstLine="482" w:firstLineChars="200"/>
              <w:rPr>
                <w:sz w:val="24"/>
              </w:rPr>
            </w:pPr>
            <w:r>
              <w:rPr>
                <w:b/>
                <w:bCs/>
                <w:sz w:val="24"/>
              </w:rPr>
              <w:t>项目名称：</w:t>
            </w:r>
            <w:r>
              <w:rPr>
                <w:rFonts w:hint="eastAsia"/>
                <w:sz w:val="24"/>
              </w:rPr>
              <w:t>昆明市澳松人造板制造有限责任公司年产5万立方米木质刨花板技改项目</w:t>
            </w:r>
            <w:r>
              <w:rPr>
                <w:sz w:val="24"/>
              </w:rPr>
              <w:t>；</w:t>
            </w:r>
          </w:p>
          <w:p>
            <w:pPr>
              <w:adjustRightInd w:val="0"/>
              <w:spacing w:line="360" w:lineRule="auto"/>
              <w:ind w:firstLine="482" w:firstLineChars="200"/>
              <w:rPr>
                <w:sz w:val="24"/>
              </w:rPr>
            </w:pPr>
            <w:r>
              <w:rPr>
                <w:b/>
                <w:bCs/>
                <w:sz w:val="24"/>
              </w:rPr>
              <w:t>建设单位：</w:t>
            </w:r>
            <w:r>
              <w:rPr>
                <w:rFonts w:hint="eastAsia"/>
                <w:sz w:val="24"/>
              </w:rPr>
              <w:t>昆明市澳松人造板制造有限责任公司</w:t>
            </w:r>
            <w:r>
              <w:rPr>
                <w:sz w:val="24"/>
              </w:rPr>
              <w:t>；</w:t>
            </w:r>
          </w:p>
          <w:p>
            <w:pPr>
              <w:adjustRightInd w:val="0"/>
              <w:spacing w:line="360" w:lineRule="auto"/>
              <w:ind w:firstLine="482" w:firstLineChars="200"/>
              <w:rPr>
                <w:sz w:val="24"/>
              </w:rPr>
            </w:pPr>
            <w:r>
              <w:rPr>
                <w:b/>
                <w:bCs/>
                <w:sz w:val="24"/>
              </w:rPr>
              <w:t>建设性质：</w:t>
            </w:r>
            <w:r>
              <w:rPr>
                <w:rFonts w:hint="eastAsia"/>
                <w:sz w:val="24"/>
              </w:rPr>
              <w:t>技改</w:t>
            </w:r>
            <w:r>
              <w:rPr>
                <w:sz w:val="24"/>
              </w:rPr>
              <w:t>；</w:t>
            </w:r>
          </w:p>
          <w:p>
            <w:pPr>
              <w:adjustRightInd w:val="0"/>
              <w:spacing w:line="360" w:lineRule="auto"/>
              <w:ind w:firstLine="482" w:firstLineChars="200"/>
              <w:rPr>
                <w:sz w:val="24"/>
              </w:rPr>
            </w:pPr>
            <w:r>
              <w:rPr>
                <w:b/>
                <w:bCs/>
                <w:sz w:val="24"/>
              </w:rPr>
              <w:t>建设地点：</w:t>
            </w:r>
            <w:r>
              <w:rPr>
                <w:sz w:val="24"/>
              </w:rPr>
              <w:t>云南省</w:t>
            </w:r>
            <w:r>
              <w:rPr>
                <w:rFonts w:hint="eastAsia"/>
                <w:sz w:val="24"/>
              </w:rPr>
              <w:t>昆明市寻甸县寻甸特色产业园区羊街片区</w:t>
            </w:r>
            <w:r>
              <w:rPr>
                <w:sz w:val="24"/>
              </w:rPr>
              <w:t>；</w:t>
            </w:r>
          </w:p>
          <w:p>
            <w:pPr>
              <w:adjustRightInd w:val="0"/>
              <w:spacing w:line="360" w:lineRule="auto"/>
              <w:ind w:firstLine="482" w:firstLineChars="200"/>
              <w:rPr>
                <w:sz w:val="24"/>
              </w:rPr>
            </w:pPr>
            <w:r>
              <w:rPr>
                <w:b/>
                <w:bCs/>
                <w:sz w:val="24"/>
              </w:rPr>
              <w:t>项目</w:t>
            </w:r>
            <w:r>
              <w:rPr>
                <w:rFonts w:hint="eastAsia"/>
                <w:b/>
                <w:bCs/>
                <w:sz w:val="24"/>
              </w:rPr>
              <w:t>总</w:t>
            </w:r>
            <w:r>
              <w:rPr>
                <w:b/>
                <w:bCs/>
                <w:sz w:val="24"/>
              </w:rPr>
              <w:t>投资：</w:t>
            </w:r>
            <w:r>
              <w:rPr>
                <w:rFonts w:hint="eastAsia"/>
                <w:sz w:val="24"/>
              </w:rPr>
              <w:t>717.53</w:t>
            </w:r>
            <w:r>
              <w:rPr>
                <w:sz w:val="24"/>
              </w:rPr>
              <w:t>万元；</w:t>
            </w:r>
          </w:p>
          <w:p>
            <w:pPr>
              <w:adjustRightInd w:val="0"/>
              <w:spacing w:line="360" w:lineRule="auto"/>
              <w:ind w:firstLine="482" w:firstLineChars="200"/>
              <w:rPr>
                <w:sz w:val="24"/>
              </w:rPr>
            </w:pPr>
            <w:r>
              <w:rPr>
                <w:rFonts w:hint="eastAsia"/>
                <w:b/>
                <w:bCs/>
                <w:sz w:val="24"/>
              </w:rPr>
              <w:t>建设内容及规模</w:t>
            </w:r>
            <w:r>
              <w:rPr>
                <w:b/>
                <w:bCs/>
                <w:sz w:val="24"/>
              </w:rPr>
              <w:t>：</w:t>
            </w:r>
            <w:r>
              <w:rPr>
                <w:sz w:val="24"/>
                <w:szCs w:val="21"/>
              </w:rPr>
              <w:t>本</w:t>
            </w:r>
            <w:r>
              <w:rPr>
                <w:rFonts w:hint="eastAsia"/>
                <w:sz w:val="24"/>
                <w:szCs w:val="21"/>
              </w:rPr>
              <w:t>项目</w:t>
            </w:r>
            <w:r>
              <w:rPr>
                <w:sz w:val="24"/>
              </w:rPr>
              <w:t>主要针对现有</w:t>
            </w:r>
            <w:r>
              <w:rPr>
                <w:rFonts w:hint="eastAsia"/>
                <w:sz w:val="24"/>
                <w:szCs w:val="21"/>
              </w:rPr>
              <w:t>年产5万m</w:t>
            </w:r>
            <w:r>
              <w:rPr>
                <w:rFonts w:hint="eastAsia"/>
                <w:sz w:val="24"/>
                <w:szCs w:val="21"/>
                <w:vertAlign w:val="superscript"/>
              </w:rPr>
              <w:t>3</w:t>
            </w:r>
            <w:r>
              <w:rPr>
                <w:rFonts w:hint="eastAsia"/>
                <w:sz w:val="24"/>
                <w:szCs w:val="21"/>
              </w:rPr>
              <w:t>木质刨花板制造项目</w:t>
            </w:r>
            <w:r>
              <w:rPr>
                <w:rFonts w:hint="eastAsia"/>
                <w:sz w:val="24"/>
              </w:rPr>
              <w:t>配套</w:t>
            </w:r>
            <w:r>
              <w:rPr>
                <w:sz w:val="24"/>
              </w:rPr>
              <w:t>供热工程</w:t>
            </w:r>
            <w:r>
              <w:rPr>
                <w:rFonts w:hint="eastAsia"/>
                <w:sz w:val="24"/>
              </w:rPr>
              <w:t>和</w:t>
            </w:r>
            <w:r>
              <w:rPr>
                <w:sz w:val="24"/>
              </w:rPr>
              <w:t>环保工程</w:t>
            </w:r>
            <w:r>
              <w:rPr>
                <w:rFonts w:hint="eastAsia"/>
                <w:sz w:val="24"/>
              </w:rPr>
              <w:t>进行技改，不新增用地，供热工程技改主要建设内容为新建一间锅炉房，增加一台5t/h导热油锅炉，并配套设置“多管除尘器+水膜除尘器+</w:t>
            </w:r>
            <w:r>
              <w:rPr>
                <w:sz w:val="24"/>
              </w:rPr>
              <w:t>35m</w:t>
            </w:r>
            <w:r>
              <w:rPr>
                <w:rFonts w:hint="eastAsia"/>
                <w:sz w:val="24"/>
              </w:rPr>
              <w:t>高排气筒”，环保工程技改主要对现有锅炉房7</w:t>
            </w:r>
            <w:r>
              <w:rPr>
                <w:sz w:val="24"/>
              </w:rPr>
              <w:t>t/h</w:t>
            </w:r>
            <w:r>
              <w:rPr>
                <w:rFonts w:hint="eastAsia"/>
                <w:sz w:val="24"/>
              </w:rPr>
              <w:t>导热油锅炉烟气治理设施及筛选工序、打磨工序、热压凉板工序配套的废气治理设施进行技术提升改造。</w:t>
            </w:r>
          </w:p>
          <w:p>
            <w:pPr>
              <w:adjustRightInd w:val="0"/>
              <w:spacing w:line="360" w:lineRule="auto"/>
              <w:ind w:firstLine="480" w:firstLineChars="200"/>
              <w:rPr>
                <w:sz w:val="24"/>
              </w:rPr>
            </w:pPr>
            <w:r>
              <w:rPr>
                <w:rFonts w:hint="eastAsia"/>
                <w:sz w:val="24"/>
              </w:rPr>
              <w:t>本项目具体的技改内容为：</w:t>
            </w:r>
          </w:p>
          <w:p>
            <w:pPr>
              <w:adjustRightInd w:val="0"/>
              <w:spacing w:line="360" w:lineRule="auto"/>
              <w:ind w:firstLine="480" w:firstLineChars="200"/>
              <w:rPr>
                <w:sz w:val="24"/>
              </w:rPr>
            </w:pPr>
            <w:r>
              <w:rPr>
                <w:rFonts w:hint="eastAsia"/>
                <w:sz w:val="24"/>
              </w:rPr>
              <w:t>①对现有项目筛选工序废气处理设施由“旋风除尘”改造为“旋风除尘+布袋除尘”处理后呈无组织形式排放；</w:t>
            </w:r>
          </w:p>
          <w:p>
            <w:pPr>
              <w:adjustRightInd w:val="0"/>
              <w:spacing w:line="360" w:lineRule="auto"/>
              <w:ind w:firstLine="480" w:firstLineChars="200"/>
              <w:rPr>
                <w:sz w:val="24"/>
              </w:rPr>
            </w:pPr>
            <w:r>
              <w:rPr>
                <w:rFonts w:hint="eastAsia"/>
                <w:sz w:val="24"/>
              </w:rPr>
              <w:t>②对现有项目打磨工序废气处理设施由“旋风除尘”改造为“旋风除尘+布袋除尘”处理后呈无组织形式排放；</w:t>
            </w:r>
          </w:p>
          <w:p>
            <w:pPr>
              <w:adjustRightInd w:val="0"/>
              <w:spacing w:line="360" w:lineRule="auto"/>
              <w:ind w:firstLine="480" w:firstLineChars="200"/>
              <w:rPr>
                <w:sz w:val="24"/>
                <w:szCs w:val="21"/>
              </w:rPr>
            </w:pPr>
            <w:r>
              <w:rPr>
                <w:rFonts w:hint="eastAsia"/>
                <w:sz w:val="24"/>
              </w:rPr>
              <w:t>③对现有项目锅炉房</w:t>
            </w:r>
            <w:r>
              <w:rPr>
                <w:sz w:val="24"/>
                <w:szCs w:val="21"/>
              </w:rPr>
              <w:t>7t/h</w:t>
            </w:r>
            <w:r>
              <w:rPr>
                <w:rFonts w:hint="eastAsia"/>
                <w:sz w:val="24"/>
                <w:szCs w:val="21"/>
              </w:rPr>
              <w:t>导热油锅炉废气处理设施由“多管旋风除尘”改造为“多管旋风除尘+水膜除尘”；</w:t>
            </w:r>
          </w:p>
          <w:p>
            <w:pPr>
              <w:adjustRightInd w:val="0"/>
              <w:spacing w:line="360" w:lineRule="auto"/>
              <w:ind w:firstLine="480" w:firstLineChars="200"/>
              <w:rPr>
                <w:sz w:val="24"/>
                <w:szCs w:val="21"/>
              </w:rPr>
            </w:pPr>
            <w:r>
              <w:rPr>
                <w:rFonts w:hint="eastAsia"/>
                <w:sz w:val="24"/>
                <w:szCs w:val="21"/>
              </w:rPr>
              <w:t>④</w:t>
            </w:r>
            <w:r>
              <w:rPr>
                <w:rFonts w:hint="eastAsia"/>
                <w:sz w:val="24"/>
              </w:rPr>
              <w:t>新建一间锅炉房，增加一台5t/h导热油锅炉</w:t>
            </w:r>
            <w:r>
              <w:rPr>
                <w:rFonts w:hint="eastAsia"/>
                <w:sz w:val="24"/>
                <w:szCs w:val="21"/>
              </w:rPr>
              <w:t>，并配套设置“多管旋风除尘+水膜除尘”，处理后经1根35m高排气筒排放；</w:t>
            </w:r>
          </w:p>
          <w:p>
            <w:pPr>
              <w:adjustRightInd w:val="0"/>
              <w:spacing w:line="360" w:lineRule="auto"/>
              <w:ind w:firstLine="480" w:firstLineChars="200"/>
              <w:rPr>
                <w:b/>
                <w:bCs/>
                <w:sz w:val="24"/>
              </w:rPr>
            </w:pPr>
            <w:r>
              <w:rPr>
                <w:rFonts w:hint="eastAsia"/>
                <w:sz w:val="24"/>
                <w:szCs w:val="21"/>
              </w:rPr>
              <w:t>⑤</w:t>
            </w:r>
            <w:r>
              <w:rPr>
                <w:rFonts w:hint="eastAsia"/>
                <w:sz w:val="24"/>
              </w:rPr>
              <w:t>对现有项目</w:t>
            </w:r>
            <w:r>
              <w:rPr>
                <w:rFonts w:hint="eastAsia"/>
                <w:sz w:val="24"/>
                <w:szCs w:val="21"/>
              </w:rPr>
              <w:t>热压、凉板环节产生的废气由“集气罩收集+15m高排气筒排放”技改为“集气罩收集+活性炭吸附装置+15m高排气筒”处理后排放。</w:t>
            </w:r>
          </w:p>
          <w:p>
            <w:pPr>
              <w:adjustRightInd w:val="0"/>
              <w:spacing w:line="360" w:lineRule="auto"/>
              <w:ind w:firstLine="482" w:firstLineChars="200"/>
              <w:outlineLvl w:val="1"/>
              <w:rPr>
                <w:sz w:val="24"/>
              </w:rPr>
            </w:pPr>
            <w:r>
              <w:rPr>
                <w:rFonts w:hint="eastAsia"/>
                <w:b/>
                <w:bCs/>
                <w:sz w:val="24"/>
              </w:rPr>
              <w:t>2、</w:t>
            </w:r>
            <w:r>
              <w:rPr>
                <w:b/>
                <w:sz w:val="24"/>
              </w:rPr>
              <w:t>建设内容</w:t>
            </w:r>
          </w:p>
          <w:p>
            <w:pPr>
              <w:autoSpaceDE w:val="0"/>
              <w:autoSpaceDN w:val="0"/>
              <w:adjustRightInd w:val="0"/>
              <w:spacing w:line="360" w:lineRule="auto"/>
              <w:ind w:firstLine="480" w:firstLineChars="200"/>
              <w:rPr>
                <w:sz w:val="24"/>
              </w:rPr>
            </w:pPr>
            <w:r>
              <w:rPr>
                <w:rFonts w:hint="eastAsia"/>
                <w:sz w:val="24"/>
              </w:rPr>
              <w:t>本项目主要建设内容分</w:t>
            </w:r>
            <w:r>
              <w:rPr>
                <w:sz w:val="24"/>
              </w:rPr>
              <w:t>为主体工程、辅助工程、公用工程及环保工程。</w:t>
            </w:r>
            <w:r>
              <w:rPr>
                <w:rFonts w:hint="eastAsia"/>
                <w:sz w:val="24"/>
              </w:rPr>
              <w:t>主体工程主要为新建一间锅炉房，增加一台5t/h导热油锅炉及对现有工程筛选工序、打磨工序、7t</w:t>
            </w:r>
            <w:r>
              <w:rPr>
                <w:sz w:val="24"/>
              </w:rPr>
              <w:t>/h</w:t>
            </w:r>
            <w:r>
              <w:rPr>
                <w:rFonts w:hint="eastAsia"/>
                <w:sz w:val="24"/>
              </w:rPr>
              <w:t>导热油锅炉、热压及凉板工序产生的废气治理设施进行技改，辅助工程主要为后勤用房等，公用工程主要为供排水、供电及供热，环保工程主要为锅炉烟气水膜除尘设备产生的废水收集处理设施、噪声防治设施及新建锅炉配套废气处理设施。</w:t>
            </w:r>
          </w:p>
          <w:p>
            <w:pPr>
              <w:autoSpaceDE w:val="0"/>
              <w:autoSpaceDN w:val="0"/>
              <w:adjustRightInd w:val="0"/>
              <w:spacing w:line="360" w:lineRule="auto"/>
              <w:ind w:firstLine="480" w:firstLineChars="200"/>
              <w:rPr>
                <w:b/>
                <w:spacing w:val="10"/>
                <w:sz w:val="24"/>
              </w:rPr>
            </w:pPr>
            <w:r>
              <w:rPr>
                <w:rFonts w:hint="eastAsia"/>
                <w:sz w:val="24"/>
              </w:rPr>
              <w:t>本项目具体</w:t>
            </w:r>
            <w:r>
              <w:rPr>
                <w:sz w:val="24"/>
              </w:rPr>
              <w:t>工程</w:t>
            </w:r>
            <w:r>
              <w:rPr>
                <w:rFonts w:hint="eastAsia"/>
                <w:sz w:val="24"/>
              </w:rPr>
              <w:t>内容</w:t>
            </w:r>
            <w:r>
              <w:rPr>
                <w:sz w:val="24"/>
              </w:rPr>
              <w:t>见表2-5。</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 xml:space="preserve">表2-5  </w:t>
            </w:r>
            <w:r>
              <w:rPr>
                <w:rFonts w:hint="eastAsia" w:cs="宋体"/>
                <w:b/>
                <w:bCs/>
                <w:kern w:val="0"/>
                <w:sz w:val="24"/>
                <w:szCs w:val="20"/>
                <w:lang w:bidi="ar"/>
              </w:rPr>
              <w:t>本项目</w:t>
            </w:r>
            <w:r>
              <w:rPr>
                <w:rFonts w:cs="宋体"/>
                <w:b/>
                <w:bCs/>
                <w:kern w:val="0"/>
                <w:sz w:val="24"/>
                <w:szCs w:val="20"/>
                <w:lang w:bidi="ar"/>
              </w:rPr>
              <w:t>工程组成</w:t>
            </w:r>
            <w:r>
              <w:rPr>
                <w:rFonts w:hint="eastAsia" w:cs="宋体"/>
                <w:b/>
                <w:bCs/>
                <w:kern w:val="0"/>
                <w:sz w:val="24"/>
                <w:szCs w:val="20"/>
                <w:lang w:bidi="ar"/>
              </w:rPr>
              <w:t>内容</w:t>
            </w:r>
            <w:r>
              <w:rPr>
                <w:rFonts w:cs="宋体"/>
                <w:b/>
                <w:bCs/>
                <w:kern w:val="0"/>
                <w:sz w:val="24"/>
                <w:szCs w:val="20"/>
                <w:lang w:bidi="ar"/>
              </w:rPr>
              <w:t>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75"/>
              <w:gridCol w:w="769"/>
              <w:gridCol w:w="879"/>
              <w:gridCol w:w="4557"/>
              <w:gridCol w:w="1460"/>
            </w:tblGrid>
            <w:tr>
              <w:tblPrEx>
                <w:tblCellMar>
                  <w:top w:w="0" w:type="dxa"/>
                  <w:left w:w="57" w:type="dxa"/>
                  <w:bottom w:w="0" w:type="dxa"/>
                  <w:right w:w="57" w:type="dxa"/>
                </w:tblCellMar>
              </w:tblPrEx>
              <w:trPr>
                <w:cantSplit/>
                <w:jc w:val="center"/>
              </w:trPr>
              <w:tc>
                <w:tcPr>
                  <w:tcW w:w="405" w:type="pct"/>
                  <w:vAlign w:val="center"/>
                </w:tcPr>
                <w:p>
                  <w:pPr>
                    <w:widowControl/>
                    <w:adjustRightInd w:val="0"/>
                    <w:jc w:val="center"/>
                    <w:rPr>
                      <w:b/>
                      <w:szCs w:val="21"/>
                    </w:rPr>
                  </w:pPr>
                  <w:r>
                    <w:rPr>
                      <w:rFonts w:hint="eastAsia"/>
                      <w:b/>
                      <w:szCs w:val="21"/>
                    </w:rPr>
                    <w:t>类别</w:t>
                  </w:r>
                </w:p>
              </w:tc>
              <w:tc>
                <w:tcPr>
                  <w:tcW w:w="987" w:type="pct"/>
                  <w:gridSpan w:val="2"/>
                  <w:vAlign w:val="center"/>
                </w:tcPr>
                <w:p>
                  <w:pPr>
                    <w:widowControl/>
                    <w:adjustRightInd w:val="0"/>
                    <w:jc w:val="center"/>
                    <w:rPr>
                      <w:b/>
                      <w:szCs w:val="21"/>
                    </w:rPr>
                  </w:pPr>
                  <w:r>
                    <w:rPr>
                      <w:rFonts w:hint="eastAsia"/>
                      <w:b/>
                      <w:szCs w:val="21"/>
                    </w:rPr>
                    <w:t>工程名称</w:t>
                  </w:r>
                </w:p>
              </w:tc>
              <w:tc>
                <w:tcPr>
                  <w:tcW w:w="2732" w:type="pct"/>
                  <w:vAlign w:val="center"/>
                </w:tcPr>
                <w:p>
                  <w:pPr>
                    <w:widowControl/>
                    <w:adjustRightInd w:val="0"/>
                    <w:jc w:val="center"/>
                    <w:rPr>
                      <w:b/>
                      <w:szCs w:val="21"/>
                    </w:rPr>
                  </w:pPr>
                  <w:r>
                    <w:rPr>
                      <w:rFonts w:hint="eastAsia"/>
                      <w:b/>
                      <w:szCs w:val="21"/>
                    </w:rPr>
                    <w:t>建设内容</w:t>
                  </w:r>
                </w:p>
              </w:tc>
              <w:tc>
                <w:tcPr>
                  <w:tcW w:w="876" w:type="pct"/>
                  <w:vAlign w:val="center"/>
                </w:tcPr>
                <w:p>
                  <w:pPr>
                    <w:adjustRightInd w:val="0"/>
                    <w:jc w:val="center"/>
                    <w:rPr>
                      <w:b/>
                      <w:szCs w:val="21"/>
                    </w:rPr>
                  </w:pPr>
                  <w:r>
                    <w:rPr>
                      <w:rFonts w:hint="eastAsia"/>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restart"/>
                  <w:vAlign w:val="center"/>
                </w:tcPr>
                <w:p>
                  <w:pPr>
                    <w:widowControl/>
                    <w:adjustRightInd w:val="0"/>
                    <w:jc w:val="center"/>
                    <w:rPr>
                      <w:szCs w:val="21"/>
                    </w:rPr>
                  </w:pPr>
                  <w:r>
                    <w:rPr>
                      <w:rFonts w:hint="eastAsia"/>
                      <w:szCs w:val="21"/>
                    </w:rPr>
                    <w:t>主体工程</w:t>
                  </w:r>
                </w:p>
              </w:tc>
              <w:tc>
                <w:tcPr>
                  <w:tcW w:w="461" w:type="pct"/>
                  <w:vMerge w:val="restart"/>
                  <w:vAlign w:val="center"/>
                </w:tcPr>
                <w:p>
                  <w:pPr>
                    <w:adjustRightInd w:val="0"/>
                    <w:jc w:val="center"/>
                    <w:rPr>
                      <w:szCs w:val="21"/>
                    </w:rPr>
                  </w:pPr>
                  <w:r>
                    <w:rPr>
                      <w:rFonts w:hint="eastAsia"/>
                      <w:szCs w:val="21"/>
                    </w:rPr>
                    <w:t>导热油锅炉</w:t>
                  </w:r>
                </w:p>
              </w:tc>
              <w:tc>
                <w:tcPr>
                  <w:tcW w:w="527" w:type="pct"/>
                  <w:vAlign w:val="center"/>
                </w:tcPr>
                <w:p>
                  <w:pPr>
                    <w:adjustRightInd w:val="0"/>
                    <w:jc w:val="center"/>
                    <w:rPr>
                      <w:szCs w:val="21"/>
                    </w:rPr>
                  </w:pPr>
                  <w:r>
                    <w:rPr>
                      <w:rFonts w:hint="eastAsia"/>
                      <w:szCs w:val="21"/>
                    </w:rPr>
                    <w:t>7t/h</w:t>
                  </w:r>
                </w:p>
              </w:tc>
              <w:tc>
                <w:tcPr>
                  <w:tcW w:w="2732" w:type="pct"/>
                  <w:vAlign w:val="center"/>
                </w:tcPr>
                <w:p>
                  <w:pPr>
                    <w:adjustRightInd w:val="0"/>
                    <w:jc w:val="center"/>
                    <w:rPr>
                      <w:szCs w:val="21"/>
                    </w:rPr>
                  </w:pPr>
                  <w:r>
                    <w:rPr>
                      <w:rFonts w:hint="eastAsia"/>
                      <w:szCs w:val="21"/>
                    </w:rPr>
                    <w:t>现有多管旋风除尘烟气处理装置后新增1套水膜除尘装置，锅炉燃烧烟气经“多管旋风除尘+水膜除尘”处理后通过现有35m高排气筒排放；其余设施不发生改变。</w:t>
                  </w:r>
                </w:p>
              </w:tc>
              <w:tc>
                <w:tcPr>
                  <w:tcW w:w="876" w:type="pct"/>
                  <w:vAlign w:val="center"/>
                </w:tcPr>
                <w:p>
                  <w:pPr>
                    <w:adjustRightInd w:val="0"/>
                    <w:jc w:val="center"/>
                    <w:rPr>
                      <w:szCs w:val="21"/>
                    </w:rPr>
                  </w:pPr>
                  <w:r>
                    <w:rPr>
                      <w:rFonts w:hint="eastAsia"/>
                      <w:szCs w:val="21"/>
                    </w:rPr>
                    <w:t>依托+技改，已建成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461" w:type="pct"/>
                  <w:vMerge w:val="continue"/>
                  <w:vAlign w:val="center"/>
                </w:tcPr>
                <w:p>
                  <w:pPr>
                    <w:adjustRightInd w:val="0"/>
                    <w:jc w:val="center"/>
                    <w:rPr>
                      <w:szCs w:val="21"/>
                    </w:rPr>
                  </w:pPr>
                </w:p>
              </w:tc>
              <w:tc>
                <w:tcPr>
                  <w:tcW w:w="527" w:type="pct"/>
                  <w:vAlign w:val="center"/>
                </w:tcPr>
                <w:p>
                  <w:pPr>
                    <w:adjustRightInd w:val="0"/>
                    <w:jc w:val="center"/>
                    <w:rPr>
                      <w:szCs w:val="21"/>
                    </w:rPr>
                  </w:pPr>
                  <w:r>
                    <w:rPr>
                      <w:rFonts w:hint="eastAsia"/>
                      <w:szCs w:val="21"/>
                    </w:rPr>
                    <w:t>5t/h</w:t>
                  </w:r>
                </w:p>
              </w:tc>
              <w:tc>
                <w:tcPr>
                  <w:tcW w:w="2732" w:type="pct"/>
                  <w:vAlign w:val="center"/>
                </w:tcPr>
                <w:p>
                  <w:pPr>
                    <w:adjustRightInd w:val="0"/>
                    <w:jc w:val="center"/>
                    <w:rPr>
                      <w:szCs w:val="21"/>
                    </w:rPr>
                  </w:pPr>
                  <w:r>
                    <w:rPr>
                      <w:rFonts w:hint="eastAsia"/>
                      <w:szCs w:val="21"/>
                    </w:rPr>
                    <w:t>新建1间锅炉房，位于7</w:t>
                  </w:r>
                  <w:r>
                    <w:rPr>
                      <w:szCs w:val="21"/>
                    </w:rPr>
                    <w:t>t</w:t>
                  </w:r>
                  <w:r>
                    <w:rPr>
                      <w:rFonts w:hint="eastAsia"/>
                      <w:szCs w:val="21"/>
                    </w:rPr>
                    <w:t>导热油锅炉旁，建筑面积约60m</w:t>
                  </w:r>
                  <w:r>
                    <w:rPr>
                      <w:rFonts w:hint="eastAsia"/>
                      <w:szCs w:val="21"/>
                      <w:vertAlign w:val="superscript"/>
                    </w:rPr>
                    <w:t>2</w:t>
                  </w:r>
                  <w:r>
                    <w:rPr>
                      <w:rFonts w:hint="eastAsia"/>
                      <w:szCs w:val="21"/>
                    </w:rPr>
                    <w:t>，设置5t的导热油锅炉一台，并配套建设1套“多管旋风除尘+水膜除尘+35m高排气筒”废气处理设施，产生的热能用于干燥、热压、制胶工段，采用现有项目砂光木粉、废弃木柴、树皮及检验不合格的不可利用的产品作为燃料，不烧煤。</w:t>
                  </w:r>
                </w:p>
              </w:tc>
              <w:tc>
                <w:tcPr>
                  <w:tcW w:w="876" w:type="pct"/>
                  <w:vAlign w:val="center"/>
                </w:tcPr>
                <w:p>
                  <w:pPr>
                    <w:adjustRightInd w:val="0"/>
                    <w:jc w:val="center"/>
                    <w:rPr>
                      <w:szCs w:val="21"/>
                    </w:rPr>
                  </w:pPr>
                  <w:r>
                    <w:rPr>
                      <w:rFonts w:hint="eastAsia"/>
                      <w:szCs w:val="21"/>
                    </w:rPr>
                    <w:t>新建，已建成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461" w:type="pct"/>
                  <w:vMerge w:val="restart"/>
                  <w:vAlign w:val="center"/>
                </w:tcPr>
                <w:p>
                  <w:pPr>
                    <w:adjustRightInd w:val="0"/>
                    <w:jc w:val="center"/>
                    <w:rPr>
                      <w:szCs w:val="21"/>
                    </w:rPr>
                  </w:pPr>
                  <w:r>
                    <w:rPr>
                      <w:rFonts w:hint="eastAsia"/>
                      <w:szCs w:val="21"/>
                    </w:rPr>
                    <w:t>环保设施</w:t>
                  </w:r>
                </w:p>
              </w:tc>
              <w:tc>
                <w:tcPr>
                  <w:tcW w:w="527" w:type="pct"/>
                  <w:vAlign w:val="center"/>
                </w:tcPr>
                <w:p>
                  <w:pPr>
                    <w:widowControl/>
                    <w:adjustRightInd w:val="0"/>
                    <w:jc w:val="center"/>
                    <w:rPr>
                      <w:szCs w:val="21"/>
                    </w:rPr>
                  </w:pPr>
                  <w:r>
                    <w:rPr>
                      <w:rFonts w:hint="eastAsia"/>
                      <w:szCs w:val="21"/>
                    </w:rPr>
                    <w:t>热压、凉板工段废气</w:t>
                  </w:r>
                </w:p>
              </w:tc>
              <w:tc>
                <w:tcPr>
                  <w:tcW w:w="2732" w:type="pct"/>
                  <w:vAlign w:val="center"/>
                </w:tcPr>
                <w:p>
                  <w:pPr>
                    <w:widowControl/>
                    <w:adjustRightInd w:val="0"/>
                    <w:jc w:val="center"/>
                    <w:rPr>
                      <w:szCs w:val="21"/>
                    </w:rPr>
                  </w:pPr>
                  <w:r>
                    <w:rPr>
                      <w:rFonts w:hint="eastAsia"/>
                      <w:szCs w:val="21"/>
                    </w:rPr>
                    <w:t>现有2套集气罩收集装置后新增1套三级活性炭吸附装置，热压、凉板工段废气经活性炭吸附处理后通过已建的15m高排气筒排放；</w:t>
                  </w:r>
                </w:p>
              </w:tc>
              <w:tc>
                <w:tcPr>
                  <w:tcW w:w="876" w:type="pct"/>
                  <w:vAlign w:val="center"/>
                </w:tcPr>
                <w:p>
                  <w:pPr>
                    <w:adjustRightInd w:val="0"/>
                    <w:jc w:val="center"/>
                    <w:rPr>
                      <w:szCs w:val="21"/>
                    </w:rPr>
                  </w:pPr>
                  <w:r>
                    <w:rPr>
                      <w:rFonts w:hint="eastAsia"/>
                      <w:szCs w:val="21"/>
                    </w:rPr>
                    <w:t>依托+新建，已建成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461" w:type="pct"/>
                  <w:vMerge w:val="continue"/>
                  <w:vAlign w:val="center"/>
                </w:tcPr>
                <w:p>
                  <w:pPr>
                    <w:adjustRightInd w:val="0"/>
                    <w:jc w:val="center"/>
                    <w:rPr>
                      <w:szCs w:val="21"/>
                    </w:rPr>
                  </w:pPr>
                </w:p>
              </w:tc>
              <w:tc>
                <w:tcPr>
                  <w:tcW w:w="527" w:type="pct"/>
                  <w:vAlign w:val="center"/>
                </w:tcPr>
                <w:p>
                  <w:pPr>
                    <w:widowControl/>
                    <w:adjustRightInd w:val="0"/>
                    <w:jc w:val="center"/>
                    <w:rPr>
                      <w:szCs w:val="21"/>
                    </w:rPr>
                  </w:pPr>
                  <w:r>
                    <w:rPr>
                      <w:rFonts w:hint="eastAsia"/>
                      <w:szCs w:val="21"/>
                    </w:rPr>
                    <w:t>筛选工序废气</w:t>
                  </w:r>
                </w:p>
              </w:tc>
              <w:tc>
                <w:tcPr>
                  <w:tcW w:w="2732" w:type="pct"/>
                  <w:vAlign w:val="center"/>
                </w:tcPr>
                <w:p>
                  <w:pPr>
                    <w:widowControl/>
                    <w:adjustRightInd w:val="0"/>
                    <w:jc w:val="center"/>
                    <w:rPr>
                      <w:szCs w:val="21"/>
                    </w:rPr>
                  </w:pPr>
                  <w:r>
                    <w:rPr>
                      <w:rFonts w:hint="eastAsia"/>
                      <w:szCs w:val="21"/>
                    </w:rPr>
                    <w:t>现有2台振动筛共用旋风除尘装置后新增1套布袋除尘装置。风机设置于旋风除尘器与布袋除尘器间，振动筛产生的粉尘经负压输送系统进入旋风分离器将大颗粒物分离后，含尘气体通过风机正压输送至布袋除尘器处理后呈无组织形式排放；</w:t>
                  </w:r>
                </w:p>
              </w:tc>
              <w:tc>
                <w:tcPr>
                  <w:tcW w:w="876" w:type="pct"/>
                  <w:vAlign w:val="center"/>
                </w:tcPr>
                <w:p>
                  <w:pPr>
                    <w:adjustRightInd w:val="0"/>
                    <w:jc w:val="center"/>
                    <w:rPr>
                      <w:szCs w:val="21"/>
                    </w:rPr>
                  </w:pPr>
                  <w:r>
                    <w:rPr>
                      <w:rFonts w:hint="eastAsia"/>
                      <w:szCs w:val="21"/>
                    </w:rPr>
                    <w:t>依托+新建，已建成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461" w:type="pct"/>
                  <w:vMerge w:val="continue"/>
                  <w:vAlign w:val="center"/>
                </w:tcPr>
                <w:p>
                  <w:pPr>
                    <w:adjustRightInd w:val="0"/>
                    <w:jc w:val="center"/>
                    <w:rPr>
                      <w:szCs w:val="21"/>
                    </w:rPr>
                  </w:pPr>
                </w:p>
              </w:tc>
              <w:tc>
                <w:tcPr>
                  <w:tcW w:w="527" w:type="pct"/>
                  <w:vAlign w:val="center"/>
                </w:tcPr>
                <w:p>
                  <w:pPr>
                    <w:widowControl/>
                    <w:adjustRightInd w:val="0"/>
                    <w:jc w:val="center"/>
                    <w:rPr>
                      <w:szCs w:val="21"/>
                    </w:rPr>
                  </w:pPr>
                  <w:r>
                    <w:rPr>
                      <w:rFonts w:hint="eastAsia"/>
                      <w:szCs w:val="21"/>
                    </w:rPr>
                    <w:t>打磨工序废气</w:t>
                  </w:r>
                </w:p>
              </w:tc>
              <w:tc>
                <w:tcPr>
                  <w:tcW w:w="2732" w:type="pct"/>
                  <w:vAlign w:val="center"/>
                </w:tcPr>
                <w:p>
                  <w:pPr>
                    <w:widowControl/>
                    <w:adjustRightInd w:val="0"/>
                    <w:jc w:val="center"/>
                    <w:rPr>
                      <w:szCs w:val="21"/>
                    </w:rPr>
                  </w:pPr>
                  <w:r>
                    <w:rPr>
                      <w:rFonts w:hint="eastAsia"/>
                      <w:szCs w:val="21"/>
                    </w:rPr>
                    <w:t>现有2台打磨机旋风除尘装置后分别新增1套布袋除尘装置，共2套。风机设置于旋风除尘器与布袋除尘器间，打磨产生的粉尘经负压输送系统进入旋风分离器将大颗粒物分离后，含尘气体通过风机正压输送至布袋除尘器处理后呈无组织形式排放；</w:t>
                  </w:r>
                </w:p>
              </w:tc>
              <w:tc>
                <w:tcPr>
                  <w:tcW w:w="876" w:type="pct"/>
                  <w:vAlign w:val="center"/>
                </w:tcPr>
                <w:p>
                  <w:pPr>
                    <w:adjustRightInd w:val="0"/>
                    <w:jc w:val="center"/>
                    <w:rPr>
                      <w:szCs w:val="21"/>
                    </w:rPr>
                  </w:pPr>
                  <w:r>
                    <w:rPr>
                      <w:rFonts w:hint="eastAsia"/>
                      <w:szCs w:val="21"/>
                    </w:rPr>
                    <w:t>依托+技改，已建成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restart"/>
                  <w:vAlign w:val="center"/>
                </w:tcPr>
                <w:p>
                  <w:pPr>
                    <w:widowControl/>
                    <w:adjustRightInd w:val="0"/>
                    <w:jc w:val="center"/>
                    <w:rPr>
                      <w:szCs w:val="21"/>
                    </w:rPr>
                  </w:pPr>
                  <w:r>
                    <w:rPr>
                      <w:rFonts w:hint="eastAsia"/>
                      <w:szCs w:val="21"/>
                    </w:rPr>
                    <w:t>辅助工程</w:t>
                  </w:r>
                </w:p>
              </w:tc>
              <w:tc>
                <w:tcPr>
                  <w:tcW w:w="987" w:type="pct"/>
                  <w:gridSpan w:val="2"/>
                  <w:vAlign w:val="center"/>
                </w:tcPr>
                <w:p>
                  <w:pPr>
                    <w:widowControl/>
                    <w:adjustRightInd w:val="0"/>
                    <w:jc w:val="center"/>
                    <w:rPr>
                      <w:szCs w:val="21"/>
                    </w:rPr>
                  </w:pPr>
                  <w:r>
                    <w:rPr>
                      <w:rFonts w:hint="eastAsia"/>
                      <w:szCs w:val="21"/>
                    </w:rPr>
                    <w:t>后勤用房</w:t>
                  </w:r>
                </w:p>
              </w:tc>
              <w:tc>
                <w:tcPr>
                  <w:tcW w:w="2732" w:type="pct"/>
                  <w:vAlign w:val="center"/>
                </w:tcPr>
                <w:p>
                  <w:pPr>
                    <w:widowControl/>
                    <w:adjustRightInd w:val="0"/>
                    <w:jc w:val="center"/>
                    <w:rPr>
                      <w:szCs w:val="21"/>
                    </w:rPr>
                  </w:pPr>
                  <w:r>
                    <w:rPr>
                      <w:szCs w:val="21"/>
                    </w:rPr>
                    <w:t>包括办公室</w:t>
                  </w:r>
                  <w:r>
                    <w:rPr>
                      <w:rFonts w:hint="eastAsia"/>
                      <w:szCs w:val="21"/>
                    </w:rPr>
                    <w:t>5间</w:t>
                  </w:r>
                  <w:r>
                    <w:rPr>
                      <w:szCs w:val="21"/>
                    </w:rPr>
                    <w:t>、门卫室</w:t>
                  </w:r>
                  <w:r>
                    <w:rPr>
                      <w:rFonts w:hint="eastAsia"/>
                      <w:szCs w:val="21"/>
                    </w:rPr>
                    <w:t>1间</w:t>
                  </w:r>
                  <w:r>
                    <w:rPr>
                      <w:szCs w:val="21"/>
                    </w:rPr>
                    <w:t>、实验室</w:t>
                  </w:r>
                  <w:r>
                    <w:rPr>
                      <w:rFonts w:hint="eastAsia"/>
                      <w:szCs w:val="21"/>
                    </w:rPr>
                    <w:t>1间</w:t>
                  </w:r>
                  <w:r>
                    <w:rPr>
                      <w:szCs w:val="21"/>
                    </w:rPr>
                    <w:t>、设备仓库</w:t>
                  </w:r>
                  <w:r>
                    <w:rPr>
                      <w:rFonts w:hint="eastAsia"/>
                      <w:szCs w:val="21"/>
                    </w:rPr>
                    <w:t>3间</w:t>
                  </w:r>
                  <w:r>
                    <w:rPr>
                      <w:szCs w:val="21"/>
                    </w:rPr>
                    <w:t>、配电室</w:t>
                  </w:r>
                  <w:r>
                    <w:rPr>
                      <w:rFonts w:hint="eastAsia"/>
                      <w:szCs w:val="21"/>
                    </w:rPr>
                    <w:t>1间、2间洗浴室</w:t>
                  </w:r>
                  <w:r>
                    <w:rPr>
                      <w:szCs w:val="21"/>
                    </w:rPr>
                    <w:t>及宿舍</w:t>
                  </w:r>
                  <w:r>
                    <w:rPr>
                      <w:rFonts w:hint="eastAsia"/>
                      <w:szCs w:val="21"/>
                    </w:rPr>
                    <w:t>12间</w:t>
                  </w:r>
                </w:p>
              </w:tc>
              <w:tc>
                <w:tcPr>
                  <w:tcW w:w="876" w:type="pct"/>
                  <w:vAlign w:val="center"/>
                </w:tcPr>
                <w:p>
                  <w:pPr>
                    <w:adjustRightInd w:val="0"/>
                    <w:jc w:val="center"/>
                    <w:rPr>
                      <w:szCs w:val="21"/>
                    </w:rPr>
                  </w:pPr>
                  <w:r>
                    <w:rPr>
                      <w:rFonts w:hint="eastAsia"/>
                      <w:szCs w:val="21"/>
                    </w:rPr>
                    <w:t>依托利用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987" w:type="pct"/>
                  <w:gridSpan w:val="2"/>
                  <w:vAlign w:val="center"/>
                </w:tcPr>
                <w:p>
                  <w:pPr>
                    <w:widowControl/>
                    <w:adjustRightInd w:val="0"/>
                    <w:jc w:val="center"/>
                    <w:rPr>
                      <w:szCs w:val="21"/>
                    </w:rPr>
                  </w:pPr>
                  <w:r>
                    <w:rPr>
                      <w:rFonts w:hint="eastAsia"/>
                      <w:szCs w:val="21"/>
                    </w:rPr>
                    <w:t>停车场</w:t>
                  </w:r>
                </w:p>
              </w:tc>
              <w:tc>
                <w:tcPr>
                  <w:tcW w:w="2732" w:type="pct"/>
                  <w:vAlign w:val="center"/>
                </w:tcPr>
                <w:p>
                  <w:pPr>
                    <w:widowControl/>
                    <w:adjustRightInd w:val="0"/>
                    <w:jc w:val="center"/>
                    <w:rPr>
                      <w:szCs w:val="21"/>
                    </w:rPr>
                  </w:pPr>
                  <w:r>
                    <w:rPr>
                      <w:rFonts w:hint="eastAsia"/>
                      <w:szCs w:val="21"/>
                    </w:rPr>
                    <w:t>位于后勤用房的北侧，占地面积450</w:t>
                  </w:r>
                  <w:r>
                    <w:rPr>
                      <w:szCs w:val="21"/>
                    </w:rPr>
                    <w:t>m</w:t>
                  </w:r>
                  <w:r>
                    <w:rPr>
                      <w:szCs w:val="21"/>
                      <w:vertAlign w:val="superscript"/>
                    </w:rPr>
                    <w:t>2</w:t>
                  </w:r>
                  <w:r>
                    <w:rPr>
                      <w:rFonts w:hint="eastAsia"/>
                      <w:szCs w:val="21"/>
                    </w:rPr>
                    <w:t>，停车位18个</w:t>
                  </w:r>
                </w:p>
              </w:tc>
              <w:tc>
                <w:tcPr>
                  <w:tcW w:w="876" w:type="pct"/>
                  <w:vAlign w:val="center"/>
                </w:tcPr>
                <w:p>
                  <w:pPr>
                    <w:adjustRightInd w:val="0"/>
                    <w:jc w:val="center"/>
                    <w:rPr>
                      <w:szCs w:val="21"/>
                    </w:rPr>
                  </w:pPr>
                  <w:r>
                    <w:rPr>
                      <w:rFonts w:hint="eastAsia"/>
                      <w:szCs w:val="21"/>
                    </w:rPr>
                    <w:t>依托利用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restart"/>
                  <w:vAlign w:val="center"/>
                </w:tcPr>
                <w:p>
                  <w:pPr>
                    <w:widowControl/>
                    <w:adjustRightInd w:val="0"/>
                    <w:jc w:val="center"/>
                    <w:rPr>
                      <w:szCs w:val="21"/>
                    </w:rPr>
                  </w:pPr>
                  <w:r>
                    <w:rPr>
                      <w:rFonts w:hint="eastAsia"/>
                      <w:szCs w:val="21"/>
                    </w:rPr>
                    <w:t>公用工程</w:t>
                  </w:r>
                </w:p>
              </w:tc>
              <w:tc>
                <w:tcPr>
                  <w:tcW w:w="987" w:type="pct"/>
                  <w:gridSpan w:val="2"/>
                  <w:vAlign w:val="center"/>
                </w:tcPr>
                <w:p>
                  <w:pPr>
                    <w:widowControl/>
                    <w:adjustRightInd w:val="0"/>
                    <w:jc w:val="center"/>
                    <w:rPr>
                      <w:szCs w:val="21"/>
                    </w:rPr>
                  </w:pPr>
                  <w:r>
                    <w:rPr>
                      <w:rFonts w:hint="eastAsia"/>
                      <w:szCs w:val="21"/>
                    </w:rPr>
                    <w:t>供电</w:t>
                  </w:r>
                </w:p>
              </w:tc>
              <w:tc>
                <w:tcPr>
                  <w:tcW w:w="2732" w:type="pct"/>
                  <w:vAlign w:val="center"/>
                </w:tcPr>
                <w:p>
                  <w:pPr>
                    <w:widowControl/>
                    <w:adjustRightInd w:val="0"/>
                    <w:jc w:val="center"/>
                    <w:rPr>
                      <w:szCs w:val="21"/>
                    </w:rPr>
                  </w:pPr>
                  <w:r>
                    <w:rPr>
                      <w:rFonts w:hint="eastAsia"/>
                      <w:szCs w:val="21"/>
                    </w:rPr>
                    <w:t>由园区电网供给，项目内已设</w:t>
                  </w:r>
                  <w:r>
                    <w:rPr>
                      <w:szCs w:val="21"/>
                    </w:rPr>
                    <w:t>630KVA</w:t>
                  </w:r>
                  <w:r>
                    <w:rPr>
                      <w:rFonts w:hint="eastAsia"/>
                      <w:szCs w:val="21"/>
                    </w:rPr>
                    <w:t>变压器一台</w:t>
                  </w:r>
                </w:p>
              </w:tc>
              <w:tc>
                <w:tcPr>
                  <w:tcW w:w="876" w:type="pct"/>
                  <w:vAlign w:val="center"/>
                </w:tcPr>
                <w:p>
                  <w:pPr>
                    <w:adjustRightInd w:val="0"/>
                    <w:jc w:val="center"/>
                    <w:rPr>
                      <w:szCs w:val="21"/>
                    </w:rPr>
                  </w:pPr>
                  <w:r>
                    <w:rPr>
                      <w:rFonts w:hint="eastAsia"/>
                      <w:szCs w:val="21"/>
                    </w:rPr>
                    <w:t>依托利用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987" w:type="pct"/>
                  <w:gridSpan w:val="2"/>
                  <w:vAlign w:val="center"/>
                </w:tcPr>
                <w:p>
                  <w:pPr>
                    <w:widowControl/>
                    <w:adjustRightInd w:val="0"/>
                    <w:jc w:val="center"/>
                    <w:rPr>
                      <w:szCs w:val="21"/>
                    </w:rPr>
                  </w:pPr>
                  <w:r>
                    <w:rPr>
                      <w:rFonts w:hint="eastAsia"/>
                      <w:szCs w:val="21"/>
                    </w:rPr>
                    <w:t>供水</w:t>
                  </w:r>
                </w:p>
              </w:tc>
              <w:tc>
                <w:tcPr>
                  <w:tcW w:w="2732" w:type="pct"/>
                  <w:vAlign w:val="center"/>
                </w:tcPr>
                <w:p>
                  <w:pPr>
                    <w:widowControl/>
                    <w:adjustRightInd w:val="0"/>
                    <w:jc w:val="center"/>
                    <w:rPr>
                      <w:szCs w:val="21"/>
                    </w:rPr>
                  </w:pPr>
                  <w:r>
                    <w:rPr>
                      <w:rFonts w:hint="eastAsia"/>
                      <w:bCs/>
                      <w:szCs w:val="21"/>
                    </w:rPr>
                    <w:t>由园区供水管网直接供给。</w:t>
                  </w:r>
                </w:p>
              </w:tc>
              <w:tc>
                <w:tcPr>
                  <w:tcW w:w="876" w:type="pct"/>
                  <w:vAlign w:val="center"/>
                </w:tcPr>
                <w:p>
                  <w:pPr>
                    <w:adjustRightInd w:val="0"/>
                    <w:jc w:val="center"/>
                    <w:rPr>
                      <w:szCs w:val="21"/>
                    </w:rPr>
                  </w:pPr>
                  <w:r>
                    <w:rPr>
                      <w:rFonts w:hint="eastAsia"/>
                      <w:szCs w:val="21"/>
                    </w:rPr>
                    <w:t>依托利用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987" w:type="pct"/>
                  <w:gridSpan w:val="2"/>
                  <w:vAlign w:val="center"/>
                </w:tcPr>
                <w:p>
                  <w:pPr>
                    <w:widowControl/>
                    <w:adjustRightInd w:val="0"/>
                    <w:jc w:val="center"/>
                    <w:rPr>
                      <w:szCs w:val="21"/>
                    </w:rPr>
                  </w:pPr>
                  <w:r>
                    <w:rPr>
                      <w:rFonts w:hint="eastAsia"/>
                      <w:szCs w:val="21"/>
                    </w:rPr>
                    <w:t>排水</w:t>
                  </w:r>
                </w:p>
              </w:tc>
              <w:tc>
                <w:tcPr>
                  <w:tcW w:w="2732" w:type="pct"/>
                  <w:vAlign w:val="center"/>
                </w:tcPr>
                <w:p>
                  <w:pPr>
                    <w:widowControl/>
                    <w:adjustRightInd w:val="0"/>
                    <w:jc w:val="center"/>
                    <w:rPr>
                      <w:szCs w:val="21"/>
                    </w:rPr>
                  </w:pPr>
                  <w:r>
                    <w:rPr>
                      <w:rFonts w:hint="eastAsia"/>
                      <w:szCs w:val="21"/>
                    </w:rPr>
                    <w:t>项目内实行雨污分流，雨水经收集后排入园区雨水管网；生活污水经中水处理站处理后，回用于项目内冲厕及冷却用水，不外排。锅炉水膜除尘设备产生的废水经沉淀池沉淀后循环利用，不外排。</w:t>
                  </w:r>
                </w:p>
              </w:tc>
              <w:tc>
                <w:tcPr>
                  <w:tcW w:w="876" w:type="pct"/>
                  <w:vAlign w:val="center"/>
                </w:tcPr>
                <w:p>
                  <w:pPr>
                    <w:adjustRightInd w:val="0"/>
                    <w:jc w:val="center"/>
                    <w:rPr>
                      <w:szCs w:val="21"/>
                    </w:rPr>
                  </w:pPr>
                  <w:r>
                    <w:rPr>
                      <w:rFonts w:hint="eastAsia"/>
                      <w:szCs w:val="21"/>
                    </w:rPr>
                    <w:t>新建+依托利用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987" w:type="pct"/>
                  <w:gridSpan w:val="2"/>
                  <w:vAlign w:val="center"/>
                </w:tcPr>
                <w:p>
                  <w:pPr>
                    <w:widowControl/>
                    <w:adjustRightInd w:val="0"/>
                    <w:jc w:val="center"/>
                    <w:rPr>
                      <w:szCs w:val="21"/>
                    </w:rPr>
                  </w:pPr>
                  <w:r>
                    <w:rPr>
                      <w:rFonts w:hint="eastAsia"/>
                      <w:szCs w:val="21"/>
                    </w:rPr>
                    <w:t>供热</w:t>
                  </w:r>
                </w:p>
              </w:tc>
              <w:tc>
                <w:tcPr>
                  <w:tcW w:w="2732" w:type="pct"/>
                  <w:vAlign w:val="center"/>
                </w:tcPr>
                <w:p>
                  <w:pPr>
                    <w:widowControl/>
                    <w:adjustRightInd w:val="0"/>
                    <w:jc w:val="center"/>
                    <w:rPr>
                      <w:szCs w:val="21"/>
                    </w:rPr>
                  </w:pPr>
                  <w:r>
                    <w:rPr>
                      <w:rFonts w:hint="eastAsia"/>
                      <w:szCs w:val="21"/>
                    </w:rPr>
                    <w:t>生产供热来自1台7t/h导热油锅炉及新增的1台5t/h导热油锅炉；生活供热及其他生产设备采用电能。</w:t>
                  </w:r>
                </w:p>
              </w:tc>
              <w:tc>
                <w:tcPr>
                  <w:tcW w:w="876" w:type="pct"/>
                  <w:vAlign w:val="center"/>
                </w:tcPr>
                <w:p>
                  <w:pPr>
                    <w:adjustRightInd w:val="0"/>
                    <w:jc w:val="center"/>
                  </w:pPr>
                  <w:r>
                    <w:rPr>
                      <w:rFonts w:hint="eastAsia"/>
                      <w:szCs w:val="21"/>
                    </w:rPr>
                    <w:t>依托+新建，新建供热已建成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restart"/>
                  <w:vAlign w:val="center"/>
                </w:tcPr>
                <w:p>
                  <w:pPr>
                    <w:widowControl/>
                    <w:adjustRightInd w:val="0"/>
                    <w:jc w:val="center"/>
                    <w:rPr>
                      <w:szCs w:val="21"/>
                    </w:rPr>
                  </w:pPr>
                  <w:r>
                    <w:rPr>
                      <w:rFonts w:hint="eastAsia"/>
                      <w:szCs w:val="21"/>
                    </w:rPr>
                    <w:t>环保</w:t>
                  </w:r>
                </w:p>
                <w:p>
                  <w:pPr>
                    <w:widowControl/>
                    <w:adjustRightInd w:val="0"/>
                    <w:jc w:val="center"/>
                    <w:rPr>
                      <w:szCs w:val="21"/>
                    </w:rPr>
                  </w:pPr>
                  <w:r>
                    <w:rPr>
                      <w:rFonts w:hint="eastAsia"/>
                      <w:szCs w:val="21"/>
                    </w:rPr>
                    <w:t>工程</w:t>
                  </w:r>
                </w:p>
              </w:tc>
              <w:tc>
                <w:tcPr>
                  <w:tcW w:w="461" w:type="pct"/>
                  <w:vAlign w:val="center"/>
                </w:tcPr>
                <w:p>
                  <w:pPr>
                    <w:widowControl/>
                    <w:adjustRightInd w:val="0"/>
                    <w:jc w:val="center"/>
                    <w:rPr>
                      <w:szCs w:val="21"/>
                    </w:rPr>
                  </w:pPr>
                  <w:r>
                    <w:rPr>
                      <w:rFonts w:hint="eastAsia"/>
                      <w:szCs w:val="21"/>
                    </w:rPr>
                    <w:t>废水处理设施</w:t>
                  </w:r>
                </w:p>
              </w:tc>
              <w:tc>
                <w:tcPr>
                  <w:tcW w:w="527" w:type="pct"/>
                  <w:vAlign w:val="center"/>
                </w:tcPr>
                <w:p>
                  <w:pPr>
                    <w:widowControl/>
                    <w:adjustRightInd w:val="0"/>
                    <w:jc w:val="center"/>
                    <w:rPr>
                      <w:szCs w:val="21"/>
                    </w:rPr>
                  </w:pPr>
                  <w:r>
                    <w:rPr>
                      <w:rFonts w:hint="eastAsia"/>
                      <w:szCs w:val="21"/>
                    </w:rPr>
                    <w:t>沉淀池</w:t>
                  </w:r>
                </w:p>
              </w:tc>
              <w:tc>
                <w:tcPr>
                  <w:tcW w:w="2732" w:type="pct"/>
                  <w:vAlign w:val="center"/>
                </w:tcPr>
                <w:p>
                  <w:pPr>
                    <w:widowControl/>
                    <w:adjustRightInd w:val="0"/>
                    <w:jc w:val="center"/>
                    <w:rPr>
                      <w:szCs w:val="21"/>
                    </w:rPr>
                  </w:pPr>
                  <w:r>
                    <w:rPr>
                      <w:szCs w:val="21"/>
                    </w:rPr>
                    <w:t>1</w:t>
                  </w:r>
                  <w:r>
                    <w:rPr>
                      <w:rFonts w:hint="eastAsia"/>
                      <w:szCs w:val="21"/>
                    </w:rPr>
                    <w:t>个，容积16m</w:t>
                  </w:r>
                  <w:r>
                    <w:rPr>
                      <w:rFonts w:hint="eastAsia"/>
                      <w:szCs w:val="21"/>
                      <w:vertAlign w:val="superscript"/>
                    </w:rPr>
                    <w:t>3</w:t>
                  </w:r>
                  <w:r>
                    <w:rPr>
                      <w:rFonts w:hint="eastAsia"/>
                      <w:szCs w:val="21"/>
                    </w:rPr>
                    <w:t>，用于收集处理5</w:t>
                  </w:r>
                  <w:r>
                    <w:rPr>
                      <w:szCs w:val="21"/>
                    </w:rPr>
                    <w:t>t/h</w:t>
                  </w:r>
                  <w:r>
                    <w:rPr>
                      <w:rFonts w:hint="eastAsia"/>
                      <w:szCs w:val="21"/>
                    </w:rPr>
                    <w:t>锅炉与7</w:t>
                  </w:r>
                  <w:r>
                    <w:rPr>
                      <w:szCs w:val="21"/>
                    </w:rPr>
                    <w:t>t/h</w:t>
                  </w:r>
                  <w:r>
                    <w:rPr>
                      <w:rFonts w:hint="eastAsia"/>
                      <w:szCs w:val="21"/>
                    </w:rPr>
                    <w:t>锅炉水膜除尘设备产生的废水，废水经沉淀池沉淀后循环利用，不外排。</w:t>
                  </w:r>
                </w:p>
              </w:tc>
              <w:tc>
                <w:tcPr>
                  <w:tcW w:w="876" w:type="pct"/>
                  <w:vAlign w:val="center"/>
                </w:tcPr>
                <w:p>
                  <w:pPr>
                    <w:adjustRightInd w:val="0"/>
                    <w:jc w:val="center"/>
                    <w:rPr>
                      <w:szCs w:val="21"/>
                    </w:rPr>
                  </w:pPr>
                  <w:r>
                    <w:rPr>
                      <w:rFonts w:hint="eastAsia"/>
                      <w:szCs w:val="21"/>
                    </w:rPr>
                    <w:t>新建，已建成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461" w:type="pct"/>
                  <w:vAlign w:val="center"/>
                </w:tcPr>
                <w:p>
                  <w:pPr>
                    <w:widowControl/>
                    <w:adjustRightInd w:val="0"/>
                    <w:jc w:val="center"/>
                    <w:rPr>
                      <w:szCs w:val="21"/>
                    </w:rPr>
                  </w:pPr>
                  <w:r>
                    <w:rPr>
                      <w:rFonts w:hint="eastAsia"/>
                      <w:szCs w:val="21"/>
                    </w:rPr>
                    <w:t>废气处理设施</w:t>
                  </w:r>
                </w:p>
              </w:tc>
              <w:tc>
                <w:tcPr>
                  <w:tcW w:w="527" w:type="pct"/>
                  <w:vAlign w:val="center"/>
                </w:tcPr>
                <w:p>
                  <w:pPr>
                    <w:widowControl/>
                    <w:adjustRightInd w:val="0"/>
                    <w:jc w:val="center"/>
                    <w:rPr>
                      <w:szCs w:val="21"/>
                    </w:rPr>
                  </w:pPr>
                  <w:r>
                    <w:rPr>
                      <w:rFonts w:hint="eastAsia"/>
                      <w:szCs w:val="21"/>
                    </w:rPr>
                    <w:t>5t导热油锅炉废气</w:t>
                  </w:r>
                </w:p>
              </w:tc>
              <w:tc>
                <w:tcPr>
                  <w:tcW w:w="2732" w:type="pct"/>
                  <w:vAlign w:val="center"/>
                </w:tcPr>
                <w:p>
                  <w:pPr>
                    <w:widowControl/>
                    <w:adjustRightInd w:val="0"/>
                    <w:jc w:val="center"/>
                    <w:rPr>
                      <w:szCs w:val="21"/>
                    </w:rPr>
                  </w:pPr>
                  <w:r>
                    <w:rPr>
                      <w:rFonts w:hint="eastAsia"/>
                      <w:szCs w:val="21"/>
                    </w:rPr>
                    <w:t>1套“多管旋风除尘器+水膜除尘装置”+1根高度35m烟囱排放。</w:t>
                  </w:r>
                </w:p>
              </w:tc>
              <w:tc>
                <w:tcPr>
                  <w:tcW w:w="876" w:type="pct"/>
                  <w:vAlign w:val="center"/>
                </w:tcPr>
                <w:p>
                  <w:pPr>
                    <w:adjustRightInd w:val="0"/>
                    <w:jc w:val="center"/>
                    <w:rPr>
                      <w:szCs w:val="21"/>
                    </w:rPr>
                  </w:pPr>
                  <w:r>
                    <w:rPr>
                      <w:rFonts w:hint="eastAsia"/>
                      <w:szCs w:val="21"/>
                    </w:rPr>
                    <w:t>新建，已建成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987" w:type="pct"/>
                  <w:gridSpan w:val="2"/>
                  <w:vAlign w:val="center"/>
                </w:tcPr>
                <w:p>
                  <w:pPr>
                    <w:widowControl/>
                    <w:adjustRightInd w:val="0"/>
                    <w:jc w:val="center"/>
                    <w:rPr>
                      <w:szCs w:val="21"/>
                    </w:rPr>
                  </w:pPr>
                  <w:r>
                    <w:rPr>
                      <w:rFonts w:hint="eastAsia"/>
                      <w:szCs w:val="21"/>
                    </w:rPr>
                    <w:t>噪声</w:t>
                  </w:r>
                </w:p>
              </w:tc>
              <w:tc>
                <w:tcPr>
                  <w:tcW w:w="2732" w:type="pct"/>
                  <w:vAlign w:val="center"/>
                </w:tcPr>
                <w:p>
                  <w:pPr>
                    <w:widowControl/>
                    <w:adjustRightInd w:val="0"/>
                    <w:jc w:val="center"/>
                    <w:rPr>
                      <w:szCs w:val="21"/>
                    </w:rPr>
                  </w:pPr>
                  <w:r>
                    <w:rPr>
                      <w:rFonts w:hint="eastAsia"/>
                    </w:rPr>
                    <w:t>选用低噪声设备，隔声、减振，设置在厂房内，加强设备维护</w:t>
                  </w:r>
                  <w:r>
                    <w:rPr>
                      <w:rFonts w:hint="eastAsia"/>
                      <w:szCs w:val="21"/>
                    </w:rPr>
                    <w:t>；</w:t>
                  </w:r>
                </w:p>
              </w:tc>
              <w:tc>
                <w:tcPr>
                  <w:tcW w:w="876" w:type="pct"/>
                  <w:vAlign w:val="center"/>
                </w:tcPr>
                <w:p>
                  <w:pPr>
                    <w:adjustRightInd w:val="0"/>
                    <w:jc w:val="center"/>
                    <w:rPr>
                      <w:szCs w:val="21"/>
                    </w:rPr>
                  </w:pPr>
                  <w:r>
                    <w:rPr>
                      <w:rFonts w:hint="eastAsia"/>
                      <w:szCs w:val="21"/>
                    </w:rPr>
                    <w:t>新建，已建成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405" w:type="pct"/>
                  <w:vMerge w:val="continue"/>
                  <w:vAlign w:val="center"/>
                </w:tcPr>
                <w:p>
                  <w:pPr>
                    <w:widowControl/>
                    <w:adjustRightInd w:val="0"/>
                    <w:jc w:val="center"/>
                    <w:rPr>
                      <w:szCs w:val="21"/>
                    </w:rPr>
                  </w:pPr>
                </w:p>
              </w:tc>
              <w:tc>
                <w:tcPr>
                  <w:tcW w:w="461" w:type="pct"/>
                  <w:vMerge w:val="restart"/>
                  <w:vAlign w:val="center"/>
                </w:tcPr>
                <w:p>
                  <w:pPr>
                    <w:widowControl/>
                    <w:adjustRightInd w:val="0"/>
                    <w:ind w:left="-191" w:leftChars="-91" w:right="-202" w:rightChars="-96"/>
                    <w:jc w:val="center"/>
                    <w:rPr>
                      <w:szCs w:val="21"/>
                    </w:rPr>
                  </w:pPr>
                  <w:r>
                    <w:rPr>
                      <w:rFonts w:hint="eastAsia"/>
                      <w:szCs w:val="21"/>
                    </w:rPr>
                    <w:t>固体</w:t>
                  </w:r>
                </w:p>
                <w:p>
                  <w:pPr>
                    <w:widowControl/>
                    <w:adjustRightInd w:val="0"/>
                    <w:ind w:left="-191" w:leftChars="-91" w:right="-202" w:rightChars="-96"/>
                    <w:jc w:val="center"/>
                    <w:rPr>
                      <w:szCs w:val="21"/>
                    </w:rPr>
                  </w:pPr>
                  <w:r>
                    <w:rPr>
                      <w:rFonts w:hint="eastAsia"/>
                      <w:szCs w:val="21"/>
                    </w:rPr>
                    <w:t>废物</w:t>
                  </w:r>
                </w:p>
              </w:tc>
              <w:tc>
                <w:tcPr>
                  <w:tcW w:w="527" w:type="pct"/>
                  <w:vAlign w:val="center"/>
                </w:tcPr>
                <w:p>
                  <w:pPr>
                    <w:widowControl/>
                    <w:adjustRightInd w:val="0"/>
                    <w:jc w:val="center"/>
                    <w:rPr>
                      <w:szCs w:val="21"/>
                    </w:rPr>
                  </w:pPr>
                  <w:r>
                    <w:rPr>
                      <w:rFonts w:hint="eastAsia"/>
                      <w:szCs w:val="21"/>
                    </w:rPr>
                    <w:t>一般固废暂存区</w:t>
                  </w:r>
                </w:p>
              </w:tc>
              <w:tc>
                <w:tcPr>
                  <w:tcW w:w="2732" w:type="pct"/>
                  <w:vAlign w:val="center"/>
                </w:tcPr>
                <w:p>
                  <w:pPr>
                    <w:widowControl/>
                    <w:adjustRightInd w:val="0"/>
                    <w:jc w:val="center"/>
                    <w:rPr>
                      <w:szCs w:val="21"/>
                    </w:rPr>
                  </w:pPr>
                  <w:r>
                    <w:rPr>
                      <w:rFonts w:hint="eastAsia"/>
                      <w:szCs w:val="21"/>
                    </w:rPr>
                    <w:t>导热油锅炉燃料燃烧产生的灰渣、水膜除尘器污泥、沉淀池污泥定期清掏暂存至已建的一般固废暂存区，委托环卫部门统一清运处置。</w:t>
                  </w:r>
                </w:p>
              </w:tc>
              <w:tc>
                <w:tcPr>
                  <w:tcW w:w="876" w:type="pct"/>
                  <w:vAlign w:val="center"/>
                </w:tcPr>
                <w:p>
                  <w:pPr>
                    <w:adjustRightInd w:val="0"/>
                    <w:jc w:val="center"/>
                    <w:rPr>
                      <w:szCs w:val="21"/>
                    </w:rPr>
                  </w:pPr>
                  <w:r>
                    <w:rPr>
                      <w:rFonts w:hint="eastAsia"/>
                      <w:szCs w:val="21"/>
                    </w:rPr>
                    <w:t>依托利用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05" w:type="pct"/>
                  <w:vMerge w:val="continue"/>
                  <w:vAlign w:val="center"/>
                </w:tcPr>
                <w:p>
                  <w:pPr>
                    <w:widowControl/>
                    <w:adjustRightInd w:val="0"/>
                    <w:jc w:val="center"/>
                    <w:rPr>
                      <w:szCs w:val="21"/>
                    </w:rPr>
                  </w:pPr>
                </w:p>
              </w:tc>
              <w:tc>
                <w:tcPr>
                  <w:tcW w:w="461" w:type="pct"/>
                  <w:vMerge w:val="continue"/>
                  <w:vAlign w:val="center"/>
                </w:tcPr>
                <w:p>
                  <w:pPr>
                    <w:widowControl/>
                    <w:adjustRightInd w:val="0"/>
                    <w:ind w:left="-191" w:leftChars="-91" w:right="-202" w:rightChars="-96"/>
                    <w:jc w:val="center"/>
                    <w:rPr>
                      <w:szCs w:val="21"/>
                    </w:rPr>
                  </w:pPr>
                </w:p>
              </w:tc>
              <w:tc>
                <w:tcPr>
                  <w:tcW w:w="527" w:type="pct"/>
                  <w:vAlign w:val="center"/>
                </w:tcPr>
                <w:p>
                  <w:pPr>
                    <w:widowControl/>
                    <w:adjustRightInd w:val="0"/>
                    <w:jc w:val="center"/>
                    <w:rPr>
                      <w:szCs w:val="21"/>
                    </w:rPr>
                  </w:pPr>
                  <w:r>
                    <w:rPr>
                      <w:rFonts w:hint="eastAsia"/>
                      <w:szCs w:val="21"/>
                    </w:rPr>
                    <w:t>危险废物暂存间</w:t>
                  </w:r>
                </w:p>
              </w:tc>
              <w:tc>
                <w:tcPr>
                  <w:tcW w:w="2732" w:type="pct"/>
                  <w:vAlign w:val="center"/>
                </w:tcPr>
                <w:p>
                  <w:pPr>
                    <w:widowControl/>
                    <w:adjustRightInd w:val="0"/>
                    <w:jc w:val="center"/>
                    <w:rPr>
                      <w:szCs w:val="21"/>
                    </w:rPr>
                  </w:pPr>
                  <w:r>
                    <w:rPr>
                      <w:rFonts w:hint="eastAsia"/>
                      <w:szCs w:val="21"/>
                    </w:rPr>
                    <w:t>热压凉板废气处理装置产生的废活性炭暂存于危险废物暂存间委托曲靖银发危险废物集中处置中心有限公司处置；导热油锅炉定期更换废导热油暂存至危险废物暂存间，委托寻甸同磊再生资源有限公司统一收集处置。</w:t>
                  </w:r>
                </w:p>
              </w:tc>
              <w:tc>
                <w:tcPr>
                  <w:tcW w:w="876" w:type="pct"/>
                  <w:vAlign w:val="center"/>
                </w:tcPr>
                <w:p>
                  <w:pPr>
                    <w:adjustRightInd w:val="0"/>
                    <w:jc w:val="center"/>
                    <w:rPr>
                      <w:szCs w:val="21"/>
                    </w:rPr>
                  </w:pPr>
                  <w:r>
                    <w:rPr>
                      <w:rFonts w:hint="eastAsia"/>
                      <w:szCs w:val="21"/>
                    </w:rPr>
                    <w:t>依托利用</w:t>
                  </w:r>
                </w:p>
              </w:tc>
            </w:tr>
          </w:tbl>
          <w:p>
            <w:pPr>
              <w:adjustRightInd w:val="0"/>
              <w:spacing w:before="120" w:beforeLines="50" w:line="360" w:lineRule="auto"/>
              <w:ind w:firstLine="482" w:firstLineChars="200"/>
              <w:jc w:val="left"/>
              <w:rPr>
                <w:b/>
                <w:bCs/>
                <w:sz w:val="24"/>
              </w:rPr>
            </w:pPr>
            <w:r>
              <w:rPr>
                <w:rFonts w:hint="eastAsia"/>
                <w:b/>
                <w:sz w:val="24"/>
                <w:szCs w:val="21"/>
              </w:rPr>
              <w:t>3、本项目技改后</w:t>
            </w:r>
            <w:r>
              <w:rPr>
                <w:rFonts w:hint="eastAsia"/>
                <w:b/>
                <w:bCs/>
                <w:sz w:val="24"/>
              </w:rPr>
              <w:t>主要产品及产能</w:t>
            </w:r>
          </w:p>
          <w:p>
            <w:pPr>
              <w:adjustRightInd w:val="0"/>
              <w:spacing w:line="360" w:lineRule="auto"/>
              <w:ind w:firstLine="480" w:firstLineChars="200"/>
              <w:rPr>
                <w:sz w:val="24"/>
              </w:rPr>
            </w:pPr>
            <w:r>
              <w:rPr>
                <w:sz w:val="24"/>
                <w:szCs w:val="21"/>
              </w:rPr>
              <w:t>本项目</w:t>
            </w:r>
            <w:r>
              <w:rPr>
                <w:sz w:val="24"/>
              </w:rPr>
              <w:t>主要针对</w:t>
            </w:r>
            <w:r>
              <w:rPr>
                <w:rFonts w:hint="eastAsia"/>
                <w:sz w:val="24"/>
                <w:szCs w:val="21"/>
              </w:rPr>
              <w:t>现有年产5万m</w:t>
            </w:r>
            <w:r>
              <w:rPr>
                <w:rFonts w:hint="eastAsia"/>
                <w:sz w:val="24"/>
                <w:szCs w:val="21"/>
                <w:vertAlign w:val="superscript"/>
              </w:rPr>
              <w:t>3</w:t>
            </w:r>
            <w:r>
              <w:rPr>
                <w:rFonts w:hint="eastAsia"/>
                <w:sz w:val="24"/>
                <w:szCs w:val="21"/>
              </w:rPr>
              <w:t>木质刨花板制造项目</w:t>
            </w:r>
            <w:r>
              <w:rPr>
                <w:rFonts w:hint="eastAsia"/>
                <w:sz w:val="24"/>
              </w:rPr>
              <w:t>配套</w:t>
            </w:r>
            <w:r>
              <w:rPr>
                <w:sz w:val="24"/>
              </w:rPr>
              <w:t>供热工程</w:t>
            </w:r>
            <w:r>
              <w:rPr>
                <w:rFonts w:hint="eastAsia"/>
                <w:sz w:val="24"/>
              </w:rPr>
              <w:t>和</w:t>
            </w:r>
            <w:r>
              <w:rPr>
                <w:sz w:val="24"/>
              </w:rPr>
              <w:t>环保工程</w:t>
            </w:r>
            <w:r>
              <w:rPr>
                <w:rFonts w:hint="eastAsia"/>
                <w:sz w:val="24"/>
              </w:rPr>
              <w:t>进行技改</w:t>
            </w:r>
            <w:r>
              <w:rPr>
                <w:sz w:val="24"/>
              </w:rPr>
              <w:t>，</w:t>
            </w:r>
            <w:r>
              <w:rPr>
                <w:rFonts w:hint="eastAsia"/>
                <w:sz w:val="24"/>
              </w:rPr>
              <w:t>现有项目</w:t>
            </w:r>
            <w:r>
              <w:rPr>
                <w:rFonts w:hint="eastAsia" w:cs="宋体"/>
                <w:kern w:val="0"/>
                <w:sz w:val="24"/>
                <w:szCs w:val="21"/>
              </w:rPr>
              <w:t>主体工程、原辅材料、生产工艺及污染物种类、产品及规模等均未发生变化，</w:t>
            </w:r>
            <w:r>
              <w:rPr>
                <w:rFonts w:hint="eastAsia"/>
                <w:sz w:val="24"/>
              </w:rPr>
              <w:t>本项目技改后主要产品方案见下表。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w:t>
            </w:r>
            <w:r>
              <w:rPr>
                <w:rFonts w:cs="宋体"/>
                <w:b/>
                <w:bCs/>
                <w:kern w:val="0"/>
                <w:sz w:val="24"/>
                <w:szCs w:val="20"/>
                <w:lang w:bidi="ar"/>
              </w:rPr>
              <w:t>6</w:t>
            </w:r>
            <w:r>
              <w:rPr>
                <w:rFonts w:hint="eastAsia" w:cs="宋体"/>
                <w:b/>
                <w:bCs/>
                <w:kern w:val="0"/>
                <w:sz w:val="24"/>
                <w:szCs w:val="20"/>
                <w:lang w:bidi="ar"/>
              </w:rPr>
              <w:t xml:space="preserve">  本项目技改后主要产品一览表</w:t>
            </w:r>
          </w:p>
          <w:tbl>
            <w:tblPr>
              <w:tblStyle w:val="32"/>
              <w:tblW w:w="787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79"/>
              <w:gridCol w:w="909"/>
              <w:gridCol w:w="2013"/>
              <w:gridCol w:w="1323"/>
              <w:gridCol w:w="1764"/>
              <w:gridCol w:w="12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1044" w:type="pct"/>
                  <w:gridSpan w:val="2"/>
                  <w:vAlign w:val="center"/>
                </w:tcPr>
                <w:p>
                  <w:pPr>
                    <w:widowControl/>
                    <w:adjustRightInd w:val="0"/>
                    <w:jc w:val="center"/>
                    <w:rPr>
                      <w:b/>
                      <w:szCs w:val="21"/>
                    </w:rPr>
                  </w:pPr>
                  <w:r>
                    <w:rPr>
                      <w:rFonts w:hint="eastAsia"/>
                      <w:b/>
                      <w:szCs w:val="21"/>
                    </w:rPr>
                    <w:t>产品名称</w:t>
                  </w:r>
                </w:p>
              </w:tc>
              <w:tc>
                <w:tcPr>
                  <w:tcW w:w="1031" w:type="pct"/>
                  <w:tcBorders>
                    <w:right w:val="single" w:color="auto" w:sz="4" w:space="0"/>
                  </w:tcBorders>
                  <w:vAlign w:val="center"/>
                </w:tcPr>
                <w:p>
                  <w:pPr>
                    <w:widowControl/>
                    <w:adjustRightInd w:val="0"/>
                    <w:jc w:val="center"/>
                    <w:rPr>
                      <w:b/>
                      <w:szCs w:val="21"/>
                    </w:rPr>
                  </w:pPr>
                  <w:r>
                    <w:rPr>
                      <w:rFonts w:hint="eastAsia"/>
                      <w:b/>
                      <w:szCs w:val="21"/>
                    </w:rPr>
                    <w:t>产品规格</w:t>
                  </w:r>
                </w:p>
              </w:tc>
              <w:tc>
                <w:tcPr>
                  <w:tcW w:w="888" w:type="pct"/>
                  <w:tcBorders>
                    <w:right w:val="single" w:color="auto" w:sz="4" w:space="0"/>
                  </w:tcBorders>
                  <w:vAlign w:val="center"/>
                </w:tcPr>
                <w:p>
                  <w:pPr>
                    <w:widowControl/>
                    <w:adjustRightInd w:val="0"/>
                    <w:jc w:val="center"/>
                    <w:rPr>
                      <w:b/>
                      <w:szCs w:val="21"/>
                    </w:rPr>
                  </w:pPr>
                  <w:r>
                    <w:rPr>
                      <w:rFonts w:hint="eastAsia"/>
                      <w:b/>
                      <w:szCs w:val="21"/>
                    </w:rPr>
                    <w:t>规模</w:t>
                  </w:r>
                </w:p>
              </w:tc>
              <w:tc>
                <w:tcPr>
                  <w:tcW w:w="1170" w:type="pct"/>
                  <w:tcBorders>
                    <w:left w:val="single" w:color="auto" w:sz="4" w:space="0"/>
                  </w:tcBorders>
                  <w:vAlign w:val="center"/>
                </w:tcPr>
                <w:p>
                  <w:pPr>
                    <w:widowControl/>
                    <w:adjustRightInd w:val="0"/>
                    <w:jc w:val="center"/>
                    <w:rPr>
                      <w:b/>
                      <w:szCs w:val="21"/>
                    </w:rPr>
                  </w:pPr>
                  <w:r>
                    <w:rPr>
                      <w:rFonts w:hint="eastAsia"/>
                      <w:b/>
                      <w:szCs w:val="21"/>
                    </w:rPr>
                    <w:t>质量标准</w:t>
                  </w:r>
                </w:p>
              </w:tc>
              <w:tc>
                <w:tcPr>
                  <w:tcW w:w="867" w:type="pct"/>
                  <w:vAlign w:val="center"/>
                </w:tcPr>
                <w:p>
                  <w:pPr>
                    <w:widowControl/>
                    <w:adjustRightInd w:val="0"/>
                    <w:jc w:val="center"/>
                    <w:rPr>
                      <w:b/>
                      <w:szCs w:val="21"/>
                    </w:rPr>
                  </w:pPr>
                  <w:r>
                    <w:rPr>
                      <w:rFonts w:hint="eastAsia"/>
                      <w:b/>
                      <w:szCs w:val="21"/>
                    </w:rPr>
                    <w:t>产品流向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417" w:type="pct"/>
                  <w:tcBorders>
                    <w:right w:val="single" w:color="auto" w:sz="4" w:space="0"/>
                  </w:tcBorders>
                  <w:vAlign w:val="center"/>
                </w:tcPr>
                <w:p>
                  <w:pPr>
                    <w:widowControl/>
                    <w:adjustRightInd w:val="0"/>
                    <w:jc w:val="center"/>
                    <w:rPr>
                      <w:szCs w:val="21"/>
                    </w:rPr>
                  </w:pPr>
                  <w:r>
                    <w:rPr>
                      <w:rFonts w:hint="eastAsia"/>
                      <w:szCs w:val="21"/>
                    </w:rPr>
                    <w:t>刨花板</w:t>
                  </w:r>
                </w:p>
              </w:tc>
              <w:tc>
                <w:tcPr>
                  <w:tcW w:w="625" w:type="pct"/>
                  <w:tcBorders>
                    <w:left w:val="single" w:color="auto" w:sz="4" w:space="0"/>
                  </w:tcBorders>
                  <w:vAlign w:val="center"/>
                </w:tcPr>
                <w:p>
                  <w:pPr>
                    <w:widowControl/>
                    <w:adjustRightInd w:val="0"/>
                    <w:jc w:val="center"/>
                    <w:rPr>
                      <w:szCs w:val="21"/>
                    </w:rPr>
                  </w:pPr>
                  <w:r>
                    <w:rPr>
                      <w:rFonts w:hint="eastAsia"/>
                      <w:szCs w:val="21"/>
                    </w:rPr>
                    <w:t>E1级环保刨花板</w:t>
                  </w:r>
                </w:p>
              </w:tc>
              <w:tc>
                <w:tcPr>
                  <w:tcW w:w="1031" w:type="pct"/>
                  <w:tcBorders>
                    <w:right w:val="single" w:color="auto" w:sz="4" w:space="0"/>
                  </w:tcBorders>
                  <w:vAlign w:val="center"/>
                </w:tcPr>
                <w:p>
                  <w:pPr>
                    <w:widowControl/>
                    <w:adjustRightInd w:val="0"/>
                    <w:jc w:val="center"/>
                    <w:rPr>
                      <w:szCs w:val="21"/>
                    </w:rPr>
                  </w:pPr>
                  <w:r>
                    <w:rPr>
                      <w:rFonts w:hint="eastAsia"/>
                      <w:szCs w:val="21"/>
                    </w:rPr>
                    <w:t>2440×1220×18mm</w:t>
                  </w:r>
                </w:p>
              </w:tc>
              <w:tc>
                <w:tcPr>
                  <w:tcW w:w="890" w:type="pct"/>
                  <w:tcBorders>
                    <w:right w:val="single" w:color="auto" w:sz="4" w:space="0"/>
                  </w:tcBorders>
                  <w:vAlign w:val="center"/>
                </w:tcPr>
                <w:p>
                  <w:pPr>
                    <w:widowControl/>
                    <w:adjustRightInd w:val="0"/>
                    <w:jc w:val="center"/>
                    <w:rPr>
                      <w:szCs w:val="21"/>
                    </w:rPr>
                  </w:pPr>
                  <w:r>
                    <w:rPr>
                      <w:rFonts w:hint="eastAsia"/>
                      <w:szCs w:val="21"/>
                    </w:rPr>
                    <w:t>5万立方米</w:t>
                  </w:r>
                </w:p>
              </w:tc>
              <w:tc>
                <w:tcPr>
                  <w:tcW w:w="1170" w:type="pct"/>
                  <w:tcBorders>
                    <w:left w:val="single" w:color="auto" w:sz="4" w:space="0"/>
                  </w:tcBorders>
                  <w:vAlign w:val="center"/>
                </w:tcPr>
                <w:p>
                  <w:pPr>
                    <w:widowControl/>
                    <w:adjustRightInd w:val="0"/>
                    <w:jc w:val="center"/>
                    <w:rPr>
                      <w:szCs w:val="21"/>
                    </w:rPr>
                  </w:pPr>
                  <w:r>
                    <w:rPr>
                      <w:rFonts w:hint="eastAsia"/>
                      <w:szCs w:val="21"/>
                    </w:rPr>
                    <w:t>符合GB/T4897.3-2003标准规定</w:t>
                  </w:r>
                </w:p>
              </w:tc>
              <w:tc>
                <w:tcPr>
                  <w:tcW w:w="865" w:type="pct"/>
                  <w:vAlign w:val="center"/>
                </w:tcPr>
                <w:p>
                  <w:pPr>
                    <w:widowControl/>
                    <w:adjustRightInd w:val="0"/>
                    <w:jc w:val="center"/>
                    <w:rPr>
                      <w:szCs w:val="21"/>
                    </w:rPr>
                  </w:pPr>
                  <w:r>
                    <w:rPr>
                      <w:rFonts w:hint="eastAsia"/>
                      <w:szCs w:val="21"/>
                    </w:rPr>
                    <w:t>云南、四川等地</w:t>
                  </w:r>
                </w:p>
              </w:tc>
            </w:tr>
          </w:tbl>
          <w:p>
            <w:pPr>
              <w:adjustRightInd w:val="0"/>
              <w:spacing w:before="120" w:beforeLines="50" w:line="360" w:lineRule="auto"/>
              <w:ind w:firstLine="482" w:firstLineChars="200"/>
              <w:rPr>
                <w:b/>
                <w:sz w:val="24"/>
                <w:szCs w:val="21"/>
              </w:rPr>
            </w:pPr>
            <w:r>
              <w:rPr>
                <w:rFonts w:hint="eastAsia"/>
                <w:b/>
                <w:sz w:val="24"/>
                <w:szCs w:val="21"/>
              </w:rPr>
              <w:t>4、本项目主要原辅材料</w:t>
            </w:r>
          </w:p>
          <w:p>
            <w:pPr>
              <w:autoSpaceDE w:val="0"/>
              <w:autoSpaceDN w:val="0"/>
              <w:adjustRightInd w:val="0"/>
              <w:spacing w:line="360" w:lineRule="auto"/>
              <w:ind w:firstLine="480" w:firstLineChars="200"/>
              <w:rPr>
                <w:rFonts w:ascii="宋体" w:hAnsi="宋体"/>
                <w:sz w:val="24"/>
              </w:rPr>
            </w:pPr>
            <w:r>
              <w:rPr>
                <w:sz w:val="24"/>
                <w:szCs w:val="21"/>
              </w:rPr>
              <w:t>本项目</w:t>
            </w:r>
            <w:r>
              <w:rPr>
                <w:sz w:val="24"/>
              </w:rPr>
              <w:t>主要针对</w:t>
            </w:r>
            <w:r>
              <w:rPr>
                <w:rFonts w:hint="eastAsia"/>
                <w:sz w:val="24"/>
                <w:szCs w:val="21"/>
              </w:rPr>
              <w:t>现有年产5万m</w:t>
            </w:r>
            <w:r>
              <w:rPr>
                <w:rFonts w:hint="eastAsia"/>
                <w:sz w:val="24"/>
                <w:szCs w:val="21"/>
                <w:vertAlign w:val="superscript"/>
              </w:rPr>
              <w:t>3</w:t>
            </w:r>
            <w:r>
              <w:rPr>
                <w:rFonts w:hint="eastAsia"/>
                <w:sz w:val="24"/>
                <w:szCs w:val="21"/>
              </w:rPr>
              <w:t>木质刨花板制造项目</w:t>
            </w:r>
            <w:r>
              <w:rPr>
                <w:rFonts w:hint="eastAsia"/>
                <w:sz w:val="24"/>
              </w:rPr>
              <w:t>配套</w:t>
            </w:r>
            <w:r>
              <w:rPr>
                <w:sz w:val="24"/>
              </w:rPr>
              <w:t>供热工程</w:t>
            </w:r>
            <w:r>
              <w:rPr>
                <w:rFonts w:hint="eastAsia"/>
                <w:sz w:val="24"/>
              </w:rPr>
              <w:t>和</w:t>
            </w:r>
            <w:r>
              <w:rPr>
                <w:sz w:val="24"/>
              </w:rPr>
              <w:t>环保工程</w:t>
            </w:r>
            <w:r>
              <w:rPr>
                <w:rFonts w:hint="eastAsia"/>
                <w:sz w:val="24"/>
              </w:rPr>
              <w:t>进行技改</w:t>
            </w:r>
            <w:r>
              <w:rPr>
                <w:sz w:val="24"/>
              </w:rPr>
              <w:t>，</w:t>
            </w:r>
            <w:r>
              <w:rPr>
                <w:rFonts w:hint="eastAsia"/>
                <w:sz w:val="24"/>
              </w:rPr>
              <w:t>现有项目</w:t>
            </w:r>
            <w:r>
              <w:rPr>
                <w:rFonts w:hint="eastAsia" w:cs="宋体"/>
                <w:kern w:val="0"/>
                <w:sz w:val="24"/>
                <w:szCs w:val="21"/>
              </w:rPr>
              <w:t>主体工程、原辅材料、生产工艺及污染物种类、产品及规模等均未发生变化，本项目</w:t>
            </w:r>
            <w:r>
              <w:rPr>
                <w:rFonts w:hint="eastAsia" w:ascii="宋体" w:hAnsi="宋体"/>
                <w:sz w:val="24"/>
              </w:rPr>
              <w:t>主要原辅材料及消耗量见表</w:t>
            </w:r>
            <w:r>
              <w:rPr>
                <w:sz w:val="24"/>
              </w:rPr>
              <w:t>2-7</w:t>
            </w:r>
            <w:r>
              <w:rPr>
                <w:rFonts w:hint="eastAsia" w:ascii="宋体" w:hAnsi="宋体"/>
                <w:sz w:val="24"/>
              </w:rPr>
              <w:t>。</w:t>
            </w:r>
          </w:p>
          <w:p>
            <w:pPr>
              <w:widowControl/>
              <w:tabs>
                <w:tab w:val="left" w:pos="4285"/>
              </w:tabs>
              <w:adjustRightInd w:val="0"/>
              <w:spacing w:line="360" w:lineRule="auto"/>
              <w:jc w:val="center"/>
              <w:rPr>
                <w:rFonts w:cs="宋体"/>
                <w:b/>
                <w:bCs/>
                <w:kern w:val="0"/>
                <w:sz w:val="24"/>
                <w:szCs w:val="20"/>
                <w:lang w:bidi="ar"/>
              </w:rPr>
            </w:pPr>
            <w:r>
              <w:rPr>
                <w:rFonts w:cs="宋体"/>
                <w:b/>
                <w:bCs/>
                <w:kern w:val="0"/>
                <w:sz w:val="24"/>
                <w:szCs w:val="20"/>
                <w:lang w:bidi="ar"/>
              </w:rPr>
              <w:t xml:space="preserve">表2-7  </w:t>
            </w:r>
            <w:r>
              <w:rPr>
                <w:rFonts w:hint="eastAsia" w:cs="宋体"/>
                <w:b/>
                <w:bCs/>
                <w:kern w:val="0"/>
                <w:sz w:val="24"/>
                <w:szCs w:val="20"/>
                <w:lang w:bidi="ar"/>
              </w:rPr>
              <w:t>本项目</w:t>
            </w:r>
            <w:r>
              <w:rPr>
                <w:rFonts w:cs="宋体"/>
                <w:b/>
                <w:bCs/>
                <w:kern w:val="0"/>
                <w:sz w:val="24"/>
                <w:szCs w:val="20"/>
                <w:lang w:bidi="ar"/>
              </w:rPr>
              <w:t>原辅材料用量一览表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229"/>
              <w:gridCol w:w="2072"/>
              <w:gridCol w:w="4187"/>
            </w:tblGrid>
            <w:tr>
              <w:tblPrEx>
                <w:tblCellMar>
                  <w:top w:w="0" w:type="dxa"/>
                  <w:left w:w="108" w:type="dxa"/>
                  <w:bottom w:w="0" w:type="dxa"/>
                  <w:right w:w="108" w:type="dxa"/>
                </w:tblCellMar>
              </w:tblPrEx>
              <w:trPr>
                <w:trHeight w:val="283" w:hRule="atLeast"/>
                <w:jc w:val="center"/>
              </w:trPr>
              <w:tc>
                <w:tcPr>
                  <w:tcW w:w="511" w:type="pct"/>
                  <w:vAlign w:val="center"/>
                </w:tcPr>
                <w:p>
                  <w:pPr>
                    <w:widowControl/>
                    <w:adjustRightInd w:val="0"/>
                    <w:jc w:val="center"/>
                    <w:rPr>
                      <w:b/>
                      <w:szCs w:val="21"/>
                    </w:rPr>
                  </w:pPr>
                  <w:r>
                    <w:rPr>
                      <w:rFonts w:hAnsi="宋体"/>
                      <w:b/>
                      <w:szCs w:val="21"/>
                    </w:rPr>
                    <w:t>序号</w:t>
                  </w:r>
                </w:p>
              </w:tc>
              <w:tc>
                <w:tcPr>
                  <w:tcW w:w="737" w:type="pct"/>
                  <w:vAlign w:val="center"/>
                </w:tcPr>
                <w:p>
                  <w:pPr>
                    <w:widowControl/>
                    <w:adjustRightInd w:val="0"/>
                    <w:jc w:val="center"/>
                    <w:rPr>
                      <w:b/>
                      <w:szCs w:val="21"/>
                    </w:rPr>
                  </w:pPr>
                  <w:r>
                    <w:rPr>
                      <w:rFonts w:hAnsi="宋体"/>
                      <w:b/>
                      <w:szCs w:val="21"/>
                    </w:rPr>
                    <w:t>名称</w:t>
                  </w:r>
                </w:p>
              </w:tc>
              <w:tc>
                <w:tcPr>
                  <w:tcW w:w="1242" w:type="pct"/>
                  <w:vAlign w:val="center"/>
                </w:tcPr>
                <w:p>
                  <w:pPr>
                    <w:widowControl/>
                    <w:adjustRightInd w:val="0"/>
                    <w:jc w:val="center"/>
                    <w:rPr>
                      <w:bCs/>
                      <w:szCs w:val="21"/>
                    </w:rPr>
                  </w:pPr>
                  <w:r>
                    <w:rPr>
                      <w:rFonts w:hint="eastAsia" w:hAnsi="宋体"/>
                      <w:b/>
                      <w:szCs w:val="21"/>
                    </w:rPr>
                    <w:t>本项目</w:t>
                  </w:r>
                  <w:r>
                    <w:rPr>
                      <w:rFonts w:hAnsi="宋体"/>
                      <w:b/>
                      <w:bCs/>
                      <w:szCs w:val="21"/>
                    </w:rPr>
                    <w:t>年需求量</w:t>
                  </w:r>
                </w:p>
              </w:tc>
              <w:tc>
                <w:tcPr>
                  <w:tcW w:w="2510" w:type="pct"/>
                  <w:vAlign w:val="center"/>
                </w:tcPr>
                <w:p>
                  <w:pPr>
                    <w:widowControl/>
                    <w:adjustRightInd w:val="0"/>
                    <w:jc w:val="center"/>
                    <w:rPr>
                      <w:b/>
                      <w:szCs w:val="21"/>
                    </w:rPr>
                  </w:pPr>
                  <w:r>
                    <w:rPr>
                      <w:rFonts w:hint="eastAsia"/>
                      <w:b/>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pPr>
                    <w:widowControl/>
                    <w:adjustRightInd w:val="0"/>
                    <w:jc w:val="center"/>
                    <w:rPr>
                      <w:szCs w:val="21"/>
                    </w:rPr>
                  </w:pPr>
                  <w:r>
                    <w:rPr>
                      <w:rFonts w:hint="eastAsia"/>
                      <w:szCs w:val="21"/>
                    </w:rPr>
                    <w:t>1</w:t>
                  </w:r>
                </w:p>
              </w:tc>
              <w:tc>
                <w:tcPr>
                  <w:tcW w:w="737" w:type="pct"/>
                  <w:vAlign w:val="center"/>
                </w:tcPr>
                <w:p>
                  <w:pPr>
                    <w:adjustRightInd w:val="0"/>
                    <w:jc w:val="center"/>
                    <w:rPr>
                      <w:rFonts w:hAnsi="宋体"/>
                      <w:szCs w:val="21"/>
                    </w:rPr>
                  </w:pPr>
                  <w:r>
                    <w:rPr>
                      <w:rFonts w:hint="eastAsia" w:hAnsi="宋体"/>
                      <w:szCs w:val="21"/>
                    </w:rPr>
                    <w:t>锅炉燃料</w:t>
                  </w:r>
                </w:p>
              </w:tc>
              <w:tc>
                <w:tcPr>
                  <w:tcW w:w="1242" w:type="pct"/>
                  <w:vAlign w:val="center"/>
                </w:tcPr>
                <w:p>
                  <w:pPr>
                    <w:adjustRightInd w:val="0"/>
                    <w:jc w:val="center"/>
                    <w:rPr>
                      <w:szCs w:val="21"/>
                    </w:rPr>
                  </w:pPr>
                  <w:r>
                    <w:rPr>
                      <w:szCs w:val="21"/>
                    </w:rPr>
                    <w:t>600</w:t>
                  </w:r>
                  <w:r>
                    <w:rPr>
                      <w:rFonts w:hint="eastAsia"/>
                      <w:bCs/>
                      <w:szCs w:val="21"/>
                    </w:rPr>
                    <w:t>t/a</w:t>
                  </w:r>
                </w:p>
              </w:tc>
              <w:tc>
                <w:tcPr>
                  <w:tcW w:w="2510" w:type="pct"/>
                  <w:vAlign w:val="center"/>
                </w:tcPr>
                <w:p>
                  <w:pPr>
                    <w:adjustRightInd w:val="0"/>
                    <w:jc w:val="center"/>
                    <w:rPr>
                      <w:rFonts w:hAnsi="宋体"/>
                      <w:szCs w:val="21"/>
                    </w:rPr>
                  </w:pPr>
                  <w:r>
                    <w:rPr>
                      <w:rFonts w:hint="eastAsia"/>
                      <w:szCs w:val="21"/>
                    </w:rPr>
                    <w:t>砂光木粉、废弃木柴、树皮</w:t>
                  </w:r>
                  <w:r>
                    <w:rPr>
                      <w:rFonts w:hint="eastAsia" w:hAnsi="宋体"/>
                      <w:szCs w:val="21"/>
                    </w:rPr>
                    <w:t>及检验不合格的不可利用的产品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pPr>
                    <w:widowControl/>
                    <w:adjustRightInd w:val="0"/>
                    <w:jc w:val="center"/>
                    <w:rPr>
                      <w:szCs w:val="21"/>
                    </w:rPr>
                  </w:pPr>
                  <w:r>
                    <w:rPr>
                      <w:rFonts w:hint="eastAsia"/>
                      <w:szCs w:val="21"/>
                    </w:rPr>
                    <w:t>2</w:t>
                  </w:r>
                </w:p>
              </w:tc>
              <w:tc>
                <w:tcPr>
                  <w:tcW w:w="737" w:type="pct"/>
                  <w:vAlign w:val="center"/>
                </w:tcPr>
                <w:p>
                  <w:pPr>
                    <w:adjustRightInd w:val="0"/>
                    <w:jc w:val="center"/>
                    <w:rPr>
                      <w:szCs w:val="21"/>
                    </w:rPr>
                  </w:pPr>
                  <w:r>
                    <w:rPr>
                      <w:rFonts w:hint="eastAsia"/>
                      <w:szCs w:val="21"/>
                    </w:rPr>
                    <w:t>活性炭</w:t>
                  </w:r>
                </w:p>
              </w:tc>
              <w:tc>
                <w:tcPr>
                  <w:tcW w:w="1242" w:type="pct"/>
                  <w:vAlign w:val="center"/>
                </w:tcPr>
                <w:p>
                  <w:pPr>
                    <w:adjustRightInd w:val="0"/>
                    <w:jc w:val="center"/>
                    <w:rPr>
                      <w:szCs w:val="21"/>
                    </w:rPr>
                  </w:pPr>
                  <w:r>
                    <w:rPr>
                      <w:rFonts w:hint="eastAsia"/>
                      <w:szCs w:val="21"/>
                    </w:rPr>
                    <w:t>6.25t/a</w:t>
                  </w:r>
                </w:p>
              </w:tc>
              <w:tc>
                <w:tcPr>
                  <w:tcW w:w="2510" w:type="pct"/>
                  <w:vAlign w:val="center"/>
                </w:tcPr>
                <w:p>
                  <w:pPr>
                    <w:adjustRightInd w:val="0"/>
                    <w:jc w:val="center"/>
                    <w:rPr>
                      <w:rFonts w:hAnsi="宋体"/>
                      <w:szCs w:val="21"/>
                    </w:rPr>
                  </w:pPr>
                  <w:r>
                    <w:rPr>
                      <w:rFonts w:hint="eastAsia" w:hAns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pPr>
                    <w:widowControl/>
                    <w:adjustRightInd w:val="0"/>
                    <w:jc w:val="center"/>
                    <w:rPr>
                      <w:szCs w:val="21"/>
                    </w:rPr>
                  </w:pPr>
                  <w:r>
                    <w:rPr>
                      <w:rFonts w:hint="eastAsia"/>
                      <w:szCs w:val="21"/>
                    </w:rPr>
                    <w:t>3</w:t>
                  </w:r>
                </w:p>
              </w:tc>
              <w:tc>
                <w:tcPr>
                  <w:tcW w:w="737" w:type="pct"/>
                  <w:vAlign w:val="center"/>
                </w:tcPr>
                <w:p>
                  <w:pPr>
                    <w:adjustRightInd w:val="0"/>
                    <w:jc w:val="center"/>
                    <w:rPr>
                      <w:szCs w:val="21"/>
                    </w:rPr>
                  </w:pPr>
                  <w:r>
                    <w:rPr>
                      <w:rFonts w:hint="eastAsia"/>
                      <w:szCs w:val="21"/>
                    </w:rPr>
                    <w:t>导热油</w:t>
                  </w:r>
                </w:p>
              </w:tc>
              <w:tc>
                <w:tcPr>
                  <w:tcW w:w="1242" w:type="pct"/>
                  <w:vAlign w:val="center"/>
                </w:tcPr>
                <w:p>
                  <w:pPr>
                    <w:adjustRightInd w:val="0"/>
                    <w:jc w:val="center"/>
                    <w:rPr>
                      <w:szCs w:val="21"/>
                    </w:rPr>
                  </w:pPr>
                  <w:r>
                    <w:rPr>
                      <w:szCs w:val="21"/>
                    </w:rPr>
                    <w:t>6.5t</w:t>
                  </w:r>
                </w:p>
              </w:tc>
              <w:tc>
                <w:tcPr>
                  <w:tcW w:w="2510" w:type="pct"/>
                  <w:vAlign w:val="center"/>
                </w:tcPr>
                <w:p>
                  <w:pPr>
                    <w:adjustRightInd w:val="0"/>
                    <w:jc w:val="center"/>
                    <w:rPr>
                      <w:rFonts w:hAnsi="宋体"/>
                      <w:szCs w:val="21"/>
                    </w:rPr>
                  </w:pPr>
                  <w:r>
                    <w:rPr>
                      <w:rFonts w:hint="eastAsia" w:hAns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pPr>
                    <w:widowControl/>
                    <w:adjustRightInd w:val="0"/>
                    <w:jc w:val="center"/>
                    <w:rPr>
                      <w:szCs w:val="21"/>
                    </w:rPr>
                  </w:pPr>
                  <w:r>
                    <w:rPr>
                      <w:rFonts w:hint="eastAsia"/>
                      <w:szCs w:val="21"/>
                    </w:rPr>
                    <w:t>4</w:t>
                  </w:r>
                </w:p>
              </w:tc>
              <w:tc>
                <w:tcPr>
                  <w:tcW w:w="737" w:type="pct"/>
                  <w:vAlign w:val="center"/>
                </w:tcPr>
                <w:p>
                  <w:pPr>
                    <w:widowControl/>
                    <w:adjustRightInd w:val="0"/>
                    <w:jc w:val="center"/>
                    <w:rPr>
                      <w:szCs w:val="21"/>
                    </w:rPr>
                  </w:pPr>
                  <w:r>
                    <w:rPr>
                      <w:rFonts w:hint="eastAsia"/>
                      <w:szCs w:val="21"/>
                    </w:rPr>
                    <w:t>水</w:t>
                  </w:r>
                </w:p>
              </w:tc>
              <w:tc>
                <w:tcPr>
                  <w:tcW w:w="1242" w:type="pct"/>
                  <w:vAlign w:val="center"/>
                </w:tcPr>
                <w:p>
                  <w:pPr>
                    <w:widowControl/>
                    <w:adjustRightInd w:val="0"/>
                    <w:jc w:val="center"/>
                    <w:rPr>
                      <w:szCs w:val="21"/>
                    </w:rPr>
                  </w:pPr>
                  <w:r>
                    <w:rPr>
                      <w:szCs w:val="21"/>
                    </w:rPr>
                    <w:t>4320</w:t>
                  </w:r>
                  <w:r>
                    <w:rPr>
                      <w:rFonts w:hint="eastAsia"/>
                      <w:szCs w:val="21"/>
                    </w:rPr>
                    <w:t>m</w:t>
                  </w:r>
                  <w:r>
                    <w:rPr>
                      <w:rFonts w:hint="eastAsia"/>
                      <w:szCs w:val="21"/>
                      <w:vertAlign w:val="superscript"/>
                    </w:rPr>
                    <w:t>3</w:t>
                  </w:r>
                  <w:r>
                    <w:rPr>
                      <w:rFonts w:hint="eastAsia"/>
                      <w:szCs w:val="21"/>
                    </w:rPr>
                    <w:t>/a</w:t>
                  </w:r>
                </w:p>
              </w:tc>
              <w:tc>
                <w:tcPr>
                  <w:tcW w:w="2510" w:type="pct"/>
                  <w:vAlign w:val="center"/>
                </w:tcPr>
                <w:p>
                  <w:pPr>
                    <w:widowControl/>
                    <w:adjustRightInd w:val="0"/>
                    <w:jc w:val="center"/>
                    <w:rPr>
                      <w:szCs w:val="21"/>
                    </w:rPr>
                  </w:pPr>
                  <w:r>
                    <w:rPr>
                      <w:rFonts w:hint="eastAsia"/>
                      <w:szCs w:val="21"/>
                    </w:rPr>
                    <w:t>寻甸工业园区羊街片区供水管网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Align w:val="center"/>
                </w:tcPr>
                <w:p>
                  <w:pPr>
                    <w:widowControl/>
                    <w:adjustRightInd w:val="0"/>
                    <w:jc w:val="center"/>
                    <w:rPr>
                      <w:szCs w:val="21"/>
                    </w:rPr>
                  </w:pPr>
                  <w:r>
                    <w:rPr>
                      <w:rFonts w:hint="eastAsia"/>
                      <w:szCs w:val="21"/>
                    </w:rPr>
                    <w:t>5</w:t>
                  </w:r>
                </w:p>
              </w:tc>
              <w:tc>
                <w:tcPr>
                  <w:tcW w:w="737" w:type="pct"/>
                  <w:vAlign w:val="center"/>
                </w:tcPr>
                <w:p>
                  <w:pPr>
                    <w:widowControl/>
                    <w:adjustRightInd w:val="0"/>
                    <w:jc w:val="center"/>
                    <w:rPr>
                      <w:szCs w:val="21"/>
                    </w:rPr>
                  </w:pPr>
                  <w:r>
                    <w:rPr>
                      <w:rFonts w:hint="eastAsia"/>
                      <w:szCs w:val="21"/>
                    </w:rPr>
                    <w:t>电力</w:t>
                  </w:r>
                </w:p>
              </w:tc>
              <w:tc>
                <w:tcPr>
                  <w:tcW w:w="1242" w:type="pct"/>
                  <w:vAlign w:val="center"/>
                </w:tcPr>
                <w:p>
                  <w:pPr>
                    <w:widowControl/>
                    <w:adjustRightInd w:val="0"/>
                    <w:jc w:val="center"/>
                    <w:rPr>
                      <w:szCs w:val="21"/>
                    </w:rPr>
                  </w:pPr>
                  <w:r>
                    <w:rPr>
                      <w:rFonts w:hint="eastAsia"/>
                      <w:szCs w:val="21"/>
                    </w:rPr>
                    <w:t>2</w:t>
                  </w:r>
                  <w:r>
                    <w:rPr>
                      <w:szCs w:val="21"/>
                    </w:rPr>
                    <w:t>5</w:t>
                  </w:r>
                  <w:r>
                    <w:rPr>
                      <w:rFonts w:hint="eastAsia"/>
                      <w:szCs w:val="21"/>
                    </w:rPr>
                    <w:t>万kWh</w:t>
                  </w:r>
                </w:p>
              </w:tc>
              <w:tc>
                <w:tcPr>
                  <w:tcW w:w="2510" w:type="pct"/>
                  <w:vAlign w:val="center"/>
                </w:tcPr>
                <w:p>
                  <w:pPr>
                    <w:widowControl/>
                    <w:adjustRightInd w:val="0"/>
                    <w:jc w:val="center"/>
                    <w:rPr>
                      <w:szCs w:val="21"/>
                    </w:rPr>
                  </w:pPr>
                  <w:r>
                    <w:rPr>
                      <w:rFonts w:hint="eastAsia"/>
                      <w:szCs w:val="21"/>
                    </w:rPr>
                    <w:t>寻甸工业园区羊街片区电网</w:t>
                  </w:r>
                </w:p>
              </w:tc>
            </w:tr>
          </w:tbl>
          <w:p>
            <w:pPr>
              <w:adjustRightInd w:val="0"/>
              <w:spacing w:before="120" w:beforeLines="50" w:line="360" w:lineRule="auto"/>
              <w:ind w:firstLine="482" w:firstLineChars="200"/>
              <w:rPr>
                <w:b/>
                <w:sz w:val="24"/>
                <w:szCs w:val="21"/>
              </w:rPr>
            </w:pPr>
            <w:r>
              <w:rPr>
                <w:rFonts w:hint="eastAsia"/>
                <w:b/>
                <w:sz w:val="24"/>
                <w:szCs w:val="21"/>
              </w:rPr>
              <w:t>5、本项目设备情况</w:t>
            </w:r>
          </w:p>
          <w:p>
            <w:pPr>
              <w:autoSpaceDE w:val="0"/>
              <w:autoSpaceDN w:val="0"/>
              <w:adjustRightInd w:val="0"/>
              <w:spacing w:line="360" w:lineRule="auto"/>
              <w:ind w:firstLine="480" w:firstLineChars="200"/>
              <w:rPr>
                <w:rFonts w:hAnsi="宋体"/>
                <w:sz w:val="24"/>
              </w:rPr>
            </w:pPr>
            <w:r>
              <w:rPr>
                <w:rFonts w:hint="eastAsia" w:ascii="宋体" w:hAnsi="宋体"/>
                <w:sz w:val="24"/>
              </w:rPr>
              <w:t>本项目新增主要设备</w:t>
            </w:r>
            <w:r>
              <w:rPr>
                <w:rFonts w:hAnsi="宋体"/>
                <w:sz w:val="24"/>
              </w:rPr>
              <w:t>见表</w:t>
            </w:r>
            <w:r>
              <w:rPr>
                <w:sz w:val="24"/>
              </w:rPr>
              <w:t>2-8</w:t>
            </w:r>
            <w:r>
              <w:rPr>
                <w:rFonts w:hAnsi="宋体"/>
                <w:sz w:val="24"/>
              </w:rPr>
              <w:t>。</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w:t>
            </w:r>
            <w:r>
              <w:rPr>
                <w:rFonts w:cs="宋体"/>
                <w:b/>
                <w:bCs/>
                <w:kern w:val="0"/>
                <w:sz w:val="24"/>
                <w:szCs w:val="20"/>
                <w:lang w:bidi="ar"/>
              </w:rPr>
              <w:t>8</w:t>
            </w:r>
            <w:r>
              <w:rPr>
                <w:rFonts w:hint="eastAsia" w:cs="宋体"/>
                <w:b/>
                <w:bCs/>
                <w:kern w:val="0"/>
                <w:sz w:val="24"/>
                <w:szCs w:val="20"/>
                <w:lang w:bidi="ar"/>
              </w:rPr>
              <w:t xml:space="preserve">  本项目主要新增设备清单一览表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5267"/>
              <w:gridCol w:w="72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08" w:type="pct"/>
                  <w:vMerge w:val="restart"/>
                  <w:vAlign w:val="center"/>
                </w:tcPr>
                <w:p>
                  <w:pPr>
                    <w:jc w:val="center"/>
                    <w:rPr>
                      <w:b/>
                      <w:szCs w:val="21"/>
                    </w:rPr>
                  </w:pPr>
                  <w:r>
                    <w:rPr>
                      <w:rFonts w:hint="eastAsia"/>
                      <w:b/>
                      <w:szCs w:val="21"/>
                    </w:rPr>
                    <w:t>序号</w:t>
                  </w:r>
                </w:p>
              </w:tc>
              <w:tc>
                <w:tcPr>
                  <w:tcW w:w="3594" w:type="pct"/>
                  <w:gridSpan w:val="2"/>
                  <w:vAlign w:val="center"/>
                </w:tcPr>
                <w:p>
                  <w:pPr>
                    <w:jc w:val="center"/>
                    <w:rPr>
                      <w:b/>
                      <w:szCs w:val="21"/>
                    </w:rPr>
                  </w:pPr>
                  <w:r>
                    <w:rPr>
                      <w:rFonts w:hint="eastAsia"/>
                      <w:b/>
                      <w:szCs w:val="21"/>
                    </w:rPr>
                    <w:t>本项目设备</w:t>
                  </w:r>
                </w:p>
              </w:tc>
              <w:tc>
                <w:tcPr>
                  <w:tcW w:w="998" w:type="pct"/>
                  <w:vMerge w:val="restart"/>
                  <w:vAlign w:val="center"/>
                </w:tcPr>
                <w:p>
                  <w:pPr>
                    <w:jc w:val="center"/>
                    <w:rPr>
                      <w:b/>
                      <w:szCs w:val="21"/>
                    </w:rPr>
                  </w:pPr>
                  <w:r>
                    <w:rPr>
                      <w:rFonts w:hint="eastAsia"/>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408" w:type="pct"/>
                  <w:vMerge w:val="continue"/>
                  <w:vAlign w:val="center"/>
                </w:tcPr>
                <w:p>
                  <w:pPr>
                    <w:jc w:val="center"/>
                    <w:rPr>
                      <w:b/>
                      <w:szCs w:val="21"/>
                    </w:rPr>
                  </w:pPr>
                </w:p>
              </w:tc>
              <w:tc>
                <w:tcPr>
                  <w:tcW w:w="3159" w:type="pct"/>
                  <w:vAlign w:val="center"/>
                </w:tcPr>
                <w:p>
                  <w:pPr>
                    <w:jc w:val="center"/>
                    <w:rPr>
                      <w:b/>
                      <w:szCs w:val="21"/>
                    </w:rPr>
                  </w:pPr>
                  <w:r>
                    <w:rPr>
                      <w:rFonts w:hint="eastAsia"/>
                      <w:b/>
                      <w:szCs w:val="21"/>
                    </w:rPr>
                    <w:t>名称型号</w:t>
                  </w:r>
                </w:p>
              </w:tc>
              <w:tc>
                <w:tcPr>
                  <w:tcW w:w="435" w:type="pct"/>
                  <w:vAlign w:val="center"/>
                </w:tcPr>
                <w:p>
                  <w:pPr>
                    <w:jc w:val="center"/>
                    <w:rPr>
                      <w:b/>
                      <w:szCs w:val="21"/>
                    </w:rPr>
                  </w:pPr>
                  <w:r>
                    <w:rPr>
                      <w:rFonts w:hint="eastAsia"/>
                      <w:b/>
                      <w:szCs w:val="21"/>
                    </w:rPr>
                    <w:t>数量</w:t>
                  </w:r>
                </w:p>
              </w:tc>
              <w:tc>
                <w:tcPr>
                  <w:tcW w:w="998" w:type="pct"/>
                  <w:vMerge w:val="continue"/>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08" w:type="pct"/>
                  <w:vAlign w:val="center"/>
                </w:tcPr>
                <w:p>
                  <w:pPr>
                    <w:jc w:val="center"/>
                    <w:rPr>
                      <w:szCs w:val="21"/>
                    </w:rPr>
                  </w:pPr>
                  <w:r>
                    <w:rPr>
                      <w:rFonts w:hint="eastAsia"/>
                      <w:szCs w:val="21"/>
                    </w:rPr>
                    <w:t>1</w:t>
                  </w:r>
                </w:p>
              </w:tc>
              <w:tc>
                <w:tcPr>
                  <w:tcW w:w="3159" w:type="pct"/>
                  <w:vAlign w:val="center"/>
                </w:tcPr>
                <w:p>
                  <w:pPr>
                    <w:jc w:val="center"/>
                    <w:rPr>
                      <w:szCs w:val="21"/>
                    </w:rPr>
                  </w:pPr>
                  <w:r>
                    <w:rPr>
                      <w:rFonts w:hint="eastAsia"/>
                      <w:szCs w:val="21"/>
                    </w:rPr>
                    <w:t>5t/h导热油锅炉，锅炉型号：Y</w:t>
                  </w:r>
                  <w:r>
                    <w:rPr>
                      <w:szCs w:val="21"/>
                    </w:rPr>
                    <w:t>GW-3000</w:t>
                  </w:r>
                  <w:r>
                    <w:rPr>
                      <w:rFonts w:hint="eastAsia"/>
                      <w:szCs w:val="21"/>
                    </w:rPr>
                    <w:t>，额定热功率</w:t>
                  </w:r>
                  <w:r>
                    <w:rPr>
                      <w:szCs w:val="21"/>
                    </w:rPr>
                    <w:t>3000KW</w:t>
                  </w:r>
                  <w:r>
                    <w:rPr>
                      <w:rFonts w:hint="eastAsia"/>
                      <w:szCs w:val="21"/>
                    </w:rPr>
                    <w:t>（</w:t>
                  </w:r>
                  <w:r>
                    <w:rPr>
                      <w:szCs w:val="21"/>
                    </w:rPr>
                    <w:t>3MW</w:t>
                  </w:r>
                  <w:r>
                    <w:rPr>
                      <w:rFonts w:hint="eastAsia"/>
                      <w:szCs w:val="21"/>
                    </w:rPr>
                    <w:t>），额定压力</w:t>
                  </w:r>
                  <w:r>
                    <w:rPr>
                      <w:szCs w:val="21"/>
                    </w:rPr>
                    <w:t>0.8MP</w:t>
                  </w:r>
                  <w:r>
                    <w:rPr>
                      <w:rFonts w:hint="eastAsia"/>
                      <w:szCs w:val="21"/>
                    </w:rPr>
                    <w:t>a，最高工作温度</w:t>
                  </w:r>
                  <w:r>
                    <w:rPr>
                      <w:szCs w:val="21"/>
                    </w:rPr>
                    <w:t>300</w:t>
                  </w:r>
                  <w:r>
                    <w:rPr>
                      <w:rFonts w:hint="eastAsia"/>
                      <w:szCs w:val="21"/>
                    </w:rPr>
                    <w:t>℃。</w:t>
                  </w:r>
                </w:p>
              </w:tc>
              <w:tc>
                <w:tcPr>
                  <w:tcW w:w="435" w:type="pct"/>
                  <w:vAlign w:val="center"/>
                </w:tcPr>
                <w:p>
                  <w:pPr>
                    <w:jc w:val="center"/>
                    <w:rPr>
                      <w:szCs w:val="21"/>
                    </w:rPr>
                  </w:pPr>
                  <w:r>
                    <w:rPr>
                      <w:rFonts w:hint="eastAsia"/>
                      <w:szCs w:val="21"/>
                    </w:rPr>
                    <w:t>1台</w:t>
                  </w:r>
                </w:p>
              </w:tc>
              <w:tc>
                <w:tcPr>
                  <w:tcW w:w="998" w:type="pct"/>
                  <w:vAlign w:val="center"/>
                </w:tcPr>
                <w:p>
                  <w:pPr>
                    <w:jc w:val="center"/>
                    <w:rPr>
                      <w:szCs w:val="21"/>
                    </w:rPr>
                  </w:pPr>
                  <w:r>
                    <w:rPr>
                      <w:rFonts w:hint="eastAsia"/>
                      <w:szCs w:val="21"/>
                    </w:rPr>
                    <w:t>新增，已建成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08" w:type="pct"/>
                  <w:vAlign w:val="center"/>
                </w:tcPr>
                <w:p>
                  <w:pPr>
                    <w:jc w:val="center"/>
                    <w:rPr>
                      <w:szCs w:val="21"/>
                    </w:rPr>
                  </w:pPr>
                  <w:r>
                    <w:rPr>
                      <w:rFonts w:hint="eastAsia"/>
                      <w:szCs w:val="21"/>
                    </w:rPr>
                    <w:t>2</w:t>
                  </w:r>
                </w:p>
              </w:tc>
              <w:tc>
                <w:tcPr>
                  <w:tcW w:w="3159" w:type="pct"/>
                  <w:vAlign w:val="center"/>
                </w:tcPr>
                <w:p>
                  <w:pPr>
                    <w:jc w:val="center"/>
                    <w:rPr>
                      <w:szCs w:val="21"/>
                    </w:rPr>
                  </w:pPr>
                  <w:r>
                    <w:rPr>
                      <w:szCs w:val="21"/>
                    </w:rPr>
                    <w:t>BFL2100</w:t>
                  </w:r>
                  <w:r>
                    <w:rPr>
                      <w:rFonts w:hint="eastAsia"/>
                      <w:szCs w:val="21"/>
                    </w:rPr>
                    <w:t>多管旋风除尘器</w:t>
                  </w:r>
                </w:p>
              </w:tc>
              <w:tc>
                <w:tcPr>
                  <w:tcW w:w="435" w:type="pct"/>
                  <w:vAlign w:val="center"/>
                </w:tcPr>
                <w:p>
                  <w:pPr>
                    <w:jc w:val="center"/>
                    <w:rPr>
                      <w:szCs w:val="21"/>
                    </w:rPr>
                  </w:pPr>
                  <w:r>
                    <w:rPr>
                      <w:rFonts w:hint="eastAsia"/>
                      <w:szCs w:val="21"/>
                    </w:rPr>
                    <w:t>1套</w:t>
                  </w:r>
                </w:p>
              </w:tc>
              <w:tc>
                <w:tcPr>
                  <w:tcW w:w="998" w:type="pct"/>
                  <w:vAlign w:val="center"/>
                </w:tcPr>
                <w:p>
                  <w:pPr>
                    <w:jc w:val="center"/>
                    <w:rPr>
                      <w:szCs w:val="21"/>
                    </w:rPr>
                  </w:pPr>
                  <w:r>
                    <w:rPr>
                      <w:rFonts w:hint="eastAsia"/>
                      <w:szCs w:val="21"/>
                    </w:rPr>
                    <w:t>新增，已建成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08" w:type="pct"/>
                  <w:vAlign w:val="center"/>
                </w:tcPr>
                <w:p>
                  <w:pPr>
                    <w:jc w:val="center"/>
                    <w:rPr>
                      <w:szCs w:val="21"/>
                    </w:rPr>
                  </w:pPr>
                  <w:r>
                    <w:rPr>
                      <w:rFonts w:hint="eastAsia"/>
                      <w:szCs w:val="21"/>
                    </w:rPr>
                    <w:t>3</w:t>
                  </w:r>
                </w:p>
              </w:tc>
              <w:tc>
                <w:tcPr>
                  <w:tcW w:w="3159" w:type="pct"/>
                  <w:vAlign w:val="center"/>
                </w:tcPr>
                <w:p>
                  <w:pPr>
                    <w:jc w:val="center"/>
                    <w:rPr>
                      <w:szCs w:val="21"/>
                    </w:rPr>
                  </w:pPr>
                  <w:r>
                    <w:rPr>
                      <w:rFonts w:hint="eastAsia"/>
                      <w:szCs w:val="21"/>
                    </w:rPr>
                    <w:t>Y4-72NO.12型引风机，风量1</w:t>
                  </w:r>
                  <w:r>
                    <w:rPr>
                      <w:szCs w:val="21"/>
                    </w:rPr>
                    <w:t>0000m</w:t>
                  </w:r>
                  <w:r>
                    <w:rPr>
                      <w:szCs w:val="21"/>
                      <w:vertAlign w:val="superscript"/>
                    </w:rPr>
                    <w:t>3</w:t>
                  </w:r>
                  <w:r>
                    <w:rPr>
                      <w:szCs w:val="21"/>
                    </w:rPr>
                    <w:t>/h</w:t>
                  </w:r>
                </w:p>
              </w:tc>
              <w:tc>
                <w:tcPr>
                  <w:tcW w:w="435" w:type="pct"/>
                  <w:vAlign w:val="center"/>
                </w:tcPr>
                <w:p>
                  <w:pPr>
                    <w:jc w:val="center"/>
                    <w:rPr>
                      <w:szCs w:val="21"/>
                    </w:rPr>
                  </w:pPr>
                  <w:r>
                    <w:rPr>
                      <w:rFonts w:hint="eastAsia"/>
                      <w:szCs w:val="21"/>
                    </w:rPr>
                    <w:t>1台</w:t>
                  </w:r>
                </w:p>
              </w:tc>
              <w:tc>
                <w:tcPr>
                  <w:tcW w:w="998" w:type="pct"/>
                  <w:vAlign w:val="center"/>
                </w:tcPr>
                <w:p>
                  <w:pPr>
                    <w:jc w:val="center"/>
                    <w:rPr>
                      <w:szCs w:val="21"/>
                    </w:rPr>
                  </w:pPr>
                  <w:r>
                    <w:rPr>
                      <w:rFonts w:hint="eastAsia"/>
                      <w:szCs w:val="21"/>
                    </w:rPr>
                    <w:t>新增，已建成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08" w:type="pct"/>
                  <w:vAlign w:val="center"/>
                </w:tcPr>
                <w:p>
                  <w:pPr>
                    <w:jc w:val="center"/>
                    <w:rPr>
                      <w:szCs w:val="21"/>
                    </w:rPr>
                  </w:pPr>
                  <w:r>
                    <w:rPr>
                      <w:rFonts w:hint="eastAsia"/>
                      <w:szCs w:val="21"/>
                    </w:rPr>
                    <w:t>4</w:t>
                  </w:r>
                </w:p>
              </w:tc>
              <w:tc>
                <w:tcPr>
                  <w:tcW w:w="3159" w:type="pct"/>
                  <w:vAlign w:val="center"/>
                </w:tcPr>
                <w:p>
                  <w:pPr>
                    <w:jc w:val="center"/>
                    <w:rPr>
                      <w:szCs w:val="21"/>
                    </w:rPr>
                  </w:pPr>
                  <w:r>
                    <w:rPr>
                      <w:rFonts w:hint="eastAsia"/>
                      <w:szCs w:val="21"/>
                    </w:rPr>
                    <w:t>循环水泵</w:t>
                  </w:r>
                </w:p>
              </w:tc>
              <w:tc>
                <w:tcPr>
                  <w:tcW w:w="435" w:type="pct"/>
                  <w:vAlign w:val="center"/>
                </w:tcPr>
                <w:p>
                  <w:pPr>
                    <w:jc w:val="center"/>
                    <w:rPr>
                      <w:szCs w:val="21"/>
                    </w:rPr>
                  </w:pPr>
                  <w:r>
                    <w:rPr>
                      <w:rFonts w:hint="eastAsia"/>
                      <w:szCs w:val="21"/>
                    </w:rPr>
                    <w:t>2台</w:t>
                  </w:r>
                </w:p>
              </w:tc>
              <w:tc>
                <w:tcPr>
                  <w:tcW w:w="998" w:type="pct"/>
                  <w:vAlign w:val="center"/>
                </w:tcPr>
                <w:p>
                  <w:pPr>
                    <w:jc w:val="center"/>
                    <w:rPr>
                      <w:szCs w:val="21"/>
                    </w:rPr>
                  </w:pPr>
                  <w:r>
                    <w:rPr>
                      <w:rFonts w:hint="eastAsia"/>
                      <w:szCs w:val="21"/>
                    </w:rPr>
                    <w:t>新增，已建成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08" w:type="pct"/>
                  <w:vAlign w:val="center"/>
                </w:tcPr>
                <w:p>
                  <w:pPr>
                    <w:jc w:val="center"/>
                    <w:rPr>
                      <w:szCs w:val="21"/>
                    </w:rPr>
                  </w:pPr>
                  <w:r>
                    <w:rPr>
                      <w:szCs w:val="21"/>
                    </w:rPr>
                    <w:t>5</w:t>
                  </w:r>
                </w:p>
              </w:tc>
              <w:tc>
                <w:tcPr>
                  <w:tcW w:w="3159" w:type="pct"/>
                  <w:vAlign w:val="center"/>
                </w:tcPr>
                <w:p>
                  <w:pPr>
                    <w:jc w:val="center"/>
                    <w:rPr>
                      <w:szCs w:val="21"/>
                    </w:rPr>
                  </w:pPr>
                  <w:r>
                    <w:rPr>
                      <w:rFonts w:hint="eastAsia"/>
                      <w:szCs w:val="21"/>
                    </w:rPr>
                    <w:t>水膜除尘设备</w:t>
                  </w:r>
                </w:p>
              </w:tc>
              <w:tc>
                <w:tcPr>
                  <w:tcW w:w="435" w:type="pct"/>
                  <w:vAlign w:val="center"/>
                </w:tcPr>
                <w:p>
                  <w:pPr>
                    <w:jc w:val="center"/>
                    <w:rPr>
                      <w:szCs w:val="21"/>
                    </w:rPr>
                  </w:pPr>
                  <w:r>
                    <w:rPr>
                      <w:rFonts w:hint="eastAsia"/>
                      <w:szCs w:val="21"/>
                    </w:rPr>
                    <w:t>2套</w:t>
                  </w:r>
                </w:p>
              </w:tc>
              <w:tc>
                <w:tcPr>
                  <w:tcW w:w="998" w:type="pct"/>
                  <w:vAlign w:val="center"/>
                </w:tcPr>
                <w:p>
                  <w:pPr>
                    <w:jc w:val="center"/>
                    <w:rPr>
                      <w:szCs w:val="21"/>
                    </w:rPr>
                  </w:pPr>
                  <w:r>
                    <w:rPr>
                      <w:rFonts w:hint="eastAsia"/>
                      <w:szCs w:val="21"/>
                    </w:rPr>
                    <w:t>新增，已建成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08" w:type="pct"/>
                  <w:vAlign w:val="center"/>
                </w:tcPr>
                <w:p>
                  <w:pPr>
                    <w:jc w:val="center"/>
                    <w:rPr>
                      <w:szCs w:val="21"/>
                    </w:rPr>
                  </w:pPr>
                  <w:r>
                    <w:rPr>
                      <w:szCs w:val="21"/>
                    </w:rPr>
                    <w:t>6</w:t>
                  </w:r>
                </w:p>
              </w:tc>
              <w:tc>
                <w:tcPr>
                  <w:tcW w:w="3159" w:type="pct"/>
                  <w:vAlign w:val="center"/>
                </w:tcPr>
                <w:p>
                  <w:pPr>
                    <w:jc w:val="center"/>
                    <w:rPr>
                      <w:szCs w:val="21"/>
                    </w:rPr>
                  </w:pPr>
                  <w:r>
                    <w:rPr>
                      <w:rFonts w:hint="eastAsia"/>
                      <w:szCs w:val="21"/>
                    </w:rPr>
                    <w:t>布袋除尘装置</w:t>
                  </w:r>
                </w:p>
              </w:tc>
              <w:tc>
                <w:tcPr>
                  <w:tcW w:w="435" w:type="pct"/>
                  <w:vAlign w:val="center"/>
                </w:tcPr>
                <w:p>
                  <w:pPr>
                    <w:jc w:val="center"/>
                    <w:rPr>
                      <w:szCs w:val="21"/>
                    </w:rPr>
                  </w:pPr>
                  <w:r>
                    <w:rPr>
                      <w:szCs w:val="21"/>
                    </w:rPr>
                    <w:t>2</w:t>
                  </w:r>
                  <w:r>
                    <w:rPr>
                      <w:rFonts w:hint="eastAsia"/>
                      <w:szCs w:val="21"/>
                    </w:rPr>
                    <w:t>套</w:t>
                  </w:r>
                </w:p>
              </w:tc>
              <w:tc>
                <w:tcPr>
                  <w:tcW w:w="998" w:type="pct"/>
                  <w:vAlign w:val="center"/>
                </w:tcPr>
                <w:p>
                  <w:pPr>
                    <w:jc w:val="center"/>
                    <w:rPr>
                      <w:szCs w:val="21"/>
                    </w:rPr>
                  </w:pPr>
                  <w:r>
                    <w:rPr>
                      <w:rFonts w:hint="eastAsia"/>
                      <w:szCs w:val="21"/>
                    </w:rPr>
                    <w:t>新增，已建成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08" w:type="pct"/>
                  <w:vAlign w:val="center"/>
                </w:tcPr>
                <w:p>
                  <w:pPr>
                    <w:jc w:val="center"/>
                    <w:rPr>
                      <w:szCs w:val="21"/>
                    </w:rPr>
                  </w:pPr>
                  <w:r>
                    <w:rPr>
                      <w:szCs w:val="21"/>
                    </w:rPr>
                    <w:t>7</w:t>
                  </w:r>
                </w:p>
              </w:tc>
              <w:tc>
                <w:tcPr>
                  <w:tcW w:w="3159" w:type="pct"/>
                  <w:vAlign w:val="center"/>
                </w:tcPr>
                <w:p>
                  <w:pPr>
                    <w:jc w:val="center"/>
                    <w:rPr>
                      <w:szCs w:val="21"/>
                    </w:rPr>
                  </w:pPr>
                  <w:r>
                    <w:rPr>
                      <w:rFonts w:hint="eastAsia"/>
                      <w:szCs w:val="21"/>
                    </w:rPr>
                    <w:t>三级活性炭吸附装置</w:t>
                  </w:r>
                </w:p>
              </w:tc>
              <w:tc>
                <w:tcPr>
                  <w:tcW w:w="435" w:type="pct"/>
                  <w:vAlign w:val="center"/>
                </w:tcPr>
                <w:p>
                  <w:pPr>
                    <w:jc w:val="center"/>
                    <w:rPr>
                      <w:szCs w:val="21"/>
                    </w:rPr>
                  </w:pPr>
                  <w:r>
                    <w:rPr>
                      <w:rFonts w:hint="eastAsia"/>
                      <w:szCs w:val="21"/>
                    </w:rPr>
                    <w:t>1套</w:t>
                  </w:r>
                </w:p>
              </w:tc>
              <w:tc>
                <w:tcPr>
                  <w:tcW w:w="998" w:type="pct"/>
                  <w:vAlign w:val="center"/>
                </w:tcPr>
                <w:p>
                  <w:pPr>
                    <w:jc w:val="center"/>
                    <w:rPr>
                      <w:szCs w:val="21"/>
                    </w:rPr>
                  </w:pPr>
                  <w:r>
                    <w:rPr>
                      <w:rFonts w:hint="eastAsia"/>
                      <w:szCs w:val="21"/>
                    </w:rPr>
                    <w:t>新增，已建成</w:t>
                  </w:r>
                </w:p>
              </w:tc>
            </w:tr>
          </w:tbl>
          <w:p>
            <w:pPr>
              <w:adjustRightInd w:val="0"/>
              <w:spacing w:before="120" w:beforeLines="50" w:line="360" w:lineRule="auto"/>
              <w:ind w:firstLine="482" w:firstLineChars="200"/>
              <w:rPr>
                <w:b/>
                <w:sz w:val="24"/>
                <w:szCs w:val="21"/>
              </w:rPr>
            </w:pPr>
            <w:r>
              <w:rPr>
                <w:rFonts w:hint="eastAsia"/>
                <w:b/>
                <w:sz w:val="24"/>
                <w:szCs w:val="21"/>
              </w:rPr>
              <w:t>6、本项目劳动定员及生产制度</w:t>
            </w:r>
          </w:p>
          <w:p>
            <w:pPr>
              <w:autoSpaceDE w:val="0"/>
              <w:autoSpaceDN w:val="0"/>
              <w:adjustRightInd w:val="0"/>
              <w:spacing w:line="360" w:lineRule="auto"/>
              <w:ind w:firstLine="480" w:firstLineChars="200"/>
              <w:rPr>
                <w:b/>
                <w:sz w:val="24"/>
                <w:szCs w:val="21"/>
              </w:rPr>
            </w:pPr>
            <w:r>
              <w:rPr>
                <w:sz w:val="24"/>
              </w:rPr>
              <w:t>本</w:t>
            </w:r>
            <w:r>
              <w:rPr>
                <w:rFonts w:hint="eastAsia"/>
                <w:sz w:val="24"/>
              </w:rPr>
              <w:t>项目</w:t>
            </w:r>
            <w:r>
              <w:rPr>
                <w:sz w:val="24"/>
              </w:rPr>
              <w:t>不新增人员，年生产工作日为300天，</w:t>
            </w:r>
            <w:r>
              <w:rPr>
                <w:rFonts w:hint="eastAsia"/>
                <w:sz w:val="24"/>
              </w:rPr>
              <w:t>每天三班，每班8小时。</w:t>
            </w:r>
          </w:p>
          <w:p>
            <w:pPr>
              <w:adjustRightInd w:val="0"/>
              <w:spacing w:line="360" w:lineRule="auto"/>
              <w:ind w:firstLine="482" w:firstLineChars="200"/>
              <w:jc w:val="left"/>
              <w:rPr>
                <w:b/>
                <w:bCs/>
                <w:sz w:val="24"/>
              </w:rPr>
            </w:pPr>
            <w:r>
              <w:rPr>
                <w:rFonts w:hint="eastAsia"/>
                <w:b/>
                <w:bCs/>
                <w:sz w:val="24"/>
              </w:rPr>
              <w:t>7、平面布局</w:t>
            </w:r>
          </w:p>
          <w:p>
            <w:pPr>
              <w:autoSpaceDE w:val="0"/>
              <w:autoSpaceDN w:val="0"/>
              <w:adjustRightInd w:val="0"/>
              <w:spacing w:line="360" w:lineRule="auto"/>
              <w:ind w:firstLine="480" w:firstLineChars="200"/>
              <w:rPr>
                <w:sz w:val="24"/>
              </w:rPr>
            </w:pPr>
            <w:r>
              <w:rPr>
                <w:rFonts w:hint="eastAsia"/>
                <w:sz w:val="24"/>
              </w:rPr>
              <w:t>项目总体呈南北布置，中心以西为“L”型标准厂房，7t导热油锅炉、5t导热油锅炉、制胶生产设备及甲醛储罐位于“L”型厂房内的转角位置，刨花板生产线在“L”型厂房内由东向西，再由南向北布置，最北侧为半成品、成品堆放处；厂房的东面为原料堆场，南面依次为停车场和后勤用房，北面有一栋后勤用房。</w:t>
            </w:r>
          </w:p>
          <w:p>
            <w:pPr>
              <w:autoSpaceDE w:val="0"/>
              <w:autoSpaceDN w:val="0"/>
              <w:adjustRightInd w:val="0"/>
              <w:spacing w:line="360" w:lineRule="auto"/>
              <w:ind w:firstLine="480" w:firstLineChars="200"/>
              <w:jc w:val="left"/>
              <w:rPr>
                <w:sz w:val="24"/>
              </w:rPr>
            </w:pPr>
            <w:r>
              <w:rPr>
                <w:rFonts w:hint="eastAsia"/>
                <w:sz w:val="24"/>
              </w:rPr>
              <w:t>项目污水处理站位于项目的东南面，卫生间及废水收集池位于北面后勤用房的东侧。为方便车辆及人员的出入，项目南面临园区5号路设置1个出入口。项目具体平面布局见附图3。</w:t>
            </w:r>
          </w:p>
          <w:p>
            <w:pPr>
              <w:adjustRightInd w:val="0"/>
              <w:spacing w:line="360" w:lineRule="auto"/>
              <w:ind w:firstLine="482" w:firstLineChars="200"/>
              <w:jc w:val="left"/>
              <w:rPr>
                <w:b/>
                <w:bCs/>
                <w:sz w:val="24"/>
              </w:rPr>
            </w:pPr>
            <w:r>
              <w:rPr>
                <w:rFonts w:hint="eastAsia"/>
                <w:b/>
                <w:bCs/>
                <w:sz w:val="24"/>
              </w:rPr>
              <w:t>8、水平衡</w:t>
            </w:r>
          </w:p>
          <w:p>
            <w:pPr>
              <w:adjustRightInd w:val="0"/>
              <w:spacing w:line="360" w:lineRule="auto"/>
              <w:ind w:firstLine="480" w:firstLineChars="200"/>
              <w:rPr>
                <w:sz w:val="24"/>
              </w:rPr>
            </w:pPr>
            <w:r>
              <w:rPr>
                <w:rFonts w:hint="eastAsia"/>
                <w:sz w:val="24"/>
              </w:rPr>
              <w:t>本次技改不新增劳动定员，不新增生活污水；本项目用水主要为水膜除尘设备补充用水，水膜除尘用水循环使用，没有废水产生。</w:t>
            </w:r>
          </w:p>
          <w:p>
            <w:pPr>
              <w:pStyle w:val="11"/>
              <w:snapToGrid/>
              <w:spacing w:before="0" w:after="0" w:line="360" w:lineRule="auto"/>
              <w:ind w:right="0" w:firstLine="480" w:firstLineChars="200"/>
              <w:rPr>
                <w:rFonts w:hAnsi="宋体"/>
                <w:sz w:val="24"/>
              </w:rPr>
            </w:pPr>
            <w:r>
              <w:rPr>
                <w:rFonts w:hint="eastAsia"/>
                <w:kern w:val="2"/>
                <w:sz w:val="24"/>
                <w:szCs w:val="21"/>
              </w:rPr>
              <w:t>锅炉废气处理系统新增水膜除尘器</w:t>
            </w:r>
            <w:r>
              <w:rPr>
                <w:kern w:val="2"/>
                <w:sz w:val="24"/>
                <w:szCs w:val="21"/>
              </w:rPr>
              <w:t>需使用水除尘，除尘用水经沉淀池处理后循环使用，根据</w:t>
            </w:r>
            <w:r>
              <w:rPr>
                <w:rFonts w:hint="eastAsia"/>
                <w:kern w:val="2"/>
                <w:sz w:val="24"/>
                <w:szCs w:val="21"/>
              </w:rPr>
              <w:t>建设单位实际运行过程水膜</w:t>
            </w:r>
            <w:r>
              <w:rPr>
                <w:kern w:val="2"/>
                <w:sz w:val="24"/>
                <w:szCs w:val="21"/>
              </w:rPr>
              <w:t>除尘器用水量为120t/h</w:t>
            </w:r>
            <w:r>
              <w:rPr>
                <w:rFonts w:hint="eastAsia"/>
                <w:kern w:val="2"/>
                <w:sz w:val="24"/>
                <w:szCs w:val="21"/>
              </w:rPr>
              <w:t>（2</w:t>
            </w:r>
            <w:r>
              <w:rPr>
                <w:kern w:val="2"/>
                <w:sz w:val="24"/>
                <w:szCs w:val="21"/>
              </w:rPr>
              <w:t>880t/d</w:t>
            </w:r>
            <w:r>
              <w:rPr>
                <w:rFonts w:hint="eastAsia"/>
                <w:kern w:val="2"/>
                <w:sz w:val="24"/>
                <w:szCs w:val="21"/>
              </w:rPr>
              <w:t>）</w:t>
            </w:r>
            <w:r>
              <w:rPr>
                <w:kern w:val="2"/>
                <w:sz w:val="24"/>
                <w:szCs w:val="21"/>
              </w:rPr>
              <w:t>，蒸发损耗量约用水量5‰，</w:t>
            </w:r>
            <w:r>
              <w:rPr>
                <w:rFonts w:hint="eastAsia"/>
                <w:kern w:val="2"/>
                <w:sz w:val="24"/>
                <w:szCs w:val="21"/>
              </w:rPr>
              <w:t>需补充新鲜水约</w:t>
            </w:r>
            <w:r>
              <w:rPr>
                <w:kern w:val="2"/>
                <w:sz w:val="24"/>
                <w:szCs w:val="21"/>
              </w:rPr>
              <w:t>0.6t/h</w:t>
            </w:r>
            <w:r>
              <w:rPr>
                <w:rFonts w:hint="eastAsia"/>
                <w:kern w:val="2"/>
                <w:sz w:val="24"/>
                <w:szCs w:val="21"/>
              </w:rPr>
              <w:t>（1</w:t>
            </w:r>
            <w:r>
              <w:rPr>
                <w:kern w:val="2"/>
                <w:sz w:val="24"/>
                <w:szCs w:val="21"/>
              </w:rPr>
              <w:t>4.4t/d</w:t>
            </w:r>
            <w:r>
              <w:rPr>
                <w:rFonts w:hint="eastAsia"/>
                <w:kern w:val="2"/>
                <w:sz w:val="24"/>
                <w:szCs w:val="21"/>
              </w:rPr>
              <w:t>）</w:t>
            </w:r>
            <w:r>
              <w:rPr>
                <w:kern w:val="2"/>
                <w:sz w:val="24"/>
                <w:szCs w:val="21"/>
              </w:rPr>
              <w:t>。</w:t>
            </w:r>
          </w:p>
          <w:p>
            <w:pPr>
              <w:spacing w:line="360" w:lineRule="auto"/>
              <w:ind w:firstLine="480" w:firstLineChars="200"/>
              <w:rPr>
                <w:rFonts w:hAnsi="宋体"/>
                <w:sz w:val="24"/>
              </w:rPr>
            </w:pPr>
            <w:r>
              <w:rPr>
                <w:rFonts w:hint="eastAsia" w:hAnsi="宋体"/>
                <w:sz w:val="24"/>
              </w:rPr>
              <w:t>技改后全厂水量平衡图详见图2-</w:t>
            </w:r>
            <w:r>
              <w:rPr>
                <w:rFonts w:hAnsi="宋体"/>
                <w:sz w:val="24"/>
              </w:rPr>
              <w:t>3</w:t>
            </w:r>
            <w:r>
              <w:rPr>
                <w:rFonts w:hint="eastAsia" w:hAnsi="宋体"/>
                <w:sz w:val="24"/>
              </w:rPr>
              <w:t>所示。</w:t>
            </w: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line="360" w:lineRule="auto"/>
              <w:ind w:firstLine="480" w:firstLineChars="200"/>
              <w:rPr>
                <w:rFonts w:hAnsi="宋体"/>
                <w:sz w:val="24"/>
              </w:rPr>
            </w:pPr>
          </w:p>
          <w:p>
            <w:pPr>
              <w:spacing w:before="120" w:beforeLines="50" w:line="360" w:lineRule="auto"/>
              <w:jc w:val="center"/>
            </w:pPr>
            <w:r>
              <w:object>
                <v:shape id="_x0000_i1027" o:spt="75" type="#_x0000_t75" style="height:434.5pt;width:392.65pt;" o:ole="t" filled="f" o:preferrelative="t" stroked="f" coordsize="21600,21600">
                  <v:path/>
                  <v:fill on="f" focussize="0,0"/>
                  <v:stroke on="f" joinstyle="miter"/>
                  <v:imagedata r:id="rId25" o:title=""/>
                  <o:lock v:ext="edit" aspectratio="t"/>
                  <w10:wrap type="none"/>
                  <w10:anchorlock/>
                </v:shape>
                <o:OLEObject Type="Embed" ProgID="Visio.Drawing.15" ShapeID="_x0000_i1027" DrawAspect="Content" ObjectID="_1468075727" r:id="rId24">
                  <o:LockedField>false</o:LockedField>
                </o:OLEObject>
              </w:object>
            </w:r>
          </w:p>
          <w:p>
            <w:pPr>
              <w:spacing w:before="120" w:beforeLines="50" w:line="360" w:lineRule="auto"/>
              <w:jc w:val="center"/>
              <w:rPr>
                <w:rFonts w:hAnsi="宋体"/>
                <w:b/>
                <w:sz w:val="24"/>
              </w:rPr>
            </w:pPr>
            <w:r>
              <w:rPr>
                <w:b/>
                <w:sz w:val="24"/>
              </w:rPr>
              <w:t>图</w:t>
            </w:r>
            <w:r>
              <w:rPr>
                <w:rFonts w:hint="eastAsia"/>
                <w:b/>
                <w:sz w:val="24"/>
              </w:rPr>
              <w:t>2-</w:t>
            </w:r>
            <w:r>
              <w:rPr>
                <w:b/>
                <w:sz w:val="24"/>
              </w:rPr>
              <w:t xml:space="preserve">3  </w:t>
            </w:r>
            <w:r>
              <w:rPr>
                <w:rFonts w:hint="eastAsia"/>
                <w:b/>
                <w:sz w:val="24"/>
              </w:rPr>
              <w:t>技改后全厂</w:t>
            </w:r>
            <w:r>
              <w:rPr>
                <w:b/>
                <w:sz w:val="24"/>
              </w:rPr>
              <w:t>水量平衡图</w:t>
            </w:r>
            <w:r>
              <w:rPr>
                <w:rFonts w:hAnsi="宋体"/>
                <w:b/>
                <w:sz w:val="24"/>
              </w:rPr>
              <w:t>（单位</w:t>
            </w:r>
            <w:r>
              <w:rPr>
                <w:rFonts w:hint="eastAsia" w:hAnsi="宋体"/>
                <w:b/>
                <w:sz w:val="24"/>
              </w:rPr>
              <w:t>：</w:t>
            </w:r>
            <w:r>
              <w:rPr>
                <w:b/>
                <w:sz w:val="24"/>
              </w:rPr>
              <w:t>m</w:t>
            </w:r>
            <w:r>
              <w:rPr>
                <w:b/>
                <w:sz w:val="24"/>
                <w:vertAlign w:val="superscript"/>
              </w:rPr>
              <w:t>3</w:t>
            </w:r>
            <w:r>
              <w:rPr>
                <w:b/>
                <w:sz w:val="24"/>
              </w:rPr>
              <w:t>/d</w:t>
            </w:r>
            <w:r>
              <w:rPr>
                <w:rFonts w:hAnsi="宋体"/>
                <w:b/>
                <w:sz w:val="24"/>
              </w:rPr>
              <w:t>）</w:t>
            </w:r>
          </w:p>
          <w:p>
            <w:pPr>
              <w:adjustRightInd w:val="0"/>
              <w:spacing w:line="360" w:lineRule="auto"/>
              <w:ind w:firstLine="482" w:firstLineChars="200"/>
              <w:jc w:val="left"/>
              <w:rPr>
                <w:b/>
                <w:bCs/>
                <w:sz w:val="24"/>
              </w:rPr>
            </w:pPr>
            <w:r>
              <w:rPr>
                <w:rFonts w:hint="eastAsia"/>
                <w:b/>
                <w:bCs/>
                <w:sz w:val="24"/>
              </w:rPr>
              <w:t>9、环保投资估算</w:t>
            </w:r>
          </w:p>
          <w:p>
            <w:pPr>
              <w:adjustRightInd w:val="0"/>
              <w:spacing w:line="360" w:lineRule="auto"/>
              <w:ind w:firstLine="480" w:firstLineChars="200"/>
              <w:rPr>
                <w:b/>
                <w:kern w:val="0"/>
              </w:rPr>
            </w:pPr>
            <w:r>
              <w:rPr>
                <w:rFonts w:hint="eastAsia"/>
                <w:sz w:val="24"/>
              </w:rPr>
              <w:t>本</w:t>
            </w:r>
            <w:r>
              <w:rPr>
                <w:sz w:val="24"/>
              </w:rPr>
              <w:t>项目总投资</w:t>
            </w:r>
            <w:r>
              <w:rPr>
                <w:rFonts w:hint="eastAsia"/>
                <w:sz w:val="24"/>
              </w:rPr>
              <w:t>717.53</w:t>
            </w:r>
            <w:r>
              <w:rPr>
                <w:sz w:val="24"/>
              </w:rPr>
              <w:t>万元，</w:t>
            </w:r>
            <w:r>
              <w:rPr>
                <w:rFonts w:hint="eastAsia"/>
                <w:sz w:val="24"/>
              </w:rPr>
              <w:t>其中环保投资为</w:t>
            </w:r>
            <w:r>
              <w:rPr>
                <w:sz w:val="24"/>
              </w:rPr>
              <w:t>40</w:t>
            </w:r>
            <w:r>
              <w:rPr>
                <w:rFonts w:hint="eastAsia"/>
                <w:sz w:val="24"/>
              </w:rPr>
              <w:t>万元，</w:t>
            </w:r>
            <w:r>
              <w:rPr>
                <w:sz w:val="24"/>
              </w:rPr>
              <w:t>占总投资的5.57%。</w:t>
            </w:r>
            <w:r>
              <w:rPr>
                <w:rFonts w:hint="eastAsia" w:cs="宋体"/>
                <w:sz w:val="24"/>
                <w:lang w:bidi="ar"/>
              </w:rPr>
              <w:t>投资明细如表</w:t>
            </w:r>
            <w:r>
              <w:rPr>
                <w:rFonts w:hint="eastAsia"/>
                <w:sz w:val="24"/>
                <w:lang w:bidi="ar"/>
              </w:rPr>
              <w:t>2-</w:t>
            </w:r>
            <w:r>
              <w:rPr>
                <w:sz w:val="24"/>
                <w:lang w:bidi="ar"/>
              </w:rPr>
              <w:t>9</w:t>
            </w:r>
            <w:r>
              <w:rPr>
                <w:rFonts w:hint="eastAsia" w:cs="宋体"/>
                <w:sz w:val="24"/>
                <w:lang w:bidi="ar"/>
              </w:rPr>
              <w:t>所示。</w:t>
            </w:r>
            <w:bookmarkStart w:id="5" w:name="_Toc14103"/>
            <w:bookmarkStart w:id="6" w:name="_Toc483056321"/>
            <w:bookmarkStart w:id="7" w:name="_Toc483056699"/>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w:t>
            </w:r>
            <w:r>
              <w:rPr>
                <w:rFonts w:cs="宋体"/>
                <w:b/>
                <w:bCs/>
                <w:kern w:val="0"/>
                <w:sz w:val="24"/>
                <w:szCs w:val="20"/>
                <w:lang w:bidi="ar"/>
              </w:rPr>
              <w:t xml:space="preserve">9  </w:t>
            </w:r>
            <w:r>
              <w:rPr>
                <w:rFonts w:hint="eastAsia" w:cs="宋体"/>
                <w:b/>
                <w:bCs/>
                <w:kern w:val="0"/>
                <w:sz w:val="24"/>
                <w:szCs w:val="20"/>
                <w:lang w:bidi="ar"/>
              </w:rPr>
              <w:t>本项目环保投资一览表</w:t>
            </w:r>
            <w:bookmarkEnd w:id="5"/>
            <w:bookmarkEnd w:id="6"/>
            <w:bookmarkEnd w:id="7"/>
            <w:bookmarkStart w:id="8" w:name="_Toc189368116"/>
          </w:p>
          <w:bookmarkEnd w:id="8"/>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07"/>
              <w:gridCol w:w="749"/>
              <w:gridCol w:w="4897"/>
              <w:gridCol w:w="1787"/>
            </w:tblGrid>
            <w:tr>
              <w:tblPrEx>
                <w:tblCellMar>
                  <w:top w:w="0" w:type="dxa"/>
                  <w:left w:w="57" w:type="dxa"/>
                  <w:bottom w:w="0" w:type="dxa"/>
                  <w:right w:w="57" w:type="dxa"/>
                </w:tblCellMar>
              </w:tblPrEx>
              <w:tc>
                <w:tcPr>
                  <w:tcW w:w="544" w:type="pct"/>
                  <w:tcBorders>
                    <w:top w:val="single" w:color="auto" w:sz="4" w:space="0"/>
                    <w:left w:val="single" w:color="auto" w:sz="4" w:space="0"/>
                    <w:bottom w:val="single" w:color="auto" w:sz="4" w:space="0"/>
                    <w:right w:val="single" w:color="auto" w:sz="4" w:space="0"/>
                  </w:tcBorders>
                  <w:vAlign w:val="center"/>
                </w:tcPr>
                <w:p>
                  <w:pPr>
                    <w:jc w:val="center"/>
                    <w:rPr>
                      <w:b/>
                      <w:bCs/>
                    </w:rPr>
                  </w:pPr>
                  <w:bookmarkStart w:id="9" w:name="_Toc483056331"/>
                  <w:bookmarkStart w:id="10" w:name="_Toc483056709"/>
                  <w:r>
                    <w:rPr>
                      <w:rFonts w:hint="eastAsia"/>
                      <w:b/>
                      <w:bCs/>
                    </w:rPr>
                    <w:t>时段</w:t>
                  </w:r>
                </w:p>
              </w:tc>
              <w:tc>
                <w:tcPr>
                  <w:tcW w:w="449" w:type="pct"/>
                  <w:tcBorders>
                    <w:top w:val="single" w:color="auto" w:sz="4" w:space="0"/>
                    <w:left w:val="single" w:color="auto" w:sz="4" w:space="0"/>
                    <w:bottom w:val="single" w:color="auto" w:sz="4" w:space="0"/>
                    <w:right w:val="single" w:color="auto" w:sz="4" w:space="0"/>
                  </w:tcBorders>
                  <w:vAlign w:val="center"/>
                </w:tcPr>
                <w:p>
                  <w:pPr>
                    <w:jc w:val="center"/>
                    <w:rPr>
                      <w:b/>
                      <w:bCs/>
                    </w:rPr>
                  </w:pPr>
                  <w:r>
                    <w:rPr>
                      <w:rFonts w:hint="eastAsia"/>
                      <w:b/>
                      <w:bCs/>
                    </w:rPr>
                    <w:t>项目</w:t>
                  </w:r>
                </w:p>
              </w:tc>
              <w:tc>
                <w:tcPr>
                  <w:tcW w:w="2936" w:type="pct"/>
                  <w:tcBorders>
                    <w:top w:val="single" w:color="auto" w:sz="4" w:space="0"/>
                    <w:left w:val="single" w:color="auto" w:sz="4" w:space="0"/>
                    <w:bottom w:val="single" w:color="auto" w:sz="4" w:space="0"/>
                    <w:right w:val="single" w:color="auto" w:sz="4" w:space="0"/>
                  </w:tcBorders>
                  <w:vAlign w:val="center"/>
                </w:tcPr>
                <w:p>
                  <w:pPr>
                    <w:jc w:val="center"/>
                    <w:rPr>
                      <w:b/>
                      <w:bCs/>
                    </w:rPr>
                  </w:pPr>
                  <w:r>
                    <w:rPr>
                      <w:rFonts w:hint="eastAsia"/>
                      <w:b/>
                      <w:bCs/>
                    </w:rPr>
                    <w:t>治理措施</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rPr>
                      <w:b/>
                      <w:bCs/>
                    </w:rPr>
                  </w:pPr>
                  <w:r>
                    <w:rPr>
                      <w:rFonts w:hint="eastAsia"/>
                      <w:b/>
                      <w:bCs/>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4" w:type="pct"/>
                  <w:vMerge w:val="restart"/>
                  <w:tcBorders>
                    <w:top w:val="single" w:color="auto" w:sz="4" w:space="0"/>
                    <w:left w:val="single" w:color="auto" w:sz="4" w:space="0"/>
                    <w:right w:val="single" w:color="auto" w:sz="4" w:space="0"/>
                  </w:tcBorders>
                  <w:vAlign w:val="center"/>
                </w:tcPr>
                <w:p>
                  <w:pPr>
                    <w:jc w:val="center"/>
                  </w:pPr>
                  <w:r>
                    <w:rPr>
                      <w:rFonts w:hint="eastAsia"/>
                    </w:rPr>
                    <w:t>运营期</w:t>
                  </w:r>
                </w:p>
              </w:tc>
              <w:tc>
                <w:tcPr>
                  <w:tcW w:w="449" w:type="pct"/>
                  <w:vMerge w:val="restart"/>
                  <w:tcBorders>
                    <w:top w:val="single" w:color="auto" w:sz="4" w:space="0"/>
                    <w:left w:val="single" w:color="auto" w:sz="4" w:space="0"/>
                    <w:right w:val="single" w:color="auto" w:sz="4" w:space="0"/>
                  </w:tcBorders>
                  <w:vAlign w:val="center"/>
                </w:tcPr>
                <w:p>
                  <w:pPr>
                    <w:jc w:val="center"/>
                  </w:pPr>
                  <w:r>
                    <w:rPr>
                      <w:rFonts w:hint="eastAsia"/>
                    </w:rPr>
                    <w:t>废气治理</w:t>
                  </w:r>
                </w:p>
              </w:tc>
              <w:tc>
                <w:tcPr>
                  <w:tcW w:w="293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szCs w:val="21"/>
                    </w:rPr>
                    <w:t>5t</w:t>
                  </w:r>
                  <w:r>
                    <w:rPr>
                      <w:szCs w:val="21"/>
                    </w:rPr>
                    <w:t>/h</w:t>
                  </w:r>
                  <w:r>
                    <w:rPr>
                      <w:rFonts w:hint="eastAsia"/>
                      <w:szCs w:val="21"/>
                    </w:rPr>
                    <w:t>导热油锅炉配套设置“1套多管旋风除尘器+1套水膜除尘装置”，处理后通过1根烟囱排放，高度35m。</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44" w:type="pct"/>
                  <w:vMerge w:val="continue"/>
                  <w:tcBorders>
                    <w:left w:val="single" w:color="auto" w:sz="4" w:space="0"/>
                    <w:right w:val="single" w:color="auto" w:sz="4" w:space="0"/>
                  </w:tcBorders>
                  <w:vAlign w:val="center"/>
                </w:tcPr>
                <w:p>
                  <w:pPr>
                    <w:jc w:val="center"/>
                  </w:pPr>
                </w:p>
              </w:tc>
              <w:tc>
                <w:tcPr>
                  <w:tcW w:w="449" w:type="pct"/>
                  <w:vMerge w:val="continue"/>
                  <w:tcBorders>
                    <w:left w:val="single" w:color="auto" w:sz="4" w:space="0"/>
                    <w:right w:val="single" w:color="auto" w:sz="4" w:space="0"/>
                  </w:tcBorders>
                  <w:vAlign w:val="center"/>
                </w:tcPr>
                <w:p>
                  <w:pPr>
                    <w:jc w:val="center"/>
                  </w:pPr>
                </w:p>
              </w:tc>
              <w:tc>
                <w:tcPr>
                  <w:tcW w:w="293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szCs w:val="21"/>
                    </w:rPr>
                    <w:t>7t</w:t>
                  </w:r>
                  <w:r>
                    <w:rPr>
                      <w:szCs w:val="21"/>
                    </w:rPr>
                    <w:t>/h</w:t>
                  </w:r>
                  <w:r>
                    <w:rPr>
                      <w:rFonts w:hint="eastAsia"/>
                      <w:szCs w:val="21"/>
                    </w:rPr>
                    <w:t>导热油锅炉废气治理新增1套水膜除尘装置，处理后通过1根烟囱排放，高度35m。</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44" w:type="pct"/>
                  <w:vMerge w:val="continue"/>
                  <w:tcBorders>
                    <w:left w:val="single" w:color="auto" w:sz="4" w:space="0"/>
                    <w:right w:val="single" w:color="auto" w:sz="4" w:space="0"/>
                  </w:tcBorders>
                  <w:vAlign w:val="center"/>
                </w:tcPr>
                <w:p>
                  <w:pPr>
                    <w:jc w:val="center"/>
                  </w:pPr>
                </w:p>
              </w:tc>
              <w:tc>
                <w:tcPr>
                  <w:tcW w:w="449" w:type="pct"/>
                  <w:vMerge w:val="continue"/>
                  <w:tcBorders>
                    <w:left w:val="single" w:color="auto" w:sz="4" w:space="0"/>
                    <w:right w:val="single" w:color="auto" w:sz="4" w:space="0"/>
                  </w:tcBorders>
                  <w:vAlign w:val="center"/>
                </w:tcPr>
                <w:p>
                  <w:pPr>
                    <w:jc w:val="center"/>
                  </w:pPr>
                </w:p>
              </w:tc>
              <w:tc>
                <w:tcPr>
                  <w:tcW w:w="2936" w:type="pct"/>
                  <w:tcBorders>
                    <w:top w:val="single" w:color="auto" w:sz="4" w:space="0"/>
                    <w:left w:val="single" w:color="auto" w:sz="4" w:space="0"/>
                    <w:bottom w:val="single" w:color="auto" w:sz="4" w:space="0"/>
                    <w:right w:val="single" w:color="auto" w:sz="4" w:space="0"/>
                  </w:tcBorders>
                  <w:vAlign w:val="center"/>
                </w:tcPr>
                <w:p>
                  <w:pPr>
                    <w:widowControl/>
                    <w:adjustRightInd w:val="0"/>
                    <w:jc w:val="center"/>
                    <w:rPr>
                      <w:szCs w:val="21"/>
                    </w:rPr>
                  </w:pPr>
                  <w:r>
                    <w:rPr>
                      <w:rFonts w:hint="eastAsia"/>
                      <w:szCs w:val="21"/>
                    </w:rPr>
                    <w:t>2台振动筛工序新增1台布袋除尘装置；</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44" w:type="pct"/>
                  <w:vMerge w:val="continue"/>
                  <w:tcBorders>
                    <w:left w:val="single" w:color="auto" w:sz="4" w:space="0"/>
                    <w:right w:val="single" w:color="auto" w:sz="4" w:space="0"/>
                  </w:tcBorders>
                  <w:vAlign w:val="center"/>
                </w:tcPr>
                <w:p>
                  <w:pPr>
                    <w:jc w:val="center"/>
                  </w:pPr>
                </w:p>
              </w:tc>
              <w:tc>
                <w:tcPr>
                  <w:tcW w:w="449" w:type="pct"/>
                  <w:vMerge w:val="continue"/>
                  <w:tcBorders>
                    <w:left w:val="single" w:color="auto" w:sz="4" w:space="0"/>
                    <w:right w:val="single" w:color="auto" w:sz="4" w:space="0"/>
                  </w:tcBorders>
                  <w:vAlign w:val="center"/>
                </w:tcPr>
                <w:p>
                  <w:pPr>
                    <w:jc w:val="center"/>
                  </w:pPr>
                </w:p>
              </w:tc>
              <w:tc>
                <w:tcPr>
                  <w:tcW w:w="2936" w:type="pct"/>
                  <w:tcBorders>
                    <w:top w:val="single" w:color="auto" w:sz="4" w:space="0"/>
                    <w:left w:val="single" w:color="auto" w:sz="4" w:space="0"/>
                    <w:bottom w:val="single" w:color="auto" w:sz="4" w:space="0"/>
                    <w:right w:val="single" w:color="auto" w:sz="4" w:space="0"/>
                  </w:tcBorders>
                  <w:vAlign w:val="center"/>
                </w:tcPr>
                <w:p>
                  <w:pPr>
                    <w:widowControl/>
                    <w:adjustRightInd w:val="0"/>
                    <w:jc w:val="center"/>
                    <w:rPr>
                      <w:szCs w:val="21"/>
                    </w:rPr>
                  </w:pPr>
                  <w:r>
                    <w:rPr>
                      <w:rFonts w:hint="eastAsia"/>
                      <w:szCs w:val="21"/>
                    </w:rPr>
                    <w:t>2台打磨机工序新增2台布袋除尘装置；</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44" w:type="pct"/>
                  <w:vMerge w:val="continue"/>
                  <w:tcBorders>
                    <w:left w:val="single" w:color="auto" w:sz="4" w:space="0"/>
                    <w:right w:val="single" w:color="auto" w:sz="4" w:space="0"/>
                  </w:tcBorders>
                  <w:vAlign w:val="center"/>
                </w:tcPr>
                <w:p>
                  <w:pPr>
                    <w:jc w:val="center"/>
                  </w:pPr>
                </w:p>
              </w:tc>
              <w:tc>
                <w:tcPr>
                  <w:tcW w:w="449" w:type="pct"/>
                  <w:vMerge w:val="continue"/>
                  <w:tcBorders>
                    <w:left w:val="single" w:color="auto" w:sz="4" w:space="0"/>
                    <w:bottom w:val="single" w:color="auto" w:sz="4" w:space="0"/>
                    <w:right w:val="single" w:color="auto" w:sz="4" w:space="0"/>
                  </w:tcBorders>
                  <w:vAlign w:val="center"/>
                </w:tcPr>
                <w:p>
                  <w:pPr>
                    <w:jc w:val="center"/>
                  </w:pPr>
                </w:p>
              </w:tc>
              <w:tc>
                <w:tcPr>
                  <w:tcW w:w="293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三级活性炭吸附柜1套</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44" w:type="pct"/>
                  <w:vMerge w:val="continue"/>
                  <w:tcBorders>
                    <w:left w:val="single" w:color="auto" w:sz="4" w:space="0"/>
                    <w:right w:val="single" w:color="auto" w:sz="4" w:space="0"/>
                  </w:tcBorders>
                  <w:vAlign w:val="center"/>
                </w:tcPr>
                <w:p>
                  <w:pPr>
                    <w:jc w:val="center"/>
                  </w:pPr>
                </w:p>
              </w:tc>
              <w:tc>
                <w:tcPr>
                  <w:tcW w:w="449"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废水治理</w:t>
                  </w:r>
                </w:p>
              </w:tc>
              <w:tc>
                <w:tcPr>
                  <w:tcW w:w="293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1个容积为1</w:t>
                  </w:r>
                  <w:r>
                    <w:t>6m</w:t>
                  </w:r>
                  <w:r>
                    <w:rPr>
                      <w:vertAlign w:val="superscript"/>
                    </w:rPr>
                    <w:t>3</w:t>
                  </w:r>
                  <w:r>
                    <w:rPr>
                      <w:rFonts w:hint="eastAsia"/>
                    </w:rPr>
                    <w:t>水膜除尘废水沉淀池</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44" w:type="pct"/>
                  <w:vMerge w:val="continue"/>
                  <w:tcBorders>
                    <w:left w:val="single" w:color="auto" w:sz="4" w:space="0"/>
                    <w:right w:val="single" w:color="auto" w:sz="4" w:space="0"/>
                  </w:tcBorders>
                  <w:vAlign w:val="center"/>
                </w:tcPr>
                <w:p>
                  <w:pPr>
                    <w:jc w:val="center"/>
                  </w:pPr>
                </w:p>
              </w:tc>
              <w:tc>
                <w:tcPr>
                  <w:tcW w:w="449"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噪声治理</w:t>
                  </w:r>
                </w:p>
              </w:tc>
              <w:tc>
                <w:tcPr>
                  <w:tcW w:w="293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厂房隔声、安装减震垫</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44" w:type="pct"/>
                  <w:vMerge w:val="continue"/>
                  <w:tcBorders>
                    <w:left w:val="single" w:color="auto" w:sz="4" w:space="0"/>
                    <w:right w:val="single" w:color="auto" w:sz="4" w:space="0"/>
                  </w:tcBorders>
                  <w:vAlign w:val="center"/>
                </w:tcPr>
                <w:p>
                  <w:pPr>
                    <w:jc w:val="center"/>
                  </w:pPr>
                </w:p>
              </w:tc>
              <w:tc>
                <w:tcPr>
                  <w:tcW w:w="449" w:type="pct"/>
                  <w:vMerge w:val="restart"/>
                  <w:tcBorders>
                    <w:top w:val="single" w:color="auto" w:sz="4" w:space="0"/>
                    <w:left w:val="single" w:color="auto" w:sz="4" w:space="0"/>
                    <w:right w:val="single" w:color="auto" w:sz="4" w:space="0"/>
                  </w:tcBorders>
                  <w:vAlign w:val="center"/>
                </w:tcPr>
                <w:p>
                  <w:pPr>
                    <w:jc w:val="center"/>
                  </w:pPr>
                  <w:r>
                    <w:rPr>
                      <w:rFonts w:hint="eastAsia"/>
                    </w:rPr>
                    <w:t>固废治理</w:t>
                  </w:r>
                </w:p>
              </w:tc>
              <w:tc>
                <w:tcPr>
                  <w:tcW w:w="293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szCs w:val="21"/>
                    </w:rPr>
                    <w:t>一般固废暂存区，占地面积10m</w:t>
                  </w:r>
                  <w:r>
                    <w:rPr>
                      <w:rFonts w:hint="eastAsia"/>
                      <w:szCs w:val="21"/>
                      <w:vertAlign w:val="superscript"/>
                    </w:rPr>
                    <w:t>2</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依托现有设施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44" w:type="pct"/>
                  <w:vMerge w:val="continue"/>
                  <w:tcBorders>
                    <w:left w:val="single" w:color="auto" w:sz="4" w:space="0"/>
                    <w:right w:val="single" w:color="auto" w:sz="4" w:space="0"/>
                  </w:tcBorders>
                  <w:vAlign w:val="center"/>
                </w:tcPr>
                <w:p>
                  <w:pPr>
                    <w:jc w:val="center"/>
                  </w:pPr>
                </w:p>
              </w:tc>
              <w:tc>
                <w:tcPr>
                  <w:tcW w:w="449" w:type="pct"/>
                  <w:vMerge w:val="continue"/>
                  <w:tcBorders>
                    <w:left w:val="single" w:color="auto" w:sz="4" w:space="0"/>
                    <w:bottom w:val="single" w:color="auto" w:sz="4" w:space="0"/>
                    <w:right w:val="single" w:color="auto" w:sz="4" w:space="0"/>
                  </w:tcBorders>
                  <w:vAlign w:val="center"/>
                </w:tcPr>
                <w:p>
                  <w:pPr>
                    <w:jc w:val="center"/>
                  </w:pPr>
                </w:p>
              </w:tc>
              <w:tc>
                <w:tcPr>
                  <w:tcW w:w="293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危废暂存间1间，5m</w:t>
                  </w:r>
                  <w:r>
                    <w:rPr>
                      <w:rFonts w:hint="eastAsia"/>
                      <w:vertAlign w:val="superscript"/>
                    </w:rPr>
                    <w:t>2</w:t>
                  </w:r>
                  <w:r>
                    <w:rPr>
                      <w:rFonts w:hint="eastAsia"/>
                    </w:rPr>
                    <w:t>。</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依托现有设施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93" w:type="pct"/>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合计</w:t>
                  </w:r>
                </w:p>
              </w:tc>
              <w:tc>
                <w:tcPr>
                  <w:tcW w:w="2936" w:type="pct"/>
                  <w:tcBorders>
                    <w:top w:val="single" w:color="auto" w:sz="4" w:space="0"/>
                    <w:left w:val="single" w:color="auto" w:sz="4" w:space="0"/>
                    <w:bottom w:val="single" w:color="auto" w:sz="4" w:space="0"/>
                    <w:right w:val="single" w:color="auto" w:sz="4" w:space="0"/>
                  </w:tcBorders>
                  <w:vAlign w:val="center"/>
                </w:tcPr>
                <w:p>
                  <w:pPr>
                    <w:jc w:val="center"/>
                  </w:pPr>
                  <w:r>
                    <w:t>/</w:t>
                  </w:r>
                </w:p>
                <w:bookmarkEnd w:id="9"/>
              </w:tc>
              <w:tc>
                <w:tcPr>
                  <w:tcW w:w="1071" w:type="pct"/>
                  <w:tcBorders>
                    <w:top w:val="single" w:color="auto" w:sz="4" w:space="0"/>
                    <w:left w:val="single" w:color="auto" w:sz="4" w:space="0"/>
                    <w:bottom w:val="single" w:color="auto" w:sz="4" w:space="0"/>
                    <w:right w:val="single" w:color="auto" w:sz="4" w:space="0"/>
                  </w:tcBorders>
                  <w:vAlign w:val="center"/>
                </w:tcPr>
                <w:p>
                  <w:pPr>
                    <w:jc w:val="center"/>
                  </w:pPr>
                  <w:r>
                    <w:t>40</w:t>
                  </w:r>
                </w:p>
              </w:tc>
            </w:tr>
            <w:bookmarkEnd w:id="10"/>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477" w:type="pct"/>
            <w:vAlign w:val="center"/>
          </w:tcPr>
          <w:p>
            <w:pPr>
              <w:pStyle w:val="28"/>
              <w:adjustRightInd w:val="0"/>
              <w:spacing w:before="0" w:beforeAutospacing="0" w:after="0" w:afterAutospacing="0"/>
              <w:jc w:val="center"/>
              <w:rPr>
                <w:rFonts w:ascii="Times New Roman" w:hAnsi="Times New Roman" w:cs="宋体"/>
                <w:szCs w:val="21"/>
              </w:rPr>
            </w:pPr>
            <w:r>
              <w:rPr>
                <w:rFonts w:hint="eastAsia" w:ascii="Times New Roman" w:hAnsi="Times New Roman" w:cs="宋体"/>
                <w:b/>
                <w:bCs/>
                <w:szCs w:val="21"/>
              </w:rPr>
              <w:t>工艺流程和产排污环节</w:t>
            </w:r>
          </w:p>
        </w:tc>
        <w:tc>
          <w:tcPr>
            <w:tcW w:w="4523" w:type="pct"/>
          </w:tcPr>
          <w:p>
            <w:pPr>
              <w:adjustRightInd w:val="0"/>
              <w:spacing w:before="120" w:beforeLines="50" w:line="360" w:lineRule="auto"/>
              <w:ind w:firstLine="482" w:firstLineChars="200"/>
              <w:jc w:val="left"/>
              <w:outlineLvl w:val="1"/>
              <w:rPr>
                <w:b/>
                <w:bCs/>
                <w:sz w:val="24"/>
                <w:szCs w:val="21"/>
              </w:rPr>
            </w:pPr>
            <w:r>
              <w:rPr>
                <w:b/>
                <w:bCs/>
                <w:sz w:val="24"/>
                <w:szCs w:val="21"/>
              </w:rPr>
              <w:t>1、施工期</w:t>
            </w:r>
            <w:r>
              <w:rPr>
                <w:b/>
                <w:sz w:val="24"/>
                <w:szCs w:val="21"/>
              </w:rPr>
              <w:t>工艺流程简述</w:t>
            </w:r>
          </w:p>
          <w:p>
            <w:pPr>
              <w:adjustRightInd w:val="0"/>
              <w:spacing w:line="360" w:lineRule="auto"/>
              <w:ind w:firstLine="480" w:firstLineChars="200"/>
              <w:rPr>
                <w:b/>
                <w:bCs/>
                <w:sz w:val="24"/>
                <w:szCs w:val="21"/>
              </w:rPr>
            </w:pPr>
            <w:r>
              <w:rPr>
                <w:sz w:val="24"/>
                <w:szCs w:val="21"/>
              </w:rPr>
              <w:t>根据现场踏勘，</w:t>
            </w:r>
            <w:r>
              <w:rPr>
                <w:rFonts w:hint="eastAsia"/>
                <w:sz w:val="24"/>
              </w:rPr>
              <w:t>本项目的建设已经完成，现阶段设备已安装，施工期已结束，工程施工对外环境产生的不良影响已结束。</w:t>
            </w:r>
          </w:p>
          <w:p>
            <w:pPr>
              <w:adjustRightInd w:val="0"/>
              <w:spacing w:line="360" w:lineRule="auto"/>
              <w:ind w:firstLine="482" w:firstLineChars="200"/>
              <w:jc w:val="left"/>
              <w:outlineLvl w:val="1"/>
              <w:rPr>
                <w:sz w:val="24"/>
                <w:szCs w:val="21"/>
              </w:rPr>
            </w:pPr>
            <w:r>
              <w:rPr>
                <w:b/>
                <w:bCs/>
                <w:sz w:val="24"/>
                <w:szCs w:val="21"/>
              </w:rPr>
              <w:t>2、运营期</w:t>
            </w:r>
          </w:p>
          <w:p>
            <w:pPr>
              <w:pStyle w:val="9"/>
              <w:adjustRightInd w:val="0"/>
              <w:spacing w:line="360" w:lineRule="auto"/>
              <w:ind w:firstLine="480" w:firstLineChars="200"/>
              <w:rPr>
                <w:szCs w:val="21"/>
              </w:rPr>
            </w:pPr>
            <w:r>
              <w:t>本次技改主要针对现有</w:t>
            </w:r>
            <w:r>
              <w:rPr>
                <w:rFonts w:hint="eastAsia" w:cs="宋体"/>
                <w:szCs w:val="21"/>
              </w:rPr>
              <w:t>年产5万立方米木质刨花板</w:t>
            </w:r>
            <w:r>
              <w:t>工程的</w:t>
            </w:r>
            <w:r>
              <w:rPr>
                <w:rFonts w:hint="eastAsia"/>
              </w:rPr>
              <w:t>配套</w:t>
            </w:r>
            <w:r>
              <w:t>供热工程</w:t>
            </w:r>
            <w:r>
              <w:rPr>
                <w:rFonts w:hint="eastAsia"/>
              </w:rPr>
              <w:t>和</w:t>
            </w:r>
            <w:r>
              <w:t>环保工程</w:t>
            </w:r>
            <w:r>
              <w:rPr>
                <w:rFonts w:hint="eastAsia"/>
              </w:rPr>
              <w:t>，现有工程主体生产工艺没有变化</w:t>
            </w:r>
            <w:r>
              <w:rPr>
                <w:rFonts w:hint="eastAsia"/>
                <w:szCs w:val="21"/>
              </w:rPr>
              <w:t>。</w:t>
            </w:r>
          </w:p>
          <w:p>
            <w:pPr>
              <w:autoSpaceDE w:val="0"/>
              <w:autoSpaceDN w:val="0"/>
              <w:spacing w:line="360" w:lineRule="auto"/>
              <w:ind w:firstLine="480" w:firstLineChars="200"/>
              <w:rPr>
                <w:rFonts w:ascii="宋体" w:hAnsi="宋体"/>
                <w:bCs/>
                <w:sz w:val="24"/>
              </w:rPr>
            </w:pPr>
            <w:r>
              <w:rPr>
                <w:rFonts w:hint="eastAsia" w:ascii="宋体" w:hAnsi="宋体"/>
                <w:bCs/>
                <w:sz w:val="24"/>
              </w:rPr>
              <w:t>本项目供热工程工艺流程及产污情况如下：</w:t>
            </w:r>
          </w:p>
          <w:p>
            <w:pPr>
              <w:autoSpaceDE w:val="0"/>
              <w:autoSpaceDN w:val="0"/>
              <w:spacing w:line="360" w:lineRule="auto"/>
              <w:ind w:firstLine="480" w:firstLineChars="200"/>
              <w:rPr>
                <w:rFonts w:ascii="宋体" w:hAnsi="宋体"/>
                <w:bCs/>
                <w:sz w:val="24"/>
              </w:rPr>
            </w:pPr>
          </w:p>
          <w:p>
            <w:pPr>
              <w:autoSpaceDE w:val="0"/>
              <w:autoSpaceDN w:val="0"/>
              <w:spacing w:line="360" w:lineRule="auto"/>
              <w:ind w:firstLine="480" w:firstLineChars="200"/>
              <w:rPr>
                <w:rFonts w:ascii="宋体" w:hAnsi="宋体"/>
                <w:bCs/>
                <w:sz w:val="24"/>
              </w:rPr>
            </w:pPr>
          </w:p>
          <w:p>
            <w:pPr>
              <w:autoSpaceDE w:val="0"/>
              <w:autoSpaceDN w:val="0"/>
              <w:spacing w:line="360" w:lineRule="auto"/>
              <w:ind w:firstLine="480" w:firstLineChars="200"/>
              <w:rPr>
                <w:rFonts w:ascii="宋体" w:hAnsi="宋体"/>
                <w:bCs/>
                <w:sz w:val="24"/>
              </w:rPr>
            </w:pPr>
          </w:p>
          <w:p>
            <w:pPr>
              <w:autoSpaceDE w:val="0"/>
              <w:autoSpaceDN w:val="0"/>
              <w:spacing w:line="360" w:lineRule="auto"/>
              <w:ind w:firstLine="480" w:firstLineChars="200"/>
              <w:rPr>
                <w:rFonts w:ascii="宋体" w:hAnsi="宋体"/>
                <w:bCs/>
                <w:sz w:val="24"/>
              </w:rPr>
            </w:pPr>
          </w:p>
          <w:p>
            <w:pPr>
              <w:autoSpaceDE w:val="0"/>
              <w:autoSpaceDN w:val="0"/>
              <w:spacing w:line="360" w:lineRule="auto"/>
              <w:ind w:firstLine="480" w:firstLineChars="200"/>
              <w:rPr>
                <w:rFonts w:ascii="宋体" w:hAnsi="宋体"/>
                <w:bCs/>
                <w:sz w:val="24"/>
              </w:rPr>
            </w:pPr>
          </w:p>
          <w:p>
            <w:pPr>
              <w:autoSpaceDE w:val="0"/>
              <w:autoSpaceDN w:val="0"/>
              <w:spacing w:line="360" w:lineRule="auto"/>
              <w:ind w:firstLine="480" w:firstLineChars="200"/>
              <w:rPr>
                <w:rFonts w:ascii="宋体" w:hAnsi="宋体"/>
                <w:bCs/>
                <w:sz w:val="24"/>
              </w:rPr>
            </w:pPr>
          </w:p>
          <w:p>
            <w:pPr>
              <w:autoSpaceDE w:val="0"/>
              <w:autoSpaceDN w:val="0"/>
              <w:spacing w:line="360" w:lineRule="auto"/>
              <w:ind w:firstLine="482" w:firstLineChars="200"/>
              <w:rPr>
                <w:rFonts w:ascii="宋体" w:hAnsi="宋体"/>
                <w:b/>
                <w:sz w:val="24"/>
              </w:rPr>
            </w:pPr>
          </w:p>
          <w:p>
            <w:pPr>
              <w:autoSpaceDE w:val="0"/>
              <w:autoSpaceDN w:val="0"/>
              <w:spacing w:line="360" w:lineRule="auto"/>
              <w:ind w:firstLine="482" w:firstLineChars="200"/>
              <w:rPr>
                <w:rFonts w:ascii="宋体" w:hAnsi="宋体"/>
                <w:b/>
                <w:sz w:val="24"/>
              </w:rPr>
            </w:pPr>
          </w:p>
          <w:p>
            <w:pPr>
              <w:autoSpaceDE w:val="0"/>
              <w:autoSpaceDN w:val="0"/>
              <w:spacing w:line="360" w:lineRule="auto"/>
              <w:ind w:firstLine="482" w:firstLineChars="200"/>
              <w:rPr>
                <w:rFonts w:ascii="宋体" w:hAnsi="宋体"/>
                <w:b/>
                <w:sz w:val="24"/>
              </w:rPr>
            </w:pPr>
          </w:p>
          <w:p>
            <w:pPr>
              <w:autoSpaceDE w:val="0"/>
              <w:autoSpaceDN w:val="0"/>
              <w:spacing w:line="360" w:lineRule="auto"/>
              <w:ind w:firstLine="482" w:firstLineChars="200"/>
              <w:rPr>
                <w:rFonts w:ascii="宋体" w:hAnsi="宋体"/>
                <w:b/>
                <w:sz w:val="24"/>
              </w:rPr>
            </w:pPr>
          </w:p>
          <w:p>
            <w:pPr>
              <w:autoSpaceDE w:val="0"/>
              <w:autoSpaceDN w:val="0"/>
              <w:spacing w:line="360" w:lineRule="auto"/>
              <w:ind w:firstLine="482" w:firstLineChars="200"/>
              <w:rPr>
                <w:rFonts w:ascii="宋体" w:hAnsi="宋体"/>
                <w:b/>
                <w:sz w:val="24"/>
              </w:rPr>
            </w:pPr>
          </w:p>
          <w:p>
            <w:pPr>
              <w:autoSpaceDE w:val="0"/>
              <w:autoSpaceDN w:val="0"/>
              <w:spacing w:line="360" w:lineRule="auto"/>
              <w:ind w:firstLine="482" w:firstLineChars="200"/>
              <w:rPr>
                <w:rFonts w:ascii="宋体" w:hAnsi="宋体"/>
                <w:b/>
                <w:sz w:val="24"/>
              </w:rPr>
            </w:pPr>
          </w:p>
          <w:p>
            <w:pPr>
              <w:autoSpaceDE w:val="0"/>
              <w:autoSpaceDN w:val="0"/>
              <w:spacing w:line="360" w:lineRule="auto"/>
              <w:ind w:firstLine="482" w:firstLineChars="200"/>
              <w:rPr>
                <w:rFonts w:ascii="宋体" w:hAnsi="宋体"/>
                <w:b/>
                <w:sz w:val="24"/>
              </w:rPr>
            </w:pPr>
          </w:p>
          <w:p>
            <w:pPr>
              <w:autoSpaceDE w:val="0"/>
              <w:autoSpaceDN w:val="0"/>
              <w:spacing w:line="360" w:lineRule="auto"/>
              <w:ind w:firstLine="482" w:firstLineChars="200"/>
              <w:rPr>
                <w:rFonts w:ascii="宋体" w:hAnsi="宋体"/>
                <w:b/>
                <w:sz w:val="24"/>
              </w:rPr>
            </w:pPr>
          </w:p>
          <w:p>
            <w:pPr>
              <w:pStyle w:val="61"/>
              <w:ind w:left="0" w:firstLine="0"/>
              <w:rPr>
                <w:rFonts w:hAnsi="Times New Roman"/>
                <w:sz w:val="24"/>
                <w:szCs w:val="21"/>
              </w:rPr>
            </w:pPr>
            <w:r>
              <w:object>
                <v:shape id="_x0000_i1028" o:spt="75" type="#_x0000_t75" style="height:286.45pt;width:411.85pt;" o:ole="t" filled="f" o:preferrelative="t" stroked="f" coordsize="21600,21600">
                  <v:path/>
                  <v:fill on="f" focussize="0,0"/>
                  <v:stroke on="f" joinstyle="miter"/>
                  <v:imagedata r:id="rId27" o:title=""/>
                  <o:lock v:ext="edit" aspectratio="t"/>
                  <w10:wrap type="none"/>
                  <w10:anchorlock/>
                </v:shape>
                <o:OLEObject Type="Embed" ProgID="Visio.Drawing.15" ShapeID="_x0000_i1028" DrawAspect="Content" ObjectID="_1468075728" r:id="rId26">
                  <o:LockedField>false</o:LockedField>
                </o:OLEObject>
              </w:object>
            </w:r>
          </w:p>
          <w:p>
            <w:pPr>
              <w:pStyle w:val="61"/>
              <w:ind w:left="0" w:firstLine="0"/>
              <w:rPr>
                <w:rFonts w:hAnsi="Times New Roman"/>
                <w:b/>
                <w:bCs/>
                <w:sz w:val="24"/>
                <w:szCs w:val="21"/>
              </w:rPr>
            </w:pPr>
            <w:r>
              <w:rPr>
                <w:rFonts w:hint="eastAsia" w:hAnsi="Times New Roman"/>
                <w:b/>
                <w:bCs/>
                <w:sz w:val="24"/>
                <w:szCs w:val="21"/>
              </w:rPr>
              <w:t>图2-</w:t>
            </w:r>
            <w:r>
              <w:rPr>
                <w:rFonts w:hAnsi="Times New Roman"/>
                <w:b/>
                <w:bCs/>
                <w:sz w:val="24"/>
                <w:szCs w:val="21"/>
              </w:rPr>
              <w:t>4</w:t>
            </w:r>
            <w:r>
              <w:rPr>
                <w:rFonts w:hint="eastAsia" w:hAnsi="Times New Roman"/>
                <w:b/>
                <w:bCs/>
                <w:sz w:val="24"/>
                <w:szCs w:val="21"/>
              </w:rPr>
              <w:t xml:space="preserve">  供热工程工艺流程及产污节点</w:t>
            </w:r>
          </w:p>
          <w:p>
            <w:pPr>
              <w:pStyle w:val="61"/>
              <w:spacing w:before="120" w:beforeLines="50"/>
              <w:ind w:left="0" w:right="0" w:firstLineChars="200"/>
              <w:jc w:val="both"/>
              <w:rPr>
                <w:rFonts w:hAnsi="Times New Roman"/>
                <w:b/>
                <w:bCs/>
                <w:sz w:val="24"/>
                <w:szCs w:val="21"/>
              </w:rPr>
            </w:pPr>
            <w:r>
              <w:rPr>
                <w:rFonts w:hint="eastAsia" w:hAnsi="Times New Roman"/>
                <w:b/>
                <w:bCs/>
                <w:sz w:val="24"/>
                <w:szCs w:val="21"/>
              </w:rPr>
              <w:t>工艺流程简述：</w:t>
            </w:r>
          </w:p>
          <w:p>
            <w:pPr>
              <w:pStyle w:val="63"/>
              <w:snapToGrid/>
              <w:ind w:firstLine="482"/>
              <w:jc w:val="both"/>
              <w:rPr>
                <w:lang w:val="en-US"/>
              </w:rPr>
            </w:pPr>
            <w:r>
              <w:rPr>
                <w:rFonts w:hint="eastAsia"/>
                <w:sz w:val="24"/>
                <w:szCs w:val="21"/>
              </w:rPr>
              <w:t>现有项目生产过程中产生的砂光木粉、废弃木柴、树皮及检验不合格的不可利用的产品收集后作为导热油锅炉燃料，</w:t>
            </w:r>
            <w:r>
              <w:rPr>
                <w:rFonts w:hint="eastAsia" w:cs="宋体"/>
                <w:kern w:val="0"/>
                <w:sz w:val="24"/>
                <w:lang w:bidi="ar"/>
              </w:rPr>
              <w:t>在炉内燃烧释放热量加热炉内的导热油，通过</w:t>
            </w:r>
            <w:r>
              <w:rPr>
                <w:rFonts w:cs="Arial"/>
                <w:sz w:val="24"/>
                <w:szCs w:val="16"/>
                <w:shd w:val="clear" w:color="auto" w:fill="FFFFFF"/>
              </w:rPr>
              <w:t>利用循环油泵强制液相循环，将热能输送给</w:t>
            </w:r>
            <w:r>
              <w:rPr>
                <w:rFonts w:hint="eastAsia" w:cs="Arial"/>
                <w:sz w:val="24"/>
                <w:szCs w:val="16"/>
                <w:shd w:val="clear" w:color="auto" w:fill="FFFFFF"/>
              </w:rPr>
              <w:t>生产工序</w:t>
            </w:r>
            <w:r>
              <w:rPr>
                <w:rFonts w:cs="Arial"/>
                <w:sz w:val="24"/>
                <w:szCs w:val="16"/>
                <w:shd w:val="clear" w:color="auto" w:fill="FFFFFF"/>
              </w:rPr>
              <w:t>用热设备后</w:t>
            </w:r>
            <w:r>
              <w:rPr>
                <w:rFonts w:hint="eastAsia" w:cs="Arial"/>
                <w:sz w:val="24"/>
                <w:szCs w:val="16"/>
                <w:shd w:val="clear" w:color="auto" w:fill="FFFFFF"/>
              </w:rPr>
              <w:t>再返回加热炉重新加热。</w:t>
            </w:r>
          </w:p>
          <w:p>
            <w:pPr>
              <w:widowControl/>
              <w:adjustRightInd w:val="0"/>
              <w:spacing w:line="360" w:lineRule="auto"/>
              <w:ind w:firstLine="480" w:firstLineChars="200"/>
              <w:rPr>
                <w:rFonts w:cs="宋体"/>
                <w:kern w:val="0"/>
                <w:sz w:val="24"/>
                <w:lang w:bidi="ar"/>
              </w:rPr>
            </w:pPr>
            <w:r>
              <w:rPr>
                <w:rFonts w:hint="eastAsia" w:cs="宋体"/>
                <w:kern w:val="0"/>
                <w:sz w:val="24"/>
                <w:lang w:bidi="ar"/>
              </w:rPr>
              <w:t>燃料燃烧过程中产生的废气经“多管旋风除尘器</w:t>
            </w:r>
            <w:r>
              <w:rPr>
                <w:rFonts w:cs="宋体"/>
                <w:kern w:val="0"/>
                <w:sz w:val="24"/>
                <w:lang w:bidi="ar"/>
              </w:rPr>
              <w:t>+</w:t>
            </w:r>
            <w:r>
              <w:rPr>
                <w:rFonts w:hint="eastAsia" w:cs="宋体"/>
                <w:kern w:val="0"/>
                <w:sz w:val="24"/>
                <w:lang w:bidi="ar"/>
              </w:rPr>
              <w:t>水膜除尘器”处理后通过3</w:t>
            </w:r>
            <w:r>
              <w:rPr>
                <w:rFonts w:cs="宋体"/>
                <w:kern w:val="0"/>
                <w:sz w:val="24"/>
                <w:lang w:bidi="ar"/>
              </w:rPr>
              <w:t>5m</w:t>
            </w:r>
            <w:r>
              <w:rPr>
                <w:rFonts w:hint="eastAsia" w:cs="宋体"/>
                <w:kern w:val="0"/>
                <w:sz w:val="24"/>
                <w:lang w:bidi="ar"/>
              </w:rPr>
              <w:t>高排气筒达标排放，除尘灰、除尘渣及沉淀池污泥收集至一般固废暂存区，委托环卫部门进行清运处置；水膜除尘器废水排入沉淀池沉淀后循环使用，不外排。</w:t>
            </w:r>
          </w:p>
          <w:p>
            <w:pPr>
              <w:widowControl/>
              <w:adjustRightInd w:val="0"/>
              <w:spacing w:line="360" w:lineRule="auto"/>
              <w:ind w:firstLine="480" w:firstLineChars="200"/>
              <w:rPr>
                <w:sz w:val="24"/>
              </w:rPr>
            </w:pPr>
            <w:r>
              <w:rPr>
                <w:rFonts w:hint="eastAsia" w:cs="宋体"/>
                <w:kern w:val="0"/>
                <w:sz w:val="24"/>
                <w:lang w:bidi="ar"/>
              </w:rPr>
              <w:t>燃料燃烧产生的炉渣收集至一般固废暂存区，委托环卫部门进行清运处置；导热油锅炉内定期更换的废导热油，统一收集后暂存于危险废物暂存间，委托寻甸同磊再生资源回收有限公司清运处置。</w:t>
            </w:r>
          </w:p>
          <w:p>
            <w:pPr>
              <w:pStyle w:val="61"/>
              <w:ind w:firstLine="480" w:firstLineChars="200"/>
              <w:jc w:val="both"/>
              <w:rPr>
                <w:rFonts w:hAnsi="Times New Roman"/>
                <w:bCs/>
                <w:sz w:val="24"/>
                <w:szCs w:val="21"/>
              </w:rPr>
            </w:pPr>
            <w:r>
              <w:rPr>
                <w:rFonts w:hint="eastAsia" w:hAnsi="Times New Roman"/>
                <w:sz w:val="24"/>
                <w:szCs w:val="21"/>
              </w:rPr>
              <w:t>本次技改后，刨花板生产线工艺流程及产污节点见下</w:t>
            </w:r>
            <w:r>
              <w:rPr>
                <w:rFonts w:hAnsi="Times New Roman"/>
                <w:bCs/>
                <w:sz w:val="24"/>
                <w:szCs w:val="21"/>
              </w:rPr>
              <w:t>图</w:t>
            </w:r>
            <w:r>
              <w:rPr>
                <w:rFonts w:hint="eastAsia" w:hAnsi="Times New Roman"/>
                <w:bCs/>
                <w:sz w:val="24"/>
                <w:szCs w:val="21"/>
              </w:rPr>
              <w:t>2-</w:t>
            </w:r>
            <w:r>
              <w:rPr>
                <w:rFonts w:hAnsi="Times New Roman"/>
                <w:bCs/>
                <w:sz w:val="24"/>
                <w:szCs w:val="21"/>
              </w:rPr>
              <w:t>5。</w:t>
            </w:r>
          </w:p>
          <w:p>
            <w:pPr>
              <w:pStyle w:val="61"/>
              <w:ind w:firstLine="480" w:firstLineChars="200"/>
              <w:jc w:val="both"/>
              <w:rPr>
                <w:rFonts w:hAnsi="Times New Roman"/>
                <w:bCs/>
                <w:sz w:val="24"/>
                <w:szCs w:val="21"/>
              </w:rPr>
            </w:pPr>
          </w:p>
          <w:p>
            <w:pPr>
              <w:pStyle w:val="61"/>
              <w:ind w:firstLine="480" w:firstLineChars="200"/>
              <w:jc w:val="both"/>
              <w:rPr>
                <w:rFonts w:hAnsi="Times New Roman"/>
                <w:bCs/>
                <w:sz w:val="24"/>
                <w:szCs w:val="21"/>
              </w:rPr>
            </w:pPr>
          </w:p>
          <w:p>
            <w:pPr>
              <w:pStyle w:val="62"/>
              <w:spacing w:before="120" w:beforeLines="50" w:line="360" w:lineRule="auto"/>
              <w:ind w:left="0" w:firstLine="0"/>
              <w:jc w:val="center"/>
              <w:rPr>
                <w:b/>
                <w:bCs/>
                <w:szCs w:val="21"/>
              </w:rPr>
            </w:pPr>
            <w:r>
              <w:object>
                <v:shape id="_x0000_i1029" o:spt="75" type="#_x0000_t75" style="height:538.7pt;width:408.9pt;" o:ole="t" filled="f" o:preferrelative="t" stroked="f" coordsize="21600,21600">
                  <v:path/>
                  <v:fill on="f" focussize="0,0"/>
                  <v:stroke on="f" joinstyle="miter"/>
                  <v:imagedata r:id="rId29" o:title=""/>
                  <o:lock v:ext="edit" aspectratio="t"/>
                  <w10:wrap type="none"/>
                  <w10:anchorlock/>
                </v:shape>
                <o:OLEObject Type="Embed" ProgID="Visio.Drawing.15" ShapeID="_x0000_i1029" DrawAspect="Content" ObjectID="_1468075729" r:id="rId28">
                  <o:LockedField>false</o:LockedField>
                </o:OLEObject>
              </w:object>
            </w:r>
            <w:r>
              <w:rPr>
                <w:b/>
                <w:bCs/>
                <w:szCs w:val="21"/>
              </w:rPr>
              <w:t>图</w:t>
            </w:r>
            <w:r>
              <w:rPr>
                <w:rFonts w:hint="eastAsia"/>
                <w:b/>
                <w:bCs/>
                <w:szCs w:val="21"/>
              </w:rPr>
              <w:t>2</w:t>
            </w:r>
            <w:r>
              <w:rPr>
                <w:b/>
                <w:bCs/>
                <w:szCs w:val="21"/>
              </w:rPr>
              <w:t xml:space="preserve">-5  </w:t>
            </w:r>
            <w:r>
              <w:rPr>
                <w:rFonts w:hint="eastAsia"/>
                <w:b/>
                <w:bCs/>
                <w:szCs w:val="21"/>
              </w:rPr>
              <w:t>本次技改后刨花板生产线</w:t>
            </w:r>
            <w:r>
              <w:rPr>
                <w:b/>
                <w:bCs/>
                <w:szCs w:val="21"/>
              </w:rPr>
              <w:t>工艺流程及产污节点图</w:t>
            </w:r>
          </w:p>
          <w:p>
            <w:pPr>
              <w:pStyle w:val="62"/>
              <w:adjustRightInd w:val="0"/>
              <w:spacing w:line="360" w:lineRule="auto"/>
              <w:ind w:left="0" w:right="0" w:firstLine="480" w:firstLineChars="200"/>
              <w:rPr>
                <w:szCs w:val="21"/>
              </w:rPr>
            </w:pPr>
            <w:r>
              <w:rPr>
                <w:rFonts w:hint="eastAsia"/>
                <w:szCs w:val="21"/>
              </w:rPr>
              <w:t>（2）产污环节</w:t>
            </w:r>
          </w:p>
          <w:p>
            <w:pPr>
              <w:adjustRightInd w:val="0"/>
              <w:spacing w:line="360" w:lineRule="auto"/>
              <w:ind w:firstLine="480" w:firstLineChars="200"/>
              <w:rPr>
                <w:b/>
                <w:bCs/>
                <w:sz w:val="24"/>
                <w:szCs w:val="21"/>
              </w:rPr>
            </w:pPr>
            <w:r>
              <w:rPr>
                <w:rFonts w:hint="eastAsia"/>
                <w:sz w:val="24"/>
                <w:szCs w:val="21"/>
              </w:rPr>
              <w:t>本项目</w:t>
            </w:r>
            <w:r>
              <w:rPr>
                <w:sz w:val="24"/>
                <w:szCs w:val="21"/>
              </w:rPr>
              <w:t>产污环节如下</w:t>
            </w:r>
            <w:r>
              <w:rPr>
                <w:rFonts w:hint="eastAsia"/>
                <w:sz w:val="24"/>
                <w:szCs w:val="21"/>
              </w:rPr>
              <w:t>表</w:t>
            </w:r>
            <w:r>
              <w:rPr>
                <w:sz w:val="24"/>
                <w:szCs w:val="21"/>
              </w:rPr>
              <w:t>所示。</w:t>
            </w:r>
          </w:p>
          <w:p>
            <w:pPr>
              <w:widowControl/>
              <w:adjustRightInd w:val="0"/>
              <w:spacing w:before="120" w:beforeLines="50" w:line="360" w:lineRule="auto"/>
              <w:jc w:val="center"/>
              <w:rPr>
                <w:rFonts w:cs="宋体"/>
                <w:b/>
                <w:bCs/>
                <w:kern w:val="0"/>
                <w:sz w:val="24"/>
                <w:szCs w:val="20"/>
                <w:lang w:bidi="ar"/>
              </w:rPr>
            </w:pPr>
          </w:p>
          <w:p>
            <w:pPr>
              <w:widowControl/>
              <w:adjustRightInd w:val="0"/>
              <w:spacing w:before="120" w:beforeLines="50" w:line="360" w:lineRule="auto"/>
              <w:jc w:val="center"/>
              <w:rPr>
                <w:rFonts w:cs="宋体"/>
                <w:b/>
                <w:bCs/>
                <w:kern w:val="0"/>
                <w:sz w:val="24"/>
                <w:szCs w:val="20"/>
                <w:lang w:bidi="ar"/>
              </w:rPr>
            </w:pPr>
            <w:r>
              <w:rPr>
                <w:rFonts w:cs="宋体"/>
                <w:b/>
                <w:bCs/>
                <w:kern w:val="0"/>
                <w:sz w:val="24"/>
                <w:szCs w:val="20"/>
                <w:lang w:bidi="ar"/>
              </w:rPr>
              <w:t xml:space="preserve">表2-10  </w:t>
            </w:r>
            <w:r>
              <w:rPr>
                <w:rFonts w:hint="eastAsia" w:cs="宋体"/>
                <w:b/>
                <w:bCs/>
                <w:kern w:val="0"/>
                <w:sz w:val="24"/>
                <w:szCs w:val="20"/>
                <w:lang w:bidi="ar"/>
              </w:rPr>
              <w:t>本项目</w:t>
            </w:r>
            <w:r>
              <w:rPr>
                <w:rFonts w:cs="宋体"/>
                <w:b/>
                <w:bCs/>
                <w:kern w:val="0"/>
                <w:sz w:val="24"/>
                <w:szCs w:val="20"/>
                <w:lang w:bidi="ar"/>
              </w:rPr>
              <w:t>污染物产排环节一览表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307"/>
              <w:gridCol w:w="1306"/>
              <w:gridCol w:w="1900"/>
              <w:gridCol w:w="3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pStyle w:val="81"/>
                    <w:adjustRightInd w:val="0"/>
                    <w:spacing w:line="240" w:lineRule="auto"/>
                    <w:rPr>
                      <w:rFonts w:ascii="Times New Roman" w:hAnsi="Times New Roman"/>
                      <w:b/>
                      <w:bCs/>
                      <w:color w:val="auto"/>
                    </w:rPr>
                  </w:pPr>
                  <w:r>
                    <w:rPr>
                      <w:rFonts w:ascii="Times New Roman" w:hAnsi="Times New Roman" w:cs="Times New Roman"/>
                      <w:b/>
                      <w:bCs/>
                      <w:color w:val="auto"/>
                    </w:rPr>
                    <w:t>污染</w:t>
                  </w:r>
                  <w:r>
                    <w:rPr>
                      <w:rFonts w:hint="eastAsia" w:ascii="Times New Roman" w:hAnsi="Times New Roman" w:cs="Times New Roman"/>
                      <w:b/>
                      <w:bCs/>
                      <w:color w:val="auto"/>
                    </w:rPr>
                    <w:t>类别</w:t>
                  </w:r>
                </w:p>
              </w:tc>
              <w:tc>
                <w:tcPr>
                  <w:tcW w:w="1307" w:type="dxa"/>
                  <w:vAlign w:val="center"/>
                </w:tcPr>
                <w:p>
                  <w:pPr>
                    <w:pStyle w:val="81"/>
                    <w:adjustRightInd w:val="0"/>
                    <w:spacing w:line="240" w:lineRule="auto"/>
                    <w:rPr>
                      <w:rFonts w:ascii="Times New Roman" w:hAnsi="Times New Roman" w:cs="Times New Roman"/>
                      <w:b/>
                      <w:bCs/>
                      <w:color w:val="auto"/>
                    </w:rPr>
                  </w:pPr>
                  <w:r>
                    <w:rPr>
                      <w:rFonts w:hint="eastAsia" w:ascii="Times New Roman" w:hAnsi="Times New Roman" w:cs="Times New Roman"/>
                      <w:b/>
                      <w:bCs/>
                      <w:color w:val="auto"/>
                    </w:rPr>
                    <w:t>污染源名称</w:t>
                  </w:r>
                </w:p>
              </w:tc>
              <w:tc>
                <w:tcPr>
                  <w:tcW w:w="1306" w:type="dxa"/>
                  <w:vAlign w:val="center"/>
                </w:tcPr>
                <w:p>
                  <w:pPr>
                    <w:pStyle w:val="81"/>
                    <w:adjustRightInd w:val="0"/>
                    <w:spacing w:line="240" w:lineRule="auto"/>
                    <w:rPr>
                      <w:rFonts w:ascii="Times New Roman" w:hAnsi="Times New Roman" w:cs="Times New Roman"/>
                      <w:b/>
                      <w:bCs/>
                      <w:color w:val="auto"/>
                    </w:rPr>
                  </w:pPr>
                  <w:r>
                    <w:rPr>
                      <w:rFonts w:hint="eastAsia" w:ascii="Times New Roman" w:hAnsi="Times New Roman" w:cs="Times New Roman"/>
                      <w:b/>
                      <w:bCs/>
                      <w:color w:val="auto"/>
                    </w:rPr>
                    <w:t>产生工序</w:t>
                  </w:r>
                </w:p>
              </w:tc>
              <w:tc>
                <w:tcPr>
                  <w:tcW w:w="1900" w:type="dxa"/>
                  <w:vAlign w:val="center"/>
                </w:tcPr>
                <w:p>
                  <w:pPr>
                    <w:pStyle w:val="81"/>
                    <w:adjustRightInd w:val="0"/>
                    <w:spacing w:line="240" w:lineRule="auto"/>
                    <w:rPr>
                      <w:rFonts w:ascii="Times New Roman" w:hAnsi="Times New Roman"/>
                      <w:b/>
                      <w:bCs/>
                      <w:color w:val="auto"/>
                    </w:rPr>
                  </w:pPr>
                  <w:r>
                    <w:rPr>
                      <w:rFonts w:hint="eastAsia" w:ascii="Times New Roman" w:hAnsi="Times New Roman" w:cs="Times New Roman"/>
                      <w:b/>
                      <w:bCs/>
                      <w:color w:val="auto"/>
                    </w:rPr>
                    <w:t>主要污染因子</w:t>
                  </w:r>
                </w:p>
              </w:tc>
              <w:tc>
                <w:tcPr>
                  <w:tcW w:w="3089" w:type="dxa"/>
                  <w:vAlign w:val="center"/>
                </w:tcPr>
                <w:p>
                  <w:pPr>
                    <w:pStyle w:val="81"/>
                    <w:adjustRightInd w:val="0"/>
                    <w:spacing w:line="240" w:lineRule="auto"/>
                    <w:rPr>
                      <w:rFonts w:ascii="Times New Roman" w:hAnsi="Times New Roman"/>
                      <w:b/>
                      <w:bCs/>
                      <w:color w:val="auto"/>
                    </w:rPr>
                  </w:pPr>
                  <w:r>
                    <w:rPr>
                      <w:rFonts w:hint="eastAsia" w:ascii="Times New Roman" w:hAnsi="Times New Roman" w:cs="Times New Roman"/>
                      <w:b/>
                      <w:bCs/>
                      <w:color w:val="auto"/>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pStyle w:val="81"/>
                    <w:adjustRightInd w:val="0"/>
                    <w:spacing w:line="240" w:lineRule="auto"/>
                    <w:rPr>
                      <w:rFonts w:ascii="Times New Roman" w:hAnsi="Times New Roman"/>
                      <w:color w:val="auto"/>
                    </w:rPr>
                  </w:pPr>
                  <w:r>
                    <w:rPr>
                      <w:rFonts w:ascii="Times New Roman" w:hAnsi="Times New Roman" w:cs="Times New Roman"/>
                      <w:color w:val="auto"/>
                    </w:rPr>
                    <w:t>废气</w:t>
                  </w:r>
                </w:p>
              </w:tc>
              <w:tc>
                <w:tcPr>
                  <w:tcW w:w="1307" w:type="dxa"/>
                  <w:vAlign w:val="center"/>
                </w:tcPr>
                <w:p>
                  <w:pPr>
                    <w:pStyle w:val="81"/>
                    <w:adjustRightInd w:val="0"/>
                    <w:spacing w:line="240" w:lineRule="auto"/>
                    <w:rPr>
                      <w:rFonts w:ascii="Times New Roman" w:hAnsi="Times New Roman" w:cs="Times New Roman"/>
                      <w:color w:val="auto"/>
                    </w:rPr>
                  </w:pPr>
                  <w:r>
                    <w:rPr>
                      <w:rFonts w:hint="eastAsia" w:ascii="Times New Roman" w:hAnsi="Times New Roman" w:cs="Times New Roman"/>
                      <w:color w:val="auto"/>
                      <w:highlight w:val="green"/>
                    </w:rPr>
                    <w:t>5t/h导热油锅炉废</w:t>
                  </w:r>
                  <w:r>
                    <w:rPr>
                      <w:rFonts w:hint="eastAsia" w:ascii="Times New Roman" w:hAnsi="Times New Roman" w:cs="Times New Roman"/>
                      <w:color w:val="auto"/>
                    </w:rPr>
                    <w:t>气</w:t>
                  </w:r>
                </w:p>
              </w:tc>
              <w:tc>
                <w:tcPr>
                  <w:tcW w:w="1306" w:type="dxa"/>
                  <w:vAlign w:val="center"/>
                </w:tcPr>
                <w:p>
                  <w:pPr>
                    <w:pStyle w:val="81"/>
                    <w:adjustRightInd w:val="0"/>
                    <w:spacing w:line="240" w:lineRule="auto"/>
                    <w:rPr>
                      <w:rFonts w:ascii="Times New Roman" w:hAnsi="Times New Roman" w:cs="Times New Roman"/>
                      <w:color w:val="auto"/>
                    </w:rPr>
                  </w:pPr>
                  <w:r>
                    <w:rPr>
                      <w:rFonts w:hint="eastAsia" w:ascii="Times New Roman" w:hAnsi="Times New Roman" w:cs="Times New Roman"/>
                      <w:color w:val="auto"/>
                    </w:rPr>
                    <w:t>导热油锅炉燃料燃烧</w:t>
                  </w:r>
                </w:p>
              </w:tc>
              <w:tc>
                <w:tcPr>
                  <w:tcW w:w="1900" w:type="dxa"/>
                  <w:vAlign w:val="center"/>
                </w:tcPr>
                <w:p>
                  <w:pPr>
                    <w:pStyle w:val="81"/>
                    <w:adjustRightInd w:val="0"/>
                    <w:spacing w:line="240" w:lineRule="auto"/>
                    <w:rPr>
                      <w:rFonts w:ascii="Times New Roman" w:hAnsi="Times New Roman"/>
                      <w:color w:val="auto"/>
                    </w:rPr>
                  </w:pPr>
                  <w:r>
                    <w:rPr>
                      <w:rFonts w:hint="eastAsia" w:ascii="Times New Roman" w:hAnsi="Times New Roman" w:cs="Times New Roman"/>
                      <w:color w:val="auto"/>
                    </w:rPr>
                    <w:t>烟尘、SO</w:t>
                  </w:r>
                  <w:r>
                    <w:rPr>
                      <w:rFonts w:hint="eastAsia" w:ascii="Times New Roman" w:hAnsi="Times New Roman" w:cs="Times New Roman"/>
                      <w:color w:val="auto"/>
                      <w:vertAlign w:val="subscript"/>
                    </w:rPr>
                    <w:t>2</w:t>
                  </w:r>
                  <w:r>
                    <w:rPr>
                      <w:rFonts w:hint="eastAsia" w:ascii="Times New Roman" w:hAnsi="Times New Roman" w:cs="Times New Roman"/>
                      <w:color w:val="auto"/>
                    </w:rPr>
                    <w:t>、NO</w:t>
                  </w:r>
                  <w:r>
                    <w:rPr>
                      <w:rFonts w:hint="eastAsia" w:ascii="Times New Roman" w:hAnsi="Times New Roman" w:cs="Times New Roman"/>
                      <w:color w:val="auto"/>
                      <w:vertAlign w:val="subscript"/>
                    </w:rPr>
                    <w:t>x</w:t>
                  </w:r>
                </w:p>
              </w:tc>
              <w:tc>
                <w:tcPr>
                  <w:tcW w:w="3089" w:type="dxa"/>
                  <w:vAlign w:val="center"/>
                </w:tcPr>
                <w:p>
                  <w:pPr>
                    <w:pStyle w:val="81"/>
                    <w:adjustRightInd w:val="0"/>
                    <w:spacing w:line="240" w:lineRule="auto"/>
                    <w:rPr>
                      <w:rFonts w:ascii="Times New Roman" w:hAnsi="Times New Roman"/>
                      <w:color w:val="auto"/>
                    </w:rPr>
                  </w:pPr>
                  <w:r>
                    <w:rPr>
                      <w:rFonts w:hint="eastAsia" w:ascii="Times New Roman" w:hAnsi="Times New Roman"/>
                      <w:color w:val="auto"/>
                    </w:rPr>
                    <w:t>经“多管旋风除尘+水膜除尘”处理后通过35m高排气筒排放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pStyle w:val="81"/>
                    <w:adjustRightInd w:val="0"/>
                    <w:spacing w:line="240" w:lineRule="auto"/>
                    <w:rPr>
                      <w:rFonts w:ascii="Times New Roman" w:hAnsi="Times New Roman"/>
                      <w:color w:val="auto"/>
                    </w:rPr>
                  </w:pPr>
                  <w:r>
                    <w:rPr>
                      <w:rFonts w:ascii="Times New Roman" w:hAnsi="Times New Roman" w:cs="Times New Roman"/>
                      <w:color w:val="auto"/>
                    </w:rPr>
                    <w:t>废水</w:t>
                  </w:r>
                </w:p>
              </w:tc>
              <w:tc>
                <w:tcPr>
                  <w:tcW w:w="1307" w:type="dxa"/>
                  <w:vAlign w:val="center"/>
                </w:tcPr>
                <w:p>
                  <w:pPr>
                    <w:pStyle w:val="81"/>
                    <w:adjustRightInd w:val="0"/>
                    <w:spacing w:line="240" w:lineRule="auto"/>
                    <w:rPr>
                      <w:rFonts w:ascii="Times New Roman" w:hAnsi="Times New Roman" w:cs="Times New Roman"/>
                      <w:color w:val="auto"/>
                    </w:rPr>
                  </w:pPr>
                  <w:r>
                    <w:rPr>
                      <w:rFonts w:hint="eastAsia" w:ascii="Times New Roman" w:hAnsi="Times New Roman" w:cs="Times New Roman"/>
                      <w:color w:val="auto"/>
                    </w:rPr>
                    <w:t>水膜除尘废水</w:t>
                  </w:r>
                </w:p>
              </w:tc>
              <w:tc>
                <w:tcPr>
                  <w:tcW w:w="1306" w:type="dxa"/>
                  <w:vAlign w:val="center"/>
                </w:tcPr>
                <w:p>
                  <w:pPr>
                    <w:pStyle w:val="81"/>
                    <w:adjustRightInd w:val="0"/>
                    <w:spacing w:line="240" w:lineRule="auto"/>
                    <w:rPr>
                      <w:rFonts w:ascii="Times New Roman" w:hAnsi="Times New Roman" w:cs="Times New Roman"/>
                      <w:color w:val="auto"/>
                    </w:rPr>
                  </w:pPr>
                  <w:r>
                    <w:rPr>
                      <w:rFonts w:hint="eastAsia" w:ascii="Times New Roman" w:hAnsi="Times New Roman" w:cs="Times New Roman"/>
                      <w:color w:val="auto"/>
                    </w:rPr>
                    <w:t>导热油锅炉废气处理水膜除尘系统</w:t>
                  </w:r>
                </w:p>
              </w:tc>
              <w:tc>
                <w:tcPr>
                  <w:tcW w:w="1900" w:type="dxa"/>
                  <w:vAlign w:val="center"/>
                </w:tcPr>
                <w:p>
                  <w:pPr>
                    <w:pStyle w:val="81"/>
                    <w:adjustRightInd w:val="0"/>
                    <w:spacing w:line="240" w:lineRule="auto"/>
                    <w:rPr>
                      <w:rFonts w:ascii="Times New Roman" w:hAnsi="Times New Roman"/>
                      <w:color w:val="auto"/>
                    </w:rPr>
                  </w:pPr>
                  <w:r>
                    <w:rPr>
                      <w:rFonts w:ascii="Times New Roman" w:hAnsi="Times New Roman" w:cs="Times New Roman"/>
                      <w:color w:val="auto"/>
                    </w:rPr>
                    <w:t>SS</w:t>
                  </w:r>
                </w:p>
              </w:tc>
              <w:tc>
                <w:tcPr>
                  <w:tcW w:w="3089" w:type="dxa"/>
                  <w:vAlign w:val="center"/>
                </w:tcPr>
                <w:p>
                  <w:pPr>
                    <w:pStyle w:val="81"/>
                    <w:adjustRightInd w:val="0"/>
                    <w:spacing w:line="240" w:lineRule="auto"/>
                    <w:rPr>
                      <w:rFonts w:ascii="Times New Roman" w:hAnsi="Times New Roman"/>
                      <w:color w:val="auto"/>
                    </w:rPr>
                  </w:pPr>
                  <w:r>
                    <w:rPr>
                      <w:rFonts w:hint="eastAsia" w:ascii="Times New Roman" w:hAnsi="Times New Roman"/>
                      <w:color w:val="auto"/>
                    </w:rPr>
                    <w:t>经沉淀池沉淀后循环使用，不外排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pStyle w:val="81"/>
                    <w:adjustRightInd w:val="0"/>
                    <w:spacing w:line="240" w:lineRule="auto"/>
                    <w:rPr>
                      <w:rFonts w:ascii="Times New Roman" w:hAnsi="Times New Roman"/>
                      <w:color w:val="auto"/>
                    </w:rPr>
                  </w:pPr>
                  <w:r>
                    <w:rPr>
                      <w:rFonts w:ascii="Times New Roman" w:hAnsi="Times New Roman" w:cs="Times New Roman"/>
                      <w:color w:val="auto"/>
                    </w:rPr>
                    <w:t>噪声</w:t>
                  </w:r>
                </w:p>
              </w:tc>
              <w:tc>
                <w:tcPr>
                  <w:tcW w:w="1307" w:type="dxa"/>
                  <w:vAlign w:val="center"/>
                </w:tcPr>
                <w:p>
                  <w:pPr>
                    <w:widowControl/>
                    <w:adjustRightInd w:val="0"/>
                    <w:jc w:val="center"/>
                    <w:textAlignment w:val="center"/>
                    <w:rPr>
                      <w:szCs w:val="21"/>
                    </w:rPr>
                  </w:pPr>
                  <w:r>
                    <w:rPr>
                      <w:rFonts w:hint="eastAsia"/>
                      <w:szCs w:val="21"/>
                    </w:rPr>
                    <w:t>设备运行噪声</w:t>
                  </w:r>
                </w:p>
              </w:tc>
              <w:tc>
                <w:tcPr>
                  <w:tcW w:w="1306" w:type="dxa"/>
                  <w:vAlign w:val="center"/>
                </w:tcPr>
                <w:p>
                  <w:pPr>
                    <w:widowControl/>
                    <w:adjustRightInd w:val="0"/>
                    <w:jc w:val="center"/>
                    <w:textAlignment w:val="center"/>
                    <w:rPr>
                      <w:szCs w:val="21"/>
                    </w:rPr>
                  </w:pPr>
                  <w:r>
                    <w:rPr>
                      <w:rFonts w:hint="eastAsia"/>
                      <w:szCs w:val="21"/>
                    </w:rPr>
                    <w:t>设备运行</w:t>
                  </w:r>
                </w:p>
              </w:tc>
              <w:tc>
                <w:tcPr>
                  <w:tcW w:w="1900" w:type="dxa"/>
                  <w:vAlign w:val="center"/>
                </w:tcPr>
                <w:p>
                  <w:pPr>
                    <w:widowControl/>
                    <w:adjustRightInd w:val="0"/>
                    <w:jc w:val="center"/>
                    <w:textAlignment w:val="center"/>
                    <w:rPr>
                      <w:szCs w:val="21"/>
                    </w:rPr>
                  </w:pPr>
                  <w:r>
                    <w:rPr>
                      <w:rFonts w:hint="eastAsia"/>
                      <w:szCs w:val="21"/>
                    </w:rPr>
                    <w:t>机械噪声</w:t>
                  </w:r>
                </w:p>
              </w:tc>
              <w:tc>
                <w:tcPr>
                  <w:tcW w:w="3089" w:type="dxa"/>
                  <w:vAlign w:val="center"/>
                </w:tcPr>
                <w:p>
                  <w:pPr>
                    <w:pStyle w:val="81"/>
                    <w:adjustRightInd w:val="0"/>
                    <w:spacing w:line="240" w:lineRule="auto"/>
                    <w:rPr>
                      <w:rFonts w:ascii="Times New Roman" w:hAnsi="Times New Roman"/>
                      <w:color w:val="auto"/>
                    </w:rPr>
                  </w:pPr>
                  <w:r>
                    <w:rPr>
                      <w:rFonts w:hint="eastAsia" w:ascii="Times New Roman" w:hAnsi="Times New Roman" w:cs="Times New Roman"/>
                      <w:color w:val="auto"/>
                    </w:rPr>
                    <w:t>选用低噪声设备，隔声、减振，设置在厂房内，加强设备维护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Merge w:val="restart"/>
                  <w:vAlign w:val="center"/>
                </w:tcPr>
                <w:p>
                  <w:pPr>
                    <w:pStyle w:val="81"/>
                    <w:adjustRightInd w:val="0"/>
                    <w:spacing w:line="240" w:lineRule="auto"/>
                    <w:rPr>
                      <w:rFonts w:ascii="Times New Roman" w:hAnsi="Times New Roman"/>
                      <w:color w:val="auto"/>
                    </w:rPr>
                  </w:pPr>
                  <w:r>
                    <w:rPr>
                      <w:rFonts w:hint="eastAsia" w:ascii="Times New Roman" w:hAnsi="Times New Roman" w:cs="Times New Roman"/>
                      <w:color w:val="auto"/>
                    </w:rPr>
                    <w:t>固废</w:t>
                  </w:r>
                </w:p>
              </w:tc>
              <w:tc>
                <w:tcPr>
                  <w:tcW w:w="1307" w:type="dxa"/>
                  <w:vAlign w:val="center"/>
                </w:tcPr>
                <w:p>
                  <w:pPr>
                    <w:widowControl/>
                    <w:adjustRightInd w:val="0"/>
                    <w:jc w:val="center"/>
                    <w:textAlignment w:val="center"/>
                    <w:rPr>
                      <w:szCs w:val="21"/>
                    </w:rPr>
                  </w:pPr>
                  <w:r>
                    <w:rPr>
                      <w:rFonts w:hint="eastAsia"/>
                      <w:szCs w:val="21"/>
                    </w:rPr>
                    <w:t>锅炉炉渣</w:t>
                  </w:r>
                </w:p>
              </w:tc>
              <w:tc>
                <w:tcPr>
                  <w:tcW w:w="1306" w:type="dxa"/>
                  <w:vAlign w:val="center"/>
                </w:tcPr>
                <w:p>
                  <w:pPr>
                    <w:widowControl/>
                    <w:adjustRightInd w:val="0"/>
                    <w:jc w:val="center"/>
                    <w:textAlignment w:val="center"/>
                    <w:rPr>
                      <w:szCs w:val="21"/>
                    </w:rPr>
                  </w:pPr>
                  <w:r>
                    <w:rPr>
                      <w:rFonts w:hint="eastAsia"/>
                      <w:szCs w:val="21"/>
                    </w:rPr>
                    <w:t>5t/h导热油锅炉</w:t>
                  </w:r>
                </w:p>
              </w:tc>
              <w:tc>
                <w:tcPr>
                  <w:tcW w:w="1900" w:type="dxa"/>
                  <w:vAlign w:val="center"/>
                </w:tcPr>
                <w:p>
                  <w:pPr>
                    <w:widowControl/>
                    <w:adjustRightInd w:val="0"/>
                    <w:jc w:val="center"/>
                    <w:textAlignment w:val="center"/>
                    <w:rPr>
                      <w:szCs w:val="21"/>
                    </w:rPr>
                  </w:pPr>
                  <w:r>
                    <w:rPr>
                      <w:rFonts w:hint="eastAsia"/>
                      <w:szCs w:val="21"/>
                    </w:rPr>
                    <w:t>炉渣</w:t>
                  </w:r>
                </w:p>
              </w:tc>
              <w:tc>
                <w:tcPr>
                  <w:tcW w:w="3089" w:type="dxa"/>
                  <w:vMerge w:val="restart"/>
                  <w:vAlign w:val="center"/>
                </w:tcPr>
                <w:p>
                  <w:pPr>
                    <w:pStyle w:val="81"/>
                    <w:adjustRightInd w:val="0"/>
                    <w:spacing w:line="240" w:lineRule="auto"/>
                    <w:rPr>
                      <w:rFonts w:ascii="Times New Roman" w:hAnsi="Times New Roman"/>
                      <w:color w:val="auto"/>
                    </w:rPr>
                  </w:pPr>
                  <w:r>
                    <w:rPr>
                      <w:rFonts w:hint="eastAsia" w:ascii="Times New Roman" w:hAnsi="Times New Roman" w:cs="Times New Roman"/>
                      <w:color w:val="auto"/>
                    </w:rPr>
                    <w:t>定期委托环卫部门清运处置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Merge w:val="continue"/>
                  <w:vAlign w:val="center"/>
                </w:tcPr>
                <w:p>
                  <w:pPr>
                    <w:pStyle w:val="81"/>
                    <w:adjustRightInd w:val="0"/>
                    <w:spacing w:line="240" w:lineRule="auto"/>
                    <w:rPr>
                      <w:rFonts w:ascii="Times New Roman" w:hAnsi="Times New Roman" w:cs="Times New Roman"/>
                      <w:color w:val="auto"/>
                    </w:rPr>
                  </w:pPr>
                </w:p>
              </w:tc>
              <w:tc>
                <w:tcPr>
                  <w:tcW w:w="1307" w:type="dxa"/>
                  <w:vAlign w:val="center"/>
                </w:tcPr>
                <w:p>
                  <w:pPr>
                    <w:widowControl/>
                    <w:adjustRightInd w:val="0"/>
                    <w:jc w:val="center"/>
                    <w:textAlignment w:val="center"/>
                    <w:rPr>
                      <w:szCs w:val="21"/>
                    </w:rPr>
                  </w:pPr>
                  <w:r>
                    <w:rPr>
                      <w:rFonts w:hint="eastAsia"/>
                      <w:szCs w:val="21"/>
                    </w:rPr>
                    <w:t>除尘灰、除尘渣、沉淀池污泥</w:t>
                  </w:r>
                </w:p>
              </w:tc>
              <w:tc>
                <w:tcPr>
                  <w:tcW w:w="1306" w:type="dxa"/>
                  <w:vAlign w:val="center"/>
                </w:tcPr>
                <w:p>
                  <w:pPr>
                    <w:widowControl/>
                    <w:adjustRightInd w:val="0"/>
                    <w:jc w:val="center"/>
                    <w:textAlignment w:val="center"/>
                    <w:rPr>
                      <w:szCs w:val="21"/>
                    </w:rPr>
                  </w:pPr>
                  <w:r>
                    <w:rPr>
                      <w:rFonts w:hint="eastAsia"/>
                      <w:szCs w:val="21"/>
                    </w:rPr>
                    <w:t>导热油锅炉废气处理系统</w:t>
                  </w:r>
                </w:p>
              </w:tc>
              <w:tc>
                <w:tcPr>
                  <w:tcW w:w="1900" w:type="dxa"/>
                  <w:vAlign w:val="center"/>
                </w:tcPr>
                <w:p>
                  <w:pPr>
                    <w:widowControl/>
                    <w:adjustRightInd w:val="0"/>
                    <w:jc w:val="center"/>
                    <w:textAlignment w:val="center"/>
                    <w:rPr>
                      <w:szCs w:val="21"/>
                    </w:rPr>
                  </w:pPr>
                  <w:r>
                    <w:rPr>
                      <w:rFonts w:hint="eastAsia"/>
                      <w:szCs w:val="21"/>
                    </w:rPr>
                    <w:t>收尘及除尘渣、污泥</w:t>
                  </w:r>
                </w:p>
              </w:tc>
              <w:tc>
                <w:tcPr>
                  <w:tcW w:w="3089" w:type="dxa"/>
                  <w:vMerge w:val="continue"/>
                  <w:vAlign w:val="center"/>
                </w:tcPr>
                <w:p>
                  <w:pPr>
                    <w:pStyle w:val="81"/>
                    <w:adjustRightInd w:val="0"/>
                    <w:spacing w:line="240" w:lineRule="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Merge w:val="continue"/>
                  <w:vAlign w:val="center"/>
                </w:tcPr>
                <w:p>
                  <w:pPr>
                    <w:pStyle w:val="81"/>
                    <w:adjustRightInd w:val="0"/>
                    <w:spacing w:line="240" w:lineRule="auto"/>
                    <w:rPr>
                      <w:rFonts w:ascii="Times New Roman" w:hAnsi="Times New Roman" w:cs="Times New Roman"/>
                      <w:color w:val="auto"/>
                    </w:rPr>
                  </w:pPr>
                </w:p>
              </w:tc>
              <w:tc>
                <w:tcPr>
                  <w:tcW w:w="1307" w:type="dxa"/>
                  <w:vAlign w:val="center"/>
                </w:tcPr>
                <w:p>
                  <w:pPr>
                    <w:widowControl/>
                    <w:adjustRightInd w:val="0"/>
                    <w:jc w:val="center"/>
                    <w:textAlignment w:val="center"/>
                    <w:rPr>
                      <w:szCs w:val="21"/>
                    </w:rPr>
                  </w:pPr>
                  <w:r>
                    <w:rPr>
                      <w:rFonts w:hint="eastAsia"/>
                      <w:szCs w:val="21"/>
                    </w:rPr>
                    <w:t>除尘灰</w:t>
                  </w:r>
                </w:p>
              </w:tc>
              <w:tc>
                <w:tcPr>
                  <w:tcW w:w="1306" w:type="dxa"/>
                  <w:vAlign w:val="center"/>
                </w:tcPr>
                <w:p>
                  <w:pPr>
                    <w:widowControl/>
                    <w:adjustRightInd w:val="0"/>
                    <w:jc w:val="center"/>
                    <w:textAlignment w:val="center"/>
                    <w:rPr>
                      <w:szCs w:val="21"/>
                    </w:rPr>
                  </w:pPr>
                  <w:r>
                    <w:rPr>
                      <w:rFonts w:hint="eastAsia"/>
                      <w:szCs w:val="21"/>
                    </w:rPr>
                    <w:t>筛选打磨工序废气处理系统</w:t>
                  </w:r>
                </w:p>
              </w:tc>
              <w:tc>
                <w:tcPr>
                  <w:tcW w:w="1900" w:type="dxa"/>
                  <w:vAlign w:val="center"/>
                </w:tcPr>
                <w:p>
                  <w:pPr>
                    <w:widowControl/>
                    <w:adjustRightInd w:val="0"/>
                    <w:jc w:val="center"/>
                    <w:textAlignment w:val="center"/>
                    <w:rPr>
                      <w:szCs w:val="21"/>
                    </w:rPr>
                  </w:pPr>
                  <w:r>
                    <w:rPr>
                      <w:rFonts w:hint="eastAsia"/>
                      <w:szCs w:val="21"/>
                    </w:rPr>
                    <w:t>粉尘</w:t>
                  </w:r>
                </w:p>
              </w:tc>
              <w:tc>
                <w:tcPr>
                  <w:tcW w:w="3089" w:type="dxa"/>
                  <w:vAlign w:val="center"/>
                </w:tcPr>
                <w:p>
                  <w:pPr>
                    <w:pStyle w:val="81"/>
                    <w:adjustRightInd w:val="0"/>
                    <w:spacing w:line="240" w:lineRule="auto"/>
                    <w:rPr>
                      <w:rFonts w:ascii="Times New Roman" w:hAnsi="Times New Roman" w:cs="Times New Roman"/>
                      <w:color w:val="auto"/>
                    </w:rPr>
                  </w:pPr>
                  <w:r>
                    <w:rPr>
                      <w:rFonts w:hint="eastAsia" w:ascii="Times New Roman" w:hAnsi="Times New Roman" w:cs="Times New Roman"/>
                      <w:color w:val="auto"/>
                    </w:rPr>
                    <w:t>用作导热油锅炉燃料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Merge w:val="continue"/>
                  <w:vAlign w:val="center"/>
                </w:tcPr>
                <w:p>
                  <w:pPr>
                    <w:pStyle w:val="81"/>
                    <w:adjustRightInd w:val="0"/>
                    <w:spacing w:line="240" w:lineRule="auto"/>
                    <w:rPr>
                      <w:rFonts w:ascii="Times New Roman" w:hAnsi="Times New Roman" w:cs="Times New Roman"/>
                      <w:color w:val="auto"/>
                    </w:rPr>
                  </w:pPr>
                </w:p>
              </w:tc>
              <w:tc>
                <w:tcPr>
                  <w:tcW w:w="1307" w:type="dxa"/>
                  <w:vAlign w:val="center"/>
                </w:tcPr>
                <w:p>
                  <w:pPr>
                    <w:widowControl/>
                    <w:adjustRightInd w:val="0"/>
                    <w:jc w:val="center"/>
                    <w:textAlignment w:val="center"/>
                    <w:rPr>
                      <w:szCs w:val="21"/>
                    </w:rPr>
                  </w:pPr>
                  <w:r>
                    <w:rPr>
                      <w:rFonts w:hint="eastAsia"/>
                      <w:szCs w:val="21"/>
                    </w:rPr>
                    <w:t>废活性炭</w:t>
                  </w:r>
                </w:p>
              </w:tc>
              <w:tc>
                <w:tcPr>
                  <w:tcW w:w="1306" w:type="dxa"/>
                  <w:vAlign w:val="center"/>
                </w:tcPr>
                <w:p>
                  <w:pPr>
                    <w:widowControl/>
                    <w:adjustRightInd w:val="0"/>
                    <w:jc w:val="center"/>
                    <w:textAlignment w:val="center"/>
                    <w:rPr>
                      <w:szCs w:val="21"/>
                    </w:rPr>
                  </w:pPr>
                  <w:r>
                    <w:rPr>
                      <w:rFonts w:hint="eastAsia"/>
                      <w:szCs w:val="21"/>
                    </w:rPr>
                    <w:t>热压凉板工序废气处理系统三级活性炭吸附装置</w:t>
                  </w:r>
                </w:p>
              </w:tc>
              <w:tc>
                <w:tcPr>
                  <w:tcW w:w="1900" w:type="dxa"/>
                  <w:vAlign w:val="center"/>
                </w:tcPr>
                <w:p>
                  <w:pPr>
                    <w:widowControl/>
                    <w:adjustRightInd w:val="0"/>
                    <w:jc w:val="center"/>
                    <w:textAlignment w:val="center"/>
                    <w:rPr>
                      <w:szCs w:val="21"/>
                    </w:rPr>
                  </w:pPr>
                  <w:r>
                    <w:rPr>
                      <w:rFonts w:hint="eastAsia"/>
                      <w:szCs w:val="21"/>
                    </w:rPr>
                    <w:t>废活性炭</w:t>
                  </w:r>
                </w:p>
              </w:tc>
              <w:tc>
                <w:tcPr>
                  <w:tcW w:w="3089" w:type="dxa"/>
                  <w:vAlign w:val="center"/>
                </w:tcPr>
                <w:p>
                  <w:pPr>
                    <w:pStyle w:val="81"/>
                    <w:adjustRightInd w:val="0"/>
                    <w:spacing w:line="240" w:lineRule="auto"/>
                    <w:rPr>
                      <w:rFonts w:ascii="Times New Roman" w:hAnsi="Times New Roman" w:cs="Times New Roman"/>
                      <w:color w:val="auto"/>
                    </w:rPr>
                  </w:pPr>
                  <w:r>
                    <w:rPr>
                      <w:rFonts w:hint="eastAsia"/>
                      <w:color w:val="auto"/>
                    </w:rPr>
                    <w:t>委托曲靖银发危险废物集中处置中心有限公司处置。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Merge w:val="continue"/>
                  <w:vAlign w:val="center"/>
                </w:tcPr>
                <w:p>
                  <w:pPr>
                    <w:pStyle w:val="81"/>
                    <w:adjustRightInd w:val="0"/>
                    <w:spacing w:line="240" w:lineRule="auto"/>
                    <w:rPr>
                      <w:rFonts w:ascii="Times New Roman" w:hAnsi="Times New Roman" w:cs="Times New Roman"/>
                      <w:color w:val="auto"/>
                    </w:rPr>
                  </w:pPr>
                </w:p>
              </w:tc>
              <w:tc>
                <w:tcPr>
                  <w:tcW w:w="1307" w:type="dxa"/>
                  <w:vAlign w:val="center"/>
                </w:tcPr>
                <w:p>
                  <w:pPr>
                    <w:widowControl/>
                    <w:adjustRightInd w:val="0"/>
                    <w:jc w:val="center"/>
                    <w:textAlignment w:val="center"/>
                    <w:rPr>
                      <w:szCs w:val="21"/>
                    </w:rPr>
                  </w:pPr>
                  <w:r>
                    <w:rPr>
                      <w:rFonts w:hint="eastAsia"/>
                      <w:szCs w:val="21"/>
                    </w:rPr>
                    <w:t>废导热油</w:t>
                  </w:r>
                </w:p>
              </w:tc>
              <w:tc>
                <w:tcPr>
                  <w:tcW w:w="1306" w:type="dxa"/>
                  <w:vAlign w:val="center"/>
                </w:tcPr>
                <w:p>
                  <w:pPr>
                    <w:widowControl/>
                    <w:adjustRightInd w:val="0"/>
                    <w:jc w:val="center"/>
                    <w:textAlignment w:val="center"/>
                    <w:rPr>
                      <w:szCs w:val="21"/>
                    </w:rPr>
                  </w:pPr>
                  <w:r>
                    <w:rPr>
                      <w:rFonts w:hint="eastAsia"/>
                      <w:szCs w:val="21"/>
                    </w:rPr>
                    <w:t>5t/h导热油锅炉</w:t>
                  </w:r>
                </w:p>
              </w:tc>
              <w:tc>
                <w:tcPr>
                  <w:tcW w:w="1900" w:type="dxa"/>
                  <w:vAlign w:val="center"/>
                </w:tcPr>
                <w:p>
                  <w:pPr>
                    <w:widowControl/>
                    <w:adjustRightInd w:val="0"/>
                    <w:jc w:val="center"/>
                    <w:textAlignment w:val="center"/>
                    <w:rPr>
                      <w:szCs w:val="21"/>
                    </w:rPr>
                  </w:pPr>
                  <w:r>
                    <w:rPr>
                      <w:rFonts w:hint="eastAsia"/>
                      <w:szCs w:val="21"/>
                    </w:rPr>
                    <w:t>废矿物油</w:t>
                  </w:r>
                </w:p>
              </w:tc>
              <w:tc>
                <w:tcPr>
                  <w:tcW w:w="3089" w:type="dxa"/>
                  <w:vAlign w:val="center"/>
                </w:tcPr>
                <w:p>
                  <w:pPr>
                    <w:pStyle w:val="81"/>
                    <w:adjustRightInd w:val="0"/>
                    <w:spacing w:line="240" w:lineRule="auto"/>
                    <w:rPr>
                      <w:rFonts w:ascii="Times New Roman" w:hAnsi="Times New Roman" w:cs="Times New Roman"/>
                      <w:color w:val="auto"/>
                    </w:rPr>
                  </w:pPr>
                  <w:r>
                    <w:rPr>
                      <w:rFonts w:hint="eastAsia" w:ascii="Times New Roman" w:hAnsi="Times New Roman" w:cs="Times New Roman"/>
                      <w:color w:val="auto"/>
                    </w:rPr>
                    <w:t>委托寻甸同磊再生资源有限公司统一收集处置</w:t>
                  </w:r>
                </w:p>
              </w:tc>
            </w:tr>
          </w:tbl>
          <w:p>
            <w:pPr>
              <w:adjustRightInd w:val="0"/>
              <w:spacing w:line="360" w:lineRule="auto"/>
              <w:jc w:val="center"/>
              <w:rPr>
                <w:bCs/>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Align w:val="center"/>
          </w:tcPr>
          <w:p>
            <w:pPr>
              <w:pStyle w:val="28"/>
              <w:adjustRightInd w:val="0"/>
              <w:spacing w:before="0" w:beforeAutospacing="0" w:after="0" w:afterAutospacing="0"/>
              <w:jc w:val="center"/>
              <w:rPr>
                <w:rFonts w:ascii="Times New Roman" w:hAnsi="Times New Roman" w:cs="宋体"/>
                <w:b/>
                <w:szCs w:val="21"/>
              </w:rPr>
            </w:pPr>
            <w:r>
              <w:rPr>
                <w:rFonts w:hint="eastAsia" w:ascii="Times New Roman" w:hAnsi="Times New Roman" w:cs="宋体"/>
                <w:b/>
                <w:kern w:val="2"/>
                <w:szCs w:val="21"/>
              </w:rPr>
              <w:t>与项目有关的原有环境污染问题</w:t>
            </w:r>
          </w:p>
        </w:tc>
        <w:tc>
          <w:tcPr>
            <w:tcW w:w="4523" w:type="pct"/>
          </w:tcPr>
          <w:p>
            <w:pPr>
              <w:adjustRightInd w:val="0"/>
              <w:spacing w:before="120" w:beforeLines="50" w:line="360" w:lineRule="auto"/>
              <w:ind w:firstLine="482" w:firstLineChars="200"/>
              <w:rPr>
                <w:b/>
                <w:sz w:val="24"/>
                <w:szCs w:val="21"/>
              </w:rPr>
            </w:pPr>
            <w:r>
              <w:rPr>
                <w:rFonts w:hint="eastAsia"/>
                <w:b/>
                <w:sz w:val="24"/>
                <w:szCs w:val="21"/>
              </w:rPr>
              <w:t>一、现有项目环保手续办理情况</w:t>
            </w:r>
          </w:p>
          <w:p>
            <w:pPr>
              <w:spacing w:line="360" w:lineRule="auto"/>
              <w:ind w:firstLine="480" w:firstLineChars="200"/>
              <w:rPr>
                <w:sz w:val="24"/>
                <w:szCs w:val="21"/>
              </w:rPr>
            </w:pPr>
            <w:r>
              <w:rPr>
                <w:rFonts w:hint="eastAsia"/>
                <w:sz w:val="24"/>
              </w:rPr>
              <w:t>现有项目于</w:t>
            </w:r>
            <w:r>
              <w:rPr>
                <w:rFonts w:hint="eastAsia"/>
                <w:sz w:val="24"/>
                <w:szCs w:val="21"/>
              </w:rPr>
              <w:t>2013年委托河南蓝森环保科技有限公司编制《昆明市澳松人造板制造有限责任公司年产5万立方米木质刨花板项目环境影响报告书（报批稿）》（2013.07），2013年9月22日取得寻甸彝族自治县环境保护局文件关于对《昆明市澳松人造板制造有限责任公司年产5万立方米木质刨花板项目环境影响报告书的批复》（寻环[2013]102号）。2019年7月2日项目通过竣工环境保护自主验收。</w:t>
            </w:r>
          </w:p>
          <w:p>
            <w:pPr>
              <w:spacing w:line="360" w:lineRule="auto"/>
              <w:ind w:firstLine="480" w:firstLineChars="200"/>
              <w:rPr>
                <w:sz w:val="24"/>
                <w:szCs w:val="21"/>
              </w:rPr>
            </w:pPr>
            <w:r>
              <w:rPr>
                <w:kern w:val="0"/>
                <w:sz w:val="24"/>
                <w:lang w:bidi="ar"/>
              </w:rPr>
              <w:t>根据《固定污染源排污许可分类管理名录（2019年版）》、《排污许可证申请与核发技术规范 人造板工业（HJ1032-2019）》及《排污许可证申请与核发技术规范 锅炉（HJ953-2018）》，</w:t>
            </w:r>
            <w:r>
              <w:rPr>
                <w:sz w:val="24"/>
                <w:szCs w:val="21"/>
              </w:rPr>
              <w:t>昆明市澳松人造板制造有限责任公司</w:t>
            </w:r>
            <w:r>
              <w:rPr>
                <w:rFonts w:hint="eastAsia"/>
                <w:sz w:val="24"/>
                <w:szCs w:val="21"/>
              </w:rPr>
              <w:t>于2</w:t>
            </w:r>
            <w:r>
              <w:rPr>
                <w:sz w:val="24"/>
                <w:szCs w:val="21"/>
              </w:rPr>
              <w:t>019</w:t>
            </w:r>
            <w:r>
              <w:rPr>
                <w:rFonts w:hint="eastAsia"/>
                <w:sz w:val="24"/>
                <w:szCs w:val="21"/>
              </w:rPr>
              <w:t>年1</w:t>
            </w:r>
            <w:r>
              <w:rPr>
                <w:sz w:val="24"/>
                <w:szCs w:val="21"/>
              </w:rPr>
              <w:t>1</w:t>
            </w:r>
            <w:r>
              <w:rPr>
                <w:rFonts w:hint="eastAsia"/>
                <w:sz w:val="24"/>
                <w:szCs w:val="21"/>
              </w:rPr>
              <w:t>月2</w:t>
            </w:r>
            <w:r>
              <w:rPr>
                <w:sz w:val="24"/>
                <w:szCs w:val="21"/>
              </w:rPr>
              <w:t>0</w:t>
            </w:r>
            <w:r>
              <w:rPr>
                <w:rFonts w:hint="eastAsia"/>
                <w:sz w:val="24"/>
                <w:szCs w:val="21"/>
              </w:rPr>
              <w:t>日首次</w:t>
            </w:r>
            <w:r>
              <w:rPr>
                <w:sz w:val="24"/>
                <w:szCs w:val="21"/>
              </w:rPr>
              <w:t>申请了全国排污许可证，《排污许可证》编号为：91530129061590569B001V，有效期限为2019年11月20日至2022年11月19日。</w:t>
            </w:r>
            <w:r>
              <w:rPr>
                <w:rFonts w:hint="eastAsia"/>
                <w:sz w:val="24"/>
                <w:szCs w:val="21"/>
              </w:rPr>
              <w:t>许可证到期后，企业于2</w:t>
            </w:r>
            <w:r>
              <w:rPr>
                <w:sz w:val="24"/>
                <w:szCs w:val="21"/>
              </w:rPr>
              <w:t>023</w:t>
            </w:r>
            <w:r>
              <w:rPr>
                <w:rFonts w:hint="eastAsia"/>
                <w:sz w:val="24"/>
                <w:szCs w:val="21"/>
              </w:rPr>
              <w:t>年3月2日进行了延续，</w:t>
            </w:r>
            <w:r>
              <w:rPr>
                <w:sz w:val="24"/>
                <w:szCs w:val="21"/>
              </w:rPr>
              <w:t>有效期限为2022年11月20日至2027年11月19日。</w:t>
            </w:r>
          </w:p>
          <w:p>
            <w:pPr>
              <w:spacing w:line="360" w:lineRule="auto"/>
              <w:ind w:firstLine="482"/>
              <w:rPr>
                <w:sz w:val="24"/>
              </w:rPr>
            </w:pPr>
            <w:r>
              <w:rPr>
                <w:rFonts w:hint="eastAsia"/>
                <w:sz w:val="24"/>
                <w:szCs w:val="21"/>
              </w:rPr>
              <w:t>根据排污许可证，</w:t>
            </w:r>
            <w:r>
              <w:rPr>
                <w:sz w:val="24"/>
              </w:rPr>
              <w:t>排污许可证核定的</w:t>
            </w:r>
            <w:r>
              <w:rPr>
                <w:rFonts w:hint="eastAsia"/>
                <w:sz w:val="24"/>
              </w:rPr>
              <w:t>现有项目</w:t>
            </w:r>
            <w:r>
              <w:rPr>
                <w:sz w:val="24"/>
              </w:rPr>
              <w:t>各有组织排气口相关废气排放限值及达标要求如下</w:t>
            </w:r>
            <w:r>
              <w:rPr>
                <w:rFonts w:hint="eastAsia"/>
                <w:sz w:val="24"/>
              </w:rPr>
              <w:t>：</w:t>
            </w:r>
          </w:p>
          <w:p>
            <w:pPr>
              <w:spacing w:line="360" w:lineRule="auto"/>
              <w:jc w:val="center"/>
              <w:rPr>
                <w:b/>
                <w:sz w:val="24"/>
              </w:rPr>
            </w:pPr>
            <w:r>
              <w:rPr>
                <w:b/>
                <w:sz w:val="24"/>
              </w:rPr>
              <w:t>表2</w:t>
            </w:r>
            <w:r>
              <w:rPr>
                <w:rFonts w:hint="eastAsia"/>
                <w:b/>
                <w:sz w:val="24"/>
              </w:rPr>
              <w:t>-</w:t>
            </w:r>
            <w:r>
              <w:rPr>
                <w:b/>
                <w:sz w:val="24"/>
              </w:rPr>
              <w:t>11  排污许可证核定有组织废气限值要求</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7"/>
              <w:gridCol w:w="912"/>
              <w:gridCol w:w="1133"/>
              <w:gridCol w:w="1037"/>
              <w:gridCol w:w="1006"/>
              <w:gridCol w:w="961"/>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2" w:type="pct"/>
                  <w:tcMar>
                    <w:left w:w="57" w:type="dxa"/>
                    <w:right w:w="57" w:type="dxa"/>
                  </w:tcMar>
                  <w:vAlign w:val="center"/>
                </w:tcPr>
                <w:p>
                  <w:pPr>
                    <w:autoSpaceDE w:val="0"/>
                    <w:autoSpaceDN w:val="0"/>
                    <w:jc w:val="center"/>
                    <w:rPr>
                      <w:b/>
                      <w:bCs/>
                      <w:szCs w:val="21"/>
                    </w:rPr>
                  </w:pPr>
                  <w:r>
                    <w:rPr>
                      <w:b/>
                      <w:bCs/>
                      <w:szCs w:val="21"/>
                    </w:rPr>
                    <w:t>排放口编号</w:t>
                  </w:r>
                </w:p>
              </w:tc>
              <w:tc>
                <w:tcPr>
                  <w:tcW w:w="547" w:type="pct"/>
                  <w:tcMar>
                    <w:left w:w="57" w:type="dxa"/>
                    <w:right w:w="57" w:type="dxa"/>
                  </w:tcMar>
                  <w:vAlign w:val="center"/>
                </w:tcPr>
                <w:p>
                  <w:pPr>
                    <w:autoSpaceDE w:val="0"/>
                    <w:autoSpaceDN w:val="0"/>
                    <w:jc w:val="center"/>
                    <w:rPr>
                      <w:b/>
                      <w:bCs/>
                      <w:szCs w:val="21"/>
                    </w:rPr>
                  </w:pPr>
                  <w:r>
                    <w:rPr>
                      <w:b/>
                      <w:bCs/>
                      <w:szCs w:val="21"/>
                    </w:rPr>
                    <w:t>排放口名称</w:t>
                  </w:r>
                </w:p>
              </w:tc>
              <w:tc>
                <w:tcPr>
                  <w:tcW w:w="679" w:type="pct"/>
                  <w:tcMar>
                    <w:left w:w="57" w:type="dxa"/>
                    <w:right w:w="57" w:type="dxa"/>
                  </w:tcMar>
                  <w:vAlign w:val="center"/>
                </w:tcPr>
                <w:p>
                  <w:pPr>
                    <w:autoSpaceDE w:val="0"/>
                    <w:autoSpaceDN w:val="0"/>
                    <w:jc w:val="center"/>
                    <w:rPr>
                      <w:b/>
                      <w:bCs/>
                      <w:szCs w:val="21"/>
                    </w:rPr>
                  </w:pPr>
                  <w:r>
                    <w:rPr>
                      <w:b/>
                      <w:bCs/>
                      <w:szCs w:val="21"/>
                    </w:rPr>
                    <w:t>高度(m)/内径(m)</w:t>
                  </w:r>
                </w:p>
              </w:tc>
              <w:tc>
                <w:tcPr>
                  <w:tcW w:w="622" w:type="pct"/>
                  <w:tcMar>
                    <w:left w:w="57" w:type="dxa"/>
                    <w:right w:w="57" w:type="dxa"/>
                  </w:tcMar>
                  <w:vAlign w:val="center"/>
                </w:tcPr>
                <w:p>
                  <w:pPr>
                    <w:autoSpaceDE w:val="0"/>
                    <w:autoSpaceDN w:val="0"/>
                    <w:jc w:val="center"/>
                    <w:rPr>
                      <w:b/>
                      <w:bCs/>
                      <w:szCs w:val="21"/>
                    </w:rPr>
                  </w:pPr>
                  <w:r>
                    <w:rPr>
                      <w:b/>
                      <w:bCs/>
                      <w:szCs w:val="21"/>
                    </w:rPr>
                    <w:t>污染物</w:t>
                  </w:r>
                </w:p>
              </w:tc>
              <w:tc>
                <w:tcPr>
                  <w:tcW w:w="603" w:type="pct"/>
                  <w:tcMar>
                    <w:left w:w="57" w:type="dxa"/>
                    <w:right w:w="57" w:type="dxa"/>
                  </w:tcMar>
                  <w:vAlign w:val="center"/>
                </w:tcPr>
                <w:p>
                  <w:pPr>
                    <w:autoSpaceDE w:val="0"/>
                    <w:autoSpaceDN w:val="0"/>
                    <w:jc w:val="center"/>
                    <w:rPr>
                      <w:b/>
                      <w:bCs/>
                      <w:szCs w:val="21"/>
                    </w:rPr>
                  </w:pPr>
                  <w:r>
                    <w:rPr>
                      <w:b/>
                      <w:bCs/>
                      <w:szCs w:val="21"/>
                    </w:rPr>
                    <w:t>许可排放浓度限值mg/m</w:t>
                  </w:r>
                  <w:r>
                    <w:rPr>
                      <w:b/>
                      <w:bCs/>
                      <w:szCs w:val="21"/>
                      <w:vertAlign w:val="superscript"/>
                    </w:rPr>
                    <w:t>3</w:t>
                  </w:r>
                </w:p>
              </w:tc>
              <w:tc>
                <w:tcPr>
                  <w:tcW w:w="576" w:type="pct"/>
                  <w:tcMar>
                    <w:left w:w="57" w:type="dxa"/>
                    <w:right w:w="57" w:type="dxa"/>
                  </w:tcMar>
                  <w:vAlign w:val="center"/>
                </w:tcPr>
                <w:p>
                  <w:pPr>
                    <w:autoSpaceDE w:val="0"/>
                    <w:autoSpaceDN w:val="0"/>
                    <w:jc w:val="center"/>
                    <w:rPr>
                      <w:b/>
                      <w:bCs/>
                      <w:szCs w:val="21"/>
                    </w:rPr>
                  </w:pPr>
                  <w:r>
                    <w:rPr>
                      <w:b/>
                      <w:bCs/>
                      <w:szCs w:val="21"/>
                    </w:rPr>
                    <w:t>许可排放速率限值kg/h</w:t>
                  </w:r>
                </w:p>
              </w:tc>
              <w:tc>
                <w:tcPr>
                  <w:tcW w:w="1441" w:type="pct"/>
                  <w:tcMar>
                    <w:left w:w="57" w:type="dxa"/>
                    <w:right w:w="57" w:type="dxa"/>
                  </w:tcMar>
                  <w:vAlign w:val="center"/>
                </w:tcPr>
                <w:p>
                  <w:pPr>
                    <w:autoSpaceDE w:val="0"/>
                    <w:autoSpaceDN w:val="0"/>
                    <w:jc w:val="center"/>
                    <w:rPr>
                      <w:b/>
                      <w:bCs/>
                      <w:szCs w:val="21"/>
                    </w:rPr>
                  </w:pPr>
                  <w:r>
                    <w:rPr>
                      <w:b/>
                      <w:bCs/>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000" w:type="pct"/>
                  <w:gridSpan w:val="7"/>
                  <w:tcMar>
                    <w:left w:w="57" w:type="dxa"/>
                    <w:right w:w="57" w:type="dxa"/>
                  </w:tcMar>
                  <w:vAlign w:val="center"/>
                </w:tcPr>
                <w:p>
                  <w:pPr>
                    <w:autoSpaceDE w:val="0"/>
                    <w:autoSpaceDN w:val="0"/>
                    <w:jc w:val="center"/>
                    <w:rPr>
                      <w:szCs w:val="21"/>
                    </w:rPr>
                  </w:pPr>
                  <w:r>
                    <w:rPr>
                      <w:b/>
                      <w:bCs/>
                      <w:szCs w:val="21"/>
                    </w:rPr>
                    <w:t>一般排口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2" w:type="pct"/>
                  <w:vMerge w:val="restart"/>
                  <w:tcMar>
                    <w:left w:w="57" w:type="dxa"/>
                    <w:right w:w="57" w:type="dxa"/>
                  </w:tcMar>
                  <w:vAlign w:val="center"/>
                </w:tcPr>
                <w:p>
                  <w:pPr>
                    <w:autoSpaceDE w:val="0"/>
                    <w:autoSpaceDN w:val="0"/>
                    <w:jc w:val="center"/>
                    <w:rPr>
                      <w:szCs w:val="21"/>
                    </w:rPr>
                  </w:pPr>
                  <w:r>
                    <w:rPr>
                      <w:szCs w:val="21"/>
                    </w:rPr>
                    <w:t>DA007</w:t>
                  </w:r>
                </w:p>
              </w:tc>
              <w:tc>
                <w:tcPr>
                  <w:tcW w:w="547" w:type="pct"/>
                  <w:vMerge w:val="restart"/>
                  <w:tcMar>
                    <w:left w:w="57" w:type="dxa"/>
                    <w:right w:w="57" w:type="dxa"/>
                  </w:tcMar>
                  <w:vAlign w:val="center"/>
                </w:tcPr>
                <w:p>
                  <w:pPr>
                    <w:autoSpaceDE w:val="0"/>
                    <w:autoSpaceDN w:val="0"/>
                    <w:jc w:val="center"/>
                    <w:rPr>
                      <w:szCs w:val="21"/>
                    </w:rPr>
                  </w:pPr>
                  <w:r>
                    <w:rPr>
                      <w:szCs w:val="21"/>
                    </w:rPr>
                    <w:t>7t/h导热油锅炉排放口</w:t>
                  </w:r>
                </w:p>
              </w:tc>
              <w:tc>
                <w:tcPr>
                  <w:tcW w:w="679" w:type="pct"/>
                  <w:vMerge w:val="restart"/>
                  <w:tcMar>
                    <w:left w:w="57" w:type="dxa"/>
                    <w:right w:w="57" w:type="dxa"/>
                  </w:tcMar>
                  <w:vAlign w:val="center"/>
                </w:tcPr>
                <w:p>
                  <w:pPr>
                    <w:autoSpaceDE w:val="0"/>
                    <w:autoSpaceDN w:val="0"/>
                    <w:jc w:val="center"/>
                    <w:rPr>
                      <w:szCs w:val="21"/>
                    </w:rPr>
                  </w:pPr>
                  <w:r>
                    <w:rPr>
                      <w:spacing w:val="1"/>
                      <w:position w:val="1"/>
                      <w:szCs w:val="21"/>
                    </w:rPr>
                    <w:t>35</w:t>
                  </w:r>
                  <w:r>
                    <w:rPr>
                      <w:position w:val="1"/>
                      <w:szCs w:val="21"/>
                    </w:rPr>
                    <w:t>m/</w:t>
                  </w:r>
                  <w:r>
                    <w:rPr>
                      <w:spacing w:val="6"/>
                      <w:szCs w:val="21"/>
                    </w:rPr>
                    <w:t>0.65</w:t>
                  </w:r>
                  <w:r>
                    <w:rPr>
                      <w:szCs w:val="21"/>
                    </w:rPr>
                    <w:t>m</w:t>
                  </w:r>
                </w:p>
              </w:tc>
              <w:tc>
                <w:tcPr>
                  <w:tcW w:w="622" w:type="pct"/>
                  <w:tcMar>
                    <w:left w:w="57" w:type="dxa"/>
                    <w:right w:w="57" w:type="dxa"/>
                  </w:tcMar>
                  <w:vAlign w:val="center"/>
                </w:tcPr>
                <w:p>
                  <w:pPr>
                    <w:autoSpaceDE w:val="0"/>
                    <w:autoSpaceDN w:val="0"/>
                    <w:jc w:val="center"/>
                    <w:rPr>
                      <w:szCs w:val="21"/>
                    </w:rPr>
                  </w:pPr>
                  <w:r>
                    <w:rPr>
                      <w:szCs w:val="21"/>
                    </w:rPr>
                    <w:t>颗粒物</w:t>
                  </w:r>
                </w:p>
              </w:tc>
              <w:tc>
                <w:tcPr>
                  <w:tcW w:w="603" w:type="pct"/>
                  <w:tcMar>
                    <w:left w:w="57" w:type="dxa"/>
                    <w:right w:w="57" w:type="dxa"/>
                  </w:tcMar>
                  <w:vAlign w:val="center"/>
                </w:tcPr>
                <w:p>
                  <w:pPr>
                    <w:autoSpaceDE w:val="0"/>
                    <w:autoSpaceDN w:val="0"/>
                    <w:jc w:val="center"/>
                    <w:rPr>
                      <w:szCs w:val="21"/>
                    </w:rPr>
                  </w:pPr>
                  <w:r>
                    <w:rPr>
                      <w:spacing w:val="2"/>
                      <w:szCs w:val="21"/>
                    </w:rPr>
                    <w:t>80</w:t>
                  </w:r>
                </w:p>
              </w:tc>
              <w:tc>
                <w:tcPr>
                  <w:tcW w:w="576" w:type="pct"/>
                  <w:tcMar>
                    <w:left w:w="57" w:type="dxa"/>
                    <w:right w:w="57" w:type="dxa"/>
                  </w:tcMar>
                  <w:vAlign w:val="center"/>
                </w:tcPr>
                <w:p>
                  <w:pPr>
                    <w:autoSpaceDE w:val="0"/>
                    <w:autoSpaceDN w:val="0"/>
                    <w:jc w:val="center"/>
                    <w:rPr>
                      <w:szCs w:val="21"/>
                    </w:rPr>
                  </w:pPr>
                  <w:r>
                    <w:rPr>
                      <w:spacing w:val="2"/>
                      <w:position w:val="1"/>
                      <w:szCs w:val="21"/>
                    </w:rPr>
                    <w:t>/</w:t>
                  </w:r>
                </w:p>
              </w:tc>
              <w:tc>
                <w:tcPr>
                  <w:tcW w:w="1441" w:type="pct"/>
                  <w:vMerge w:val="restart"/>
                  <w:tcMar>
                    <w:left w:w="57" w:type="dxa"/>
                    <w:right w:w="57" w:type="dxa"/>
                  </w:tcMar>
                  <w:vAlign w:val="center"/>
                </w:tcPr>
                <w:p>
                  <w:pPr>
                    <w:autoSpaceDE w:val="0"/>
                    <w:autoSpaceDN w:val="0"/>
                    <w:jc w:val="center"/>
                    <w:rPr>
                      <w:szCs w:val="21"/>
                    </w:rPr>
                  </w:pPr>
                  <w:r>
                    <w:rPr>
                      <w:szCs w:val="21"/>
                    </w:rPr>
                    <w:t>《锅炉大气污染物排放标准》（GB13271-2014）表2中燃煤锅炉标准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2" w:type="pct"/>
                  <w:vMerge w:val="continue"/>
                  <w:tcMar>
                    <w:left w:w="57" w:type="dxa"/>
                    <w:right w:w="57" w:type="dxa"/>
                  </w:tcMar>
                  <w:vAlign w:val="center"/>
                </w:tcPr>
                <w:p>
                  <w:pPr>
                    <w:autoSpaceDE w:val="0"/>
                    <w:autoSpaceDN w:val="0"/>
                    <w:jc w:val="center"/>
                    <w:rPr>
                      <w:szCs w:val="21"/>
                    </w:rPr>
                  </w:pPr>
                </w:p>
              </w:tc>
              <w:tc>
                <w:tcPr>
                  <w:tcW w:w="547" w:type="pct"/>
                  <w:vMerge w:val="continue"/>
                  <w:tcMar>
                    <w:left w:w="57" w:type="dxa"/>
                    <w:right w:w="57" w:type="dxa"/>
                  </w:tcMar>
                  <w:vAlign w:val="center"/>
                </w:tcPr>
                <w:p>
                  <w:pPr>
                    <w:autoSpaceDE w:val="0"/>
                    <w:autoSpaceDN w:val="0"/>
                    <w:jc w:val="center"/>
                    <w:rPr>
                      <w:szCs w:val="21"/>
                    </w:rPr>
                  </w:pPr>
                </w:p>
              </w:tc>
              <w:tc>
                <w:tcPr>
                  <w:tcW w:w="679" w:type="pct"/>
                  <w:vMerge w:val="continue"/>
                  <w:tcMar>
                    <w:left w:w="57" w:type="dxa"/>
                    <w:right w:w="57" w:type="dxa"/>
                  </w:tcMar>
                  <w:vAlign w:val="center"/>
                </w:tcPr>
                <w:p>
                  <w:pPr>
                    <w:autoSpaceDE w:val="0"/>
                    <w:autoSpaceDN w:val="0"/>
                    <w:jc w:val="center"/>
                    <w:rPr>
                      <w:szCs w:val="21"/>
                    </w:rPr>
                  </w:pPr>
                </w:p>
              </w:tc>
              <w:tc>
                <w:tcPr>
                  <w:tcW w:w="622" w:type="pct"/>
                  <w:tcMar>
                    <w:left w:w="57" w:type="dxa"/>
                    <w:right w:w="57" w:type="dxa"/>
                  </w:tcMar>
                  <w:vAlign w:val="center"/>
                </w:tcPr>
                <w:p>
                  <w:pPr>
                    <w:autoSpaceDE w:val="0"/>
                    <w:autoSpaceDN w:val="0"/>
                    <w:jc w:val="center"/>
                    <w:rPr>
                      <w:szCs w:val="21"/>
                    </w:rPr>
                  </w:pPr>
                  <w:r>
                    <w:rPr>
                      <w:rFonts w:hint="eastAsia"/>
                      <w:spacing w:val="9"/>
                      <w:szCs w:val="21"/>
                    </w:rPr>
                    <w:t>SO</w:t>
                  </w:r>
                  <w:r>
                    <w:rPr>
                      <w:rFonts w:hint="eastAsia"/>
                      <w:spacing w:val="9"/>
                      <w:szCs w:val="21"/>
                      <w:vertAlign w:val="subscript"/>
                    </w:rPr>
                    <w:t>2</w:t>
                  </w:r>
                </w:p>
              </w:tc>
              <w:tc>
                <w:tcPr>
                  <w:tcW w:w="603" w:type="pct"/>
                  <w:tcMar>
                    <w:left w:w="57" w:type="dxa"/>
                    <w:right w:w="57" w:type="dxa"/>
                  </w:tcMar>
                  <w:vAlign w:val="center"/>
                </w:tcPr>
                <w:p>
                  <w:pPr>
                    <w:autoSpaceDE w:val="0"/>
                    <w:autoSpaceDN w:val="0"/>
                    <w:jc w:val="center"/>
                    <w:rPr>
                      <w:szCs w:val="21"/>
                    </w:rPr>
                  </w:pPr>
                  <w:r>
                    <w:rPr>
                      <w:spacing w:val="4"/>
                      <w:szCs w:val="21"/>
                    </w:rPr>
                    <w:t>400</w:t>
                  </w:r>
                </w:p>
              </w:tc>
              <w:tc>
                <w:tcPr>
                  <w:tcW w:w="576" w:type="pct"/>
                  <w:tcMar>
                    <w:left w:w="57" w:type="dxa"/>
                    <w:right w:w="57" w:type="dxa"/>
                  </w:tcMar>
                  <w:vAlign w:val="center"/>
                </w:tcPr>
                <w:p>
                  <w:pPr>
                    <w:autoSpaceDE w:val="0"/>
                    <w:autoSpaceDN w:val="0"/>
                    <w:jc w:val="center"/>
                    <w:rPr>
                      <w:szCs w:val="21"/>
                    </w:rPr>
                  </w:pPr>
                  <w:r>
                    <w:rPr>
                      <w:spacing w:val="2"/>
                      <w:position w:val="1"/>
                      <w:szCs w:val="21"/>
                    </w:rPr>
                    <w:t>/</w:t>
                  </w:r>
                </w:p>
              </w:tc>
              <w:tc>
                <w:tcPr>
                  <w:tcW w:w="1441" w:type="pct"/>
                  <w:vMerge w:val="continue"/>
                  <w:tcMar>
                    <w:left w:w="57" w:type="dxa"/>
                    <w:right w:w="57" w:type="dxa"/>
                  </w:tcMar>
                  <w:vAlign w:val="center"/>
                </w:tcPr>
                <w:p>
                  <w:pPr>
                    <w:autoSpaceDE w:val="0"/>
                    <w:autoSpaceDN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32" w:type="pct"/>
                  <w:vMerge w:val="continue"/>
                  <w:tcMar>
                    <w:left w:w="57" w:type="dxa"/>
                    <w:right w:w="57" w:type="dxa"/>
                  </w:tcMar>
                  <w:vAlign w:val="center"/>
                </w:tcPr>
                <w:p>
                  <w:pPr>
                    <w:autoSpaceDE w:val="0"/>
                    <w:autoSpaceDN w:val="0"/>
                    <w:jc w:val="center"/>
                    <w:rPr>
                      <w:szCs w:val="21"/>
                    </w:rPr>
                  </w:pPr>
                </w:p>
              </w:tc>
              <w:tc>
                <w:tcPr>
                  <w:tcW w:w="547" w:type="pct"/>
                  <w:vMerge w:val="continue"/>
                  <w:tcMar>
                    <w:left w:w="57" w:type="dxa"/>
                    <w:right w:w="57" w:type="dxa"/>
                  </w:tcMar>
                  <w:vAlign w:val="center"/>
                </w:tcPr>
                <w:p>
                  <w:pPr>
                    <w:autoSpaceDE w:val="0"/>
                    <w:autoSpaceDN w:val="0"/>
                    <w:jc w:val="center"/>
                    <w:rPr>
                      <w:szCs w:val="21"/>
                    </w:rPr>
                  </w:pPr>
                </w:p>
              </w:tc>
              <w:tc>
                <w:tcPr>
                  <w:tcW w:w="679" w:type="pct"/>
                  <w:vMerge w:val="continue"/>
                  <w:tcMar>
                    <w:left w:w="57" w:type="dxa"/>
                    <w:right w:w="57" w:type="dxa"/>
                  </w:tcMar>
                  <w:vAlign w:val="center"/>
                </w:tcPr>
                <w:p>
                  <w:pPr>
                    <w:autoSpaceDE w:val="0"/>
                    <w:autoSpaceDN w:val="0"/>
                    <w:jc w:val="center"/>
                    <w:rPr>
                      <w:szCs w:val="21"/>
                    </w:rPr>
                  </w:pPr>
                </w:p>
              </w:tc>
              <w:tc>
                <w:tcPr>
                  <w:tcW w:w="622" w:type="pct"/>
                  <w:tcMar>
                    <w:left w:w="57" w:type="dxa"/>
                    <w:right w:w="57" w:type="dxa"/>
                  </w:tcMar>
                  <w:vAlign w:val="center"/>
                </w:tcPr>
                <w:p>
                  <w:pPr>
                    <w:autoSpaceDE w:val="0"/>
                    <w:autoSpaceDN w:val="0"/>
                    <w:jc w:val="center"/>
                    <w:rPr>
                      <w:spacing w:val="9"/>
                      <w:szCs w:val="21"/>
                    </w:rPr>
                  </w:pPr>
                  <w:r>
                    <w:rPr>
                      <w:rFonts w:hint="eastAsia"/>
                      <w:spacing w:val="9"/>
                      <w:szCs w:val="21"/>
                    </w:rPr>
                    <w:t>NO</w:t>
                  </w:r>
                  <w:r>
                    <w:rPr>
                      <w:rFonts w:hint="eastAsia"/>
                      <w:spacing w:val="9"/>
                      <w:szCs w:val="21"/>
                      <w:vertAlign w:val="subscript"/>
                    </w:rPr>
                    <w:t>x</w:t>
                  </w:r>
                </w:p>
              </w:tc>
              <w:tc>
                <w:tcPr>
                  <w:tcW w:w="603" w:type="pct"/>
                  <w:tcMar>
                    <w:left w:w="57" w:type="dxa"/>
                    <w:right w:w="57" w:type="dxa"/>
                  </w:tcMar>
                  <w:vAlign w:val="center"/>
                </w:tcPr>
                <w:p>
                  <w:pPr>
                    <w:autoSpaceDE w:val="0"/>
                    <w:autoSpaceDN w:val="0"/>
                    <w:jc w:val="center"/>
                    <w:rPr>
                      <w:spacing w:val="4"/>
                      <w:szCs w:val="21"/>
                    </w:rPr>
                  </w:pPr>
                  <w:r>
                    <w:rPr>
                      <w:spacing w:val="4"/>
                      <w:szCs w:val="21"/>
                    </w:rPr>
                    <w:t>400</w:t>
                  </w:r>
                </w:p>
              </w:tc>
              <w:tc>
                <w:tcPr>
                  <w:tcW w:w="576" w:type="pct"/>
                  <w:tcMar>
                    <w:left w:w="57" w:type="dxa"/>
                    <w:right w:w="57" w:type="dxa"/>
                  </w:tcMar>
                  <w:vAlign w:val="center"/>
                </w:tcPr>
                <w:p>
                  <w:pPr>
                    <w:autoSpaceDE w:val="0"/>
                    <w:autoSpaceDN w:val="0"/>
                    <w:jc w:val="center"/>
                    <w:rPr>
                      <w:spacing w:val="2"/>
                      <w:position w:val="1"/>
                      <w:szCs w:val="21"/>
                    </w:rPr>
                  </w:pPr>
                  <w:r>
                    <w:rPr>
                      <w:spacing w:val="2"/>
                      <w:position w:val="1"/>
                      <w:szCs w:val="21"/>
                    </w:rPr>
                    <w:t>/</w:t>
                  </w:r>
                </w:p>
              </w:tc>
              <w:tc>
                <w:tcPr>
                  <w:tcW w:w="1441" w:type="pct"/>
                  <w:vMerge w:val="continue"/>
                  <w:tcMar>
                    <w:left w:w="57" w:type="dxa"/>
                    <w:right w:w="57" w:type="dxa"/>
                  </w:tcMar>
                  <w:vAlign w:val="center"/>
                </w:tcPr>
                <w:p>
                  <w:pPr>
                    <w:autoSpaceDE w:val="0"/>
                    <w:autoSpaceDN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2" w:type="pct"/>
                  <w:vMerge w:val="continue"/>
                  <w:tcMar>
                    <w:left w:w="57" w:type="dxa"/>
                    <w:right w:w="57" w:type="dxa"/>
                  </w:tcMar>
                  <w:vAlign w:val="center"/>
                </w:tcPr>
                <w:p>
                  <w:pPr>
                    <w:autoSpaceDE w:val="0"/>
                    <w:autoSpaceDN w:val="0"/>
                    <w:jc w:val="center"/>
                    <w:rPr>
                      <w:szCs w:val="21"/>
                    </w:rPr>
                  </w:pPr>
                </w:p>
              </w:tc>
              <w:tc>
                <w:tcPr>
                  <w:tcW w:w="547" w:type="pct"/>
                  <w:vMerge w:val="continue"/>
                  <w:tcMar>
                    <w:left w:w="57" w:type="dxa"/>
                    <w:right w:w="57" w:type="dxa"/>
                  </w:tcMar>
                  <w:vAlign w:val="center"/>
                </w:tcPr>
                <w:p>
                  <w:pPr>
                    <w:autoSpaceDE w:val="0"/>
                    <w:autoSpaceDN w:val="0"/>
                    <w:jc w:val="center"/>
                    <w:rPr>
                      <w:szCs w:val="21"/>
                    </w:rPr>
                  </w:pPr>
                </w:p>
              </w:tc>
              <w:tc>
                <w:tcPr>
                  <w:tcW w:w="679" w:type="pct"/>
                  <w:vMerge w:val="continue"/>
                  <w:tcMar>
                    <w:left w:w="57" w:type="dxa"/>
                    <w:right w:w="57" w:type="dxa"/>
                  </w:tcMar>
                  <w:vAlign w:val="center"/>
                </w:tcPr>
                <w:p>
                  <w:pPr>
                    <w:autoSpaceDE w:val="0"/>
                    <w:autoSpaceDN w:val="0"/>
                    <w:jc w:val="center"/>
                    <w:rPr>
                      <w:szCs w:val="21"/>
                    </w:rPr>
                  </w:pPr>
                </w:p>
              </w:tc>
              <w:tc>
                <w:tcPr>
                  <w:tcW w:w="622" w:type="pct"/>
                  <w:tcMar>
                    <w:left w:w="57" w:type="dxa"/>
                    <w:right w:w="57" w:type="dxa"/>
                  </w:tcMar>
                  <w:vAlign w:val="center"/>
                </w:tcPr>
                <w:p>
                  <w:pPr>
                    <w:autoSpaceDE w:val="0"/>
                    <w:autoSpaceDN w:val="0"/>
                    <w:jc w:val="center"/>
                    <w:rPr>
                      <w:spacing w:val="9"/>
                      <w:szCs w:val="21"/>
                    </w:rPr>
                  </w:pPr>
                  <w:r>
                    <w:rPr>
                      <w:spacing w:val="9"/>
                      <w:szCs w:val="21"/>
                    </w:rPr>
                    <w:t>烟气黑度</w:t>
                  </w:r>
                </w:p>
              </w:tc>
              <w:tc>
                <w:tcPr>
                  <w:tcW w:w="603" w:type="pct"/>
                  <w:tcMar>
                    <w:left w:w="57" w:type="dxa"/>
                    <w:right w:w="57" w:type="dxa"/>
                  </w:tcMar>
                  <w:vAlign w:val="center"/>
                </w:tcPr>
                <w:p>
                  <w:pPr>
                    <w:autoSpaceDE w:val="0"/>
                    <w:autoSpaceDN w:val="0"/>
                    <w:jc w:val="center"/>
                    <w:rPr>
                      <w:spacing w:val="4"/>
                      <w:szCs w:val="21"/>
                    </w:rPr>
                  </w:pPr>
                  <w:r>
                    <w:rPr>
                      <w:spacing w:val="4"/>
                      <w:szCs w:val="21"/>
                    </w:rPr>
                    <w:t>1</w:t>
                  </w:r>
                </w:p>
              </w:tc>
              <w:tc>
                <w:tcPr>
                  <w:tcW w:w="576" w:type="pct"/>
                  <w:tcMar>
                    <w:left w:w="57" w:type="dxa"/>
                    <w:right w:w="57" w:type="dxa"/>
                  </w:tcMar>
                  <w:vAlign w:val="center"/>
                </w:tcPr>
                <w:p>
                  <w:pPr>
                    <w:autoSpaceDE w:val="0"/>
                    <w:autoSpaceDN w:val="0"/>
                    <w:jc w:val="center"/>
                    <w:rPr>
                      <w:spacing w:val="2"/>
                      <w:position w:val="1"/>
                      <w:szCs w:val="21"/>
                    </w:rPr>
                  </w:pPr>
                  <w:r>
                    <w:rPr>
                      <w:spacing w:val="2"/>
                      <w:position w:val="1"/>
                      <w:szCs w:val="21"/>
                    </w:rPr>
                    <w:t>/</w:t>
                  </w:r>
                </w:p>
              </w:tc>
              <w:tc>
                <w:tcPr>
                  <w:tcW w:w="1441" w:type="pct"/>
                  <w:vMerge w:val="continue"/>
                  <w:tcMar>
                    <w:left w:w="57" w:type="dxa"/>
                    <w:right w:w="57" w:type="dxa"/>
                  </w:tcMar>
                  <w:vAlign w:val="center"/>
                </w:tcPr>
                <w:p>
                  <w:pPr>
                    <w:autoSpaceDE w:val="0"/>
                    <w:autoSpaceDN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532" w:type="pct"/>
                  <w:tcMar>
                    <w:left w:w="57" w:type="dxa"/>
                    <w:right w:w="57" w:type="dxa"/>
                  </w:tcMar>
                  <w:vAlign w:val="center"/>
                </w:tcPr>
                <w:p>
                  <w:pPr>
                    <w:autoSpaceDE w:val="0"/>
                    <w:autoSpaceDN w:val="0"/>
                    <w:jc w:val="center"/>
                    <w:rPr>
                      <w:szCs w:val="21"/>
                    </w:rPr>
                  </w:pPr>
                  <w:r>
                    <w:rPr>
                      <w:szCs w:val="21"/>
                    </w:rPr>
                    <w:t>DA008</w:t>
                  </w:r>
                </w:p>
              </w:tc>
              <w:tc>
                <w:tcPr>
                  <w:tcW w:w="547" w:type="pct"/>
                  <w:tcMar>
                    <w:left w:w="57" w:type="dxa"/>
                    <w:right w:w="57" w:type="dxa"/>
                  </w:tcMar>
                  <w:vAlign w:val="center"/>
                </w:tcPr>
                <w:p>
                  <w:pPr>
                    <w:autoSpaceDE w:val="0"/>
                    <w:autoSpaceDN w:val="0"/>
                    <w:jc w:val="center"/>
                    <w:rPr>
                      <w:szCs w:val="21"/>
                    </w:rPr>
                  </w:pPr>
                  <w:r>
                    <w:rPr>
                      <w:szCs w:val="21"/>
                    </w:rPr>
                    <w:t>刨片工段旋风除尘排放口</w:t>
                  </w:r>
                </w:p>
              </w:tc>
              <w:tc>
                <w:tcPr>
                  <w:tcW w:w="679" w:type="pct"/>
                  <w:tcMar>
                    <w:left w:w="57" w:type="dxa"/>
                    <w:right w:w="57" w:type="dxa"/>
                  </w:tcMar>
                  <w:vAlign w:val="center"/>
                </w:tcPr>
                <w:p>
                  <w:pPr>
                    <w:autoSpaceDE w:val="0"/>
                    <w:autoSpaceDN w:val="0"/>
                    <w:jc w:val="center"/>
                    <w:rPr>
                      <w:szCs w:val="21"/>
                    </w:rPr>
                  </w:pPr>
                  <w:r>
                    <w:rPr>
                      <w:spacing w:val="-1"/>
                      <w:position w:val="1"/>
                      <w:szCs w:val="21"/>
                    </w:rPr>
                    <w:t>15</w:t>
                  </w:r>
                  <w:r>
                    <w:rPr>
                      <w:position w:val="1"/>
                      <w:szCs w:val="21"/>
                    </w:rPr>
                    <w:t>m</w:t>
                  </w:r>
                  <w:r>
                    <w:rPr>
                      <w:spacing w:val="-1"/>
                      <w:position w:val="1"/>
                      <w:szCs w:val="21"/>
                    </w:rPr>
                    <w:t>/0.65</w:t>
                  </w:r>
                  <w:r>
                    <w:rPr>
                      <w:position w:val="1"/>
                      <w:szCs w:val="21"/>
                    </w:rPr>
                    <w:t>m</w:t>
                  </w:r>
                </w:p>
              </w:tc>
              <w:tc>
                <w:tcPr>
                  <w:tcW w:w="622" w:type="pct"/>
                  <w:tcMar>
                    <w:left w:w="57" w:type="dxa"/>
                    <w:right w:w="57" w:type="dxa"/>
                  </w:tcMar>
                  <w:vAlign w:val="center"/>
                </w:tcPr>
                <w:p>
                  <w:pPr>
                    <w:autoSpaceDE w:val="0"/>
                    <w:autoSpaceDN w:val="0"/>
                    <w:jc w:val="center"/>
                    <w:rPr>
                      <w:szCs w:val="21"/>
                    </w:rPr>
                  </w:pPr>
                  <w:r>
                    <w:rPr>
                      <w:szCs w:val="21"/>
                    </w:rPr>
                    <w:t>颗粒物</w:t>
                  </w:r>
                </w:p>
              </w:tc>
              <w:tc>
                <w:tcPr>
                  <w:tcW w:w="603" w:type="pct"/>
                  <w:tcMar>
                    <w:left w:w="57" w:type="dxa"/>
                    <w:right w:w="57" w:type="dxa"/>
                  </w:tcMar>
                  <w:vAlign w:val="center"/>
                </w:tcPr>
                <w:p>
                  <w:pPr>
                    <w:autoSpaceDE w:val="0"/>
                    <w:autoSpaceDN w:val="0"/>
                    <w:jc w:val="center"/>
                    <w:rPr>
                      <w:szCs w:val="21"/>
                    </w:rPr>
                  </w:pPr>
                  <w:r>
                    <w:rPr>
                      <w:szCs w:val="21"/>
                    </w:rPr>
                    <w:t>120</w:t>
                  </w:r>
                </w:p>
              </w:tc>
              <w:tc>
                <w:tcPr>
                  <w:tcW w:w="576" w:type="pct"/>
                  <w:tcMar>
                    <w:left w:w="57" w:type="dxa"/>
                    <w:right w:w="57" w:type="dxa"/>
                  </w:tcMar>
                  <w:vAlign w:val="center"/>
                </w:tcPr>
                <w:p>
                  <w:pPr>
                    <w:autoSpaceDE w:val="0"/>
                    <w:autoSpaceDN w:val="0"/>
                    <w:jc w:val="center"/>
                    <w:rPr>
                      <w:szCs w:val="21"/>
                    </w:rPr>
                  </w:pPr>
                  <w:r>
                    <w:rPr>
                      <w:szCs w:val="21"/>
                    </w:rPr>
                    <w:t>3.5</w:t>
                  </w:r>
                </w:p>
              </w:tc>
              <w:tc>
                <w:tcPr>
                  <w:tcW w:w="1441" w:type="pct"/>
                  <w:vMerge w:val="restart"/>
                  <w:tcMar>
                    <w:left w:w="57" w:type="dxa"/>
                    <w:right w:w="57" w:type="dxa"/>
                  </w:tcMar>
                  <w:vAlign w:val="center"/>
                </w:tcPr>
                <w:p>
                  <w:pPr>
                    <w:autoSpaceDE w:val="0"/>
                    <w:autoSpaceDN w:val="0"/>
                    <w:jc w:val="center"/>
                    <w:rPr>
                      <w:szCs w:val="21"/>
                    </w:rPr>
                  </w:pPr>
                  <w:r>
                    <w:rPr>
                      <w:szCs w:val="21"/>
                    </w:rPr>
                    <w:t>《大气污染物综合排放标准》（GB16297-1996</w:t>
                  </w:r>
                  <w:r>
                    <w:rPr>
                      <w:rFonts w:hint="eastAsia"/>
                      <w:szCs w:val="21"/>
                    </w:rPr>
                    <w:t>）</w:t>
                  </w:r>
                  <w:r>
                    <w:rPr>
                      <w:szCs w:val="21"/>
                    </w:rPr>
                    <w:t>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2" w:type="pct"/>
                  <w:tcMar>
                    <w:left w:w="57" w:type="dxa"/>
                    <w:right w:w="57" w:type="dxa"/>
                  </w:tcMar>
                  <w:vAlign w:val="center"/>
                </w:tcPr>
                <w:p>
                  <w:pPr>
                    <w:autoSpaceDE w:val="0"/>
                    <w:autoSpaceDN w:val="0"/>
                    <w:jc w:val="center"/>
                    <w:rPr>
                      <w:szCs w:val="21"/>
                    </w:rPr>
                  </w:pPr>
                  <w:r>
                    <w:rPr>
                      <w:szCs w:val="21"/>
                    </w:rPr>
                    <w:t>DA009</w:t>
                  </w:r>
                </w:p>
              </w:tc>
              <w:tc>
                <w:tcPr>
                  <w:tcW w:w="547" w:type="pct"/>
                  <w:tcMar>
                    <w:left w:w="57" w:type="dxa"/>
                    <w:right w:w="57" w:type="dxa"/>
                  </w:tcMar>
                  <w:vAlign w:val="center"/>
                </w:tcPr>
                <w:p>
                  <w:pPr>
                    <w:autoSpaceDE w:val="0"/>
                    <w:autoSpaceDN w:val="0"/>
                    <w:jc w:val="center"/>
                    <w:rPr>
                      <w:szCs w:val="21"/>
                    </w:rPr>
                  </w:pPr>
                  <w:r>
                    <w:rPr>
                      <w:szCs w:val="21"/>
                    </w:rPr>
                    <w:t>刨花干燥排放口</w:t>
                  </w:r>
                </w:p>
              </w:tc>
              <w:tc>
                <w:tcPr>
                  <w:tcW w:w="679" w:type="pct"/>
                  <w:tcMar>
                    <w:left w:w="57" w:type="dxa"/>
                    <w:right w:w="57" w:type="dxa"/>
                  </w:tcMar>
                  <w:vAlign w:val="center"/>
                </w:tcPr>
                <w:p>
                  <w:pPr>
                    <w:autoSpaceDE w:val="0"/>
                    <w:autoSpaceDN w:val="0"/>
                    <w:jc w:val="center"/>
                    <w:rPr>
                      <w:szCs w:val="21"/>
                    </w:rPr>
                  </w:pPr>
                  <w:r>
                    <w:rPr>
                      <w:spacing w:val="-1"/>
                      <w:position w:val="1"/>
                      <w:szCs w:val="21"/>
                    </w:rPr>
                    <w:t>15</w:t>
                  </w:r>
                  <w:r>
                    <w:rPr>
                      <w:position w:val="1"/>
                      <w:szCs w:val="21"/>
                    </w:rPr>
                    <w:t>m</w:t>
                  </w:r>
                  <w:r>
                    <w:rPr>
                      <w:spacing w:val="-1"/>
                      <w:position w:val="1"/>
                      <w:szCs w:val="21"/>
                    </w:rPr>
                    <w:t>/0.8</w:t>
                  </w:r>
                  <w:r>
                    <w:rPr>
                      <w:position w:val="1"/>
                      <w:szCs w:val="21"/>
                    </w:rPr>
                    <w:t>m</w:t>
                  </w:r>
                </w:p>
              </w:tc>
              <w:tc>
                <w:tcPr>
                  <w:tcW w:w="622" w:type="pct"/>
                  <w:tcMar>
                    <w:left w:w="57" w:type="dxa"/>
                    <w:right w:w="57" w:type="dxa"/>
                  </w:tcMar>
                  <w:vAlign w:val="center"/>
                </w:tcPr>
                <w:p>
                  <w:pPr>
                    <w:autoSpaceDE w:val="0"/>
                    <w:autoSpaceDN w:val="0"/>
                    <w:jc w:val="center"/>
                    <w:rPr>
                      <w:szCs w:val="21"/>
                    </w:rPr>
                  </w:pPr>
                  <w:r>
                    <w:rPr>
                      <w:szCs w:val="21"/>
                    </w:rPr>
                    <w:t>颗粒物</w:t>
                  </w:r>
                </w:p>
              </w:tc>
              <w:tc>
                <w:tcPr>
                  <w:tcW w:w="603" w:type="pct"/>
                  <w:tcMar>
                    <w:left w:w="57" w:type="dxa"/>
                    <w:right w:w="57" w:type="dxa"/>
                  </w:tcMar>
                  <w:vAlign w:val="center"/>
                </w:tcPr>
                <w:p>
                  <w:pPr>
                    <w:autoSpaceDE w:val="0"/>
                    <w:autoSpaceDN w:val="0"/>
                    <w:jc w:val="center"/>
                    <w:rPr>
                      <w:szCs w:val="21"/>
                    </w:rPr>
                  </w:pPr>
                  <w:r>
                    <w:rPr>
                      <w:szCs w:val="21"/>
                    </w:rPr>
                    <w:t>120</w:t>
                  </w:r>
                </w:p>
              </w:tc>
              <w:tc>
                <w:tcPr>
                  <w:tcW w:w="576" w:type="pct"/>
                  <w:tcMar>
                    <w:left w:w="57" w:type="dxa"/>
                    <w:right w:w="57" w:type="dxa"/>
                  </w:tcMar>
                  <w:vAlign w:val="center"/>
                </w:tcPr>
                <w:p>
                  <w:pPr>
                    <w:autoSpaceDE w:val="0"/>
                    <w:autoSpaceDN w:val="0"/>
                    <w:jc w:val="center"/>
                    <w:rPr>
                      <w:szCs w:val="21"/>
                    </w:rPr>
                  </w:pPr>
                  <w:r>
                    <w:rPr>
                      <w:spacing w:val="-2"/>
                      <w:szCs w:val="21"/>
                    </w:rPr>
                    <w:t>3.5</w:t>
                  </w:r>
                </w:p>
              </w:tc>
              <w:tc>
                <w:tcPr>
                  <w:tcW w:w="1441" w:type="pct"/>
                  <w:vMerge w:val="continue"/>
                  <w:tcMar>
                    <w:left w:w="57" w:type="dxa"/>
                    <w:right w:w="57" w:type="dxa"/>
                  </w:tcMar>
                  <w:vAlign w:val="center"/>
                </w:tcPr>
                <w:p>
                  <w:pPr>
                    <w:autoSpaceDE w:val="0"/>
                    <w:autoSpaceDN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2" w:type="pct"/>
                  <w:tcMar>
                    <w:left w:w="57" w:type="dxa"/>
                    <w:right w:w="57" w:type="dxa"/>
                  </w:tcMar>
                  <w:vAlign w:val="center"/>
                </w:tcPr>
                <w:p>
                  <w:pPr>
                    <w:autoSpaceDE w:val="0"/>
                    <w:autoSpaceDN w:val="0"/>
                    <w:jc w:val="center"/>
                    <w:rPr>
                      <w:szCs w:val="21"/>
                    </w:rPr>
                  </w:pPr>
                  <w:r>
                    <w:rPr>
                      <w:szCs w:val="21"/>
                    </w:rPr>
                    <w:t>DA010</w:t>
                  </w:r>
                </w:p>
              </w:tc>
              <w:tc>
                <w:tcPr>
                  <w:tcW w:w="547" w:type="pct"/>
                  <w:tcMar>
                    <w:left w:w="57" w:type="dxa"/>
                    <w:right w:w="57" w:type="dxa"/>
                  </w:tcMar>
                  <w:vAlign w:val="center"/>
                </w:tcPr>
                <w:p>
                  <w:pPr>
                    <w:autoSpaceDE w:val="0"/>
                    <w:autoSpaceDN w:val="0"/>
                    <w:jc w:val="center"/>
                    <w:rPr>
                      <w:szCs w:val="21"/>
                    </w:rPr>
                  </w:pPr>
                  <w:r>
                    <w:rPr>
                      <w:szCs w:val="21"/>
                    </w:rPr>
                    <w:t>铺装工段旋风除尘器排口</w:t>
                  </w:r>
                </w:p>
              </w:tc>
              <w:tc>
                <w:tcPr>
                  <w:tcW w:w="679" w:type="pct"/>
                  <w:tcMar>
                    <w:left w:w="57" w:type="dxa"/>
                    <w:right w:w="57" w:type="dxa"/>
                  </w:tcMar>
                  <w:vAlign w:val="center"/>
                </w:tcPr>
                <w:p>
                  <w:pPr>
                    <w:autoSpaceDE w:val="0"/>
                    <w:autoSpaceDN w:val="0"/>
                    <w:jc w:val="center"/>
                    <w:rPr>
                      <w:szCs w:val="21"/>
                    </w:rPr>
                  </w:pPr>
                  <w:r>
                    <w:rPr>
                      <w:spacing w:val="8"/>
                      <w:position w:val="1"/>
                      <w:szCs w:val="21"/>
                    </w:rPr>
                    <w:t>15</w:t>
                  </w:r>
                  <w:r>
                    <w:rPr>
                      <w:position w:val="1"/>
                      <w:szCs w:val="21"/>
                    </w:rPr>
                    <w:t>m</w:t>
                  </w:r>
                  <w:r>
                    <w:rPr>
                      <w:spacing w:val="5"/>
                      <w:position w:val="1"/>
                      <w:szCs w:val="21"/>
                    </w:rPr>
                    <w:t>/0.5</w:t>
                  </w:r>
                  <w:r>
                    <w:rPr>
                      <w:position w:val="1"/>
                      <w:szCs w:val="21"/>
                    </w:rPr>
                    <w:t>m</w:t>
                  </w:r>
                </w:p>
              </w:tc>
              <w:tc>
                <w:tcPr>
                  <w:tcW w:w="622" w:type="pct"/>
                  <w:tcMar>
                    <w:left w:w="57" w:type="dxa"/>
                    <w:right w:w="57" w:type="dxa"/>
                  </w:tcMar>
                  <w:vAlign w:val="center"/>
                </w:tcPr>
                <w:p>
                  <w:pPr>
                    <w:autoSpaceDE w:val="0"/>
                    <w:autoSpaceDN w:val="0"/>
                    <w:jc w:val="center"/>
                    <w:rPr>
                      <w:szCs w:val="21"/>
                    </w:rPr>
                  </w:pPr>
                  <w:r>
                    <w:rPr>
                      <w:szCs w:val="21"/>
                    </w:rPr>
                    <w:t>颗粒物</w:t>
                  </w:r>
                </w:p>
              </w:tc>
              <w:tc>
                <w:tcPr>
                  <w:tcW w:w="603" w:type="pct"/>
                  <w:tcMar>
                    <w:left w:w="57" w:type="dxa"/>
                    <w:right w:w="57" w:type="dxa"/>
                  </w:tcMar>
                  <w:vAlign w:val="center"/>
                </w:tcPr>
                <w:p>
                  <w:pPr>
                    <w:autoSpaceDE w:val="0"/>
                    <w:autoSpaceDN w:val="0"/>
                    <w:jc w:val="center"/>
                    <w:rPr>
                      <w:szCs w:val="21"/>
                    </w:rPr>
                  </w:pPr>
                  <w:r>
                    <w:rPr>
                      <w:szCs w:val="21"/>
                    </w:rPr>
                    <w:t>120</w:t>
                  </w:r>
                </w:p>
              </w:tc>
              <w:tc>
                <w:tcPr>
                  <w:tcW w:w="576" w:type="pct"/>
                  <w:tcMar>
                    <w:left w:w="57" w:type="dxa"/>
                    <w:right w:w="57" w:type="dxa"/>
                  </w:tcMar>
                  <w:vAlign w:val="center"/>
                </w:tcPr>
                <w:p>
                  <w:pPr>
                    <w:autoSpaceDE w:val="0"/>
                    <w:autoSpaceDN w:val="0"/>
                    <w:jc w:val="center"/>
                    <w:rPr>
                      <w:szCs w:val="21"/>
                    </w:rPr>
                  </w:pPr>
                  <w:r>
                    <w:rPr>
                      <w:spacing w:val="4"/>
                      <w:szCs w:val="21"/>
                    </w:rPr>
                    <w:t>3.5</w:t>
                  </w:r>
                </w:p>
              </w:tc>
              <w:tc>
                <w:tcPr>
                  <w:tcW w:w="1441" w:type="pct"/>
                  <w:vMerge w:val="continue"/>
                  <w:tcMar>
                    <w:left w:w="57" w:type="dxa"/>
                    <w:right w:w="57" w:type="dxa"/>
                  </w:tcMar>
                  <w:vAlign w:val="center"/>
                </w:tcPr>
                <w:p>
                  <w:pPr>
                    <w:autoSpaceDE w:val="0"/>
                    <w:autoSpaceDN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 w:hRule="atLeast"/>
                <w:jc w:val="center"/>
              </w:trPr>
              <w:tc>
                <w:tcPr>
                  <w:tcW w:w="532" w:type="pct"/>
                  <w:vMerge w:val="restart"/>
                  <w:tcMar>
                    <w:left w:w="57" w:type="dxa"/>
                    <w:right w:w="57" w:type="dxa"/>
                  </w:tcMar>
                  <w:vAlign w:val="center"/>
                </w:tcPr>
                <w:p>
                  <w:pPr>
                    <w:autoSpaceDE w:val="0"/>
                    <w:autoSpaceDN w:val="0"/>
                    <w:jc w:val="center"/>
                    <w:rPr>
                      <w:szCs w:val="21"/>
                    </w:rPr>
                  </w:pPr>
                  <w:r>
                    <w:rPr>
                      <w:szCs w:val="21"/>
                    </w:rPr>
                    <w:t>DA011</w:t>
                  </w:r>
                </w:p>
              </w:tc>
              <w:tc>
                <w:tcPr>
                  <w:tcW w:w="547" w:type="pct"/>
                  <w:vMerge w:val="restart"/>
                  <w:tcMar>
                    <w:left w:w="57" w:type="dxa"/>
                    <w:right w:w="57" w:type="dxa"/>
                  </w:tcMar>
                  <w:vAlign w:val="center"/>
                </w:tcPr>
                <w:p>
                  <w:pPr>
                    <w:autoSpaceDE w:val="0"/>
                    <w:autoSpaceDN w:val="0"/>
                    <w:jc w:val="center"/>
                    <w:rPr>
                      <w:szCs w:val="21"/>
                    </w:rPr>
                  </w:pPr>
                  <w:r>
                    <w:rPr>
                      <w:szCs w:val="21"/>
                    </w:rPr>
                    <w:t>热压凉板工段排气口</w:t>
                  </w:r>
                </w:p>
              </w:tc>
              <w:tc>
                <w:tcPr>
                  <w:tcW w:w="679" w:type="pct"/>
                  <w:vMerge w:val="restart"/>
                  <w:tcMar>
                    <w:left w:w="57" w:type="dxa"/>
                    <w:right w:w="57" w:type="dxa"/>
                  </w:tcMar>
                  <w:vAlign w:val="center"/>
                </w:tcPr>
                <w:p>
                  <w:pPr>
                    <w:autoSpaceDE w:val="0"/>
                    <w:autoSpaceDN w:val="0"/>
                    <w:jc w:val="center"/>
                    <w:rPr>
                      <w:szCs w:val="21"/>
                    </w:rPr>
                  </w:pPr>
                  <w:r>
                    <w:rPr>
                      <w:spacing w:val="8"/>
                      <w:position w:val="1"/>
                      <w:szCs w:val="21"/>
                    </w:rPr>
                    <w:t>15</w:t>
                  </w:r>
                  <w:r>
                    <w:rPr>
                      <w:position w:val="1"/>
                      <w:szCs w:val="21"/>
                    </w:rPr>
                    <w:t>m</w:t>
                  </w:r>
                  <w:r>
                    <w:rPr>
                      <w:spacing w:val="5"/>
                      <w:position w:val="1"/>
                      <w:szCs w:val="21"/>
                    </w:rPr>
                    <w:t>/0.8</w:t>
                  </w:r>
                  <w:r>
                    <w:rPr>
                      <w:position w:val="1"/>
                      <w:szCs w:val="21"/>
                    </w:rPr>
                    <w:t>m</w:t>
                  </w:r>
                </w:p>
              </w:tc>
              <w:tc>
                <w:tcPr>
                  <w:tcW w:w="622" w:type="pct"/>
                  <w:tcMar>
                    <w:left w:w="57" w:type="dxa"/>
                    <w:right w:w="57" w:type="dxa"/>
                  </w:tcMar>
                  <w:vAlign w:val="center"/>
                </w:tcPr>
                <w:p>
                  <w:pPr>
                    <w:autoSpaceDE w:val="0"/>
                    <w:autoSpaceDN w:val="0"/>
                    <w:jc w:val="center"/>
                    <w:rPr>
                      <w:szCs w:val="21"/>
                    </w:rPr>
                  </w:pPr>
                  <w:r>
                    <w:rPr>
                      <w:szCs w:val="21"/>
                    </w:rPr>
                    <w:t>颗粒物</w:t>
                  </w:r>
                </w:p>
              </w:tc>
              <w:tc>
                <w:tcPr>
                  <w:tcW w:w="603" w:type="pct"/>
                  <w:tcMar>
                    <w:left w:w="57" w:type="dxa"/>
                    <w:right w:w="57" w:type="dxa"/>
                  </w:tcMar>
                  <w:vAlign w:val="center"/>
                </w:tcPr>
                <w:p>
                  <w:pPr>
                    <w:autoSpaceDE w:val="0"/>
                    <w:autoSpaceDN w:val="0"/>
                    <w:jc w:val="center"/>
                    <w:rPr>
                      <w:szCs w:val="21"/>
                    </w:rPr>
                  </w:pPr>
                  <w:r>
                    <w:rPr>
                      <w:spacing w:val="2"/>
                      <w:position w:val="1"/>
                      <w:szCs w:val="21"/>
                    </w:rPr>
                    <w:t>120</w:t>
                  </w:r>
                </w:p>
              </w:tc>
              <w:tc>
                <w:tcPr>
                  <w:tcW w:w="576" w:type="pct"/>
                  <w:tcMar>
                    <w:left w:w="57" w:type="dxa"/>
                    <w:right w:w="57" w:type="dxa"/>
                  </w:tcMar>
                  <w:vAlign w:val="center"/>
                </w:tcPr>
                <w:p>
                  <w:pPr>
                    <w:autoSpaceDE w:val="0"/>
                    <w:autoSpaceDN w:val="0"/>
                    <w:jc w:val="center"/>
                    <w:rPr>
                      <w:szCs w:val="21"/>
                    </w:rPr>
                  </w:pPr>
                  <w:r>
                    <w:rPr>
                      <w:spacing w:val="2"/>
                      <w:szCs w:val="21"/>
                    </w:rPr>
                    <w:t>3.5</w:t>
                  </w:r>
                </w:p>
              </w:tc>
              <w:tc>
                <w:tcPr>
                  <w:tcW w:w="1441" w:type="pct"/>
                  <w:vMerge w:val="continue"/>
                  <w:tcMar>
                    <w:left w:w="57" w:type="dxa"/>
                    <w:right w:w="57" w:type="dxa"/>
                  </w:tcMar>
                  <w:vAlign w:val="center"/>
                </w:tcPr>
                <w:p>
                  <w:pPr>
                    <w:autoSpaceDE w:val="0"/>
                    <w:autoSpaceDN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532" w:type="pct"/>
                  <w:vMerge w:val="continue"/>
                  <w:tcMar>
                    <w:left w:w="57" w:type="dxa"/>
                    <w:right w:w="57" w:type="dxa"/>
                  </w:tcMar>
                  <w:vAlign w:val="center"/>
                </w:tcPr>
                <w:p>
                  <w:pPr>
                    <w:autoSpaceDE w:val="0"/>
                    <w:autoSpaceDN w:val="0"/>
                    <w:jc w:val="center"/>
                    <w:rPr>
                      <w:szCs w:val="21"/>
                    </w:rPr>
                  </w:pPr>
                </w:p>
              </w:tc>
              <w:tc>
                <w:tcPr>
                  <w:tcW w:w="547" w:type="pct"/>
                  <w:vMerge w:val="continue"/>
                  <w:tcMar>
                    <w:left w:w="57" w:type="dxa"/>
                    <w:right w:w="57" w:type="dxa"/>
                  </w:tcMar>
                  <w:vAlign w:val="center"/>
                </w:tcPr>
                <w:p>
                  <w:pPr>
                    <w:autoSpaceDE w:val="0"/>
                    <w:autoSpaceDN w:val="0"/>
                    <w:jc w:val="center"/>
                    <w:rPr>
                      <w:szCs w:val="21"/>
                    </w:rPr>
                  </w:pPr>
                </w:p>
              </w:tc>
              <w:tc>
                <w:tcPr>
                  <w:tcW w:w="679" w:type="pct"/>
                  <w:vMerge w:val="continue"/>
                  <w:tcMar>
                    <w:left w:w="57" w:type="dxa"/>
                    <w:right w:w="57" w:type="dxa"/>
                  </w:tcMar>
                  <w:vAlign w:val="center"/>
                </w:tcPr>
                <w:p>
                  <w:pPr>
                    <w:autoSpaceDE w:val="0"/>
                    <w:autoSpaceDN w:val="0"/>
                    <w:jc w:val="center"/>
                    <w:rPr>
                      <w:szCs w:val="21"/>
                    </w:rPr>
                  </w:pPr>
                </w:p>
              </w:tc>
              <w:tc>
                <w:tcPr>
                  <w:tcW w:w="622" w:type="pct"/>
                  <w:tcMar>
                    <w:left w:w="57" w:type="dxa"/>
                    <w:right w:w="57" w:type="dxa"/>
                  </w:tcMar>
                  <w:vAlign w:val="center"/>
                </w:tcPr>
                <w:p>
                  <w:pPr>
                    <w:autoSpaceDE w:val="0"/>
                    <w:autoSpaceDN w:val="0"/>
                    <w:jc w:val="center"/>
                    <w:rPr>
                      <w:szCs w:val="21"/>
                    </w:rPr>
                  </w:pPr>
                  <w:r>
                    <w:rPr>
                      <w:szCs w:val="21"/>
                    </w:rPr>
                    <w:t>甲醛</w:t>
                  </w:r>
                </w:p>
              </w:tc>
              <w:tc>
                <w:tcPr>
                  <w:tcW w:w="603" w:type="pct"/>
                  <w:tcMar>
                    <w:left w:w="57" w:type="dxa"/>
                    <w:right w:w="57" w:type="dxa"/>
                  </w:tcMar>
                  <w:vAlign w:val="center"/>
                </w:tcPr>
                <w:p>
                  <w:pPr>
                    <w:autoSpaceDE w:val="0"/>
                    <w:autoSpaceDN w:val="0"/>
                    <w:jc w:val="center"/>
                    <w:rPr>
                      <w:szCs w:val="21"/>
                    </w:rPr>
                  </w:pPr>
                  <w:r>
                    <w:rPr>
                      <w:spacing w:val="-3"/>
                      <w:szCs w:val="21"/>
                    </w:rPr>
                    <w:t>25</w:t>
                  </w:r>
                </w:p>
              </w:tc>
              <w:tc>
                <w:tcPr>
                  <w:tcW w:w="576" w:type="pct"/>
                  <w:tcMar>
                    <w:left w:w="57" w:type="dxa"/>
                    <w:right w:w="57" w:type="dxa"/>
                  </w:tcMar>
                  <w:vAlign w:val="center"/>
                </w:tcPr>
                <w:p>
                  <w:pPr>
                    <w:autoSpaceDE w:val="0"/>
                    <w:autoSpaceDN w:val="0"/>
                    <w:jc w:val="center"/>
                    <w:rPr>
                      <w:szCs w:val="21"/>
                    </w:rPr>
                  </w:pPr>
                  <w:r>
                    <w:rPr>
                      <w:szCs w:val="21"/>
                    </w:rPr>
                    <w:t>0.26</w:t>
                  </w:r>
                </w:p>
              </w:tc>
              <w:tc>
                <w:tcPr>
                  <w:tcW w:w="1441" w:type="pct"/>
                  <w:vMerge w:val="continue"/>
                  <w:tcMar>
                    <w:left w:w="57" w:type="dxa"/>
                    <w:right w:w="57" w:type="dxa"/>
                  </w:tcMar>
                  <w:vAlign w:val="center"/>
                </w:tcPr>
                <w:p>
                  <w:pPr>
                    <w:autoSpaceDE w:val="0"/>
                    <w:autoSpaceDN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532" w:type="pct"/>
                  <w:vMerge w:val="continue"/>
                  <w:tcMar>
                    <w:left w:w="57" w:type="dxa"/>
                    <w:right w:w="57" w:type="dxa"/>
                  </w:tcMar>
                  <w:vAlign w:val="center"/>
                </w:tcPr>
                <w:p>
                  <w:pPr>
                    <w:autoSpaceDE w:val="0"/>
                    <w:autoSpaceDN w:val="0"/>
                    <w:jc w:val="center"/>
                    <w:rPr>
                      <w:szCs w:val="21"/>
                    </w:rPr>
                  </w:pPr>
                </w:p>
              </w:tc>
              <w:tc>
                <w:tcPr>
                  <w:tcW w:w="547" w:type="pct"/>
                  <w:vMerge w:val="continue"/>
                  <w:tcMar>
                    <w:left w:w="57" w:type="dxa"/>
                    <w:right w:w="57" w:type="dxa"/>
                  </w:tcMar>
                  <w:vAlign w:val="center"/>
                </w:tcPr>
                <w:p>
                  <w:pPr>
                    <w:autoSpaceDE w:val="0"/>
                    <w:autoSpaceDN w:val="0"/>
                    <w:jc w:val="center"/>
                    <w:rPr>
                      <w:szCs w:val="21"/>
                    </w:rPr>
                  </w:pPr>
                </w:p>
              </w:tc>
              <w:tc>
                <w:tcPr>
                  <w:tcW w:w="679" w:type="pct"/>
                  <w:vMerge w:val="continue"/>
                  <w:tcMar>
                    <w:left w:w="57" w:type="dxa"/>
                    <w:right w:w="57" w:type="dxa"/>
                  </w:tcMar>
                  <w:vAlign w:val="center"/>
                </w:tcPr>
                <w:p>
                  <w:pPr>
                    <w:autoSpaceDE w:val="0"/>
                    <w:autoSpaceDN w:val="0"/>
                    <w:jc w:val="center"/>
                    <w:rPr>
                      <w:szCs w:val="21"/>
                    </w:rPr>
                  </w:pPr>
                </w:p>
              </w:tc>
              <w:tc>
                <w:tcPr>
                  <w:tcW w:w="622" w:type="pct"/>
                  <w:tcMar>
                    <w:left w:w="57" w:type="dxa"/>
                    <w:right w:w="57" w:type="dxa"/>
                  </w:tcMar>
                  <w:vAlign w:val="center"/>
                </w:tcPr>
                <w:p>
                  <w:pPr>
                    <w:autoSpaceDE w:val="0"/>
                    <w:autoSpaceDN w:val="0"/>
                    <w:jc w:val="center"/>
                    <w:rPr>
                      <w:szCs w:val="21"/>
                    </w:rPr>
                  </w:pPr>
                  <w:r>
                    <w:rPr>
                      <w:szCs w:val="21"/>
                    </w:rPr>
                    <w:t>挥发性有机物</w:t>
                  </w:r>
                </w:p>
              </w:tc>
              <w:tc>
                <w:tcPr>
                  <w:tcW w:w="603" w:type="pct"/>
                  <w:tcMar>
                    <w:left w:w="57" w:type="dxa"/>
                    <w:right w:w="57" w:type="dxa"/>
                  </w:tcMar>
                  <w:vAlign w:val="center"/>
                </w:tcPr>
                <w:p>
                  <w:pPr>
                    <w:autoSpaceDE w:val="0"/>
                    <w:autoSpaceDN w:val="0"/>
                    <w:jc w:val="center"/>
                    <w:rPr>
                      <w:szCs w:val="21"/>
                    </w:rPr>
                  </w:pPr>
                  <w:r>
                    <w:rPr>
                      <w:szCs w:val="21"/>
                    </w:rPr>
                    <w:t>120</w:t>
                  </w:r>
                </w:p>
              </w:tc>
              <w:tc>
                <w:tcPr>
                  <w:tcW w:w="576" w:type="pct"/>
                  <w:tcMar>
                    <w:left w:w="57" w:type="dxa"/>
                    <w:right w:w="57" w:type="dxa"/>
                  </w:tcMar>
                  <w:vAlign w:val="center"/>
                </w:tcPr>
                <w:p>
                  <w:pPr>
                    <w:autoSpaceDE w:val="0"/>
                    <w:autoSpaceDN w:val="0"/>
                    <w:jc w:val="center"/>
                    <w:rPr>
                      <w:szCs w:val="21"/>
                    </w:rPr>
                  </w:pPr>
                  <w:r>
                    <w:rPr>
                      <w:spacing w:val="4"/>
                      <w:szCs w:val="21"/>
                    </w:rPr>
                    <w:t>10</w:t>
                  </w:r>
                </w:p>
              </w:tc>
              <w:tc>
                <w:tcPr>
                  <w:tcW w:w="1441" w:type="pct"/>
                  <w:vMerge w:val="continue"/>
                  <w:tcMar>
                    <w:left w:w="57" w:type="dxa"/>
                    <w:right w:w="57" w:type="dxa"/>
                  </w:tcMar>
                  <w:vAlign w:val="center"/>
                </w:tcPr>
                <w:p>
                  <w:pPr>
                    <w:autoSpaceDE w:val="0"/>
                    <w:autoSpaceDN w:val="0"/>
                    <w:jc w:val="center"/>
                    <w:rPr>
                      <w:szCs w:val="21"/>
                    </w:rPr>
                  </w:pPr>
                </w:p>
              </w:tc>
            </w:tr>
          </w:tbl>
          <w:p>
            <w:pPr>
              <w:adjustRightInd w:val="0"/>
              <w:spacing w:before="120" w:beforeLines="50" w:line="360" w:lineRule="auto"/>
              <w:ind w:firstLine="482" w:firstLineChars="200"/>
              <w:rPr>
                <w:b/>
                <w:sz w:val="24"/>
                <w:szCs w:val="21"/>
              </w:rPr>
            </w:pPr>
            <w:r>
              <w:rPr>
                <w:rFonts w:hint="eastAsia"/>
                <w:b/>
                <w:sz w:val="24"/>
                <w:szCs w:val="21"/>
              </w:rPr>
              <w:t>二、现有项目污染物产排情况</w:t>
            </w:r>
          </w:p>
          <w:p>
            <w:pPr>
              <w:widowControl/>
              <w:adjustRightInd w:val="0"/>
              <w:spacing w:line="360" w:lineRule="auto"/>
              <w:ind w:firstLine="480" w:firstLineChars="200"/>
              <w:rPr>
                <w:rFonts w:cs="宋体"/>
                <w:kern w:val="0"/>
                <w:sz w:val="24"/>
                <w:lang w:bidi="ar"/>
              </w:rPr>
            </w:pPr>
            <w:r>
              <w:rPr>
                <w:rFonts w:hint="eastAsia" w:cs="宋体"/>
                <w:kern w:val="0"/>
                <w:sz w:val="24"/>
                <w:lang w:bidi="ar"/>
              </w:rPr>
              <w:t>现有项目废气主要为7t</w:t>
            </w:r>
            <w:r>
              <w:rPr>
                <w:rFonts w:cs="宋体"/>
                <w:kern w:val="0"/>
                <w:sz w:val="24"/>
                <w:lang w:bidi="ar"/>
              </w:rPr>
              <w:t>/h</w:t>
            </w:r>
            <w:r>
              <w:rPr>
                <w:rFonts w:hint="eastAsia" w:cs="宋体"/>
                <w:kern w:val="0"/>
                <w:sz w:val="24"/>
                <w:lang w:bidi="ar"/>
              </w:rPr>
              <w:t>导热油锅炉废气、刨片工段生产的粉尘、刨花干燥工段产生的粉尘、铺装工段产生的粉尘、热压凉板工段产生的颗粒物、甲醛和非甲烷总烃。</w:t>
            </w:r>
          </w:p>
          <w:p>
            <w:pPr>
              <w:adjustRightInd w:val="0"/>
              <w:spacing w:line="360" w:lineRule="auto"/>
              <w:ind w:firstLine="480" w:firstLineChars="200"/>
              <w:rPr>
                <w:b/>
                <w:bCs/>
                <w:sz w:val="24"/>
              </w:rPr>
            </w:pPr>
            <w:r>
              <w:rPr>
                <w:rFonts w:hint="eastAsia"/>
                <w:bCs/>
                <w:sz w:val="24"/>
                <w:szCs w:val="28"/>
              </w:rPr>
              <w:t>本次评价拟收集企业近三年自行检测数据，分析现有项目污染物产排情况，但是根据调查，2020年由于新冠肺炎疫情，企业未进行生产；2021年由于市场需求、法人及项目负责人变更，仅2021年3月进行了生产；2022年1月~2022年7月企业停产，建设了本次技改项目内容，对本次技改新增5t/h导热油锅炉烟气处理系统进行整改，增加水膜除尘装置；同时对现有7t/h导热油锅炉烟气处理系统进行改造，增加水膜除尘装置；</w:t>
            </w:r>
            <w:r>
              <w:rPr>
                <w:rFonts w:hint="eastAsia"/>
                <w:sz w:val="24"/>
              </w:rPr>
              <w:t>对现有项目筛选工序废气、打磨工序废气处理设施由“旋风除尘”均改造为“旋风除尘+布袋除尘”处理后呈无组织形式排放；对现有项目</w:t>
            </w:r>
            <w:r>
              <w:rPr>
                <w:rFonts w:hint="eastAsia"/>
                <w:sz w:val="24"/>
                <w:szCs w:val="21"/>
              </w:rPr>
              <w:t>热压凉板环节产生的废气由“集气罩收集+15m高排气筒排放”技改为“集气罩收集+活性炭吸附装置+15m高排气筒”处理后排放。所有工程内容于2</w:t>
            </w:r>
            <w:r>
              <w:rPr>
                <w:sz w:val="24"/>
                <w:szCs w:val="21"/>
              </w:rPr>
              <w:t>022</w:t>
            </w:r>
            <w:r>
              <w:rPr>
                <w:rFonts w:hint="eastAsia"/>
                <w:sz w:val="24"/>
                <w:szCs w:val="21"/>
              </w:rPr>
              <w:t>年7月建设完成，并于2</w:t>
            </w:r>
            <w:r>
              <w:rPr>
                <w:sz w:val="24"/>
                <w:szCs w:val="21"/>
              </w:rPr>
              <w:t>022</w:t>
            </w:r>
            <w:r>
              <w:rPr>
                <w:rFonts w:hint="eastAsia"/>
                <w:sz w:val="24"/>
                <w:szCs w:val="21"/>
              </w:rPr>
              <w:t>年8月生产运行。</w:t>
            </w:r>
          </w:p>
          <w:p>
            <w:pPr>
              <w:widowControl/>
              <w:adjustRightInd w:val="0"/>
              <w:spacing w:line="360" w:lineRule="auto"/>
              <w:ind w:firstLine="480" w:firstLineChars="200"/>
              <w:rPr>
                <w:sz w:val="24"/>
              </w:rPr>
            </w:pPr>
            <w:r>
              <w:rPr>
                <w:rFonts w:hint="eastAsia" w:cs="宋体"/>
                <w:kern w:val="0"/>
                <w:sz w:val="24"/>
                <w:lang w:bidi="ar"/>
              </w:rPr>
              <w:t>本次评价收集到了企业</w:t>
            </w:r>
            <w:r>
              <w:rPr>
                <w:rFonts w:hint="eastAsia"/>
                <w:bCs/>
                <w:sz w:val="24"/>
                <w:szCs w:val="28"/>
              </w:rPr>
              <w:t>2021年3月自行检测报告</w:t>
            </w:r>
            <w:r>
              <w:rPr>
                <w:rFonts w:hint="eastAsia" w:cs="宋体"/>
                <w:kern w:val="0"/>
                <w:sz w:val="24"/>
                <w:lang w:bidi="ar"/>
              </w:rPr>
              <w:t>，2</w:t>
            </w:r>
            <w:r>
              <w:rPr>
                <w:rFonts w:cs="宋体"/>
                <w:kern w:val="0"/>
                <w:sz w:val="24"/>
                <w:lang w:bidi="ar"/>
              </w:rPr>
              <w:t>022</w:t>
            </w:r>
            <w:r>
              <w:rPr>
                <w:rFonts w:hint="eastAsia" w:cs="宋体"/>
                <w:kern w:val="0"/>
                <w:sz w:val="24"/>
                <w:lang w:bidi="ar"/>
              </w:rPr>
              <w:t>年8月~</w:t>
            </w:r>
            <w:r>
              <w:rPr>
                <w:rFonts w:cs="宋体"/>
                <w:kern w:val="0"/>
                <w:sz w:val="24"/>
                <w:lang w:bidi="ar"/>
              </w:rPr>
              <w:t>12</w:t>
            </w:r>
            <w:r>
              <w:rPr>
                <w:rFonts w:hint="eastAsia" w:cs="宋体"/>
                <w:kern w:val="0"/>
                <w:sz w:val="24"/>
                <w:lang w:bidi="ar"/>
              </w:rPr>
              <w:t>月自行检测报告，由于本技改项目于2</w:t>
            </w:r>
            <w:r>
              <w:rPr>
                <w:rFonts w:cs="宋体"/>
                <w:kern w:val="0"/>
                <w:sz w:val="24"/>
                <w:lang w:bidi="ar"/>
              </w:rPr>
              <w:t>022</w:t>
            </w:r>
            <w:r>
              <w:rPr>
                <w:rFonts w:hint="eastAsia" w:cs="宋体"/>
                <w:kern w:val="0"/>
                <w:sz w:val="24"/>
                <w:lang w:bidi="ar"/>
              </w:rPr>
              <w:t>年7月完成，企业2</w:t>
            </w:r>
            <w:r>
              <w:rPr>
                <w:rFonts w:cs="宋体"/>
                <w:kern w:val="0"/>
                <w:sz w:val="24"/>
                <w:lang w:bidi="ar"/>
              </w:rPr>
              <w:t>022</w:t>
            </w:r>
            <w:r>
              <w:rPr>
                <w:rFonts w:hint="eastAsia" w:cs="宋体"/>
                <w:kern w:val="0"/>
                <w:sz w:val="24"/>
                <w:lang w:bidi="ar"/>
              </w:rPr>
              <w:t>年8月~</w:t>
            </w:r>
            <w:r>
              <w:rPr>
                <w:rFonts w:cs="宋体"/>
                <w:kern w:val="0"/>
                <w:sz w:val="24"/>
                <w:lang w:bidi="ar"/>
              </w:rPr>
              <w:t>12</w:t>
            </w:r>
            <w:r>
              <w:rPr>
                <w:rFonts w:hint="eastAsia" w:cs="宋体"/>
                <w:kern w:val="0"/>
                <w:sz w:val="24"/>
                <w:lang w:bidi="ar"/>
              </w:rPr>
              <w:t>月自行监测为本项目技改完成后污染物排放情况。因此本次评价现有项目污染物排放情况根据企业2</w:t>
            </w:r>
            <w:r>
              <w:rPr>
                <w:rFonts w:cs="宋体"/>
                <w:kern w:val="0"/>
                <w:sz w:val="24"/>
                <w:lang w:bidi="ar"/>
              </w:rPr>
              <w:t>021</w:t>
            </w:r>
            <w:r>
              <w:rPr>
                <w:rFonts w:hint="eastAsia" w:cs="宋体"/>
                <w:kern w:val="0"/>
                <w:sz w:val="24"/>
                <w:lang w:bidi="ar"/>
              </w:rPr>
              <w:t>年年检数据进行核算，</w:t>
            </w:r>
            <w:r>
              <w:rPr>
                <w:rFonts w:hint="eastAsia"/>
                <w:sz w:val="24"/>
              </w:rPr>
              <w:t>云南健牛生物科技有限公司</w:t>
            </w:r>
            <w:r>
              <w:rPr>
                <w:kern w:val="0"/>
                <w:sz w:val="24"/>
                <w:lang w:bidi="ar"/>
              </w:rPr>
              <w:t>2021</w:t>
            </w:r>
            <w:r>
              <w:rPr>
                <w:rFonts w:hint="eastAsia" w:cs="宋体"/>
                <w:kern w:val="0"/>
                <w:sz w:val="24"/>
                <w:lang w:bidi="ar"/>
              </w:rPr>
              <w:t>年</w:t>
            </w:r>
            <w:r>
              <w:rPr>
                <w:kern w:val="0"/>
                <w:sz w:val="24"/>
                <w:lang w:bidi="ar"/>
              </w:rPr>
              <w:t>0</w:t>
            </w:r>
            <w:r>
              <w:rPr>
                <w:rFonts w:hint="eastAsia"/>
                <w:kern w:val="0"/>
                <w:sz w:val="24"/>
                <w:lang w:bidi="ar"/>
              </w:rPr>
              <w:t>4</w:t>
            </w:r>
            <w:r>
              <w:rPr>
                <w:rFonts w:hint="eastAsia" w:cs="宋体"/>
                <w:kern w:val="0"/>
                <w:sz w:val="24"/>
                <w:lang w:bidi="ar"/>
              </w:rPr>
              <w:t>月0</w:t>
            </w:r>
            <w:r>
              <w:rPr>
                <w:rFonts w:hint="eastAsia"/>
                <w:kern w:val="0"/>
                <w:sz w:val="24"/>
                <w:lang w:bidi="ar"/>
              </w:rPr>
              <w:t>1</w:t>
            </w:r>
            <w:r>
              <w:rPr>
                <w:rFonts w:hint="eastAsia" w:cs="宋体"/>
                <w:kern w:val="0"/>
                <w:sz w:val="24"/>
                <w:lang w:bidi="ar"/>
              </w:rPr>
              <w:t>日出具的《昆明市澳松人造板制造有限责任公司年产5万立方米木质刨花板项目自行检测报告》（</w:t>
            </w:r>
            <w:r>
              <w:rPr>
                <w:kern w:val="0"/>
                <w:sz w:val="24"/>
                <w:lang w:bidi="ar"/>
              </w:rPr>
              <w:t>NO.</w:t>
            </w:r>
            <w:r>
              <w:rPr>
                <w:rFonts w:hint="eastAsia"/>
                <w:kern w:val="0"/>
                <w:sz w:val="24"/>
                <w:lang w:bidi="ar"/>
              </w:rPr>
              <w:t>21JH288</w:t>
            </w:r>
            <w:r>
              <w:rPr>
                <w:rFonts w:hint="eastAsia" w:cs="宋体"/>
                <w:kern w:val="0"/>
                <w:sz w:val="24"/>
                <w:lang w:bidi="ar"/>
              </w:rPr>
              <w:t>）中的数据，具体如下。</w:t>
            </w:r>
          </w:p>
          <w:p>
            <w:pPr>
              <w:numPr>
                <w:ilvl w:val="0"/>
                <w:numId w:val="4"/>
              </w:numPr>
              <w:adjustRightInd w:val="0"/>
              <w:spacing w:line="360" w:lineRule="auto"/>
              <w:ind w:firstLine="482" w:firstLineChars="200"/>
              <w:rPr>
                <w:b/>
                <w:sz w:val="24"/>
                <w:szCs w:val="21"/>
              </w:rPr>
            </w:pPr>
            <w:r>
              <w:rPr>
                <w:rFonts w:hint="eastAsia"/>
                <w:b/>
                <w:sz w:val="24"/>
                <w:szCs w:val="21"/>
              </w:rPr>
              <w:t>废气</w:t>
            </w:r>
          </w:p>
          <w:p>
            <w:pPr>
              <w:adjustRightInd w:val="0"/>
              <w:spacing w:line="360" w:lineRule="auto"/>
              <w:ind w:firstLine="482" w:firstLineChars="200"/>
              <w:rPr>
                <w:b/>
                <w:sz w:val="24"/>
                <w:szCs w:val="21"/>
              </w:rPr>
            </w:pPr>
            <w:r>
              <w:rPr>
                <w:rFonts w:hint="eastAsia"/>
                <w:b/>
                <w:sz w:val="24"/>
                <w:szCs w:val="21"/>
              </w:rPr>
              <w:t>1）有组织废气</w:t>
            </w:r>
          </w:p>
          <w:p>
            <w:pPr>
              <w:adjustRightInd w:val="0"/>
              <w:spacing w:line="360" w:lineRule="auto"/>
              <w:ind w:firstLine="482" w:firstLineChars="200"/>
              <w:rPr>
                <w:b/>
                <w:sz w:val="24"/>
                <w:szCs w:val="21"/>
              </w:rPr>
            </w:pPr>
            <w:r>
              <w:rPr>
                <w:rFonts w:hint="eastAsia"/>
                <w:b/>
                <w:sz w:val="24"/>
                <w:szCs w:val="21"/>
              </w:rPr>
              <w:t>①7t/h导热油锅炉废气（DA007）</w:t>
            </w:r>
          </w:p>
          <w:p>
            <w:pPr>
              <w:adjustRightInd w:val="0"/>
              <w:spacing w:line="360" w:lineRule="auto"/>
              <w:ind w:firstLine="480" w:firstLineChars="200"/>
              <w:rPr>
                <w:sz w:val="24"/>
                <w:szCs w:val="21"/>
              </w:rPr>
            </w:pPr>
            <w:r>
              <w:rPr>
                <w:rFonts w:hint="eastAsia"/>
                <w:sz w:val="24"/>
                <w:szCs w:val="21"/>
              </w:rPr>
              <w:t>现有项目所需热能由7t/h导热油锅炉燃烧生产过程中产生的砂光木粉、废弃木柴、树皮及检验不合格的不可利用的产品提供，锅炉运行时间24h/d，年运行300天，锅炉燃烧燃料产生锅炉废气主要为颗粒物、NOx、SO</w:t>
            </w:r>
            <w:r>
              <w:rPr>
                <w:rFonts w:hint="eastAsia"/>
                <w:sz w:val="24"/>
                <w:szCs w:val="21"/>
                <w:vertAlign w:val="subscript"/>
              </w:rPr>
              <w:t>2</w:t>
            </w:r>
            <w:r>
              <w:rPr>
                <w:rFonts w:hint="eastAsia"/>
                <w:sz w:val="24"/>
                <w:szCs w:val="21"/>
              </w:rPr>
              <w:t>，采用“多管旋风除尘器”处理后经过1根35m高烟囱（DA007）排放。</w:t>
            </w:r>
          </w:p>
          <w:p>
            <w:pPr>
              <w:adjustRightInd w:val="0"/>
              <w:spacing w:line="360" w:lineRule="auto"/>
              <w:ind w:firstLine="480" w:firstLineChars="200"/>
              <w:rPr>
                <w:sz w:val="24"/>
                <w:szCs w:val="21"/>
              </w:rPr>
            </w:pPr>
            <w:r>
              <w:rPr>
                <w:rFonts w:hint="eastAsia"/>
                <w:sz w:val="24"/>
                <w:szCs w:val="21"/>
              </w:rPr>
              <w:t>2021年3月19日，</w:t>
            </w:r>
            <w:r>
              <w:rPr>
                <w:rFonts w:hint="eastAsia"/>
                <w:sz w:val="24"/>
              </w:rPr>
              <w:t>云南健牛生物科技有限公司</w:t>
            </w:r>
            <w:r>
              <w:rPr>
                <w:rFonts w:hint="eastAsia" w:ascii="宋体" w:hAnsi="宋体" w:cs="宋体"/>
                <w:kern w:val="0"/>
                <w:sz w:val="24"/>
                <w:lang w:bidi="ar"/>
              </w:rPr>
              <w:t>对锅炉排气筒排放口进行监测，其污染物排放情况详见下表。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w:t>
            </w:r>
            <w:r>
              <w:rPr>
                <w:rFonts w:cs="宋体"/>
                <w:b/>
                <w:bCs/>
                <w:kern w:val="0"/>
                <w:sz w:val="24"/>
                <w:szCs w:val="20"/>
                <w:lang w:bidi="ar"/>
              </w:rPr>
              <w:t>12</w:t>
            </w:r>
            <w:r>
              <w:rPr>
                <w:rFonts w:hint="eastAsia" w:cs="宋体"/>
                <w:b/>
                <w:bCs/>
                <w:kern w:val="0"/>
                <w:sz w:val="24"/>
                <w:szCs w:val="20"/>
                <w:lang w:bidi="ar"/>
              </w:rPr>
              <w:t xml:space="preserve">  7t/h导热油锅炉废气排放情况（DA007）</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4"/>
              <w:gridCol w:w="1354"/>
              <w:gridCol w:w="1204"/>
              <w:gridCol w:w="1053"/>
              <w:gridCol w:w="1885"/>
            </w:tblGrid>
            <w:tr>
              <w:tblPrEx>
                <w:tblCellMar>
                  <w:top w:w="0" w:type="dxa"/>
                  <w:left w:w="108" w:type="dxa"/>
                  <w:bottom w:w="0" w:type="dxa"/>
                  <w:right w:w="108" w:type="dxa"/>
                </w:tblCellMar>
              </w:tblPrEx>
              <w:tc>
                <w:tcPr>
                  <w:tcW w:w="1705" w:type="pct"/>
                  <w:vAlign w:val="center"/>
                </w:tcPr>
                <w:p>
                  <w:pPr>
                    <w:adjustRightInd w:val="0"/>
                    <w:jc w:val="center"/>
                    <w:rPr>
                      <w:b/>
                      <w:szCs w:val="21"/>
                    </w:rPr>
                  </w:pPr>
                  <w:r>
                    <w:rPr>
                      <w:b/>
                      <w:szCs w:val="21"/>
                    </w:rPr>
                    <w:t>监测项目</w:t>
                  </w:r>
                </w:p>
              </w:tc>
              <w:tc>
                <w:tcPr>
                  <w:tcW w:w="812" w:type="pct"/>
                  <w:vAlign w:val="center"/>
                </w:tcPr>
                <w:p>
                  <w:pPr>
                    <w:adjustRightInd w:val="0"/>
                    <w:jc w:val="center"/>
                    <w:rPr>
                      <w:b/>
                      <w:szCs w:val="21"/>
                    </w:rPr>
                  </w:pPr>
                  <w:r>
                    <w:rPr>
                      <w:b/>
                      <w:szCs w:val="21"/>
                    </w:rPr>
                    <w:t>颗粒物</w:t>
                  </w:r>
                </w:p>
              </w:tc>
              <w:tc>
                <w:tcPr>
                  <w:tcW w:w="722" w:type="pct"/>
                  <w:vAlign w:val="center"/>
                </w:tcPr>
                <w:p>
                  <w:pPr>
                    <w:adjustRightInd w:val="0"/>
                    <w:jc w:val="center"/>
                    <w:rPr>
                      <w:b/>
                      <w:szCs w:val="21"/>
                    </w:rPr>
                  </w:pPr>
                  <w:r>
                    <w:rPr>
                      <w:b/>
                      <w:szCs w:val="21"/>
                    </w:rPr>
                    <w:t>SO</w:t>
                  </w:r>
                  <w:r>
                    <w:rPr>
                      <w:b/>
                      <w:szCs w:val="21"/>
                      <w:vertAlign w:val="subscript"/>
                    </w:rPr>
                    <w:t>2</w:t>
                  </w:r>
                </w:p>
              </w:tc>
              <w:tc>
                <w:tcPr>
                  <w:tcW w:w="631" w:type="pct"/>
                  <w:vAlign w:val="center"/>
                </w:tcPr>
                <w:p>
                  <w:pPr>
                    <w:adjustRightInd w:val="0"/>
                    <w:jc w:val="center"/>
                    <w:rPr>
                      <w:b/>
                      <w:szCs w:val="21"/>
                    </w:rPr>
                  </w:pPr>
                  <w:r>
                    <w:rPr>
                      <w:b/>
                      <w:szCs w:val="21"/>
                    </w:rPr>
                    <w:t>NO</w:t>
                  </w:r>
                  <w:r>
                    <w:rPr>
                      <w:b/>
                      <w:szCs w:val="21"/>
                      <w:vertAlign w:val="subscript"/>
                    </w:rPr>
                    <w:t>x</w:t>
                  </w:r>
                </w:p>
              </w:tc>
              <w:tc>
                <w:tcPr>
                  <w:tcW w:w="1130" w:type="pct"/>
                  <w:vAlign w:val="center"/>
                </w:tcPr>
                <w:p>
                  <w:pPr>
                    <w:adjustRightInd w:val="0"/>
                    <w:jc w:val="center"/>
                    <w:rPr>
                      <w:b/>
                      <w:szCs w:val="21"/>
                    </w:rPr>
                  </w:pPr>
                  <w:r>
                    <w:rPr>
                      <w:b/>
                      <w:szCs w:val="21"/>
                    </w:rPr>
                    <w:t>烟气黑度（级）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vAlign w:val="center"/>
                </w:tcPr>
                <w:p>
                  <w:pPr>
                    <w:adjustRightInd w:val="0"/>
                    <w:jc w:val="center"/>
                    <w:rPr>
                      <w:b/>
                      <w:szCs w:val="21"/>
                    </w:rPr>
                  </w:pPr>
                  <w:r>
                    <w:rPr>
                      <w:b/>
                      <w:szCs w:val="21"/>
                    </w:rPr>
                    <w:t>平均排放浓度（mg/m</w:t>
                  </w:r>
                  <w:r>
                    <w:rPr>
                      <w:b/>
                      <w:szCs w:val="21"/>
                      <w:vertAlign w:val="superscript"/>
                    </w:rPr>
                    <w:t>3</w:t>
                  </w:r>
                  <w:r>
                    <w:rPr>
                      <w:b/>
                      <w:szCs w:val="21"/>
                    </w:rPr>
                    <w:t>）</w:t>
                  </w:r>
                </w:p>
              </w:tc>
              <w:tc>
                <w:tcPr>
                  <w:tcW w:w="812" w:type="pct"/>
                  <w:vAlign w:val="center"/>
                </w:tcPr>
                <w:p>
                  <w:pPr>
                    <w:adjustRightInd w:val="0"/>
                    <w:jc w:val="center"/>
                    <w:rPr>
                      <w:bCs/>
                      <w:szCs w:val="21"/>
                    </w:rPr>
                  </w:pPr>
                  <w:r>
                    <w:rPr>
                      <w:bCs/>
                      <w:szCs w:val="21"/>
                    </w:rPr>
                    <w:t>46.2</w:t>
                  </w:r>
                </w:p>
              </w:tc>
              <w:tc>
                <w:tcPr>
                  <w:tcW w:w="722" w:type="pct"/>
                  <w:vAlign w:val="center"/>
                </w:tcPr>
                <w:p>
                  <w:pPr>
                    <w:adjustRightInd w:val="0"/>
                    <w:jc w:val="center"/>
                    <w:rPr>
                      <w:bCs/>
                      <w:szCs w:val="21"/>
                    </w:rPr>
                  </w:pPr>
                  <w:r>
                    <w:rPr>
                      <w:bCs/>
                      <w:szCs w:val="21"/>
                    </w:rPr>
                    <w:t>73</w:t>
                  </w:r>
                </w:p>
              </w:tc>
              <w:tc>
                <w:tcPr>
                  <w:tcW w:w="631" w:type="pct"/>
                  <w:vAlign w:val="center"/>
                </w:tcPr>
                <w:p>
                  <w:pPr>
                    <w:adjustRightInd w:val="0"/>
                    <w:jc w:val="center"/>
                    <w:rPr>
                      <w:bCs/>
                      <w:szCs w:val="21"/>
                    </w:rPr>
                  </w:pPr>
                  <w:r>
                    <w:rPr>
                      <w:bCs/>
                      <w:szCs w:val="21"/>
                    </w:rPr>
                    <w:t>72</w:t>
                  </w:r>
                </w:p>
              </w:tc>
              <w:tc>
                <w:tcPr>
                  <w:tcW w:w="1130" w:type="pct"/>
                  <w:vAlign w:val="center"/>
                </w:tcPr>
                <w:p>
                  <w:pPr>
                    <w:adjustRightInd w:val="0"/>
                    <w:jc w:val="center"/>
                    <w:rPr>
                      <w:bCs/>
                      <w:szCs w:val="21"/>
                    </w:rPr>
                  </w:pPr>
                  <w:r>
                    <w:rPr>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vAlign w:val="center"/>
                </w:tcPr>
                <w:p>
                  <w:pPr>
                    <w:adjustRightInd w:val="0"/>
                    <w:jc w:val="center"/>
                    <w:rPr>
                      <w:b/>
                      <w:szCs w:val="21"/>
                    </w:rPr>
                  </w:pPr>
                  <w:r>
                    <w:rPr>
                      <w:b/>
                      <w:szCs w:val="21"/>
                    </w:rPr>
                    <w:t>标准限值</w:t>
                  </w:r>
                </w:p>
              </w:tc>
              <w:tc>
                <w:tcPr>
                  <w:tcW w:w="812" w:type="pct"/>
                  <w:vAlign w:val="center"/>
                </w:tcPr>
                <w:p>
                  <w:pPr>
                    <w:adjustRightInd w:val="0"/>
                    <w:jc w:val="center"/>
                    <w:rPr>
                      <w:bCs/>
                      <w:szCs w:val="21"/>
                    </w:rPr>
                  </w:pPr>
                  <w:r>
                    <w:rPr>
                      <w:bCs/>
                      <w:szCs w:val="21"/>
                    </w:rPr>
                    <w:t>50</w:t>
                  </w:r>
                </w:p>
              </w:tc>
              <w:tc>
                <w:tcPr>
                  <w:tcW w:w="722" w:type="pct"/>
                  <w:vAlign w:val="center"/>
                </w:tcPr>
                <w:p>
                  <w:pPr>
                    <w:adjustRightInd w:val="0"/>
                    <w:jc w:val="center"/>
                    <w:rPr>
                      <w:bCs/>
                      <w:szCs w:val="21"/>
                    </w:rPr>
                  </w:pPr>
                  <w:r>
                    <w:rPr>
                      <w:bCs/>
                      <w:szCs w:val="21"/>
                    </w:rPr>
                    <w:t>300</w:t>
                  </w:r>
                </w:p>
              </w:tc>
              <w:tc>
                <w:tcPr>
                  <w:tcW w:w="631" w:type="pct"/>
                  <w:vAlign w:val="center"/>
                </w:tcPr>
                <w:p>
                  <w:pPr>
                    <w:adjustRightInd w:val="0"/>
                    <w:jc w:val="center"/>
                    <w:rPr>
                      <w:bCs/>
                      <w:szCs w:val="21"/>
                    </w:rPr>
                  </w:pPr>
                  <w:r>
                    <w:rPr>
                      <w:bCs/>
                      <w:szCs w:val="21"/>
                    </w:rPr>
                    <w:t>300</w:t>
                  </w:r>
                </w:p>
              </w:tc>
              <w:tc>
                <w:tcPr>
                  <w:tcW w:w="1130" w:type="pct"/>
                  <w:vAlign w:val="center"/>
                </w:tcPr>
                <w:p>
                  <w:pPr>
                    <w:adjustRightInd w:val="0"/>
                    <w:jc w:val="center"/>
                    <w:rPr>
                      <w:bCs/>
                      <w:szCs w:val="21"/>
                    </w:rPr>
                  </w:pPr>
                  <w:r>
                    <w:rPr>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vAlign w:val="center"/>
                </w:tcPr>
                <w:p>
                  <w:pPr>
                    <w:adjustRightInd w:val="0"/>
                    <w:jc w:val="center"/>
                    <w:rPr>
                      <w:b/>
                      <w:szCs w:val="21"/>
                    </w:rPr>
                  </w:pPr>
                  <w:r>
                    <w:rPr>
                      <w:b/>
                      <w:szCs w:val="21"/>
                    </w:rPr>
                    <w:t>达标情况</w:t>
                  </w:r>
                </w:p>
              </w:tc>
              <w:tc>
                <w:tcPr>
                  <w:tcW w:w="812" w:type="pct"/>
                  <w:vAlign w:val="center"/>
                </w:tcPr>
                <w:p>
                  <w:pPr>
                    <w:adjustRightInd w:val="0"/>
                    <w:jc w:val="center"/>
                    <w:rPr>
                      <w:bCs/>
                      <w:szCs w:val="21"/>
                    </w:rPr>
                  </w:pPr>
                  <w:r>
                    <w:rPr>
                      <w:bCs/>
                      <w:szCs w:val="21"/>
                    </w:rPr>
                    <w:t>达标</w:t>
                  </w:r>
                </w:p>
              </w:tc>
              <w:tc>
                <w:tcPr>
                  <w:tcW w:w="722" w:type="pct"/>
                  <w:vAlign w:val="center"/>
                </w:tcPr>
                <w:p>
                  <w:pPr>
                    <w:adjustRightInd w:val="0"/>
                    <w:jc w:val="center"/>
                    <w:rPr>
                      <w:bCs/>
                      <w:szCs w:val="21"/>
                    </w:rPr>
                  </w:pPr>
                  <w:r>
                    <w:rPr>
                      <w:bCs/>
                      <w:szCs w:val="21"/>
                    </w:rPr>
                    <w:t>达标</w:t>
                  </w:r>
                </w:p>
              </w:tc>
              <w:tc>
                <w:tcPr>
                  <w:tcW w:w="631" w:type="pct"/>
                  <w:vAlign w:val="center"/>
                </w:tcPr>
                <w:p>
                  <w:pPr>
                    <w:adjustRightInd w:val="0"/>
                    <w:jc w:val="center"/>
                    <w:rPr>
                      <w:bCs/>
                      <w:szCs w:val="21"/>
                    </w:rPr>
                  </w:pPr>
                  <w:r>
                    <w:rPr>
                      <w:bCs/>
                      <w:szCs w:val="21"/>
                    </w:rPr>
                    <w:t>达标</w:t>
                  </w:r>
                </w:p>
              </w:tc>
              <w:tc>
                <w:tcPr>
                  <w:tcW w:w="1130" w:type="pct"/>
                  <w:vAlign w:val="center"/>
                </w:tcPr>
                <w:p>
                  <w:pPr>
                    <w:adjustRightInd w:val="0"/>
                    <w:jc w:val="center"/>
                    <w:rPr>
                      <w:bCs/>
                      <w:szCs w:val="21"/>
                    </w:rPr>
                  </w:pPr>
                  <w:r>
                    <w:rPr>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vAlign w:val="center"/>
                </w:tcPr>
                <w:p>
                  <w:pPr>
                    <w:adjustRightInd w:val="0"/>
                    <w:jc w:val="center"/>
                    <w:rPr>
                      <w:b/>
                      <w:szCs w:val="21"/>
                    </w:rPr>
                  </w:pPr>
                  <w:r>
                    <w:rPr>
                      <w:b/>
                      <w:szCs w:val="21"/>
                    </w:rPr>
                    <w:t>排放速率（kg/h）</w:t>
                  </w:r>
                </w:p>
              </w:tc>
              <w:tc>
                <w:tcPr>
                  <w:tcW w:w="812" w:type="pct"/>
                  <w:vAlign w:val="center"/>
                </w:tcPr>
                <w:p>
                  <w:pPr>
                    <w:adjustRightInd w:val="0"/>
                    <w:jc w:val="center"/>
                    <w:rPr>
                      <w:bCs/>
                      <w:szCs w:val="21"/>
                    </w:rPr>
                  </w:pPr>
                  <w:r>
                    <w:rPr>
                      <w:bCs/>
                      <w:szCs w:val="21"/>
                    </w:rPr>
                    <w:t>0.419</w:t>
                  </w:r>
                </w:p>
              </w:tc>
              <w:tc>
                <w:tcPr>
                  <w:tcW w:w="722" w:type="pct"/>
                  <w:vAlign w:val="center"/>
                </w:tcPr>
                <w:p>
                  <w:pPr>
                    <w:adjustRightInd w:val="0"/>
                    <w:jc w:val="center"/>
                    <w:rPr>
                      <w:bCs/>
                      <w:szCs w:val="21"/>
                    </w:rPr>
                  </w:pPr>
                  <w:r>
                    <w:rPr>
                      <w:bCs/>
                      <w:szCs w:val="21"/>
                    </w:rPr>
                    <w:t>0.660</w:t>
                  </w:r>
                </w:p>
              </w:tc>
              <w:tc>
                <w:tcPr>
                  <w:tcW w:w="631" w:type="pct"/>
                  <w:vAlign w:val="center"/>
                </w:tcPr>
                <w:p>
                  <w:pPr>
                    <w:adjustRightInd w:val="0"/>
                    <w:jc w:val="center"/>
                    <w:rPr>
                      <w:bCs/>
                      <w:szCs w:val="21"/>
                    </w:rPr>
                  </w:pPr>
                  <w:r>
                    <w:rPr>
                      <w:bCs/>
                      <w:szCs w:val="21"/>
                    </w:rPr>
                    <w:t>0.653</w:t>
                  </w:r>
                </w:p>
              </w:tc>
              <w:tc>
                <w:tcPr>
                  <w:tcW w:w="1130" w:type="pct"/>
                  <w:vAlign w:val="center"/>
                </w:tcPr>
                <w:p>
                  <w:pPr>
                    <w:adjustRightInd w:val="0"/>
                    <w:jc w:val="center"/>
                    <w:rPr>
                      <w:bCs/>
                      <w:szCs w:val="21"/>
                    </w:rPr>
                  </w:pP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pct"/>
                  <w:vAlign w:val="center"/>
                </w:tcPr>
                <w:p>
                  <w:pPr>
                    <w:adjustRightInd w:val="0"/>
                    <w:jc w:val="center"/>
                    <w:rPr>
                      <w:b/>
                      <w:szCs w:val="21"/>
                    </w:rPr>
                  </w:pPr>
                  <w:r>
                    <w:rPr>
                      <w:b/>
                      <w:szCs w:val="21"/>
                    </w:rPr>
                    <w:t>标况烟气流量（m</w:t>
                  </w:r>
                  <w:r>
                    <w:rPr>
                      <w:b/>
                      <w:szCs w:val="21"/>
                      <w:vertAlign w:val="superscript"/>
                    </w:rPr>
                    <w:t>3</w:t>
                  </w:r>
                  <w:r>
                    <w:rPr>
                      <w:b/>
                      <w:szCs w:val="21"/>
                    </w:rPr>
                    <w:t>/h）</w:t>
                  </w:r>
                </w:p>
              </w:tc>
              <w:tc>
                <w:tcPr>
                  <w:tcW w:w="3295" w:type="pct"/>
                  <w:gridSpan w:val="4"/>
                  <w:vAlign w:val="center"/>
                </w:tcPr>
                <w:p>
                  <w:pPr>
                    <w:adjustRightInd w:val="0"/>
                    <w:jc w:val="center"/>
                    <w:rPr>
                      <w:bCs/>
                      <w:szCs w:val="21"/>
                    </w:rPr>
                  </w:pPr>
                  <w:r>
                    <w:rPr>
                      <w:bCs/>
                      <w:szCs w:val="21"/>
                    </w:rPr>
                    <w:t>13342（3202.08万m</w:t>
                  </w:r>
                  <w:r>
                    <w:rPr>
                      <w:bCs/>
                      <w:szCs w:val="21"/>
                      <w:vertAlign w:val="superscript"/>
                    </w:rPr>
                    <w:t>3</w:t>
                  </w:r>
                  <w:r>
                    <w:rPr>
                      <w:bCs/>
                      <w:szCs w:val="21"/>
                    </w:rPr>
                    <w:t>/a）</w:t>
                  </w:r>
                </w:p>
              </w:tc>
            </w:tr>
          </w:tbl>
          <w:p>
            <w:pPr>
              <w:widowControl/>
              <w:adjustRightInd w:val="0"/>
              <w:spacing w:before="120" w:beforeLines="50" w:line="360" w:lineRule="auto"/>
              <w:ind w:firstLine="480" w:firstLineChars="200"/>
              <w:rPr>
                <w:rFonts w:cs="宋体"/>
                <w:kern w:val="0"/>
                <w:sz w:val="24"/>
                <w:lang w:bidi="ar"/>
              </w:rPr>
            </w:pPr>
            <w:r>
              <w:rPr>
                <w:rFonts w:hint="eastAsia"/>
                <w:bCs/>
                <w:sz w:val="24"/>
                <w:szCs w:val="28"/>
              </w:rPr>
              <w:t>根据监测结果，</w:t>
            </w:r>
            <w:r>
              <w:rPr>
                <w:rFonts w:hint="eastAsia"/>
                <w:sz w:val="24"/>
                <w:szCs w:val="21"/>
              </w:rPr>
              <w:t>7t/h</w:t>
            </w:r>
            <w:r>
              <w:rPr>
                <w:rFonts w:hint="eastAsia" w:cs="宋体"/>
                <w:kern w:val="0"/>
                <w:sz w:val="24"/>
                <w:lang w:bidi="ar"/>
              </w:rPr>
              <w:t>锅炉排气筒（D</w:t>
            </w:r>
            <w:r>
              <w:rPr>
                <w:rFonts w:cs="宋体"/>
                <w:kern w:val="0"/>
                <w:sz w:val="24"/>
                <w:lang w:bidi="ar"/>
              </w:rPr>
              <w:t>A007</w:t>
            </w:r>
            <w:r>
              <w:rPr>
                <w:rFonts w:hint="eastAsia" w:cs="宋体"/>
                <w:kern w:val="0"/>
                <w:sz w:val="24"/>
                <w:lang w:bidi="ar"/>
              </w:rPr>
              <w:t>）烟气中颗粒物、SO</w:t>
            </w:r>
            <w:r>
              <w:rPr>
                <w:rFonts w:hint="eastAsia" w:cs="宋体"/>
                <w:kern w:val="0"/>
                <w:sz w:val="24"/>
                <w:vertAlign w:val="subscript"/>
                <w:lang w:bidi="ar"/>
              </w:rPr>
              <w:t>2</w:t>
            </w:r>
            <w:r>
              <w:rPr>
                <w:rFonts w:hint="eastAsia" w:cs="宋体"/>
                <w:kern w:val="0"/>
                <w:sz w:val="24"/>
                <w:lang w:bidi="ar"/>
              </w:rPr>
              <w:t>、NO</w:t>
            </w:r>
            <w:r>
              <w:rPr>
                <w:rFonts w:hint="eastAsia" w:cs="宋体"/>
                <w:kern w:val="0"/>
                <w:sz w:val="24"/>
                <w:vertAlign w:val="subscript"/>
                <w:lang w:bidi="ar"/>
              </w:rPr>
              <w:t>x</w:t>
            </w:r>
            <w:r>
              <w:rPr>
                <w:rFonts w:hint="eastAsia" w:cs="宋体"/>
                <w:kern w:val="0"/>
                <w:sz w:val="24"/>
                <w:lang w:bidi="ar"/>
              </w:rPr>
              <w:t>、林格曼黑度排放浓度均能达到《锅炉大气污染物排放标准》</w:t>
            </w:r>
            <w:r>
              <w:rPr>
                <w:rFonts w:hint="eastAsia"/>
                <w:kern w:val="0"/>
                <w:sz w:val="24"/>
                <w:lang w:bidi="ar"/>
              </w:rPr>
              <w:t>（</w:t>
            </w:r>
            <w:r>
              <w:rPr>
                <w:kern w:val="0"/>
                <w:sz w:val="24"/>
                <w:lang w:bidi="ar"/>
              </w:rPr>
              <w:t>GB13271-2014</w:t>
            </w:r>
            <w:r>
              <w:rPr>
                <w:rFonts w:hint="eastAsia"/>
                <w:kern w:val="0"/>
                <w:sz w:val="24"/>
                <w:lang w:bidi="ar"/>
              </w:rPr>
              <w:t>）</w:t>
            </w:r>
            <w:r>
              <w:rPr>
                <w:rFonts w:hint="eastAsia" w:cs="宋体"/>
                <w:kern w:val="0"/>
                <w:sz w:val="24"/>
                <w:lang w:bidi="ar"/>
              </w:rPr>
              <w:t>中标准要求。</w:t>
            </w:r>
          </w:p>
          <w:p>
            <w:pPr>
              <w:adjustRightInd w:val="0"/>
              <w:spacing w:line="360" w:lineRule="auto"/>
              <w:ind w:firstLine="480" w:firstLineChars="200"/>
              <w:rPr>
                <w:rFonts w:cs="宋体"/>
                <w:kern w:val="0"/>
                <w:sz w:val="24"/>
                <w:lang w:bidi="ar"/>
              </w:rPr>
            </w:pPr>
            <w:r>
              <w:rPr>
                <w:rFonts w:hint="eastAsia" w:cs="宋体"/>
                <w:kern w:val="0"/>
                <w:sz w:val="24"/>
                <w:lang w:bidi="ar"/>
              </w:rPr>
              <w:t>现有7t/h导热油锅炉废气治理设施对</w:t>
            </w:r>
            <w:r>
              <w:rPr>
                <w:rFonts w:hint="eastAsia"/>
                <w:bCs/>
                <w:sz w:val="24"/>
                <w:szCs w:val="28"/>
              </w:rPr>
              <w:t>SO</w:t>
            </w:r>
            <w:r>
              <w:rPr>
                <w:rFonts w:hint="eastAsia"/>
                <w:bCs/>
                <w:sz w:val="24"/>
                <w:szCs w:val="28"/>
                <w:vertAlign w:val="subscript"/>
              </w:rPr>
              <w:t>2</w:t>
            </w:r>
            <w:r>
              <w:rPr>
                <w:rFonts w:hint="eastAsia"/>
                <w:bCs/>
                <w:sz w:val="24"/>
                <w:szCs w:val="28"/>
              </w:rPr>
              <w:t>、NO</w:t>
            </w:r>
            <w:r>
              <w:rPr>
                <w:rFonts w:hint="eastAsia"/>
                <w:bCs/>
                <w:sz w:val="24"/>
                <w:szCs w:val="28"/>
                <w:vertAlign w:val="subscript"/>
              </w:rPr>
              <w:t>x</w:t>
            </w:r>
            <w:r>
              <w:rPr>
                <w:rFonts w:hint="eastAsia"/>
                <w:bCs/>
                <w:sz w:val="24"/>
                <w:szCs w:val="28"/>
              </w:rPr>
              <w:t>均无去除效率，本次技改新增水膜除尘设施也对SO</w:t>
            </w:r>
            <w:r>
              <w:rPr>
                <w:rFonts w:hint="eastAsia"/>
                <w:bCs/>
                <w:sz w:val="24"/>
                <w:szCs w:val="28"/>
                <w:vertAlign w:val="subscript"/>
              </w:rPr>
              <w:t>2</w:t>
            </w:r>
            <w:r>
              <w:rPr>
                <w:rFonts w:hint="eastAsia"/>
                <w:bCs/>
                <w:sz w:val="24"/>
                <w:szCs w:val="28"/>
              </w:rPr>
              <w:t>、NO</w:t>
            </w:r>
            <w:r>
              <w:rPr>
                <w:rFonts w:hint="eastAsia"/>
                <w:bCs/>
                <w:sz w:val="24"/>
                <w:szCs w:val="28"/>
                <w:vertAlign w:val="subscript"/>
              </w:rPr>
              <w:t>x</w:t>
            </w:r>
            <w:r>
              <w:rPr>
                <w:rFonts w:hint="eastAsia"/>
                <w:bCs/>
                <w:sz w:val="24"/>
                <w:szCs w:val="28"/>
              </w:rPr>
              <w:t>均无去除效率，由于锅炉使用燃料量不变，本次监测数据仅为一次监测，较</w:t>
            </w:r>
            <w:r>
              <w:rPr>
                <w:rFonts w:hint="eastAsia"/>
                <w:sz w:val="24"/>
              </w:rPr>
              <w:t>本项目技改后</w:t>
            </w:r>
            <w:r>
              <w:rPr>
                <w:rFonts w:hint="eastAsia"/>
                <w:bCs/>
                <w:sz w:val="24"/>
                <w:szCs w:val="28"/>
              </w:rPr>
              <w:t>2</w:t>
            </w:r>
            <w:r>
              <w:rPr>
                <w:bCs/>
                <w:sz w:val="24"/>
                <w:szCs w:val="28"/>
              </w:rPr>
              <w:t>022</w:t>
            </w:r>
            <w:r>
              <w:rPr>
                <w:rFonts w:hint="eastAsia"/>
                <w:bCs/>
                <w:sz w:val="24"/>
                <w:szCs w:val="28"/>
              </w:rPr>
              <w:t>年8~</w:t>
            </w:r>
            <w:r>
              <w:rPr>
                <w:bCs/>
                <w:sz w:val="24"/>
                <w:szCs w:val="28"/>
              </w:rPr>
              <w:t>10</w:t>
            </w:r>
            <w:r>
              <w:rPr>
                <w:rFonts w:hint="eastAsia"/>
                <w:bCs/>
                <w:sz w:val="24"/>
                <w:szCs w:val="28"/>
              </w:rPr>
              <w:t>月连续5个月的监测数据出入较大，因此现有项目</w:t>
            </w:r>
            <w:r>
              <w:rPr>
                <w:rFonts w:hint="eastAsia" w:cs="宋体"/>
                <w:kern w:val="0"/>
                <w:sz w:val="24"/>
                <w:lang w:bidi="ar"/>
              </w:rPr>
              <w:t>7t/h导热油锅炉</w:t>
            </w:r>
            <w:r>
              <w:rPr>
                <w:rFonts w:hint="eastAsia"/>
                <w:bCs/>
                <w:sz w:val="24"/>
                <w:szCs w:val="28"/>
              </w:rPr>
              <w:t>废气排气筒SO</w:t>
            </w:r>
            <w:r>
              <w:rPr>
                <w:rFonts w:hint="eastAsia"/>
                <w:bCs/>
                <w:sz w:val="24"/>
                <w:szCs w:val="28"/>
                <w:vertAlign w:val="subscript"/>
              </w:rPr>
              <w:t>2</w:t>
            </w:r>
            <w:r>
              <w:rPr>
                <w:rFonts w:hint="eastAsia"/>
                <w:bCs/>
                <w:sz w:val="24"/>
                <w:szCs w:val="28"/>
              </w:rPr>
              <w:t>、NO</w:t>
            </w:r>
            <w:r>
              <w:rPr>
                <w:rFonts w:hint="eastAsia"/>
                <w:bCs/>
                <w:sz w:val="24"/>
                <w:szCs w:val="28"/>
                <w:vertAlign w:val="subscript"/>
              </w:rPr>
              <w:t>x</w:t>
            </w:r>
            <w:r>
              <w:rPr>
                <w:rFonts w:hint="eastAsia"/>
                <w:bCs/>
                <w:sz w:val="24"/>
                <w:szCs w:val="28"/>
              </w:rPr>
              <w:t>污染物排放量不采用本次监测数据核算，采用2</w:t>
            </w:r>
            <w:r>
              <w:rPr>
                <w:bCs/>
                <w:sz w:val="24"/>
                <w:szCs w:val="28"/>
              </w:rPr>
              <w:t>022</w:t>
            </w:r>
            <w:r>
              <w:rPr>
                <w:rFonts w:hint="eastAsia"/>
                <w:bCs/>
                <w:sz w:val="24"/>
                <w:szCs w:val="28"/>
              </w:rPr>
              <w:t>年8~</w:t>
            </w:r>
            <w:r>
              <w:rPr>
                <w:bCs/>
                <w:sz w:val="24"/>
                <w:szCs w:val="28"/>
              </w:rPr>
              <w:t>10</w:t>
            </w:r>
            <w:r>
              <w:rPr>
                <w:rFonts w:hint="eastAsia"/>
                <w:bCs/>
                <w:sz w:val="24"/>
                <w:szCs w:val="28"/>
              </w:rPr>
              <w:t>月连续5个月监测统计结果核算SO</w:t>
            </w:r>
            <w:r>
              <w:rPr>
                <w:rFonts w:hint="eastAsia"/>
                <w:bCs/>
                <w:sz w:val="24"/>
                <w:szCs w:val="28"/>
                <w:vertAlign w:val="subscript"/>
              </w:rPr>
              <w:t>2</w:t>
            </w:r>
            <w:r>
              <w:rPr>
                <w:rFonts w:hint="eastAsia"/>
                <w:bCs/>
                <w:sz w:val="24"/>
                <w:szCs w:val="28"/>
              </w:rPr>
              <w:t>、NO</w:t>
            </w:r>
            <w:r>
              <w:rPr>
                <w:rFonts w:hint="eastAsia"/>
                <w:bCs/>
                <w:sz w:val="24"/>
                <w:szCs w:val="28"/>
                <w:vertAlign w:val="subscript"/>
              </w:rPr>
              <w:t>x</w:t>
            </w:r>
            <w:r>
              <w:rPr>
                <w:rFonts w:hint="eastAsia"/>
                <w:bCs/>
                <w:sz w:val="24"/>
                <w:szCs w:val="28"/>
              </w:rPr>
              <w:t>排放量，本次监测结果仅作为污染物达标排放评价。</w:t>
            </w:r>
          </w:p>
          <w:p>
            <w:pPr>
              <w:adjustRightInd w:val="0"/>
              <w:spacing w:line="360" w:lineRule="auto"/>
              <w:ind w:firstLine="480" w:firstLineChars="200"/>
              <w:rPr>
                <w:bCs/>
                <w:sz w:val="24"/>
                <w:szCs w:val="28"/>
                <w:highlight w:val="green"/>
              </w:rPr>
            </w:pPr>
            <w:r>
              <w:rPr>
                <w:rFonts w:hint="eastAsia"/>
                <w:bCs/>
                <w:sz w:val="24"/>
                <w:szCs w:val="28"/>
                <w:highlight w:val="green"/>
              </w:rPr>
              <w:t>根据收集的云南健牛环境监测有限公司出具的昆明市澳松人造板制造有限责任公司8月~</w:t>
            </w:r>
            <w:r>
              <w:rPr>
                <w:bCs/>
                <w:sz w:val="24"/>
                <w:szCs w:val="28"/>
                <w:highlight w:val="green"/>
              </w:rPr>
              <w:t>12</w:t>
            </w:r>
            <w:r>
              <w:rPr>
                <w:rFonts w:hint="eastAsia"/>
                <w:bCs/>
                <w:sz w:val="24"/>
                <w:szCs w:val="28"/>
                <w:highlight w:val="green"/>
              </w:rPr>
              <w:t>月自行监测检测报告（详见附件</w:t>
            </w:r>
            <w:r>
              <w:rPr>
                <w:bCs/>
                <w:sz w:val="24"/>
                <w:szCs w:val="28"/>
                <w:highlight w:val="green"/>
              </w:rPr>
              <w:t>12</w:t>
            </w:r>
            <w:r>
              <w:rPr>
                <w:rFonts w:hint="eastAsia"/>
                <w:bCs/>
                <w:sz w:val="24"/>
                <w:szCs w:val="28"/>
                <w:highlight w:val="green"/>
              </w:rPr>
              <w:t>~</w:t>
            </w:r>
            <w:r>
              <w:rPr>
                <w:bCs/>
                <w:sz w:val="24"/>
                <w:szCs w:val="28"/>
                <w:highlight w:val="green"/>
              </w:rPr>
              <w:t>17</w:t>
            </w:r>
            <w:r>
              <w:rPr>
                <w:rFonts w:hint="eastAsia"/>
                <w:bCs/>
                <w:sz w:val="24"/>
                <w:szCs w:val="28"/>
                <w:highlight w:val="green"/>
              </w:rPr>
              <w:t>）可知，本项目7t</w:t>
            </w:r>
            <w:r>
              <w:rPr>
                <w:bCs/>
                <w:sz w:val="24"/>
                <w:szCs w:val="28"/>
                <w:highlight w:val="green"/>
              </w:rPr>
              <w:t>/h</w:t>
            </w:r>
            <w:r>
              <w:rPr>
                <w:rFonts w:hint="eastAsia"/>
                <w:bCs/>
                <w:sz w:val="24"/>
                <w:szCs w:val="28"/>
                <w:highlight w:val="green"/>
              </w:rPr>
              <w:t>导热油锅炉废气排放情况见下表。</w:t>
            </w:r>
          </w:p>
          <w:p>
            <w:pPr>
              <w:widowControl/>
              <w:adjustRightInd w:val="0"/>
              <w:spacing w:line="360" w:lineRule="auto"/>
              <w:jc w:val="center"/>
              <w:rPr>
                <w:rFonts w:cs="宋体"/>
                <w:b/>
                <w:bCs/>
                <w:kern w:val="0"/>
                <w:sz w:val="24"/>
                <w:szCs w:val="20"/>
                <w:highlight w:val="green"/>
                <w:lang w:bidi="ar"/>
              </w:rPr>
            </w:pPr>
            <w:r>
              <w:rPr>
                <w:rFonts w:hint="eastAsia" w:cs="宋体"/>
                <w:b/>
                <w:bCs/>
                <w:kern w:val="0"/>
                <w:sz w:val="24"/>
                <w:szCs w:val="20"/>
                <w:highlight w:val="green"/>
                <w:lang w:bidi="ar"/>
              </w:rPr>
              <w:t>表2-13  7t/h锅炉废气排口污染物排放情况一览表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989"/>
              <w:gridCol w:w="1663"/>
              <w:gridCol w:w="1279"/>
              <w:gridCol w:w="1269"/>
              <w:gridCol w:w="1315"/>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tcMar>
                    <w:left w:w="57" w:type="dxa"/>
                    <w:right w:w="57" w:type="dxa"/>
                  </w:tcMar>
                  <w:vAlign w:val="center"/>
                </w:tcPr>
                <w:p>
                  <w:pPr>
                    <w:adjustRightInd w:val="0"/>
                    <w:jc w:val="center"/>
                    <w:rPr>
                      <w:b/>
                      <w:bCs/>
                      <w:szCs w:val="28"/>
                      <w:highlight w:val="green"/>
                    </w:rPr>
                  </w:pPr>
                  <w:r>
                    <w:rPr>
                      <w:rFonts w:hint="eastAsia"/>
                      <w:b/>
                      <w:bCs/>
                      <w:szCs w:val="28"/>
                      <w:highlight w:val="green"/>
                    </w:rPr>
                    <w:t>监测项目</w:t>
                  </w:r>
                </w:p>
              </w:tc>
              <w:tc>
                <w:tcPr>
                  <w:tcW w:w="592" w:type="pct"/>
                  <w:tcMar>
                    <w:left w:w="57" w:type="dxa"/>
                    <w:right w:w="57" w:type="dxa"/>
                  </w:tcMar>
                  <w:vAlign w:val="center"/>
                </w:tcPr>
                <w:p>
                  <w:pPr>
                    <w:adjustRightInd w:val="0"/>
                    <w:jc w:val="center"/>
                    <w:rPr>
                      <w:b/>
                      <w:bCs/>
                      <w:szCs w:val="28"/>
                      <w:highlight w:val="green"/>
                    </w:rPr>
                  </w:pPr>
                  <w:r>
                    <w:rPr>
                      <w:rFonts w:hint="eastAsia"/>
                      <w:b/>
                      <w:bCs/>
                      <w:szCs w:val="28"/>
                      <w:highlight w:val="green"/>
                    </w:rPr>
                    <w:t>监测时间</w:t>
                  </w:r>
                </w:p>
              </w:tc>
              <w:tc>
                <w:tcPr>
                  <w:tcW w:w="997" w:type="pct"/>
                  <w:tcMar>
                    <w:left w:w="57" w:type="dxa"/>
                    <w:right w:w="57" w:type="dxa"/>
                  </w:tcMar>
                  <w:vAlign w:val="center"/>
                </w:tcPr>
                <w:p>
                  <w:pPr>
                    <w:adjustRightInd w:val="0"/>
                    <w:jc w:val="center"/>
                    <w:rPr>
                      <w:b/>
                      <w:bCs/>
                      <w:szCs w:val="28"/>
                      <w:highlight w:val="green"/>
                    </w:rPr>
                  </w:pPr>
                  <w:r>
                    <w:rPr>
                      <w:rFonts w:hint="eastAsia"/>
                      <w:b/>
                      <w:bCs/>
                      <w:szCs w:val="28"/>
                      <w:highlight w:val="green"/>
                    </w:rPr>
                    <w:t>实测浓度（mg/m</w:t>
                  </w:r>
                  <w:r>
                    <w:rPr>
                      <w:rFonts w:hint="eastAsia"/>
                      <w:b/>
                      <w:bCs/>
                      <w:szCs w:val="28"/>
                      <w:highlight w:val="green"/>
                      <w:vertAlign w:val="superscript"/>
                    </w:rPr>
                    <w:t>3</w:t>
                  </w:r>
                  <w:r>
                    <w:rPr>
                      <w:rFonts w:hint="eastAsia"/>
                      <w:b/>
                      <w:bCs/>
                      <w:szCs w:val="28"/>
                      <w:highlight w:val="green"/>
                    </w:rPr>
                    <w:t>）</w:t>
                  </w:r>
                </w:p>
              </w:tc>
              <w:tc>
                <w:tcPr>
                  <w:tcW w:w="767" w:type="pct"/>
                  <w:tcMar>
                    <w:left w:w="57" w:type="dxa"/>
                    <w:right w:w="57" w:type="dxa"/>
                  </w:tcMar>
                  <w:vAlign w:val="center"/>
                </w:tcPr>
                <w:p>
                  <w:pPr>
                    <w:adjustRightInd w:val="0"/>
                    <w:jc w:val="center"/>
                    <w:rPr>
                      <w:b/>
                      <w:bCs/>
                      <w:szCs w:val="28"/>
                      <w:highlight w:val="green"/>
                    </w:rPr>
                  </w:pPr>
                  <w:r>
                    <w:rPr>
                      <w:rFonts w:hint="eastAsia"/>
                      <w:b/>
                      <w:bCs/>
                      <w:szCs w:val="28"/>
                      <w:highlight w:val="green"/>
                    </w:rPr>
                    <w:t>排放浓度（mg/m</w:t>
                  </w:r>
                  <w:r>
                    <w:rPr>
                      <w:rFonts w:hint="eastAsia"/>
                      <w:b/>
                      <w:bCs/>
                      <w:szCs w:val="28"/>
                      <w:highlight w:val="green"/>
                      <w:vertAlign w:val="superscript"/>
                    </w:rPr>
                    <w:t>3</w:t>
                  </w:r>
                  <w:r>
                    <w:rPr>
                      <w:rFonts w:hint="eastAsia"/>
                      <w:b/>
                      <w:bCs/>
                      <w:szCs w:val="28"/>
                      <w:highlight w:val="green"/>
                    </w:rPr>
                    <w:t>）</w:t>
                  </w:r>
                </w:p>
              </w:tc>
              <w:tc>
                <w:tcPr>
                  <w:tcW w:w="761" w:type="pct"/>
                  <w:tcMar>
                    <w:left w:w="57" w:type="dxa"/>
                    <w:right w:w="57" w:type="dxa"/>
                  </w:tcMar>
                  <w:vAlign w:val="center"/>
                </w:tcPr>
                <w:p>
                  <w:pPr>
                    <w:adjustRightInd w:val="0"/>
                    <w:jc w:val="center"/>
                    <w:rPr>
                      <w:b/>
                      <w:bCs/>
                      <w:szCs w:val="28"/>
                      <w:highlight w:val="green"/>
                    </w:rPr>
                  </w:pPr>
                  <w:r>
                    <w:rPr>
                      <w:rFonts w:hint="eastAsia"/>
                      <w:b/>
                      <w:bCs/>
                      <w:szCs w:val="28"/>
                      <w:highlight w:val="green"/>
                    </w:rPr>
                    <w:t>排放速率（kg/h）</w:t>
                  </w:r>
                </w:p>
              </w:tc>
              <w:tc>
                <w:tcPr>
                  <w:tcW w:w="788" w:type="pct"/>
                  <w:tcMar>
                    <w:left w:w="57" w:type="dxa"/>
                    <w:right w:w="57" w:type="dxa"/>
                  </w:tcMar>
                  <w:vAlign w:val="center"/>
                </w:tcPr>
                <w:p>
                  <w:pPr>
                    <w:adjustRightInd w:val="0"/>
                    <w:jc w:val="center"/>
                    <w:rPr>
                      <w:b/>
                      <w:bCs/>
                      <w:szCs w:val="28"/>
                      <w:highlight w:val="green"/>
                    </w:rPr>
                  </w:pPr>
                  <w:r>
                    <w:rPr>
                      <w:rFonts w:hint="eastAsia"/>
                      <w:b/>
                      <w:bCs/>
                      <w:szCs w:val="28"/>
                      <w:highlight w:val="green"/>
                    </w:rPr>
                    <w:t>标况烟气流量（m</w:t>
                  </w:r>
                  <w:r>
                    <w:rPr>
                      <w:rFonts w:hint="eastAsia"/>
                      <w:b/>
                      <w:bCs/>
                      <w:szCs w:val="28"/>
                      <w:highlight w:val="green"/>
                      <w:vertAlign w:val="superscript"/>
                    </w:rPr>
                    <w:t>3</w:t>
                  </w:r>
                  <w:r>
                    <w:rPr>
                      <w:rFonts w:hint="eastAsia"/>
                      <w:b/>
                      <w:bCs/>
                      <w:szCs w:val="28"/>
                      <w:highlight w:val="green"/>
                    </w:rPr>
                    <w:t>/h）</w:t>
                  </w:r>
                </w:p>
              </w:tc>
              <w:tc>
                <w:tcPr>
                  <w:tcW w:w="506" w:type="pct"/>
                  <w:tcMar>
                    <w:left w:w="57" w:type="dxa"/>
                    <w:right w:w="57" w:type="dxa"/>
                  </w:tcMar>
                  <w:vAlign w:val="center"/>
                </w:tcPr>
                <w:p>
                  <w:pPr>
                    <w:adjustRightInd w:val="0"/>
                    <w:jc w:val="center"/>
                    <w:rPr>
                      <w:b/>
                      <w:bCs/>
                      <w:szCs w:val="28"/>
                      <w:highlight w:val="green"/>
                    </w:rPr>
                  </w:pPr>
                  <w:r>
                    <w:rPr>
                      <w:rFonts w:hint="eastAsia"/>
                      <w:b/>
                      <w:bCs/>
                      <w:szCs w:val="28"/>
                      <w:highlight w:val="green"/>
                    </w:rPr>
                    <w:t>烟气温度（</w:t>
                  </w:r>
                  <w:r>
                    <w:rPr>
                      <w:b/>
                      <w:bCs/>
                      <w:szCs w:val="28"/>
                      <w:highlight w:val="green"/>
                    </w:rPr>
                    <w:t>℃</w:t>
                  </w:r>
                  <w:r>
                    <w:rPr>
                      <w:rFonts w:hint="eastAsia"/>
                      <w:b/>
                      <w:bCs/>
                      <w:szCs w:val="28"/>
                      <w:highlight w:val="gre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restart"/>
                  <w:tcMar>
                    <w:left w:w="57" w:type="dxa"/>
                    <w:right w:w="57" w:type="dxa"/>
                  </w:tcMar>
                  <w:vAlign w:val="center"/>
                </w:tcPr>
                <w:p>
                  <w:pPr>
                    <w:adjustRightInd w:val="0"/>
                    <w:jc w:val="center"/>
                    <w:rPr>
                      <w:bCs/>
                      <w:szCs w:val="28"/>
                      <w:highlight w:val="green"/>
                    </w:rPr>
                  </w:pPr>
                  <w:r>
                    <w:rPr>
                      <w:rFonts w:hint="eastAsia"/>
                      <w:bCs/>
                      <w:szCs w:val="28"/>
                      <w:highlight w:val="green"/>
                    </w:rPr>
                    <w:t>SO</w:t>
                  </w:r>
                  <w:r>
                    <w:rPr>
                      <w:rFonts w:hint="eastAsia"/>
                      <w:bCs/>
                      <w:szCs w:val="28"/>
                      <w:highlight w:val="green"/>
                      <w:vertAlign w:val="subscript"/>
                    </w:rPr>
                    <w:t>2</w:t>
                  </w: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2022.08</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60</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193</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0.721</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12012</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continue"/>
                  <w:tcMar>
                    <w:left w:w="57" w:type="dxa"/>
                    <w:right w:w="57" w:type="dxa"/>
                  </w:tcMar>
                  <w:vAlign w:val="center"/>
                </w:tcPr>
                <w:p>
                  <w:pPr>
                    <w:adjustRightInd w:val="0"/>
                    <w:jc w:val="center"/>
                    <w:rPr>
                      <w:bCs/>
                      <w:szCs w:val="28"/>
                      <w:highlight w:val="green"/>
                    </w:rPr>
                  </w:pP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2022.09</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63</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205</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0.498</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7940</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continue"/>
                  <w:tcMar>
                    <w:left w:w="57" w:type="dxa"/>
                    <w:right w:w="57" w:type="dxa"/>
                  </w:tcMar>
                  <w:vAlign w:val="center"/>
                </w:tcPr>
                <w:p>
                  <w:pPr>
                    <w:adjustRightInd w:val="0"/>
                    <w:jc w:val="center"/>
                    <w:rPr>
                      <w:bCs/>
                      <w:szCs w:val="28"/>
                      <w:highlight w:val="green"/>
                    </w:rPr>
                  </w:pP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2022.10</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68</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215</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0.695</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10236</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continue"/>
                  <w:tcMar>
                    <w:left w:w="57" w:type="dxa"/>
                    <w:right w:w="57" w:type="dxa"/>
                  </w:tcMar>
                  <w:vAlign w:val="center"/>
                </w:tcPr>
                <w:p>
                  <w:pPr>
                    <w:adjustRightInd w:val="0"/>
                    <w:jc w:val="center"/>
                    <w:rPr>
                      <w:bCs/>
                      <w:szCs w:val="28"/>
                      <w:highlight w:val="green"/>
                    </w:rPr>
                  </w:pP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2022.11</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63</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200</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0.497</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7852</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continue"/>
                  <w:tcMar>
                    <w:left w:w="57" w:type="dxa"/>
                    <w:right w:w="57" w:type="dxa"/>
                  </w:tcMar>
                  <w:vAlign w:val="center"/>
                </w:tcPr>
                <w:p>
                  <w:pPr>
                    <w:adjustRightInd w:val="0"/>
                    <w:jc w:val="center"/>
                    <w:rPr>
                      <w:bCs/>
                      <w:szCs w:val="28"/>
                      <w:highlight w:val="green"/>
                    </w:rPr>
                  </w:pP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2022.12</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65</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212</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0.505</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7818</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pct"/>
                  <w:gridSpan w:val="2"/>
                  <w:tcMar>
                    <w:left w:w="57" w:type="dxa"/>
                    <w:right w:w="57" w:type="dxa"/>
                  </w:tcMar>
                  <w:vAlign w:val="center"/>
                </w:tcPr>
                <w:p>
                  <w:pPr>
                    <w:adjustRightInd w:val="0"/>
                    <w:jc w:val="center"/>
                    <w:rPr>
                      <w:bCs/>
                      <w:szCs w:val="28"/>
                      <w:highlight w:val="green"/>
                    </w:rPr>
                  </w:pPr>
                  <w:r>
                    <w:rPr>
                      <w:rFonts w:hint="eastAsia"/>
                      <w:b/>
                      <w:szCs w:val="28"/>
                      <w:highlight w:val="green"/>
                    </w:rPr>
                    <w:t>最大值</w:t>
                  </w:r>
                </w:p>
              </w:tc>
              <w:tc>
                <w:tcPr>
                  <w:tcW w:w="997" w:type="pct"/>
                  <w:tcMar>
                    <w:left w:w="57" w:type="dxa"/>
                    <w:right w:w="57" w:type="dxa"/>
                  </w:tcMar>
                  <w:vAlign w:val="center"/>
                </w:tcPr>
                <w:p>
                  <w:pPr>
                    <w:adjustRightInd w:val="0"/>
                    <w:jc w:val="center"/>
                    <w:rPr>
                      <w:b/>
                      <w:szCs w:val="28"/>
                      <w:highlight w:val="green"/>
                    </w:rPr>
                  </w:pPr>
                  <w:r>
                    <w:rPr>
                      <w:rFonts w:hint="eastAsia" w:eastAsia="等线"/>
                      <w:b/>
                      <w:bCs/>
                      <w:szCs w:val="21"/>
                      <w:highlight w:val="green"/>
                    </w:rPr>
                    <w:t>68</w:t>
                  </w:r>
                </w:p>
              </w:tc>
              <w:tc>
                <w:tcPr>
                  <w:tcW w:w="767" w:type="pct"/>
                  <w:tcMar>
                    <w:left w:w="57" w:type="dxa"/>
                    <w:right w:w="57" w:type="dxa"/>
                  </w:tcMar>
                  <w:vAlign w:val="center"/>
                </w:tcPr>
                <w:p>
                  <w:pPr>
                    <w:adjustRightInd w:val="0"/>
                    <w:jc w:val="center"/>
                    <w:rPr>
                      <w:b/>
                      <w:szCs w:val="28"/>
                      <w:highlight w:val="green"/>
                    </w:rPr>
                  </w:pPr>
                  <w:r>
                    <w:rPr>
                      <w:rFonts w:hint="eastAsia" w:eastAsia="等线"/>
                      <w:b/>
                      <w:bCs/>
                      <w:szCs w:val="21"/>
                      <w:highlight w:val="green"/>
                    </w:rPr>
                    <w:t>215</w:t>
                  </w:r>
                </w:p>
              </w:tc>
              <w:tc>
                <w:tcPr>
                  <w:tcW w:w="761" w:type="pct"/>
                  <w:tcMar>
                    <w:left w:w="57" w:type="dxa"/>
                    <w:right w:w="57" w:type="dxa"/>
                  </w:tcMar>
                  <w:vAlign w:val="center"/>
                </w:tcPr>
                <w:p>
                  <w:pPr>
                    <w:adjustRightInd w:val="0"/>
                    <w:jc w:val="center"/>
                    <w:rPr>
                      <w:b/>
                      <w:szCs w:val="28"/>
                      <w:highlight w:val="green"/>
                    </w:rPr>
                  </w:pPr>
                  <w:r>
                    <w:rPr>
                      <w:rFonts w:hint="eastAsia" w:eastAsia="等线"/>
                      <w:b/>
                      <w:bCs/>
                      <w:szCs w:val="21"/>
                      <w:highlight w:val="green"/>
                    </w:rPr>
                    <w:t>0.721</w:t>
                  </w:r>
                </w:p>
              </w:tc>
              <w:tc>
                <w:tcPr>
                  <w:tcW w:w="788" w:type="pct"/>
                  <w:tcMar>
                    <w:left w:w="57" w:type="dxa"/>
                    <w:right w:w="57" w:type="dxa"/>
                  </w:tcMar>
                  <w:vAlign w:val="center"/>
                </w:tcPr>
                <w:p>
                  <w:pPr>
                    <w:adjustRightInd w:val="0"/>
                    <w:jc w:val="center"/>
                    <w:rPr>
                      <w:b/>
                      <w:szCs w:val="28"/>
                      <w:highlight w:val="green"/>
                    </w:rPr>
                  </w:pPr>
                  <w:r>
                    <w:rPr>
                      <w:rFonts w:hint="eastAsia"/>
                      <w:b/>
                      <w:szCs w:val="28"/>
                      <w:highlight w:val="green"/>
                    </w:rPr>
                    <w:t>12012</w:t>
                  </w:r>
                </w:p>
              </w:tc>
              <w:tc>
                <w:tcPr>
                  <w:tcW w:w="506" w:type="pct"/>
                  <w:tcMar>
                    <w:left w:w="57" w:type="dxa"/>
                    <w:right w:w="57" w:type="dxa"/>
                  </w:tcMar>
                  <w:vAlign w:val="center"/>
                </w:tcPr>
                <w:p>
                  <w:pPr>
                    <w:adjustRightInd w:val="0"/>
                    <w:jc w:val="center"/>
                    <w:rPr>
                      <w:b/>
                      <w:szCs w:val="28"/>
                      <w:highlight w:val="green"/>
                    </w:rPr>
                  </w:pPr>
                  <w:r>
                    <w:rPr>
                      <w:rFonts w:hint="eastAsia"/>
                      <w:b/>
                      <w:szCs w:val="28"/>
                      <w:highlight w:val="green"/>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restart"/>
                  <w:tcMar>
                    <w:left w:w="57" w:type="dxa"/>
                    <w:right w:w="57" w:type="dxa"/>
                  </w:tcMar>
                  <w:vAlign w:val="center"/>
                </w:tcPr>
                <w:p>
                  <w:pPr>
                    <w:adjustRightInd w:val="0"/>
                    <w:jc w:val="center"/>
                    <w:rPr>
                      <w:bCs/>
                      <w:szCs w:val="28"/>
                      <w:highlight w:val="green"/>
                    </w:rPr>
                  </w:pPr>
                  <w:r>
                    <w:rPr>
                      <w:rFonts w:hint="eastAsia"/>
                      <w:bCs/>
                      <w:szCs w:val="28"/>
                      <w:highlight w:val="green"/>
                    </w:rPr>
                    <w:t>NOx</w:t>
                  </w: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2022.08</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68</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220</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0.821</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12012</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continue"/>
                  <w:tcMar>
                    <w:left w:w="57" w:type="dxa"/>
                    <w:right w:w="57" w:type="dxa"/>
                  </w:tcMar>
                  <w:vAlign w:val="center"/>
                </w:tcPr>
                <w:p>
                  <w:pPr>
                    <w:adjustRightInd w:val="0"/>
                    <w:jc w:val="center"/>
                    <w:rPr>
                      <w:bCs/>
                      <w:szCs w:val="28"/>
                      <w:highlight w:val="green"/>
                    </w:rPr>
                  </w:pP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2022.09</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77</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250</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0.612</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7940</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continue"/>
                  <w:tcMar>
                    <w:left w:w="57" w:type="dxa"/>
                    <w:right w:w="57" w:type="dxa"/>
                  </w:tcMar>
                  <w:vAlign w:val="center"/>
                </w:tcPr>
                <w:p>
                  <w:pPr>
                    <w:adjustRightInd w:val="0"/>
                    <w:jc w:val="center"/>
                    <w:rPr>
                      <w:bCs/>
                      <w:szCs w:val="28"/>
                      <w:highlight w:val="green"/>
                    </w:rPr>
                  </w:pP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2022.10</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83</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262</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0.844</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10236</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continue"/>
                  <w:tcMar>
                    <w:left w:w="57" w:type="dxa"/>
                    <w:right w:w="57" w:type="dxa"/>
                  </w:tcMar>
                  <w:vAlign w:val="center"/>
                </w:tcPr>
                <w:p>
                  <w:pPr>
                    <w:adjustRightInd w:val="0"/>
                    <w:jc w:val="center"/>
                    <w:rPr>
                      <w:bCs/>
                      <w:szCs w:val="28"/>
                      <w:highlight w:val="green"/>
                    </w:rPr>
                  </w:pP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2022.11</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81</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255</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0.633</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7852</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continue"/>
                  <w:tcMar>
                    <w:left w:w="57" w:type="dxa"/>
                    <w:right w:w="57" w:type="dxa"/>
                  </w:tcMar>
                  <w:vAlign w:val="center"/>
                </w:tcPr>
                <w:p>
                  <w:pPr>
                    <w:adjustRightInd w:val="0"/>
                    <w:jc w:val="center"/>
                    <w:rPr>
                      <w:bCs/>
                      <w:szCs w:val="28"/>
                      <w:highlight w:val="green"/>
                    </w:rPr>
                  </w:pPr>
                </w:p>
              </w:tc>
              <w:tc>
                <w:tcPr>
                  <w:tcW w:w="592" w:type="pct"/>
                  <w:tcMar>
                    <w:left w:w="57" w:type="dxa"/>
                    <w:right w:w="57" w:type="dxa"/>
                  </w:tcMar>
                  <w:vAlign w:val="center"/>
                </w:tcPr>
                <w:p>
                  <w:pPr>
                    <w:adjustRightInd w:val="0"/>
                    <w:jc w:val="center"/>
                    <w:rPr>
                      <w:bCs/>
                      <w:szCs w:val="28"/>
                      <w:highlight w:val="green"/>
                    </w:rPr>
                  </w:pPr>
                  <w:r>
                    <w:rPr>
                      <w:rFonts w:hint="eastAsia"/>
                      <w:bCs/>
                      <w:szCs w:val="28"/>
                      <w:highlight w:val="green"/>
                    </w:rPr>
                    <w:t>2022.12</w:t>
                  </w:r>
                </w:p>
              </w:tc>
              <w:tc>
                <w:tcPr>
                  <w:tcW w:w="997" w:type="pct"/>
                  <w:tcMar>
                    <w:left w:w="57" w:type="dxa"/>
                    <w:right w:w="57" w:type="dxa"/>
                  </w:tcMar>
                  <w:vAlign w:val="center"/>
                </w:tcPr>
                <w:p>
                  <w:pPr>
                    <w:adjustRightInd w:val="0"/>
                    <w:jc w:val="center"/>
                    <w:rPr>
                      <w:bCs/>
                      <w:szCs w:val="28"/>
                      <w:highlight w:val="green"/>
                    </w:rPr>
                  </w:pPr>
                  <w:r>
                    <w:rPr>
                      <w:rFonts w:hint="eastAsia"/>
                      <w:bCs/>
                      <w:szCs w:val="28"/>
                      <w:highlight w:val="green"/>
                    </w:rPr>
                    <w:t>82</w:t>
                  </w:r>
                </w:p>
              </w:tc>
              <w:tc>
                <w:tcPr>
                  <w:tcW w:w="767" w:type="pct"/>
                  <w:tcMar>
                    <w:left w:w="57" w:type="dxa"/>
                    <w:right w:w="57" w:type="dxa"/>
                  </w:tcMar>
                  <w:vAlign w:val="center"/>
                </w:tcPr>
                <w:p>
                  <w:pPr>
                    <w:adjustRightInd w:val="0"/>
                    <w:jc w:val="center"/>
                    <w:rPr>
                      <w:bCs/>
                      <w:szCs w:val="28"/>
                      <w:highlight w:val="green"/>
                    </w:rPr>
                  </w:pPr>
                  <w:r>
                    <w:rPr>
                      <w:rFonts w:hint="eastAsia"/>
                      <w:bCs/>
                      <w:szCs w:val="28"/>
                      <w:highlight w:val="green"/>
                    </w:rPr>
                    <w:t>268</w:t>
                  </w:r>
                </w:p>
              </w:tc>
              <w:tc>
                <w:tcPr>
                  <w:tcW w:w="761" w:type="pct"/>
                  <w:tcMar>
                    <w:left w:w="57" w:type="dxa"/>
                    <w:right w:w="57" w:type="dxa"/>
                  </w:tcMar>
                  <w:vAlign w:val="center"/>
                </w:tcPr>
                <w:p>
                  <w:pPr>
                    <w:adjustRightInd w:val="0"/>
                    <w:jc w:val="center"/>
                    <w:rPr>
                      <w:bCs/>
                      <w:szCs w:val="28"/>
                      <w:highlight w:val="green"/>
                    </w:rPr>
                  </w:pPr>
                  <w:r>
                    <w:rPr>
                      <w:rFonts w:hint="eastAsia"/>
                      <w:bCs/>
                      <w:szCs w:val="28"/>
                      <w:highlight w:val="green"/>
                    </w:rPr>
                    <w:t>0.641</w:t>
                  </w:r>
                </w:p>
              </w:tc>
              <w:tc>
                <w:tcPr>
                  <w:tcW w:w="788" w:type="pct"/>
                  <w:tcMar>
                    <w:left w:w="57" w:type="dxa"/>
                    <w:right w:w="57" w:type="dxa"/>
                  </w:tcMar>
                  <w:vAlign w:val="center"/>
                </w:tcPr>
                <w:p>
                  <w:pPr>
                    <w:adjustRightInd w:val="0"/>
                    <w:jc w:val="center"/>
                    <w:rPr>
                      <w:bCs/>
                      <w:szCs w:val="28"/>
                      <w:highlight w:val="green"/>
                    </w:rPr>
                  </w:pPr>
                  <w:r>
                    <w:rPr>
                      <w:rFonts w:hint="eastAsia"/>
                      <w:bCs/>
                      <w:szCs w:val="28"/>
                      <w:highlight w:val="green"/>
                    </w:rPr>
                    <w:t>7818</w:t>
                  </w:r>
                </w:p>
              </w:tc>
              <w:tc>
                <w:tcPr>
                  <w:tcW w:w="506" w:type="pct"/>
                  <w:tcMar>
                    <w:left w:w="57" w:type="dxa"/>
                    <w:right w:w="57" w:type="dxa"/>
                  </w:tcMar>
                  <w:vAlign w:val="center"/>
                </w:tcPr>
                <w:p>
                  <w:pPr>
                    <w:adjustRightInd w:val="0"/>
                    <w:jc w:val="center"/>
                    <w:rPr>
                      <w:bCs/>
                      <w:szCs w:val="28"/>
                      <w:highlight w:val="green"/>
                    </w:rPr>
                  </w:pPr>
                  <w:r>
                    <w:rPr>
                      <w:rFonts w:hint="eastAsia"/>
                      <w:bCs/>
                      <w:szCs w:val="28"/>
                      <w:highlight w:val="green"/>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pct"/>
                  <w:gridSpan w:val="2"/>
                  <w:tcMar>
                    <w:left w:w="57" w:type="dxa"/>
                    <w:right w:w="57" w:type="dxa"/>
                  </w:tcMar>
                  <w:vAlign w:val="center"/>
                </w:tcPr>
                <w:p>
                  <w:pPr>
                    <w:adjustRightInd w:val="0"/>
                    <w:jc w:val="center"/>
                    <w:rPr>
                      <w:bCs/>
                      <w:szCs w:val="28"/>
                      <w:highlight w:val="green"/>
                    </w:rPr>
                  </w:pPr>
                  <w:r>
                    <w:rPr>
                      <w:rFonts w:hint="eastAsia"/>
                      <w:b/>
                      <w:szCs w:val="28"/>
                      <w:highlight w:val="green"/>
                    </w:rPr>
                    <w:t>最大值</w:t>
                  </w:r>
                </w:p>
              </w:tc>
              <w:tc>
                <w:tcPr>
                  <w:tcW w:w="997" w:type="pct"/>
                  <w:tcMar>
                    <w:left w:w="57" w:type="dxa"/>
                    <w:right w:w="57" w:type="dxa"/>
                  </w:tcMar>
                  <w:vAlign w:val="center"/>
                </w:tcPr>
                <w:p>
                  <w:pPr>
                    <w:adjustRightInd w:val="0"/>
                    <w:jc w:val="center"/>
                    <w:rPr>
                      <w:b/>
                      <w:szCs w:val="28"/>
                      <w:highlight w:val="green"/>
                    </w:rPr>
                  </w:pPr>
                  <w:r>
                    <w:rPr>
                      <w:rFonts w:hint="eastAsia" w:eastAsia="等线"/>
                      <w:b/>
                      <w:bCs/>
                      <w:szCs w:val="21"/>
                      <w:highlight w:val="green"/>
                    </w:rPr>
                    <w:t>83</w:t>
                  </w:r>
                </w:p>
              </w:tc>
              <w:tc>
                <w:tcPr>
                  <w:tcW w:w="767" w:type="pct"/>
                  <w:tcMar>
                    <w:left w:w="57" w:type="dxa"/>
                    <w:right w:w="57" w:type="dxa"/>
                  </w:tcMar>
                  <w:vAlign w:val="center"/>
                </w:tcPr>
                <w:p>
                  <w:pPr>
                    <w:adjustRightInd w:val="0"/>
                    <w:jc w:val="center"/>
                    <w:rPr>
                      <w:b/>
                      <w:szCs w:val="28"/>
                      <w:highlight w:val="green"/>
                    </w:rPr>
                  </w:pPr>
                  <w:r>
                    <w:rPr>
                      <w:rFonts w:hint="eastAsia" w:eastAsia="等线"/>
                      <w:b/>
                      <w:bCs/>
                      <w:szCs w:val="21"/>
                      <w:highlight w:val="green"/>
                    </w:rPr>
                    <w:t>268</w:t>
                  </w:r>
                </w:p>
              </w:tc>
              <w:tc>
                <w:tcPr>
                  <w:tcW w:w="761" w:type="pct"/>
                  <w:tcMar>
                    <w:left w:w="57" w:type="dxa"/>
                    <w:right w:w="57" w:type="dxa"/>
                  </w:tcMar>
                  <w:vAlign w:val="center"/>
                </w:tcPr>
                <w:p>
                  <w:pPr>
                    <w:adjustRightInd w:val="0"/>
                    <w:jc w:val="center"/>
                    <w:rPr>
                      <w:b/>
                      <w:szCs w:val="28"/>
                      <w:highlight w:val="green"/>
                    </w:rPr>
                  </w:pPr>
                  <w:r>
                    <w:rPr>
                      <w:rFonts w:hint="eastAsia" w:eastAsia="等线"/>
                      <w:b/>
                      <w:bCs/>
                      <w:szCs w:val="21"/>
                      <w:highlight w:val="green"/>
                    </w:rPr>
                    <w:t>0.844</w:t>
                  </w:r>
                </w:p>
              </w:tc>
              <w:tc>
                <w:tcPr>
                  <w:tcW w:w="788" w:type="pct"/>
                  <w:tcMar>
                    <w:left w:w="57" w:type="dxa"/>
                    <w:right w:w="57" w:type="dxa"/>
                  </w:tcMar>
                  <w:vAlign w:val="center"/>
                </w:tcPr>
                <w:p>
                  <w:pPr>
                    <w:adjustRightInd w:val="0"/>
                    <w:jc w:val="center"/>
                    <w:rPr>
                      <w:b/>
                      <w:szCs w:val="28"/>
                      <w:highlight w:val="green"/>
                    </w:rPr>
                  </w:pPr>
                  <w:r>
                    <w:rPr>
                      <w:rFonts w:hint="eastAsia"/>
                      <w:b/>
                      <w:szCs w:val="28"/>
                      <w:highlight w:val="green"/>
                    </w:rPr>
                    <w:t>12012</w:t>
                  </w:r>
                </w:p>
              </w:tc>
              <w:tc>
                <w:tcPr>
                  <w:tcW w:w="506" w:type="pct"/>
                  <w:tcMar>
                    <w:left w:w="57" w:type="dxa"/>
                    <w:right w:w="57" w:type="dxa"/>
                  </w:tcMar>
                  <w:vAlign w:val="center"/>
                </w:tcPr>
                <w:p>
                  <w:pPr>
                    <w:adjustRightInd w:val="0"/>
                    <w:jc w:val="center"/>
                    <w:rPr>
                      <w:b/>
                      <w:szCs w:val="28"/>
                      <w:highlight w:val="green"/>
                    </w:rPr>
                  </w:pPr>
                  <w:r>
                    <w:rPr>
                      <w:rFonts w:hint="eastAsia"/>
                      <w:b/>
                      <w:szCs w:val="28"/>
                      <w:highlight w:val="green"/>
                    </w:rPr>
                    <w:t>61.7</w:t>
                  </w:r>
                </w:p>
              </w:tc>
            </w:tr>
          </w:tbl>
          <w:p>
            <w:pPr>
              <w:adjustRightInd w:val="0"/>
              <w:spacing w:before="120" w:beforeLines="50" w:line="360" w:lineRule="auto"/>
              <w:ind w:firstLine="480" w:firstLineChars="200"/>
              <w:rPr>
                <w:bCs/>
                <w:sz w:val="24"/>
                <w:szCs w:val="28"/>
                <w:highlight w:val="green"/>
              </w:rPr>
            </w:pPr>
            <w:r>
              <w:rPr>
                <w:rFonts w:hint="eastAsia"/>
                <w:bCs/>
                <w:sz w:val="24"/>
                <w:szCs w:val="28"/>
                <w:highlight w:val="green"/>
              </w:rPr>
              <w:t>根据上表监测结果统计，7</w:t>
            </w:r>
            <w:r>
              <w:rPr>
                <w:bCs/>
                <w:sz w:val="24"/>
                <w:szCs w:val="28"/>
                <w:highlight w:val="green"/>
              </w:rPr>
              <w:t>t/h</w:t>
            </w:r>
            <w:r>
              <w:rPr>
                <w:rFonts w:hint="eastAsia"/>
                <w:bCs/>
                <w:sz w:val="24"/>
                <w:szCs w:val="28"/>
                <w:highlight w:val="green"/>
              </w:rPr>
              <w:t>锅炉排放口SO</w:t>
            </w:r>
            <w:r>
              <w:rPr>
                <w:rFonts w:hint="eastAsia"/>
                <w:bCs/>
                <w:sz w:val="24"/>
                <w:szCs w:val="28"/>
                <w:highlight w:val="green"/>
                <w:vertAlign w:val="subscript"/>
              </w:rPr>
              <w:t>2</w:t>
            </w:r>
            <w:r>
              <w:rPr>
                <w:rFonts w:hint="eastAsia"/>
                <w:bCs/>
                <w:sz w:val="24"/>
                <w:szCs w:val="28"/>
                <w:highlight w:val="green"/>
              </w:rPr>
              <w:t>排放浓度为215</w:t>
            </w:r>
            <w:r>
              <w:rPr>
                <w:bCs/>
                <w:sz w:val="24"/>
                <w:szCs w:val="28"/>
                <w:highlight w:val="green"/>
              </w:rPr>
              <w:t>m</w:t>
            </w:r>
            <w:r>
              <w:rPr>
                <w:rFonts w:hint="eastAsia"/>
                <w:bCs/>
                <w:sz w:val="24"/>
                <w:szCs w:val="28"/>
                <w:highlight w:val="green"/>
              </w:rPr>
              <w:t>g</w:t>
            </w:r>
            <w:r>
              <w:rPr>
                <w:bCs/>
                <w:sz w:val="24"/>
                <w:szCs w:val="28"/>
                <w:highlight w:val="green"/>
              </w:rPr>
              <w:t>/m</w:t>
            </w:r>
            <w:r>
              <w:rPr>
                <w:bCs/>
                <w:sz w:val="24"/>
                <w:szCs w:val="28"/>
                <w:highlight w:val="green"/>
                <w:vertAlign w:val="superscript"/>
              </w:rPr>
              <w:t>3</w:t>
            </w:r>
            <w:r>
              <w:rPr>
                <w:rFonts w:hint="eastAsia"/>
                <w:bCs/>
                <w:sz w:val="24"/>
                <w:szCs w:val="28"/>
                <w:highlight w:val="green"/>
              </w:rPr>
              <w:t>，NO</w:t>
            </w:r>
            <w:r>
              <w:rPr>
                <w:rFonts w:hint="eastAsia"/>
                <w:bCs/>
                <w:sz w:val="24"/>
                <w:szCs w:val="28"/>
                <w:highlight w:val="green"/>
                <w:vertAlign w:val="subscript"/>
              </w:rPr>
              <w:t>x</w:t>
            </w:r>
            <w:r>
              <w:rPr>
                <w:rFonts w:hint="eastAsia"/>
                <w:bCs/>
                <w:sz w:val="24"/>
                <w:szCs w:val="28"/>
                <w:highlight w:val="green"/>
              </w:rPr>
              <w:t>排放浓度为268</w:t>
            </w:r>
            <w:r>
              <w:rPr>
                <w:bCs/>
                <w:sz w:val="24"/>
                <w:szCs w:val="28"/>
                <w:highlight w:val="green"/>
              </w:rPr>
              <w:t>m</w:t>
            </w:r>
            <w:r>
              <w:rPr>
                <w:rFonts w:hint="eastAsia"/>
                <w:bCs/>
                <w:sz w:val="24"/>
                <w:szCs w:val="28"/>
                <w:highlight w:val="green"/>
              </w:rPr>
              <w:t>g</w:t>
            </w:r>
            <w:r>
              <w:rPr>
                <w:bCs/>
                <w:sz w:val="24"/>
                <w:szCs w:val="28"/>
                <w:highlight w:val="green"/>
              </w:rPr>
              <w:t>/m</w:t>
            </w:r>
            <w:r>
              <w:rPr>
                <w:bCs/>
                <w:sz w:val="24"/>
                <w:szCs w:val="28"/>
                <w:highlight w:val="green"/>
                <w:vertAlign w:val="superscript"/>
              </w:rPr>
              <w:t>3</w:t>
            </w:r>
            <w:r>
              <w:rPr>
                <w:rFonts w:hint="eastAsia"/>
                <w:bCs/>
                <w:sz w:val="24"/>
                <w:szCs w:val="28"/>
                <w:highlight w:val="green"/>
              </w:rPr>
              <w:t>，能满足《锅炉大气污染物排放标准》（GB13271-2014）表2中燃煤锅炉标准要求，即：NO</w:t>
            </w:r>
            <w:r>
              <w:rPr>
                <w:rFonts w:hint="eastAsia"/>
                <w:bCs/>
                <w:sz w:val="24"/>
                <w:szCs w:val="28"/>
                <w:highlight w:val="green"/>
                <w:vertAlign w:val="subscript"/>
              </w:rPr>
              <w:t>x</w:t>
            </w:r>
            <w:r>
              <w:rPr>
                <w:bCs/>
                <w:sz w:val="24"/>
                <w:szCs w:val="28"/>
                <w:highlight w:val="green"/>
              </w:rPr>
              <w:t>≤</w:t>
            </w:r>
            <w:r>
              <w:rPr>
                <w:rFonts w:hint="eastAsia"/>
                <w:bCs/>
                <w:sz w:val="24"/>
                <w:szCs w:val="28"/>
                <w:highlight w:val="green"/>
              </w:rPr>
              <w:t>3</w:t>
            </w:r>
            <w:r>
              <w:rPr>
                <w:bCs/>
                <w:sz w:val="24"/>
                <w:szCs w:val="28"/>
                <w:highlight w:val="green"/>
              </w:rPr>
              <w:t>00m</w:t>
            </w:r>
            <w:r>
              <w:rPr>
                <w:rFonts w:hint="eastAsia"/>
                <w:bCs/>
                <w:sz w:val="24"/>
                <w:szCs w:val="28"/>
                <w:highlight w:val="green"/>
              </w:rPr>
              <w:t>g</w:t>
            </w:r>
            <w:r>
              <w:rPr>
                <w:bCs/>
                <w:sz w:val="24"/>
                <w:szCs w:val="28"/>
                <w:highlight w:val="green"/>
              </w:rPr>
              <w:t>/m</w:t>
            </w:r>
            <w:r>
              <w:rPr>
                <w:bCs/>
                <w:sz w:val="24"/>
                <w:szCs w:val="28"/>
                <w:highlight w:val="green"/>
                <w:vertAlign w:val="superscript"/>
              </w:rPr>
              <w:t>3</w:t>
            </w:r>
            <w:r>
              <w:rPr>
                <w:rFonts w:hint="eastAsia"/>
                <w:bCs/>
                <w:sz w:val="24"/>
                <w:szCs w:val="28"/>
                <w:highlight w:val="green"/>
              </w:rPr>
              <w:t>，SO</w:t>
            </w:r>
            <w:r>
              <w:rPr>
                <w:rFonts w:hint="eastAsia"/>
                <w:bCs/>
                <w:sz w:val="24"/>
                <w:szCs w:val="28"/>
                <w:highlight w:val="green"/>
                <w:vertAlign w:val="subscript"/>
              </w:rPr>
              <w:t>2</w:t>
            </w:r>
            <w:r>
              <w:rPr>
                <w:bCs/>
                <w:sz w:val="24"/>
                <w:szCs w:val="28"/>
                <w:highlight w:val="green"/>
              </w:rPr>
              <w:t>≤300m</w:t>
            </w:r>
            <w:r>
              <w:rPr>
                <w:rFonts w:hint="eastAsia"/>
                <w:bCs/>
                <w:sz w:val="24"/>
                <w:szCs w:val="28"/>
                <w:highlight w:val="green"/>
              </w:rPr>
              <w:t>g</w:t>
            </w:r>
            <w:r>
              <w:rPr>
                <w:bCs/>
                <w:sz w:val="24"/>
                <w:szCs w:val="28"/>
                <w:highlight w:val="green"/>
              </w:rPr>
              <w:t>/m</w:t>
            </w:r>
            <w:r>
              <w:rPr>
                <w:bCs/>
                <w:sz w:val="24"/>
                <w:szCs w:val="28"/>
                <w:highlight w:val="green"/>
                <w:vertAlign w:val="superscript"/>
              </w:rPr>
              <w:t>3</w:t>
            </w:r>
            <w:r>
              <w:rPr>
                <w:rFonts w:hint="eastAsia"/>
                <w:bCs/>
                <w:sz w:val="24"/>
                <w:szCs w:val="28"/>
                <w:highlight w:val="green"/>
              </w:rPr>
              <w:t>；</w:t>
            </w:r>
          </w:p>
          <w:p>
            <w:pPr>
              <w:adjustRightInd w:val="0"/>
              <w:spacing w:line="360" w:lineRule="auto"/>
              <w:ind w:firstLine="480" w:firstLineChars="200"/>
              <w:rPr>
                <w:bCs/>
                <w:sz w:val="24"/>
                <w:szCs w:val="28"/>
                <w:highlight w:val="green"/>
              </w:rPr>
            </w:pPr>
            <w:r>
              <w:rPr>
                <w:rFonts w:hint="eastAsia"/>
                <w:bCs/>
                <w:sz w:val="24"/>
                <w:szCs w:val="28"/>
                <w:highlight w:val="green"/>
              </w:rPr>
              <w:t>SO</w:t>
            </w:r>
            <w:r>
              <w:rPr>
                <w:rFonts w:hint="eastAsia"/>
                <w:bCs/>
                <w:sz w:val="24"/>
                <w:szCs w:val="28"/>
                <w:highlight w:val="green"/>
                <w:vertAlign w:val="subscript"/>
              </w:rPr>
              <w:t>2</w:t>
            </w:r>
            <w:r>
              <w:rPr>
                <w:rFonts w:hint="eastAsia"/>
                <w:bCs/>
                <w:sz w:val="24"/>
                <w:szCs w:val="28"/>
                <w:highlight w:val="green"/>
              </w:rPr>
              <w:t>排放速率0.721</w:t>
            </w:r>
            <w:r>
              <w:rPr>
                <w:bCs/>
                <w:sz w:val="24"/>
                <w:szCs w:val="28"/>
                <w:highlight w:val="green"/>
              </w:rPr>
              <w:t>kg/h</w:t>
            </w:r>
            <w:r>
              <w:rPr>
                <w:rFonts w:hint="eastAsia"/>
                <w:bCs/>
                <w:sz w:val="24"/>
                <w:szCs w:val="28"/>
                <w:highlight w:val="green"/>
              </w:rPr>
              <w:t>，NO</w:t>
            </w:r>
            <w:r>
              <w:rPr>
                <w:rFonts w:hint="eastAsia"/>
                <w:bCs/>
                <w:sz w:val="24"/>
                <w:szCs w:val="28"/>
                <w:highlight w:val="green"/>
                <w:vertAlign w:val="subscript"/>
              </w:rPr>
              <w:t>x</w:t>
            </w:r>
            <w:r>
              <w:rPr>
                <w:rFonts w:hint="eastAsia"/>
                <w:bCs/>
                <w:sz w:val="24"/>
                <w:szCs w:val="28"/>
                <w:highlight w:val="green"/>
              </w:rPr>
              <w:t>排放速率0.844</w:t>
            </w:r>
            <w:r>
              <w:rPr>
                <w:bCs/>
                <w:sz w:val="24"/>
                <w:szCs w:val="28"/>
                <w:highlight w:val="green"/>
              </w:rPr>
              <w:t>kg/h</w:t>
            </w:r>
            <w:r>
              <w:rPr>
                <w:rFonts w:hint="eastAsia"/>
                <w:bCs/>
                <w:sz w:val="24"/>
                <w:szCs w:val="28"/>
                <w:highlight w:val="green"/>
              </w:rPr>
              <w:t>，锅炉年运行时间为7</w:t>
            </w:r>
            <w:r>
              <w:rPr>
                <w:bCs/>
                <w:sz w:val="24"/>
                <w:szCs w:val="28"/>
                <w:highlight w:val="green"/>
              </w:rPr>
              <w:t>200h</w:t>
            </w:r>
            <w:r>
              <w:rPr>
                <w:rFonts w:hint="eastAsia"/>
                <w:bCs/>
                <w:sz w:val="24"/>
                <w:szCs w:val="28"/>
                <w:highlight w:val="green"/>
              </w:rPr>
              <w:t>，可计算出7t/h锅炉SO</w:t>
            </w:r>
            <w:r>
              <w:rPr>
                <w:rFonts w:hint="eastAsia"/>
                <w:bCs/>
                <w:sz w:val="24"/>
                <w:szCs w:val="28"/>
                <w:highlight w:val="green"/>
                <w:vertAlign w:val="subscript"/>
              </w:rPr>
              <w:t>2</w:t>
            </w:r>
            <w:r>
              <w:rPr>
                <w:rFonts w:hint="eastAsia"/>
                <w:bCs/>
                <w:sz w:val="24"/>
                <w:szCs w:val="28"/>
                <w:highlight w:val="green"/>
              </w:rPr>
              <w:t>排放量为5.19t/a、NO</w:t>
            </w:r>
            <w:r>
              <w:rPr>
                <w:rFonts w:hint="eastAsia"/>
                <w:bCs/>
                <w:sz w:val="24"/>
                <w:szCs w:val="28"/>
                <w:highlight w:val="green"/>
                <w:vertAlign w:val="subscript"/>
              </w:rPr>
              <w:t>x</w:t>
            </w:r>
            <w:r>
              <w:rPr>
                <w:rFonts w:hint="eastAsia"/>
                <w:bCs/>
                <w:sz w:val="24"/>
                <w:szCs w:val="28"/>
                <w:highlight w:val="green"/>
              </w:rPr>
              <w:t>排放量为6.08t/a；</w:t>
            </w:r>
          </w:p>
          <w:p>
            <w:pPr>
              <w:adjustRightInd w:val="0"/>
              <w:spacing w:line="360" w:lineRule="auto"/>
              <w:ind w:firstLine="480" w:firstLineChars="200"/>
              <w:rPr>
                <w:sz w:val="24"/>
                <w:highlight w:val="green"/>
              </w:rPr>
            </w:pPr>
            <w:r>
              <w:rPr>
                <w:rFonts w:hint="eastAsia" w:cs="宋体"/>
                <w:kern w:val="0"/>
                <w:sz w:val="24"/>
                <w:highlight w:val="green"/>
                <w:lang w:bidi="ar"/>
              </w:rPr>
              <w:t>根据建设单位提供的资料，</w:t>
            </w:r>
            <w:r>
              <w:rPr>
                <w:kern w:val="0"/>
                <w:sz w:val="24"/>
                <w:highlight w:val="green"/>
                <w:lang w:bidi="ar"/>
              </w:rPr>
              <w:t>2021</w:t>
            </w:r>
            <w:r>
              <w:rPr>
                <w:rFonts w:hint="eastAsia" w:cs="宋体"/>
                <w:kern w:val="0"/>
                <w:sz w:val="24"/>
                <w:highlight w:val="green"/>
                <w:lang w:bidi="ar"/>
              </w:rPr>
              <w:t>年</w:t>
            </w:r>
            <w:r>
              <w:rPr>
                <w:kern w:val="0"/>
                <w:sz w:val="24"/>
                <w:highlight w:val="green"/>
                <w:lang w:bidi="ar"/>
              </w:rPr>
              <w:t>3</w:t>
            </w:r>
            <w:r>
              <w:rPr>
                <w:rFonts w:hint="eastAsia" w:cs="宋体"/>
                <w:kern w:val="0"/>
                <w:sz w:val="24"/>
                <w:highlight w:val="green"/>
                <w:lang w:bidi="ar"/>
              </w:rPr>
              <w:t>月</w:t>
            </w:r>
            <w:r>
              <w:rPr>
                <w:kern w:val="0"/>
                <w:sz w:val="24"/>
                <w:highlight w:val="green"/>
                <w:lang w:bidi="ar"/>
              </w:rPr>
              <w:t>1</w:t>
            </w:r>
            <w:r>
              <w:rPr>
                <w:rFonts w:hint="eastAsia"/>
                <w:kern w:val="0"/>
                <w:sz w:val="24"/>
                <w:highlight w:val="green"/>
                <w:lang w:bidi="ar"/>
              </w:rPr>
              <w:t>9</w:t>
            </w:r>
            <w:r>
              <w:rPr>
                <w:rFonts w:hint="eastAsia" w:cs="宋体"/>
                <w:kern w:val="0"/>
                <w:sz w:val="24"/>
                <w:highlight w:val="green"/>
                <w:lang w:bidi="ar"/>
              </w:rPr>
              <w:t>日及</w:t>
            </w:r>
            <w:r>
              <w:rPr>
                <w:rFonts w:hint="eastAsia"/>
                <w:bCs/>
                <w:sz w:val="24"/>
                <w:szCs w:val="28"/>
                <w:highlight w:val="green"/>
              </w:rPr>
              <w:t>2</w:t>
            </w:r>
            <w:r>
              <w:rPr>
                <w:bCs/>
                <w:sz w:val="24"/>
                <w:szCs w:val="28"/>
                <w:highlight w:val="green"/>
              </w:rPr>
              <w:t>022</w:t>
            </w:r>
            <w:r>
              <w:rPr>
                <w:rFonts w:hint="eastAsia"/>
                <w:bCs/>
                <w:sz w:val="24"/>
                <w:szCs w:val="28"/>
                <w:highlight w:val="green"/>
              </w:rPr>
              <w:t>年8~</w:t>
            </w:r>
            <w:r>
              <w:rPr>
                <w:bCs/>
                <w:sz w:val="24"/>
                <w:szCs w:val="28"/>
                <w:highlight w:val="green"/>
              </w:rPr>
              <w:t>10</w:t>
            </w:r>
            <w:r>
              <w:rPr>
                <w:rFonts w:hint="eastAsia"/>
                <w:bCs/>
                <w:sz w:val="24"/>
                <w:szCs w:val="28"/>
                <w:highlight w:val="green"/>
              </w:rPr>
              <w:t>月</w:t>
            </w:r>
            <w:r>
              <w:rPr>
                <w:rFonts w:hint="eastAsia" w:cs="宋体"/>
                <w:kern w:val="0"/>
                <w:sz w:val="24"/>
                <w:highlight w:val="green"/>
                <w:lang w:bidi="ar"/>
              </w:rPr>
              <w:t>监测期间</w:t>
            </w:r>
            <w:r>
              <w:rPr>
                <w:rFonts w:hint="eastAsia"/>
                <w:sz w:val="24"/>
                <w:szCs w:val="21"/>
                <w:highlight w:val="green"/>
              </w:rPr>
              <w:t>企业各生产设备均按设计生产能力进行正常生产，</w:t>
            </w:r>
            <w:r>
              <w:rPr>
                <w:rFonts w:hint="eastAsia" w:cs="宋体"/>
                <w:kern w:val="0"/>
                <w:sz w:val="24"/>
                <w:highlight w:val="green"/>
                <w:lang w:bidi="ar"/>
              </w:rPr>
              <w:t>现有工程</w:t>
            </w:r>
            <w:r>
              <w:rPr>
                <w:rFonts w:hint="eastAsia"/>
                <w:sz w:val="24"/>
                <w:szCs w:val="21"/>
                <w:highlight w:val="green"/>
              </w:rPr>
              <w:t>7t/h</w:t>
            </w:r>
            <w:r>
              <w:rPr>
                <w:rFonts w:hint="eastAsia" w:cs="宋体"/>
                <w:kern w:val="0"/>
                <w:sz w:val="24"/>
                <w:highlight w:val="green"/>
                <w:lang w:bidi="ar"/>
              </w:rPr>
              <w:t>锅炉烟气中</w:t>
            </w:r>
            <w:r>
              <w:rPr>
                <w:rFonts w:hint="eastAsia"/>
                <w:bCs/>
                <w:sz w:val="24"/>
                <w:szCs w:val="28"/>
                <w:highlight w:val="green"/>
              </w:rPr>
              <w:t>颗粒物排放量为3.017t/a，SO</w:t>
            </w:r>
            <w:r>
              <w:rPr>
                <w:rFonts w:hint="eastAsia"/>
                <w:bCs/>
                <w:sz w:val="24"/>
                <w:szCs w:val="28"/>
                <w:highlight w:val="green"/>
                <w:vertAlign w:val="subscript"/>
              </w:rPr>
              <w:t>2</w:t>
            </w:r>
            <w:r>
              <w:rPr>
                <w:rFonts w:hint="eastAsia"/>
                <w:bCs/>
                <w:sz w:val="24"/>
                <w:szCs w:val="28"/>
                <w:highlight w:val="green"/>
              </w:rPr>
              <w:t>排放量为</w:t>
            </w:r>
            <w:r>
              <w:rPr>
                <w:bCs/>
                <w:sz w:val="24"/>
                <w:szCs w:val="28"/>
                <w:highlight w:val="green"/>
              </w:rPr>
              <w:t>5.19</w:t>
            </w:r>
            <w:r>
              <w:rPr>
                <w:rFonts w:hint="eastAsia"/>
                <w:bCs/>
                <w:sz w:val="24"/>
                <w:szCs w:val="28"/>
                <w:highlight w:val="green"/>
              </w:rPr>
              <w:t>t/a、NO</w:t>
            </w:r>
            <w:r>
              <w:rPr>
                <w:rFonts w:hint="eastAsia"/>
                <w:bCs/>
                <w:sz w:val="24"/>
                <w:szCs w:val="28"/>
                <w:highlight w:val="green"/>
                <w:vertAlign w:val="subscript"/>
              </w:rPr>
              <w:t>x</w:t>
            </w:r>
            <w:r>
              <w:rPr>
                <w:rFonts w:hint="eastAsia"/>
                <w:bCs/>
                <w:sz w:val="24"/>
                <w:szCs w:val="28"/>
                <w:highlight w:val="green"/>
              </w:rPr>
              <w:t>排放量为</w:t>
            </w:r>
            <w:r>
              <w:rPr>
                <w:bCs/>
                <w:sz w:val="24"/>
                <w:szCs w:val="28"/>
                <w:highlight w:val="green"/>
              </w:rPr>
              <w:t>6.08</w:t>
            </w:r>
            <w:r>
              <w:rPr>
                <w:rFonts w:hint="eastAsia"/>
                <w:bCs/>
                <w:sz w:val="24"/>
                <w:szCs w:val="28"/>
                <w:highlight w:val="green"/>
              </w:rPr>
              <w:t>t/a。“多管旋风除尘”法对颗粒物的去除效率为70%，</w:t>
            </w:r>
            <w:r>
              <w:rPr>
                <w:rFonts w:hint="eastAsia"/>
                <w:bCs/>
                <w:kern w:val="0"/>
                <w:sz w:val="24"/>
                <w:highlight w:val="green"/>
              </w:rPr>
              <w:t>对SO</w:t>
            </w:r>
            <w:r>
              <w:rPr>
                <w:rFonts w:hint="eastAsia"/>
                <w:bCs/>
                <w:kern w:val="0"/>
                <w:sz w:val="24"/>
                <w:highlight w:val="green"/>
                <w:vertAlign w:val="subscript"/>
              </w:rPr>
              <w:t>2</w:t>
            </w:r>
            <w:r>
              <w:rPr>
                <w:rFonts w:hint="eastAsia"/>
                <w:bCs/>
                <w:kern w:val="0"/>
                <w:sz w:val="24"/>
                <w:highlight w:val="green"/>
              </w:rPr>
              <w:t>、NO</w:t>
            </w:r>
            <w:r>
              <w:rPr>
                <w:rFonts w:hint="eastAsia"/>
                <w:bCs/>
                <w:kern w:val="0"/>
                <w:sz w:val="24"/>
                <w:highlight w:val="green"/>
                <w:vertAlign w:val="subscript"/>
              </w:rPr>
              <w:t>x</w:t>
            </w:r>
            <w:r>
              <w:rPr>
                <w:rFonts w:hint="eastAsia"/>
                <w:bCs/>
                <w:kern w:val="0"/>
                <w:sz w:val="24"/>
                <w:highlight w:val="green"/>
              </w:rPr>
              <w:t>去除效率为0，则现有工程7t/h导热油锅炉烟气颗粒物产生量为10.057t/a，SO</w:t>
            </w:r>
            <w:r>
              <w:rPr>
                <w:rFonts w:hint="eastAsia"/>
                <w:bCs/>
                <w:kern w:val="0"/>
                <w:sz w:val="24"/>
                <w:highlight w:val="green"/>
                <w:vertAlign w:val="subscript"/>
              </w:rPr>
              <w:t>2</w:t>
            </w:r>
            <w:r>
              <w:rPr>
                <w:rFonts w:hint="eastAsia"/>
                <w:bCs/>
                <w:kern w:val="0"/>
                <w:sz w:val="24"/>
                <w:highlight w:val="green"/>
              </w:rPr>
              <w:t>产生量为</w:t>
            </w:r>
            <w:r>
              <w:rPr>
                <w:bCs/>
                <w:sz w:val="24"/>
                <w:szCs w:val="28"/>
                <w:highlight w:val="green"/>
              </w:rPr>
              <w:t>5.19</w:t>
            </w:r>
            <w:r>
              <w:rPr>
                <w:rFonts w:hint="eastAsia"/>
                <w:bCs/>
                <w:sz w:val="24"/>
                <w:szCs w:val="28"/>
                <w:highlight w:val="green"/>
              </w:rPr>
              <w:t>t/a、</w:t>
            </w:r>
            <w:r>
              <w:rPr>
                <w:rFonts w:hint="eastAsia"/>
                <w:bCs/>
                <w:kern w:val="0"/>
                <w:sz w:val="24"/>
                <w:highlight w:val="green"/>
              </w:rPr>
              <w:t>NO</w:t>
            </w:r>
            <w:r>
              <w:rPr>
                <w:rFonts w:hint="eastAsia"/>
                <w:bCs/>
                <w:kern w:val="0"/>
                <w:sz w:val="24"/>
                <w:highlight w:val="green"/>
                <w:vertAlign w:val="subscript"/>
              </w:rPr>
              <w:t>x</w:t>
            </w:r>
            <w:r>
              <w:rPr>
                <w:rFonts w:hint="eastAsia"/>
                <w:bCs/>
                <w:kern w:val="0"/>
                <w:sz w:val="24"/>
                <w:highlight w:val="green"/>
              </w:rPr>
              <w:t>产生量为</w:t>
            </w:r>
            <w:r>
              <w:rPr>
                <w:bCs/>
                <w:sz w:val="24"/>
                <w:szCs w:val="28"/>
                <w:highlight w:val="green"/>
              </w:rPr>
              <w:t>6.08</w:t>
            </w:r>
            <w:r>
              <w:rPr>
                <w:rFonts w:hint="eastAsia"/>
                <w:bCs/>
                <w:sz w:val="24"/>
                <w:szCs w:val="28"/>
                <w:highlight w:val="green"/>
              </w:rPr>
              <w:t>t/a。</w:t>
            </w:r>
          </w:p>
          <w:p>
            <w:pPr>
              <w:adjustRightInd w:val="0"/>
              <w:spacing w:line="360" w:lineRule="auto"/>
              <w:ind w:firstLine="482" w:firstLineChars="200"/>
              <w:rPr>
                <w:b/>
                <w:bCs/>
                <w:sz w:val="24"/>
              </w:rPr>
            </w:pPr>
            <w:r>
              <w:rPr>
                <w:rFonts w:hint="eastAsia"/>
                <w:b/>
                <w:sz w:val="24"/>
                <w:szCs w:val="21"/>
              </w:rPr>
              <w:t>②</w:t>
            </w:r>
            <w:r>
              <w:rPr>
                <w:rFonts w:hint="eastAsia"/>
                <w:b/>
                <w:bCs/>
                <w:sz w:val="24"/>
              </w:rPr>
              <w:t>刨片工段废气（DA008）</w:t>
            </w:r>
          </w:p>
          <w:p>
            <w:pPr>
              <w:adjustRightInd w:val="0"/>
              <w:spacing w:line="360" w:lineRule="auto"/>
              <w:ind w:firstLine="480" w:firstLineChars="200"/>
              <w:rPr>
                <w:sz w:val="24"/>
                <w:szCs w:val="21"/>
              </w:rPr>
            </w:pPr>
            <w:r>
              <w:rPr>
                <w:rFonts w:hint="eastAsia"/>
                <w:sz w:val="24"/>
                <w:szCs w:val="21"/>
              </w:rPr>
              <w:t>现有项目刨花板生产刨片工段废气主要为颗粒物，刨片工段废气采用“旋风除尘器”处理后经过1根15m高排气筒（DA008）排放。</w:t>
            </w:r>
          </w:p>
          <w:p>
            <w:pPr>
              <w:adjustRightInd w:val="0"/>
              <w:spacing w:line="360" w:lineRule="auto"/>
              <w:ind w:firstLine="480" w:firstLineChars="200"/>
              <w:rPr>
                <w:b/>
                <w:sz w:val="24"/>
                <w:szCs w:val="21"/>
              </w:rPr>
            </w:pPr>
            <w:r>
              <w:rPr>
                <w:rFonts w:hint="eastAsia"/>
                <w:sz w:val="24"/>
                <w:szCs w:val="21"/>
              </w:rPr>
              <w:t>2021年3月19日，</w:t>
            </w:r>
            <w:r>
              <w:rPr>
                <w:rFonts w:hint="eastAsia"/>
                <w:sz w:val="24"/>
              </w:rPr>
              <w:t>云南健牛生物科技有限公司</w:t>
            </w:r>
            <w:r>
              <w:rPr>
                <w:rFonts w:hint="eastAsia" w:ascii="宋体" w:hAnsi="宋体" w:cs="宋体"/>
                <w:kern w:val="0"/>
                <w:sz w:val="24"/>
                <w:lang w:bidi="ar"/>
              </w:rPr>
              <w:t>对</w:t>
            </w:r>
            <w:r>
              <w:rPr>
                <w:rFonts w:hint="eastAsia"/>
                <w:sz w:val="24"/>
                <w:szCs w:val="21"/>
              </w:rPr>
              <w:t>刨片工段</w:t>
            </w:r>
            <w:r>
              <w:rPr>
                <w:rFonts w:hint="eastAsia" w:ascii="宋体" w:hAnsi="宋体" w:cs="宋体"/>
                <w:kern w:val="0"/>
                <w:sz w:val="24"/>
                <w:lang w:bidi="ar"/>
              </w:rPr>
              <w:t>排气筒排放口进行监测，监测期间项目刨花板生产正常运行。其污染物排放情况详见下表。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w:t>
            </w:r>
            <w:r>
              <w:rPr>
                <w:rFonts w:cs="宋体"/>
                <w:b/>
                <w:bCs/>
                <w:kern w:val="0"/>
                <w:sz w:val="24"/>
                <w:szCs w:val="20"/>
                <w:lang w:bidi="ar"/>
              </w:rPr>
              <w:t>1</w:t>
            </w:r>
            <w:r>
              <w:rPr>
                <w:rFonts w:hint="eastAsia" w:cs="宋体"/>
                <w:b/>
                <w:bCs/>
                <w:kern w:val="0"/>
                <w:sz w:val="24"/>
                <w:szCs w:val="20"/>
                <w:lang w:bidi="ar"/>
              </w:rPr>
              <w:t>4  刨片工段废气排放情况（DA008）</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2820"/>
              <w:gridCol w:w="1634"/>
              <w:gridCol w:w="2534"/>
            </w:tblGrid>
            <w:tr>
              <w:tblPrEx>
                <w:tblCellMar>
                  <w:top w:w="0" w:type="dxa"/>
                  <w:left w:w="108" w:type="dxa"/>
                  <w:bottom w:w="0" w:type="dxa"/>
                  <w:right w:w="108" w:type="dxa"/>
                </w:tblCellMar>
              </w:tblPrEx>
              <w:tc>
                <w:tcPr>
                  <w:tcW w:w="809" w:type="pct"/>
                  <w:vAlign w:val="center"/>
                </w:tcPr>
                <w:p>
                  <w:pPr>
                    <w:adjustRightInd w:val="0"/>
                    <w:jc w:val="center"/>
                    <w:rPr>
                      <w:b/>
                      <w:bCs/>
                      <w:szCs w:val="21"/>
                    </w:rPr>
                  </w:pPr>
                  <w:r>
                    <w:rPr>
                      <w:rFonts w:hint="eastAsia"/>
                      <w:b/>
                      <w:bCs/>
                      <w:szCs w:val="21"/>
                    </w:rPr>
                    <w:t>监测项目</w:t>
                  </w:r>
                </w:p>
              </w:tc>
              <w:tc>
                <w:tcPr>
                  <w:tcW w:w="1691" w:type="pct"/>
                  <w:vAlign w:val="center"/>
                </w:tcPr>
                <w:p>
                  <w:pPr>
                    <w:adjustRightInd w:val="0"/>
                    <w:jc w:val="center"/>
                    <w:rPr>
                      <w:b/>
                      <w:szCs w:val="21"/>
                    </w:rPr>
                  </w:pPr>
                  <w:r>
                    <w:rPr>
                      <w:rFonts w:hint="eastAsia"/>
                      <w:b/>
                      <w:szCs w:val="21"/>
                    </w:rPr>
                    <w:t>平均排放浓度（mg/m</w:t>
                  </w:r>
                  <w:r>
                    <w:rPr>
                      <w:rFonts w:hint="eastAsia"/>
                      <w:b/>
                      <w:szCs w:val="21"/>
                      <w:vertAlign w:val="superscript"/>
                    </w:rPr>
                    <w:t>3</w:t>
                  </w:r>
                  <w:r>
                    <w:rPr>
                      <w:rFonts w:hint="eastAsia"/>
                      <w:b/>
                      <w:szCs w:val="21"/>
                    </w:rPr>
                    <w:t>）</w:t>
                  </w:r>
                </w:p>
              </w:tc>
              <w:tc>
                <w:tcPr>
                  <w:tcW w:w="980" w:type="pct"/>
                  <w:vAlign w:val="center"/>
                </w:tcPr>
                <w:p>
                  <w:pPr>
                    <w:adjustRightInd w:val="0"/>
                    <w:jc w:val="center"/>
                    <w:rPr>
                      <w:b/>
                      <w:szCs w:val="21"/>
                    </w:rPr>
                  </w:pPr>
                  <w:r>
                    <w:rPr>
                      <w:rFonts w:hint="eastAsia"/>
                      <w:b/>
                      <w:szCs w:val="21"/>
                    </w:rPr>
                    <w:t>排放速率（k</w:t>
                  </w:r>
                  <w:r>
                    <w:rPr>
                      <w:b/>
                      <w:szCs w:val="21"/>
                    </w:rPr>
                    <w:t>g/h</w:t>
                  </w:r>
                  <w:r>
                    <w:rPr>
                      <w:rFonts w:hint="eastAsia"/>
                      <w:b/>
                      <w:szCs w:val="21"/>
                    </w:rPr>
                    <w:t>）</w:t>
                  </w:r>
                </w:p>
              </w:tc>
              <w:tc>
                <w:tcPr>
                  <w:tcW w:w="1520" w:type="pct"/>
                  <w:vAlign w:val="center"/>
                </w:tcPr>
                <w:p>
                  <w:pPr>
                    <w:adjustRightInd w:val="0"/>
                    <w:jc w:val="center"/>
                    <w:rPr>
                      <w:b/>
                      <w:szCs w:val="21"/>
                    </w:rPr>
                  </w:pPr>
                  <w:r>
                    <w:rPr>
                      <w:rFonts w:hint="eastAsia"/>
                      <w:b/>
                      <w:szCs w:val="21"/>
                    </w:rPr>
                    <w:t>标况烟气流量（m</w:t>
                  </w:r>
                  <w:r>
                    <w:rPr>
                      <w:rFonts w:hint="eastAsia"/>
                      <w:b/>
                      <w:szCs w:val="21"/>
                      <w:vertAlign w:val="superscript"/>
                    </w:rPr>
                    <w:t>3</w:t>
                  </w:r>
                  <w:r>
                    <w:rPr>
                      <w:rFonts w:hint="eastAsia"/>
                      <w:b/>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pct"/>
                  <w:vAlign w:val="center"/>
                </w:tcPr>
                <w:p>
                  <w:pPr>
                    <w:adjustRightInd w:val="0"/>
                    <w:jc w:val="center"/>
                    <w:rPr>
                      <w:bCs/>
                      <w:szCs w:val="21"/>
                    </w:rPr>
                  </w:pPr>
                  <w:r>
                    <w:rPr>
                      <w:rFonts w:hint="eastAsia"/>
                      <w:bCs/>
                      <w:szCs w:val="21"/>
                    </w:rPr>
                    <w:t>颗粒物</w:t>
                  </w:r>
                </w:p>
              </w:tc>
              <w:tc>
                <w:tcPr>
                  <w:tcW w:w="1691" w:type="pct"/>
                  <w:vAlign w:val="center"/>
                </w:tcPr>
                <w:p>
                  <w:pPr>
                    <w:adjustRightInd w:val="0"/>
                    <w:jc w:val="center"/>
                    <w:rPr>
                      <w:bCs/>
                      <w:szCs w:val="21"/>
                    </w:rPr>
                  </w:pPr>
                  <w:r>
                    <w:rPr>
                      <w:rFonts w:hint="eastAsia"/>
                      <w:bCs/>
                      <w:szCs w:val="21"/>
                    </w:rPr>
                    <w:t>32.6</w:t>
                  </w:r>
                </w:p>
              </w:tc>
              <w:tc>
                <w:tcPr>
                  <w:tcW w:w="980" w:type="pct"/>
                  <w:vAlign w:val="center"/>
                </w:tcPr>
                <w:p>
                  <w:pPr>
                    <w:adjustRightInd w:val="0"/>
                    <w:jc w:val="center"/>
                    <w:rPr>
                      <w:bCs/>
                      <w:szCs w:val="21"/>
                    </w:rPr>
                  </w:pPr>
                  <w:r>
                    <w:rPr>
                      <w:rFonts w:hint="eastAsia"/>
                      <w:bCs/>
                      <w:szCs w:val="21"/>
                    </w:rPr>
                    <w:t>0.604</w:t>
                  </w:r>
                </w:p>
              </w:tc>
              <w:tc>
                <w:tcPr>
                  <w:tcW w:w="1520" w:type="pct"/>
                  <w:vAlign w:val="center"/>
                </w:tcPr>
                <w:p>
                  <w:pPr>
                    <w:adjustRightInd w:val="0"/>
                    <w:jc w:val="center"/>
                    <w:rPr>
                      <w:bCs/>
                      <w:szCs w:val="21"/>
                    </w:rPr>
                  </w:pPr>
                  <w:r>
                    <w:rPr>
                      <w:rFonts w:hint="eastAsia"/>
                      <w:bCs/>
                      <w:szCs w:val="21"/>
                    </w:rPr>
                    <w:t>18496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pct"/>
                  <w:vAlign w:val="center"/>
                </w:tcPr>
                <w:p>
                  <w:pPr>
                    <w:adjustRightInd w:val="0"/>
                    <w:jc w:val="center"/>
                    <w:rPr>
                      <w:bCs/>
                      <w:szCs w:val="21"/>
                    </w:rPr>
                  </w:pPr>
                  <w:r>
                    <w:rPr>
                      <w:rFonts w:hint="eastAsia"/>
                      <w:bCs/>
                      <w:szCs w:val="21"/>
                    </w:rPr>
                    <w:t>标准限值</w:t>
                  </w:r>
                </w:p>
              </w:tc>
              <w:tc>
                <w:tcPr>
                  <w:tcW w:w="1691" w:type="pct"/>
                  <w:vAlign w:val="center"/>
                </w:tcPr>
                <w:p>
                  <w:pPr>
                    <w:adjustRightInd w:val="0"/>
                    <w:jc w:val="center"/>
                    <w:rPr>
                      <w:bCs/>
                      <w:szCs w:val="21"/>
                    </w:rPr>
                  </w:pPr>
                  <w:r>
                    <w:rPr>
                      <w:rFonts w:hint="eastAsia"/>
                      <w:bCs/>
                      <w:szCs w:val="21"/>
                    </w:rPr>
                    <w:t>120</w:t>
                  </w:r>
                </w:p>
              </w:tc>
              <w:tc>
                <w:tcPr>
                  <w:tcW w:w="980" w:type="pct"/>
                  <w:vAlign w:val="center"/>
                </w:tcPr>
                <w:p>
                  <w:pPr>
                    <w:adjustRightInd w:val="0"/>
                    <w:jc w:val="center"/>
                    <w:rPr>
                      <w:bCs/>
                      <w:szCs w:val="21"/>
                    </w:rPr>
                  </w:pPr>
                  <w:r>
                    <w:rPr>
                      <w:rFonts w:hint="eastAsia"/>
                      <w:bCs/>
                      <w:szCs w:val="21"/>
                    </w:rPr>
                    <w:t>3.5</w:t>
                  </w:r>
                </w:p>
              </w:tc>
              <w:tc>
                <w:tcPr>
                  <w:tcW w:w="1520" w:type="pct"/>
                  <w:vAlign w:val="center"/>
                </w:tcPr>
                <w:p>
                  <w:pPr>
                    <w:adjustRightInd w:val="0"/>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pct"/>
                  <w:vAlign w:val="center"/>
                </w:tcPr>
                <w:p>
                  <w:pPr>
                    <w:adjustRightInd w:val="0"/>
                    <w:jc w:val="center"/>
                    <w:rPr>
                      <w:bCs/>
                      <w:szCs w:val="21"/>
                    </w:rPr>
                  </w:pPr>
                  <w:r>
                    <w:rPr>
                      <w:rFonts w:hint="eastAsia"/>
                      <w:bCs/>
                      <w:szCs w:val="21"/>
                    </w:rPr>
                    <w:t>达标情况</w:t>
                  </w:r>
                </w:p>
              </w:tc>
              <w:tc>
                <w:tcPr>
                  <w:tcW w:w="1691" w:type="pct"/>
                  <w:vAlign w:val="center"/>
                </w:tcPr>
                <w:p>
                  <w:pPr>
                    <w:adjustRightInd w:val="0"/>
                    <w:jc w:val="center"/>
                    <w:rPr>
                      <w:bCs/>
                      <w:szCs w:val="21"/>
                    </w:rPr>
                  </w:pPr>
                  <w:r>
                    <w:rPr>
                      <w:rFonts w:hint="eastAsia"/>
                      <w:bCs/>
                      <w:szCs w:val="21"/>
                    </w:rPr>
                    <w:t>达标</w:t>
                  </w:r>
                </w:p>
              </w:tc>
              <w:tc>
                <w:tcPr>
                  <w:tcW w:w="980" w:type="pct"/>
                  <w:vAlign w:val="center"/>
                </w:tcPr>
                <w:p>
                  <w:pPr>
                    <w:adjustRightInd w:val="0"/>
                    <w:jc w:val="center"/>
                    <w:rPr>
                      <w:bCs/>
                      <w:szCs w:val="21"/>
                    </w:rPr>
                  </w:pPr>
                  <w:r>
                    <w:rPr>
                      <w:rFonts w:hint="eastAsia"/>
                      <w:bCs/>
                      <w:szCs w:val="21"/>
                    </w:rPr>
                    <w:t>达标</w:t>
                  </w:r>
                </w:p>
              </w:tc>
              <w:tc>
                <w:tcPr>
                  <w:tcW w:w="1520" w:type="pct"/>
                  <w:vAlign w:val="center"/>
                </w:tcPr>
                <w:p>
                  <w:pPr>
                    <w:adjustRightInd w:val="0"/>
                    <w:jc w:val="center"/>
                    <w:rPr>
                      <w:bCs/>
                      <w:szCs w:val="21"/>
                    </w:rPr>
                  </w:pPr>
                  <w:r>
                    <w:rPr>
                      <w:rFonts w:hint="eastAsia"/>
                      <w:bCs/>
                      <w:szCs w:val="21"/>
                    </w:rPr>
                    <w:t>/</w:t>
                  </w:r>
                </w:p>
              </w:tc>
            </w:tr>
          </w:tbl>
          <w:p>
            <w:pPr>
              <w:adjustRightInd w:val="0"/>
              <w:spacing w:before="120" w:beforeLines="50" w:line="360" w:lineRule="auto"/>
              <w:ind w:firstLine="480" w:firstLineChars="200"/>
              <w:rPr>
                <w:b/>
                <w:sz w:val="24"/>
                <w:szCs w:val="21"/>
              </w:rPr>
            </w:pPr>
            <w:r>
              <w:rPr>
                <w:rFonts w:hint="eastAsia"/>
                <w:bCs/>
                <w:sz w:val="24"/>
                <w:szCs w:val="28"/>
              </w:rPr>
              <w:t>根据监测结果，刨片工段</w:t>
            </w:r>
            <w:r>
              <w:rPr>
                <w:rFonts w:hint="eastAsia" w:cs="宋体"/>
                <w:kern w:val="0"/>
                <w:sz w:val="24"/>
                <w:lang w:bidi="ar"/>
              </w:rPr>
              <w:t>中颗粒物排放浓度能达到</w:t>
            </w:r>
            <w:r>
              <w:rPr>
                <w:rFonts w:hint="eastAsia"/>
                <w:sz w:val="24"/>
                <w:szCs w:val="21"/>
              </w:rPr>
              <w:t>《大气污染物综合排放标准》（GB16297-1996）表2中有组织最高允许排放浓度</w:t>
            </w:r>
            <w:r>
              <w:rPr>
                <w:rFonts w:hint="eastAsia" w:cs="宋体"/>
                <w:kern w:val="0"/>
                <w:sz w:val="24"/>
                <w:lang w:bidi="ar"/>
              </w:rPr>
              <w:t>标准要求。根据建设单位提供的资料，</w:t>
            </w:r>
            <w:r>
              <w:rPr>
                <w:kern w:val="0"/>
                <w:sz w:val="24"/>
                <w:lang w:bidi="ar"/>
              </w:rPr>
              <w:t>2021</w:t>
            </w:r>
            <w:r>
              <w:rPr>
                <w:rFonts w:hint="eastAsia" w:cs="宋体"/>
                <w:kern w:val="0"/>
                <w:sz w:val="24"/>
                <w:lang w:bidi="ar"/>
              </w:rPr>
              <w:t>年</w:t>
            </w:r>
            <w:r>
              <w:rPr>
                <w:kern w:val="0"/>
                <w:sz w:val="24"/>
                <w:lang w:bidi="ar"/>
              </w:rPr>
              <w:t>3</w:t>
            </w:r>
            <w:r>
              <w:rPr>
                <w:rFonts w:hint="eastAsia" w:cs="宋体"/>
                <w:kern w:val="0"/>
                <w:sz w:val="24"/>
                <w:lang w:bidi="ar"/>
              </w:rPr>
              <w:t>月</w:t>
            </w:r>
            <w:r>
              <w:rPr>
                <w:kern w:val="0"/>
                <w:sz w:val="24"/>
                <w:lang w:bidi="ar"/>
              </w:rPr>
              <w:t>1</w:t>
            </w:r>
            <w:r>
              <w:rPr>
                <w:rFonts w:hint="eastAsia"/>
                <w:kern w:val="0"/>
                <w:sz w:val="24"/>
                <w:lang w:bidi="ar"/>
              </w:rPr>
              <w:t>9</w:t>
            </w:r>
            <w:r>
              <w:rPr>
                <w:rFonts w:hint="eastAsia" w:cs="宋体"/>
                <w:kern w:val="0"/>
                <w:sz w:val="24"/>
                <w:lang w:bidi="ar"/>
              </w:rPr>
              <w:t>日监测期间</w:t>
            </w:r>
            <w:r>
              <w:rPr>
                <w:rFonts w:hint="eastAsia"/>
                <w:sz w:val="24"/>
                <w:szCs w:val="21"/>
              </w:rPr>
              <w:t>企业各生产设备均按设计生产能力进行正常生产。</w:t>
            </w:r>
            <w:r>
              <w:rPr>
                <w:rFonts w:hint="eastAsia" w:cs="宋体"/>
                <w:kern w:val="0"/>
                <w:sz w:val="24"/>
                <w:lang w:bidi="ar"/>
              </w:rPr>
              <w:t>则现有工程刨片工段颗粒物产生量为4.35t/a。</w:t>
            </w:r>
          </w:p>
          <w:p>
            <w:pPr>
              <w:adjustRightInd w:val="0"/>
              <w:spacing w:line="360" w:lineRule="auto"/>
              <w:ind w:firstLine="482" w:firstLineChars="200"/>
              <w:rPr>
                <w:b/>
                <w:bCs/>
                <w:sz w:val="24"/>
              </w:rPr>
            </w:pPr>
            <w:r>
              <w:rPr>
                <w:rFonts w:hint="eastAsia"/>
                <w:b/>
                <w:bCs/>
                <w:sz w:val="24"/>
              </w:rPr>
              <w:t>③铺装工段废气（DA009）</w:t>
            </w:r>
          </w:p>
          <w:p>
            <w:pPr>
              <w:adjustRightInd w:val="0"/>
              <w:spacing w:line="360" w:lineRule="auto"/>
              <w:ind w:firstLine="480" w:firstLineChars="200"/>
              <w:rPr>
                <w:sz w:val="24"/>
                <w:szCs w:val="21"/>
              </w:rPr>
            </w:pPr>
            <w:r>
              <w:rPr>
                <w:rFonts w:hint="eastAsia"/>
                <w:sz w:val="24"/>
                <w:szCs w:val="21"/>
              </w:rPr>
              <w:t>现有项目刨花板生产铺装工段废气主要为颗粒物，铺装工段废气采用“旋风除尘器”处理后经过1根15m高排气筒（DA009）排放。</w:t>
            </w:r>
          </w:p>
          <w:p>
            <w:pPr>
              <w:adjustRightInd w:val="0"/>
              <w:spacing w:line="360" w:lineRule="auto"/>
              <w:ind w:firstLine="480" w:firstLineChars="200"/>
              <w:rPr>
                <w:b/>
                <w:bCs/>
                <w:sz w:val="24"/>
              </w:rPr>
            </w:pPr>
            <w:r>
              <w:rPr>
                <w:rFonts w:hint="eastAsia"/>
                <w:sz w:val="24"/>
                <w:szCs w:val="21"/>
              </w:rPr>
              <w:t>2021年3月19日，</w:t>
            </w:r>
            <w:r>
              <w:rPr>
                <w:rFonts w:hint="eastAsia"/>
                <w:sz w:val="24"/>
              </w:rPr>
              <w:t>云南健牛生物科技有限公司</w:t>
            </w:r>
            <w:r>
              <w:rPr>
                <w:rFonts w:hint="eastAsia" w:ascii="宋体" w:hAnsi="宋体" w:cs="宋体"/>
                <w:kern w:val="0"/>
                <w:sz w:val="24"/>
                <w:lang w:bidi="ar"/>
              </w:rPr>
              <w:t>对</w:t>
            </w:r>
            <w:r>
              <w:rPr>
                <w:rFonts w:hint="eastAsia"/>
                <w:sz w:val="24"/>
                <w:szCs w:val="21"/>
              </w:rPr>
              <w:t>铺装工段</w:t>
            </w:r>
            <w:r>
              <w:rPr>
                <w:rFonts w:hint="eastAsia" w:ascii="宋体" w:hAnsi="宋体" w:cs="宋体"/>
                <w:kern w:val="0"/>
                <w:sz w:val="24"/>
                <w:lang w:bidi="ar"/>
              </w:rPr>
              <w:t>排气筒排放口进行监测，监测期间项目刨花板生产正常运行。其污染物排放情况详见下表。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w:t>
            </w:r>
            <w:r>
              <w:rPr>
                <w:rFonts w:cs="宋体"/>
                <w:b/>
                <w:bCs/>
                <w:kern w:val="0"/>
                <w:sz w:val="24"/>
                <w:szCs w:val="20"/>
                <w:lang w:bidi="ar"/>
              </w:rPr>
              <w:t>1</w:t>
            </w:r>
            <w:r>
              <w:rPr>
                <w:rFonts w:hint="eastAsia" w:cs="宋体"/>
                <w:b/>
                <w:bCs/>
                <w:kern w:val="0"/>
                <w:sz w:val="24"/>
                <w:szCs w:val="20"/>
                <w:lang w:bidi="ar"/>
              </w:rPr>
              <w:t>5  铺装工段废气排放情况（DA009）</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2894"/>
              <w:gridCol w:w="1805"/>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adjustRightInd w:val="0"/>
                    <w:jc w:val="center"/>
                    <w:rPr>
                      <w:b/>
                      <w:bCs/>
                      <w:szCs w:val="21"/>
                    </w:rPr>
                  </w:pPr>
                  <w:r>
                    <w:rPr>
                      <w:rFonts w:hint="eastAsia"/>
                      <w:b/>
                      <w:bCs/>
                      <w:szCs w:val="21"/>
                    </w:rPr>
                    <w:t>监测项目</w:t>
                  </w:r>
                </w:p>
              </w:tc>
              <w:tc>
                <w:tcPr>
                  <w:tcW w:w="1735" w:type="pct"/>
                  <w:vAlign w:val="center"/>
                </w:tcPr>
                <w:p>
                  <w:pPr>
                    <w:adjustRightInd w:val="0"/>
                    <w:jc w:val="center"/>
                    <w:rPr>
                      <w:b/>
                      <w:szCs w:val="21"/>
                    </w:rPr>
                  </w:pPr>
                  <w:r>
                    <w:rPr>
                      <w:rFonts w:hint="eastAsia"/>
                      <w:b/>
                      <w:szCs w:val="21"/>
                    </w:rPr>
                    <w:t>平均排放浓度（mg/m</w:t>
                  </w:r>
                  <w:r>
                    <w:rPr>
                      <w:rFonts w:hint="eastAsia"/>
                      <w:b/>
                      <w:szCs w:val="21"/>
                      <w:vertAlign w:val="superscript"/>
                    </w:rPr>
                    <w:t>3</w:t>
                  </w:r>
                  <w:r>
                    <w:rPr>
                      <w:rFonts w:hint="eastAsia"/>
                      <w:b/>
                      <w:szCs w:val="21"/>
                    </w:rPr>
                    <w:t>）</w:t>
                  </w:r>
                </w:p>
              </w:tc>
              <w:tc>
                <w:tcPr>
                  <w:tcW w:w="1082" w:type="pct"/>
                  <w:vAlign w:val="center"/>
                </w:tcPr>
                <w:p>
                  <w:pPr>
                    <w:adjustRightInd w:val="0"/>
                    <w:jc w:val="center"/>
                    <w:rPr>
                      <w:b/>
                      <w:szCs w:val="21"/>
                    </w:rPr>
                  </w:pPr>
                  <w:r>
                    <w:rPr>
                      <w:rFonts w:hint="eastAsia"/>
                      <w:b/>
                      <w:szCs w:val="21"/>
                    </w:rPr>
                    <w:t>排放速率（kg/h）</w:t>
                  </w:r>
                </w:p>
              </w:tc>
              <w:tc>
                <w:tcPr>
                  <w:tcW w:w="1485" w:type="pct"/>
                  <w:vAlign w:val="center"/>
                </w:tcPr>
                <w:p>
                  <w:pPr>
                    <w:adjustRightInd w:val="0"/>
                    <w:jc w:val="center"/>
                    <w:rPr>
                      <w:b/>
                      <w:szCs w:val="21"/>
                    </w:rPr>
                  </w:pPr>
                  <w:r>
                    <w:rPr>
                      <w:rFonts w:hint="eastAsia"/>
                      <w:b/>
                      <w:szCs w:val="21"/>
                    </w:rPr>
                    <w:t>标况烟气流量（m</w:t>
                  </w:r>
                  <w:r>
                    <w:rPr>
                      <w:rFonts w:hint="eastAsia"/>
                      <w:b/>
                      <w:szCs w:val="21"/>
                      <w:vertAlign w:val="superscript"/>
                    </w:rPr>
                    <w:t>3</w:t>
                  </w:r>
                  <w:r>
                    <w:rPr>
                      <w:rFonts w:hint="eastAsia"/>
                      <w:b/>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adjustRightInd w:val="0"/>
                    <w:jc w:val="center"/>
                    <w:rPr>
                      <w:bCs/>
                      <w:szCs w:val="21"/>
                    </w:rPr>
                  </w:pPr>
                  <w:r>
                    <w:rPr>
                      <w:rFonts w:hint="eastAsia"/>
                      <w:bCs/>
                      <w:szCs w:val="21"/>
                    </w:rPr>
                    <w:t>颗粒物</w:t>
                  </w:r>
                </w:p>
              </w:tc>
              <w:tc>
                <w:tcPr>
                  <w:tcW w:w="1735" w:type="pct"/>
                  <w:vAlign w:val="center"/>
                </w:tcPr>
                <w:p>
                  <w:pPr>
                    <w:adjustRightInd w:val="0"/>
                    <w:jc w:val="center"/>
                    <w:rPr>
                      <w:bCs/>
                      <w:szCs w:val="21"/>
                    </w:rPr>
                  </w:pPr>
                  <w:r>
                    <w:rPr>
                      <w:rFonts w:hint="eastAsia"/>
                      <w:bCs/>
                      <w:szCs w:val="21"/>
                    </w:rPr>
                    <w:t>23.5</w:t>
                  </w:r>
                </w:p>
              </w:tc>
              <w:tc>
                <w:tcPr>
                  <w:tcW w:w="1082" w:type="pct"/>
                  <w:vAlign w:val="center"/>
                </w:tcPr>
                <w:p>
                  <w:pPr>
                    <w:adjustRightInd w:val="0"/>
                    <w:jc w:val="center"/>
                    <w:rPr>
                      <w:bCs/>
                      <w:szCs w:val="21"/>
                    </w:rPr>
                  </w:pPr>
                  <w:r>
                    <w:rPr>
                      <w:rFonts w:hint="eastAsia"/>
                      <w:bCs/>
                      <w:szCs w:val="21"/>
                    </w:rPr>
                    <w:t>0.131</w:t>
                  </w:r>
                </w:p>
              </w:tc>
              <w:tc>
                <w:tcPr>
                  <w:tcW w:w="1485" w:type="pct"/>
                  <w:vAlign w:val="center"/>
                </w:tcPr>
                <w:p>
                  <w:pPr>
                    <w:adjustRightInd w:val="0"/>
                    <w:jc w:val="center"/>
                    <w:rPr>
                      <w:bCs/>
                      <w:szCs w:val="21"/>
                    </w:rPr>
                  </w:pPr>
                  <w:r>
                    <w:rPr>
                      <w:rFonts w:hint="eastAsia"/>
                      <w:bCs/>
                      <w:szCs w:val="21"/>
                    </w:rPr>
                    <w:t>5604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adjustRightInd w:val="0"/>
                    <w:jc w:val="center"/>
                    <w:rPr>
                      <w:bCs/>
                      <w:szCs w:val="21"/>
                    </w:rPr>
                  </w:pPr>
                  <w:r>
                    <w:rPr>
                      <w:rFonts w:hint="eastAsia"/>
                      <w:bCs/>
                      <w:szCs w:val="21"/>
                    </w:rPr>
                    <w:t>标准限值</w:t>
                  </w:r>
                </w:p>
              </w:tc>
              <w:tc>
                <w:tcPr>
                  <w:tcW w:w="1735" w:type="pct"/>
                  <w:vAlign w:val="center"/>
                </w:tcPr>
                <w:p>
                  <w:pPr>
                    <w:adjustRightInd w:val="0"/>
                    <w:jc w:val="center"/>
                    <w:rPr>
                      <w:bCs/>
                      <w:szCs w:val="21"/>
                    </w:rPr>
                  </w:pPr>
                  <w:r>
                    <w:rPr>
                      <w:rFonts w:hint="eastAsia"/>
                      <w:bCs/>
                      <w:szCs w:val="21"/>
                    </w:rPr>
                    <w:t>120</w:t>
                  </w:r>
                </w:p>
              </w:tc>
              <w:tc>
                <w:tcPr>
                  <w:tcW w:w="1082" w:type="pct"/>
                  <w:vAlign w:val="center"/>
                </w:tcPr>
                <w:p>
                  <w:pPr>
                    <w:adjustRightInd w:val="0"/>
                    <w:jc w:val="center"/>
                    <w:rPr>
                      <w:bCs/>
                      <w:szCs w:val="21"/>
                    </w:rPr>
                  </w:pPr>
                  <w:r>
                    <w:rPr>
                      <w:rFonts w:hint="eastAsia"/>
                      <w:bCs/>
                      <w:szCs w:val="21"/>
                    </w:rPr>
                    <w:t>3.5</w:t>
                  </w:r>
                </w:p>
              </w:tc>
              <w:tc>
                <w:tcPr>
                  <w:tcW w:w="1485" w:type="pct"/>
                  <w:vAlign w:val="center"/>
                </w:tcPr>
                <w:p>
                  <w:pPr>
                    <w:adjustRightInd w:val="0"/>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vAlign w:val="center"/>
                </w:tcPr>
                <w:p>
                  <w:pPr>
                    <w:adjustRightInd w:val="0"/>
                    <w:jc w:val="center"/>
                    <w:rPr>
                      <w:bCs/>
                      <w:szCs w:val="21"/>
                    </w:rPr>
                  </w:pPr>
                  <w:r>
                    <w:rPr>
                      <w:rFonts w:hint="eastAsia"/>
                      <w:bCs/>
                      <w:szCs w:val="21"/>
                    </w:rPr>
                    <w:t>达标情况</w:t>
                  </w:r>
                </w:p>
              </w:tc>
              <w:tc>
                <w:tcPr>
                  <w:tcW w:w="1735" w:type="pct"/>
                  <w:vAlign w:val="center"/>
                </w:tcPr>
                <w:p>
                  <w:pPr>
                    <w:adjustRightInd w:val="0"/>
                    <w:jc w:val="center"/>
                    <w:rPr>
                      <w:bCs/>
                      <w:szCs w:val="21"/>
                    </w:rPr>
                  </w:pPr>
                  <w:r>
                    <w:rPr>
                      <w:rFonts w:hint="eastAsia"/>
                      <w:bCs/>
                      <w:szCs w:val="21"/>
                    </w:rPr>
                    <w:t>达标</w:t>
                  </w:r>
                </w:p>
              </w:tc>
              <w:tc>
                <w:tcPr>
                  <w:tcW w:w="1082" w:type="pct"/>
                  <w:vAlign w:val="center"/>
                </w:tcPr>
                <w:p>
                  <w:pPr>
                    <w:adjustRightInd w:val="0"/>
                    <w:jc w:val="center"/>
                    <w:rPr>
                      <w:bCs/>
                      <w:szCs w:val="21"/>
                    </w:rPr>
                  </w:pPr>
                  <w:r>
                    <w:rPr>
                      <w:rFonts w:hint="eastAsia"/>
                      <w:bCs/>
                      <w:szCs w:val="21"/>
                    </w:rPr>
                    <w:t>达标</w:t>
                  </w:r>
                </w:p>
              </w:tc>
              <w:tc>
                <w:tcPr>
                  <w:tcW w:w="1485" w:type="pct"/>
                  <w:vAlign w:val="center"/>
                </w:tcPr>
                <w:p>
                  <w:pPr>
                    <w:adjustRightInd w:val="0"/>
                    <w:jc w:val="center"/>
                    <w:rPr>
                      <w:bCs/>
                      <w:szCs w:val="21"/>
                    </w:rPr>
                  </w:pPr>
                  <w:r>
                    <w:rPr>
                      <w:rFonts w:hint="eastAsia"/>
                      <w:bCs/>
                      <w:szCs w:val="21"/>
                    </w:rPr>
                    <w:t>/</w:t>
                  </w:r>
                </w:p>
              </w:tc>
            </w:tr>
          </w:tbl>
          <w:p>
            <w:pPr>
              <w:adjustRightInd w:val="0"/>
              <w:spacing w:before="120" w:beforeLines="50" w:line="360" w:lineRule="auto"/>
              <w:ind w:firstLine="480" w:firstLineChars="200"/>
              <w:rPr>
                <w:rFonts w:cs="宋体"/>
                <w:kern w:val="0"/>
                <w:sz w:val="24"/>
                <w:lang w:bidi="ar"/>
              </w:rPr>
            </w:pPr>
            <w:r>
              <w:rPr>
                <w:rFonts w:hint="eastAsia"/>
                <w:bCs/>
                <w:sz w:val="24"/>
                <w:szCs w:val="28"/>
              </w:rPr>
              <w:t>根据监测结果，刨片工段</w:t>
            </w:r>
            <w:r>
              <w:rPr>
                <w:rFonts w:hint="eastAsia" w:cs="宋体"/>
                <w:kern w:val="0"/>
                <w:sz w:val="24"/>
                <w:lang w:bidi="ar"/>
              </w:rPr>
              <w:t>中颗粒物排放浓度能达到</w:t>
            </w:r>
            <w:r>
              <w:rPr>
                <w:rFonts w:hint="eastAsia"/>
                <w:sz w:val="24"/>
                <w:szCs w:val="21"/>
              </w:rPr>
              <w:t>《大气污染物综合排放标准》（GB16297-1996）表2中有组织最高允许排放浓度</w:t>
            </w:r>
            <w:r>
              <w:rPr>
                <w:rFonts w:hint="eastAsia" w:cs="宋体"/>
                <w:kern w:val="0"/>
                <w:sz w:val="24"/>
                <w:lang w:bidi="ar"/>
              </w:rPr>
              <w:t>标准要求。</w:t>
            </w:r>
          </w:p>
          <w:p>
            <w:pPr>
              <w:adjustRightInd w:val="0"/>
              <w:spacing w:line="360" w:lineRule="auto"/>
              <w:ind w:firstLine="480" w:firstLineChars="200"/>
              <w:rPr>
                <w:b/>
                <w:sz w:val="24"/>
                <w:szCs w:val="21"/>
              </w:rPr>
            </w:pPr>
            <w:r>
              <w:rPr>
                <w:rFonts w:hint="eastAsia" w:cs="宋体"/>
                <w:kern w:val="0"/>
                <w:sz w:val="24"/>
                <w:lang w:bidi="ar"/>
              </w:rPr>
              <w:t>根据建设单位提供的资料，</w:t>
            </w:r>
            <w:r>
              <w:rPr>
                <w:kern w:val="0"/>
                <w:sz w:val="24"/>
                <w:lang w:bidi="ar"/>
              </w:rPr>
              <w:t>2021</w:t>
            </w:r>
            <w:r>
              <w:rPr>
                <w:rFonts w:hint="eastAsia" w:cs="宋体"/>
                <w:kern w:val="0"/>
                <w:sz w:val="24"/>
                <w:lang w:bidi="ar"/>
              </w:rPr>
              <w:t>年</w:t>
            </w:r>
            <w:r>
              <w:rPr>
                <w:kern w:val="0"/>
                <w:sz w:val="24"/>
                <w:lang w:bidi="ar"/>
              </w:rPr>
              <w:t>3</w:t>
            </w:r>
            <w:r>
              <w:rPr>
                <w:rFonts w:hint="eastAsia" w:cs="宋体"/>
                <w:kern w:val="0"/>
                <w:sz w:val="24"/>
                <w:lang w:bidi="ar"/>
              </w:rPr>
              <w:t>月</w:t>
            </w:r>
            <w:r>
              <w:rPr>
                <w:kern w:val="0"/>
                <w:sz w:val="24"/>
                <w:lang w:bidi="ar"/>
              </w:rPr>
              <w:t>1</w:t>
            </w:r>
            <w:r>
              <w:rPr>
                <w:rFonts w:hint="eastAsia"/>
                <w:kern w:val="0"/>
                <w:sz w:val="24"/>
                <w:lang w:bidi="ar"/>
              </w:rPr>
              <w:t>9</w:t>
            </w:r>
            <w:r>
              <w:rPr>
                <w:rFonts w:hint="eastAsia" w:cs="宋体"/>
                <w:kern w:val="0"/>
                <w:sz w:val="24"/>
                <w:lang w:bidi="ar"/>
              </w:rPr>
              <w:t>日监测期间</w:t>
            </w:r>
            <w:r>
              <w:rPr>
                <w:rFonts w:hint="eastAsia"/>
                <w:sz w:val="24"/>
                <w:szCs w:val="21"/>
              </w:rPr>
              <w:t>企业各生产设备均按设计生产能力进行正常生产。</w:t>
            </w:r>
            <w:r>
              <w:rPr>
                <w:rFonts w:hint="eastAsia"/>
                <w:bCs/>
                <w:sz w:val="24"/>
                <w:szCs w:val="28"/>
              </w:rPr>
              <w:t>计算出颗粒物排放量为0.943t/a。</w:t>
            </w:r>
          </w:p>
          <w:p>
            <w:pPr>
              <w:adjustRightInd w:val="0"/>
              <w:spacing w:line="360" w:lineRule="auto"/>
              <w:ind w:firstLine="482" w:firstLineChars="200"/>
              <w:rPr>
                <w:b/>
                <w:bCs/>
                <w:sz w:val="24"/>
              </w:rPr>
            </w:pPr>
            <w:r>
              <w:rPr>
                <w:rFonts w:hint="eastAsia"/>
                <w:b/>
                <w:bCs/>
                <w:sz w:val="24"/>
              </w:rPr>
              <w:t>④刨花干燥工段废气（DA0010）</w:t>
            </w:r>
          </w:p>
          <w:p>
            <w:pPr>
              <w:adjustRightInd w:val="0"/>
              <w:spacing w:line="360" w:lineRule="auto"/>
              <w:ind w:firstLine="480" w:firstLineChars="200"/>
              <w:rPr>
                <w:sz w:val="24"/>
                <w:szCs w:val="21"/>
              </w:rPr>
            </w:pPr>
            <w:r>
              <w:rPr>
                <w:rFonts w:hint="eastAsia"/>
                <w:sz w:val="24"/>
                <w:szCs w:val="21"/>
              </w:rPr>
              <w:t>现有项目刨花板生产干燥工段废气主要为颗粒物，干燥工段废气采用“旋风除尘器”处理后经过1根15m高排气筒（DA010）排放。</w:t>
            </w:r>
          </w:p>
          <w:p>
            <w:pPr>
              <w:adjustRightInd w:val="0"/>
              <w:spacing w:line="360" w:lineRule="auto"/>
              <w:ind w:firstLine="480" w:firstLineChars="200"/>
              <w:rPr>
                <w:b/>
                <w:bCs/>
                <w:sz w:val="24"/>
              </w:rPr>
            </w:pPr>
            <w:r>
              <w:rPr>
                <w:rFonts w:hint="eastAsia"/>
                <w:sz w:val="24"/>
                <w:szCs w:val="21"/>
              </w:rPr>
              <w:t>2021年3月19日，</w:t>
            </w:r>
            <w:r>
              <w:rPr>
                <w:rFonts w:hint="eastAsia"/>
                <w:sz w:val="24"/>
              </w:rPr>
              <w:t>云南健牛生物科技有限公司</w:t>
            </w:r>
            <w:r>
              <w:rPr>
                <w:rFonts w:hint="eastAsia" w:ascii="宋体" w:hAnsi="宋体" w:cs="宋体"/>
                <w:kern w:val="0"/>
                <w:sz w:val="24"/>
                <w:lang w:bidi="ar"/>
              </w:rPr>
              <w:t>对</w:t>
            </w:r>
            <w:r>
              <w:rPr>
                <w:rFonts w:hint="eastAsia"/>
                <w:sz w:val="24"/>
                <w:szCs w:val="21"/>
              </w:rPr>
              <w:t>干燥工段</w:t>
            </w:r>
            <w:r>
              <w:rPr>
                <w:rFonts w:hint="eastAsia" w:ascii="宋体" w:hAnsi="宋体" w:cs="宋体"/>
                <w:kern w:val="0"/>
                <w:sz w:val="24"/>
                <w:lang w:bidi="ar"/>
              </w:rPr>
              <w:t>排气筒排放口进行监测，监测期间项目刨花板生产正常运行。其污染物排放情况详见下表。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w:t>
            </w:r>
            <w:r>
              <w:rPr>
                <w:rFonts w:cs="宋体"/>
                <w:b/>
                <w:bCs/>
                <w:kern w:val="0"/>
                <w:sz w:val="24"/>
                <w:szCs w:val="20"/>
                <w:lang w:bidi="ar"/>
              </w:rPr>
              <w:t>1</w:t>
            </w:r>
            <w:r>
              <w:rPr>
                <w:rFonts w:hint="eastAsia" w:cs="宋体"/>
                <w:b/>
                <w:bCs/>
                <w:kern w:val="0"/>
                <w:sz w:val="24"/>
                <w:szCs w:val="20"/>
                <w:lang w:bidi="ar"/>
              </w:rPr>
              <w:t>6  刨花干燥工段废气排放情况（DA0</w:t>
            </w:r>
            <w:r>
              <w:rPr>
                <w:rFonts w:cs="宋体"/>
                <w:b/>
                <w:bCs/>
                <w:kern w:val="0"/>
                <w:sz w:val="24"/>
                <w:szCs w:val="20"/>
                <w:lang w:bidi="ar"/>
              </w:rPr>
              <w:t>1</w:t>
            </w:r>
            <w:r>
              <w:rPr>
                <w:rFonts w:hint="eastAsia" w:cs="宋体"/>
                <w:b/>
                <w:bCs/>
                <w:kern w:val="0"/>
                <w:sz w:val="24"/>
                <w:szCs w:val="20"/>
                <w:lang w:bidi="ar"/>
              </w:rPr>
              <w:t>0）</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548"/>
              <w:gridCol w:w="5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28" w:type="pct"/>
                  <w:vAlign w:val="center"/>
                </w:tcPr>
                <w:p>
                  <w:pPr>
                    <w:adjustRightInd w:val="0"/>
                    <w:jc w:val="center"/>
                    <w:rPr>
                      <w:b/>
                      <w:szCs w:val="21"/>
                    </w:rPr>
                  </w:pPr>
                  <w:r>
                    <w:rPr>
                      <w:rFonts w:hint="eastAsia"/>
                      <w:b/>
                      <w:szCs w:val="21"/>
                    </w:rPr>
                    <w:t>监测项目</w:t>
                  </w:r>
                </w:p>
              </w:tc>
              <w:tc>
                <w:tcPr>
                  <w:tcW w:w="3472" w:type="pct"/>
                  <w:vAlign w:val="center"/>
                </w:tcPr>
                <w:p>
                  <w:pPr>
                    <w:adjustRightInd w:val="0"/>
                    <w:jc w:val="center"/>
                    <w:rPr>
                      <w:b/>
                      <w:szCs w:val="21"/>
                    </w:rPr>
                  </w:pPr>
                  <w:r>
                    <w:rPr>
                      <w:rFonts w:hint="eastAsia"/>
                      <w:b/>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28" w:type="pct"/>
                  <w:vAlign w:val="center"/>
                </w:tcPr>
                <w:p>
                  <w:pPr>
                    <w:adjustRightInd w:val="0"/>
                    <w:jc w:val="center"/>
                    <w:rPr>
                      <w:b/>
                      <w:szCs w:val="21"/>
                    </w:rPr>
                  </w:pPr>
                  <w:r>
                    <w:rPr>
                      <w:rFonts w:hint="eastAsia"/>
                      <w:b/>
                      <w:szCs w:val="21"/>
                    </w:rPr>
                    <w:t>平均排放浓度（mg/m</w:t>
                  </w:r>
                  <w:r>
                    <w:rPr>
                      <w:rFonts w:hint="eastAsia"/>
                      <w:b/>
                      <w:szCs w:val="21"/>
                      <w:vertAlign w:val="superscript"/>
                    </w:rPr>
                    <w:t>3</w:t>
                  </w:r>
                  <w:r>
                    <w:rPr>
                      <w:rFonts w:hint="eastAsia"/>
                      <w:b/>
                      <w:szCs w:val="21"/>
                    </w:rPr>
                    <w:t>）</w:t>
                  </w:r>
                </w:p>
              </w:tc>
              <w:tc>
                <w:tcPr>
                  <w:tcW w:w="3472" w:type="pct"/>
                  <w:vAlign w:val="center"/>
                </w:tcPr>
                <w:p>
                  <w:pPr>
                    <w:adjustRightInd w:val="0"/>
                    <w:jc w:val="center"/>
                    <w:rPr>
                      <w:bCs/>
                      <w:szCs w:val="21"/>
                    </w:rPr>
                  </w:pPr>
                  <w:r>
                    <w:rPr>
                      <w:rFonts w:hint="eastAsia"/>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28" w:type="pct"/>
                  <w:vAlign w:val="center"/>
                </w:tcPr>
                <w:p>
                  <w:pPr>
                    <w:adjustRightInd w:val="0"/>
                    <w:jc w:val="center"/>
                    <w:rPr>
                      <w:b/>
                      <w:szCs w:val="21"/>
                    </w:rPr>
                  </w:pPr>
                  <w:r>
                    <w:rPr>
                      <w:rFonts w:hint="eastAsia"/>
                      <w:b/>
                      <w:szCs w:val="21"/>
                    </w:rPr>
                    <w:t>标准限值</w:t>
                  </w:r>
                </w:p>
              </w:tc>
              <w:tc>
                <w:tcPr>
                  <w:tcW w:w="3472" w:type="pct"/>
                  <w:vAlign w:val="center"/>
                </w:tcPr>
                <w:p>
                  <w:pPr>
                    <w:adjustRightInd w:val="0"/>
                    <w:jc w:val="center"/>
                    <w:rPr>
                      <w:bCs/>
                      <w:szCs w:val="21"/>
                    </w:rPr>
                  </w:pPr>
                  <w:r>
                    <w:rPr>
                      <w:rFonts w:hint="eastAsia"/>
                      <w:bCs/>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28" w:type="pct"/>
                  <w:vAlign w:val="center"/>
                </w:tcPr>
                <w:p>
                  <w:pPr>
                    <w:adjustRightInd w:val="0"/>
                    <w:jc w:val="center"/>
                    <w:rPr>
                      <w:b/>
                      <w:szCs w:val="21"/>
                    </w:rPr>
                  </w:pPr>
                  <w:r>
                    <w:rPr>
                      <w:rFonts w:hint="eastAsia"/>
                      <w:b/>
                      <w:szCs w:val="21"/>
                    </w:rPr>
                    <w:t>达标情况</w:t>
                  </w:r>
                </w:p>
              </w:tc>
              <w:tc>
                <w:tcPr>
                  <w:tcW w:w="3472" w:type="pct"/>
                  <w:vAlign w:val="center"/>
                </w:tcPr>
                <w:p>
                  <w:pPr>
                    <w:adjustRightInd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28" w:type="pct"/>
                  <w:vAlign w:val="center"/>
                </w:tcPr>
                <w:p>
                  <w:pPr>
                    <w:adjustRightInd w:val="0"/>
                    <w:jc w:val="center"/>
                    <w:rPr>
                      <w:b/>
                      <w:szCs w:val="21"/>
                    </w:rPr>
                  </w:pPr>
                  <w:r>
                    <w:rPr>
                      <w:rFonts w:hint="eastAsia"/>
                      <w:b/>
                      <w:szCs w:val="21"/>
                    </w:rPr>
                    <w:t>排放速率（kg/h）</w:t>
                  </w:r>
                </w:p>
              </w:tc>
              <w:tc>
                <w:tcPr>
                  <w:tcW w:w="3472" w:type="pct"/>
                  <w:vAlign w:val="center"/>
                </w:tcPr>
                <w:p>
                  <w:pPr>
                    <w:adjustRightInd w:val="0"/>
                    <w:jc w:val="center"/>
                    <w:rPr>
                      <w:bCs/>
                      <w:szCs w:val="21"/>
                    </w:rPr>
                  </w:pPr>
                  <w:r>
                    <w:rPr>
                      <w:rFonts w:hint="eastAsia"/>
                      <w:bCs/>
                      <w:szCs w:val="21"/>
                    </w:rPr>
                    <w:t>0.188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28" w:type="pct"/>
                  <w:vAlign w:val="center"/>
                </w:tcPr>
                <w:p>
                  <w:pPr>
                    <w:adjustRightInd w:val="0"/>
                    <w:jc w:val="center"/>
                    <w:rPr>
                      <w:b/>
                      <w:szCs w:val="21"/>
                    </w:rPr>
                  </w:pPr>
                  <w:r>
                    <w:rPr>
                      <w:rFonts w:hint="eastAsia"/>
                      <w:b/>
                      <w:szCs w:val="21"/>
                    </w:rPr>
                    <w:t>标准限值</w:t>
                  </w:r>
                </w:p>
              </w:tc>
              <w:tc>
                <w:tcPr>
                  <w:tcW w:w="3472" w:type="pct"/>
                  <w:vAlign w:val="center"/>
                </w:tcPr>
                <w:p>
                  <w:pPr>
                    <w:adjustRightInd w:val="0"/>
                    <w:jc w:val="center"/>
                    <w:rPr>
                      <w:bCs/>
                      <w:szCs w:val="21"/>
                    </w:rPr>
                  </w:pPr>
                  <w:r>
                    <w:rPr>
                      <w:rFonts w:hint="eastAsia"/>
                      <w:bCs/>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28" w:type="pct"/>
                  <w:vAlign w:val="center"/>
                </w:tcPr>
                <w:p>
                  <w:pPr>
                    <w:adjustRightInd w:val="0"/>
                    <w:jc w:val="center"/>
                    <w:rPr>
                      <w:b/>
                      <w:szCs w:val="21"/>
                    </w:rPr>
                  </w:pPr>
                  <w:r>
                    <w:rPr>
                      <w:rFonts w:hint="eastAsia"/>
                      <w:b/>
                      <w:szCs w:val="21"/>
                    </w:rPr>
                    <w:t>达标情况</w:t>
                  </w:r>
                </w:p>
              </w:tc>
              <w:tc>
                <w:tcPr>
                  <w:tcW w:w="3472" w:type="pct"/>
                  <w:vAlign w:val="center"/>
                </w:tcPr>
                <w:p>
                  <w:pPr>
                    <w:adjustRightInd w:val="0"/>
                    <w:jc w:val="center"/>
                    <w:rPr>
                      <w:bCs/>
                      <w:szCs w:val="21"/>
                    </w:rPr>
                  </w:pPr>
                  <w:r>
                    <w:rPr>
                      <w:rFonts w:hint="eastAsia"/>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28" w:type="pct"/>
                  <w:vAlign w:val="center"/>
                </w:tcPr>
                <w:p>
                  <w:pPr>
                    <w:adjustRightInd w:val="0"/>
                    <w:jc w:val="center"/>
                    <w:rPr>
                      <w:b/>
                      <w:szCs w:val="21"/>
                    </w:rPr>
                  </w:pPr>
                  <w:r>
                    <w:rPr>
                      <w:rFonts w:hint="eastAsia"/>
                      <w:b/>
                      <w:szCs w:val="21"/>
                    </w:rPr>
                    <w:t>标况烟气流量（m</w:t>
                  </w:r>
                  <w:r>
                    <w:rPr>
                      <w:rFonts w:hint="eastAsia"/>
                      <w:b/>
                      <w:szCs w:val="21"/>
                      <w:vertAlign w:val="superscript"/>
                    </w:rPr>
                    <w:t>3</w:t>
                  </w:r>
                  <w:r>
                    <w:rPr>
                      <w:rFonts w:hint="eastAsia"/>
                      <w:b/>
                      <w:szCs w:val="21"/>
                    </w:rPr>
                    <w:t>/h）</w:t>
                  </w:r>
                </w:p>
              </w:tc>
              <w:tc>
                <w:tcPr>
                  <w:tcW w:w="3472" w:type="pct"/>
                  <w:vAlign w:val="center"/>
                </w:tcPr>
                <w:p>
                  <w:pPr>
                    <w:adjustRightInd w:val="0"/>
                    <w:jc w:val="center"/>
                    <w:rPr>
                      <w:bCs/>
                      <w:szCs w:val="21"/>
                    </w:rPr>
                  </w:pPr>
                  <w:r>
                    <w:rPr>
                      <w:rFonts w:hint="eastAsia"/>
                      <w:bCs/>
                      <w:szCs w:val="21"/>
                    </w:rPr>
                    <w:t>18833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28" w:type="pct"/>
                  <w:vAlign w:val="center"/>
                </w:tcPr>
                <w:p>
                  <w:pPr>
                    <w:adjustRightInd w:val="0"/>
                    <w:jc w:val="center"/>
                    <w:rPr>
                      <w:b/>
                      <w:szCs w:val="21"/>
                    </w:rPr>
                  </w:pPr>
                  <w:r>
                    <w:rPr>
                      <w:rFonts w:hint="eastAsia"/>
                      <w:b/>
                      <w:szCs w:val="21"/>
                    </w:rPr>
                    <w:t>备注</w:t>
                  </w:r>
                </w:p>
              </w:tc>
              <w:tc>
                <w:tcPr>
                  <w:tcW w:w="3472" w:type="pct"/>
                  <w:vAlign w:val="center"/>
                </w:tcPr>
                <w:p>
                  <w:pPr>
                    <w:adjustRightInd w:val="0"/>
                    <w:jc w:val="center"/>
                    <w:rPr>
                      <w:bCs/>
                      <w:szCs w:val="21"/>
                    </w:rPr>
                  </w:pPr>
                  <w:r>
                    <w:rPr>
                      <w:rFonts w:hint="eastAsia"/>
                      <w:bCs/>
                      <w:szCs w:val="28"/>
                    </w:rPr>
                    <w:t>根据《固定污染源排气中颗粒物测定于气态污染物采样方法》（G</w:t>
                  </w:r>
                  <w:r>
                    <w:rPr>
                      <w:bCs/>
                      <w:szCs w:val="28"/>
                    </w:rPr>
                    <w:t>B/T16157-1996</w:t>
                  </w:r>
                  <w:r>
                    <w:rPr>
                      <w:rFonts w:hint="eastAsia"/>
                      <w:bCs/>
                      <w:szCs w:val="28"/>
                    </w:rPr>
                    <w:t>）修改单中增加的内容：采用本标准测定浓度小于等于2</w:t>
                  </w:r>
                  <w:r>
                    <w:rPr>
                      <w:bCs/>
                      <w:szCs w:val="28"/>
                    </w:rPr>
                    <w:t>0mg/m</w:t>
                  </w:r>
                  <w:r>
                    <w:rPr>
                      <w:bCs/>
                      <w:szCs w:val="28"/>
                      <w:vertAlign w:val="superscript"/>
                    </w:rPr>
                    <w:t>3</w:t>
                  </w:r>
                  <w:r>
                    <w:rPr>
                      <w:rFonts w:hint="eastAsia"/>
                      <w:bCs/>
                      <w:szCs w:val="28"/>
                    </w:rPr>
                    <w:t>时，测定结果表述为“＜2</w:t>
                  </w:r>
                  <w:r>
                    <w:rPr>
                      <w:bCs/>
                      <w:szCs w:val="28"/>
                    </w:rPr>
                    <w:t>0mg/m</w:t>
                  </w:r>
                  <w:r>
                    <w:rPr>
                      <w:bCs/>
                      <w:szCs w:val="28"/>
                      <w:vertAlign w:val="superscript"/>
                    </w:rPr>
                    <w:t>3</w:t>
                  </w:r>
                  <w:r>
                    <w:rPr>
                      <w:rFonts w:hint="eastAsia"/>
                      <w:bCs/>
                      <w:szCs w:val="28"/>
                    </w:rPr>
                    <w:t>”</w:t>
                  </w:r>
                  <w:r>
                    <w:rPr>
                      <w:rFonts w:hint="eastAsia"/>
                      <w:bCs/>
                      <w:szCs w:val="21"/>
                    </w:rPr>
                    <w:t>。</w:t>
                  </w:r>
                </w:p>
              </w:tc>
            </w:tr>
          </w:tbl>
          <w:p>
            <w:pPr>
              <w:adjustRightInd w:val="0"/>
              <w:spacing w:before="120" w:beforeLines="50" w:line="360" w:lineRule="auto"/>
              <w:ind w:firstLine="480" w:firstLineChars="200"/>
              <w:rPr>
                <w:rFonts w:cs="宋体"/>
                <w:kern w:val="0"/>
                <w:sz w:val="24"/>
                <w:lang w:bidi="ar"/>
              </w:rPr>
            </w:pPr>
            <w:r>
              <w:rPr>
                <w:rFonts w:hint="eastAsia"/>
                <w:bCs/>
                <w:sz w:val="24"/>
                <w:szCs w:val="28"/>
              </w:rPr>
              <w:t>根据监测结果，刨花干燥工段</w:t>
            </w:r>
            <w:r>
              <w:rPr>
                <w:rFonts w:hint="eastAsia" w:cs="宋体"/>
                <w:kern w:val="0"/>
                <w:sz w:val="24"/>
                <w:lang w:bidi="ar"/>
              </w:rPr>
              <w:t>中颗粒物排放浓度及排放速率能达到</w:t>
            </w:r>
            <w:r>
              <w:rPr>
                <w:rFonts w:hint="eastAsia"/>
                <w:sz w:val="24"/>
                <w:szCs w:val="21"/>
              </w:rPr>
              <w:t>《大气污染物综合排放标准》（GB16297-1996）表2中有组织最高允许排放浓度</w:t>
            </w:r>
            <w:r>
              <w:rPr>
                <w:rFonts w:hint="eastAsia" w:cs="宋体"/>
                <w:kern w:val="0"/>
                <w:sz w:val="24"/>
                <w:lang w:bidi="ar"/>
              </w:rPr>
              <w:t>标准要求。</w:t>
            </w:r>
          </w:p>
          <w:p>
            <w:pPr>
              <w:adjustRightInd w:val="0"/>
              <w:spacing w:line="360" w:lineRule="auto"/>
              <w:ind w:firstLine="480" w:firstLineChars="200"/>
              <w:rPr>
                <w:b/>
                <w:sz w:val="24"/>
                <w:szCs w:val="21"/>
              </w:rPr>
            </w:pPr>
            <w:r>
              <w:rPr>
                <w:rFonts w:hint="eastAsia" w:cs="宋体"/>
                <w:kern w:val="0"/>
                <w:sz w:val="24"/>
                <w:lang w:bidi="ar"/>
              </w:rPr>
              <w:t>根据建设单位提供的资料，</w:t>
            </w:r>
            <w:r>
              <w:rPr>
                <w:kern w:val="0"/>
                <w:sz w:val="24"/>
                <w:lang w:bidi="ar"/>
              </w:rPr>
              <w:t>2021</w:t>
            </w:r>
            <w:r>
              <w:rPr>
                <w:rFonts w:hint="eastAsia" w:cs="宋体"/>
                <w:kern w:val="0"/>
                <w:sz w:val="24"/>
                <w:lang w:bidi="ar"/>
              </w:rPr>
              <w:t>年</w:t>
            </w:r>
            <w:r>
              <w:rPr>
                <w:kern w:val="0"/>
                <w:sz w:val="24"/>
                <w:lang w:bidi="ar"/>
              </w:rPr>
              <w:t>3</w:t>
            </w:r>
            <w:r>
              <w:rPr>
                <w:rFonts w:hint="eastAsia" w:cs="宋体"/>
                <w:kern w:val="0"/>
                <w:sz w:val="24"/>
                <w:lang w:bidi="ar"/>
              </w:rPr>
              <w:t>月</w:t>
            </w:r>
            <w:r>
              <w:rPr>
                <w:kern w:val="0"/>
                <w:sz w:val="24"/>
                <w:lang w:bidi="ar"/>
              </w:rPr>
              <w:t>1</w:t>
            </w:r>
            <w:r>
              <w:rPr>
                <w:rFonts w:hint="eastAsia"/>
                <w:kern w:val="0"/>
                <w:sz w:val="24"/>
                <w:lang w:bidi="ar"/>
              </w:rPr>
              <w:t>9</w:t>
            </w:r>
            <w:r>
              <w:rPr>
                <w:rFonts w:hint="eastAsia" w:cs="宋体"/>
                <w:kern w:val="0"/>
                <w:sz w:val="24"/>
                <w:lang w:bidi="ar"/>
              </w:rPr>
              <w:t>日监测期间</w:t>
            </w:r>
            <w:r>
              <w:rPr>
                <w:rFonts w:hint="eastAsia"/>
                <w:sz w:val="24"/>
                <w:szCs w:val="21"/>
              </w:rPr>
              <w:t>企业各生产设备均按设计生产能力进行正常生产。</w:t>
            </w:r>
            <w:r>
              <w:rPr>
                <w:rFonts w:hint="eastAsia"/>
                <w:bCs/>
                <w:sz w:val="24"/>
                <w:szCs w:val="28"/>
              </w:rPr>
              <w:t>计算出颗粒物排放量为1.35t/a。</w:t>
            </w:r>
          </w:p>
          <w:p>
            <w:pPr>
              <w:adjustRightInd w:val="0"/>
              <w:spacing w:line="360" w:lineRule="auto"/>
              <w:ind w:firstLine="482" w:firstLineChars="200"/>
              <w:rPr>
                <w:b/>
                <w:bCs/>
                <w:sz w:val="24"/>
              </w:rPr>
            </w:pPr>
            <w:r>
              <w:rPr>
                <w:rFonts w:hint="eastAsia"/>
                <w:b/>
                <w:bCs/>
                <w:sz w:val="24"/>
              </w:rPr>
              <w:t>⑤热压凉板工段废气（DA011）</w:t>
            </w:r>
          </w:p>
          <w:p>
            <w:pPr>
              <w:adjustRightInd w:val="0"/>
              <w:spacing w:line="360" w:lineRule="auto"/>
              <w:ind w:firstLine="480" w:firstLineChars="200"/>
              <w:rPr>
                <w:sz w:val="24"/>
                <w:szCs w:val="21"/>
              </w:rPr>
            </w:pPr>
            <w:r>
              <w:rPr>
                <w:rFonts w:hint="eastAsia"/>
                <w:sz w:val="24"/>
                <w:szCs w:val="21"/>
              </w:rPr>
              <w:t>现有项目刨花板生产热压、凉板工段产生颗粒物、甲醛、非甲烷总烃，热压、凉板工段废气采用集气罩收集后经过1根15m高排气筒（DA011）排放。</w:t>
            </w:r>
          </w:p>
          <w:p>
            <w:pPr>
              <w:adjustRightInd w:val="0"/>
              <w:spacing w:line="360" w:lineRule="auto"/>
              <w:ind w:firstLine="480" w:firstLineChars="200"/>
              <w:rPr>
                <w:b/>
                <w:bCs/>
                <w:sz w:val="24"/>
              </w:rPr>
            </w:pPr>
            <w:r>
              <w:rPr>
                <w:rFonts w:hint="eastAsia"/>
                <w:sz w:val="24"/>
                <w:szCs w:val="21"/>
              </w:rPr>
              <w:t>2021年3月19日，</w:t>
            </w:r>
            <w:r>
              <w:rPr>
                <w:rFonts w:hint="eastAsia"/>
                <w:sz w:val="24"/>
              </w:rPr>
              <w:t>云南健牛生物科技有限公司</w:t>
            </w:r>
            <w:r>
              <w:rPr>
                <w:rFonts w:hint="eastAsia" w:ascii="宋体" w:hAnsi="宋体" w:cs="宋体"/>
                <w:kern w:val="0"/>
                <w:sz w:val="24"/>
                <w:lang w:bidi="ar"/>
              </w:rPr>
              <w:t>对</w:t>
            </w:r>
            <w:r>
              <w:rPr>
                <w:rFonts w:hint="eastAsia"/>
                <w:sz w:val="24"/>
                <w:szCs w:val="21"/>
              </w:rPr>
              <w:t>热压、凉板工段</w:t>
            </w:r>
            <w:r>
              <w:rPr>
                <w:rFonts w:hint="eastAsia" w:ascii="宋体" w:hAnsi="宋体" w:cs="宋体"/>
                <w:kern w:val="0"/>
                <w:sz w:val="24"/>
                <w:lang w:bidi="ar"/>
              </w:rPr>
              <w:t>排气筒排放口进行监测，监测期间项目刨花板生产正常运行。其污染物排放情况详见下表。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w:t>
            </w:r>
            <w:r>
              <w:rPr>
                <w:rFonts w:cs="宋体"/>
                <w:b/>
                <w:bCs/>
                <w:kern w:val="0"/>
                <w:sz w:val="24"/>
                <w:szCs w:val="20"/>
                <w:lang w:bidi="ar"/>
              </w:rPr>
              <w:t>1</w:t>
            </w:r>
            <w:r>
              <w:rPr>
                <w:rFonts w:hint="eastAsia" w:cs="宋体"/>
                <w:b/>
                <w:bCs/>
                <w:kern w:val="0"/>
                <w:sz w:val="24"/>
                <w:szCs w:val="20"/>
                <w:lang w:bidi="ar"/>
              </w:rPr>
              <w:t>7  热压凉板工段废气排放情况（DA0011）</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758"/>
              <w:gridCol w:w="2174"/>
              <w:gridCol w:w="1431"/>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54" w:type="pct"/>
                  <w:vAlign w:val="center"/>
                </w:tcPr>
                <w:p>
                  <w:pPr>
                    <w:adjustRightInd w:val="0"/>
                    <w:jc w:val="center"/>
                    <w:rPr>
                      <w:b/>
                      <w:szCs w:val="21"/>
                    </w:rPr>
                  </w:pPr>
                  <w:r>
                    <w:rPr>
                      <w:rFonts w:hint="eastAsia"/>
                      <w:b/>
                      <w:szCs w:val="21"/>
                    </w:rPr>
                    <w:t>监测项目</w:t>
                  </w:r>
                </w:p>
              </w:tc>
              <w:tc>
                <w:tcPr>
                  <w:tcW w:w="1304" w:type="pct"/>
                  <w:vAlign w:val="center"/>
                </w:tcPr>
                <w:p>
                  <w:pPr>
                    <w:adjustRightInd w:val="0"/>
                    <w:jc w:val="center"/>
                    <w:rPr>
                      <w:b/>
                      <w:szCs w:val="21"/>
                    </w:rPr>
                  </w:pPr>
                  <w:r>
                    <w:rPr>
                      <w:rFonts w:hint="eastAsia"/>
                      <w:b/>
                      <w:szCs w:val="21"/>
                    </w:rPr>
                    <w:t>颗粒物</w:t>
                  </w:r>
                </w:p>
              </w:tc>
              <w:tc>
                <w:tcPr>
                  <w:tcW w:w="858" w:type="pct"/>
                  <w:vAlign w:val="center"/>
                </w:tcPr>
                <w:p>
                  <w:pPr>
                    <w:adjustRightInd w:val="0"/>
                    <w:jc w:val="center"/>
                    <w:rPr>
                      <w:b/>
                      <w:szCs w:val="21"/>
                    </w:rPr>
                  </w:pPr>
                  <w:r>
                    <w:rPr>
                      <w:rFonts w:hint="eastAsia"/>
                      <w:b/>
                      <w:szCs w:val="21"/>
                    </w:rPr>
                    <w:t>甲醛</w:t>
                  </w:r>
                </w:p>
              </w:tc>
              <w:tc>
                <w:tcPr>
                  <w:tcW w:w="1183" w:type="pct"/>
                  <w:vAlign w:val="center"/>
                </w:tcPr>
                <w:p>
                  <w:pPr>
                    <w:adjustRightInd w:val="0"/>
                    <w:jc w:val="center"/>
                    <w:rPr>
                      <w:b/>
                      <w:szCs w:val="21"/>
                    </w:rPr>
                  </w:pPr>
                  <w:r>
                    <w:rPr>
                      <w:rFonts w:hint="eastAsia"/>
                      <w:b/>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54" w:type="pct"/>
                  <w:vAlign w:val="center"/>
                </w:tcPr>
                <w:p>
                  <w:pPr>
                    <w:adjustRightInd w:val="0"/>
                    <w:jc w:val="center"/>
                    <w:rPr>
                      <w:b/>
                      <w:szCs w:val="21"/>
                    </w:rPr>
                  </w:pPr>
                  <w:r>
                    <w:rPr>
                      <w:rFonts w:hint="eastAsia"/>
                      <w:b/>
                      <w:szCs w:val="21"/>
                    </w:rPr>
                    <w:t>平均排放浓度（mg/m</w:t>
                  </w:r>
                  <w:r>
                    <w:rPr>
                      <w:rFonts w:hint="eastAsia"/>
                      <w:b/>
                      <w:szCs w:val="21"/>
                      <w:vertAlign w:val="superscript"/>
                    </w:rPr>
                    <w:t>3</w:t>
                  </w:r>
                  <w:r>
                    <w:rPr>
                      <w:rFonts w:hint="eastAsia"/>
                      <w:b/>
                      <w:szCs w:val="21"/>
                    </w:rPr>
                    <w:t>）</w:t>
                  </w:r>
                </w:p>
              </w:tc>
              <w:tc>
                <w:tcPr>
                  <w:tcW w:w="1304" w:type="pct"/>
                  <w:vAlign w:val="center"/>
                </w:tcPr>
                <w:p>
                  <w:pPr>
                    <w:adjustRightInd w:val="0"/>
                    <w:jc w:val="center"/>
                    <w:rPr>
                      <w:bCs/>
                      <w:szCs w:val="21"/>
                    </w:rPr>
                  </w:pPr>
                  <w:r>
                    <w:rPr>
                      <w:rFonts w:hint="eastAsia"/>
                      <w:bCs/>
                      <w:szCs w:val="21"/>
                    </w:rPr>
                    <w:t>＜20</w:t>
                  </w:r>
                </w:p>
              </w:tc>
              <w:tc>
                <w:tcPr>
                  <w:tcW w:w="858" w:type="pct"/>
                  <w:vAlign w:val="center"/>
                </w:tcPr>
                <w:p>
                  <w:pPr>
                    <w:adjustRightInd w:val="0"/>
                    <w:jc w:val="center"/>
                    <w:rPr>
                      <w:bCs/>
                      <w:szCs w:val="21"/>
                    </w:rPr>
                  </w:pPr>
                  <w:r>
                    <w:rPr>
                      <w:rFonts w:hint="eastAsia"/>
                      <w:bCs/>
                      <w:szCs w:val="21"/>
                    </w:rPr>
                    <w:t>4.92</w:t>
                  </w:r>
                </w:p>
              </w:tc>
              <w:tc>
                <w:tcPr>
                  <w:tcW w:w="1183" w:type="pct"/>
                  <w:vAlign w:val="center"/>
                </w:tcPr>
                <w:p>
                  <w:pPr>
                    <w:adjustRightInd w:val="0"/>
                    <w:jc w:val="center"/>
                    <w:rPr>
                      <w:bCs/>
                      <w:szCs w:val="21"/>
                    </w:rPr>
                  </w:pPr>
                  <w:r>
                    <w:rPr>
                      <w:rFonts w:hint="eastAsia"/>
                      <w:bCs/>
                      <w:szCs w:val="21"/>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54" w:type="pct"/>
                  <w:vAlign w:val="center"/>
                </w:tcPr>
                <w:p>
                  <w:pPr>
                    <w:adjustRightInd w:val="0"/>
                    <w:jc w:val="center"/>
                    <w:rPr>
                      <w:b/>
                      <w:szCs w:val="21"/>
                    </w:rPr>
                  </w:pPr>
                  <w:r>
                    <w:rPr>
                      <w:rFonts w:hint="eastAsia"/>
                      <w:b/>
                      <w:szCs w:val="21"/>
                    </w:rPr>
                    <w:t>标准限值</w:t>
                  </w:r>
                </w:p>
              </w:tc>
              <w:tc>
                <w:tcPr>
                  <w:tcW w:w="1304" w:type="pct"/>
                  <w:vAlign w:val="center"/>
                </w:tcPr>
                <w:p>
                  <w:pPr>
                    <w:adjustRightInd w:val="0"/>
                    <w:jc w:val="center"/>
                    <w:rPr>
                      <w:bCs/>
                      <w:szCs w:val="21"/>
                    </w:rPr>
                  </w:pPr>
                  <w:r>
                    <w:rPr>
                      <w:rFonts w:hint="eastAsia"/>
                      <w:bCs/>
                      <w:szCs w:val="21"/>
                    </w:rPr>
                    <w:t>120</w:t>
                  </w:r>
                </w:p>
              </w:tc>
              <w:tc>
                <w:tcPr>
                  <w:tcW w:w="858" w:type="pct"/>
                  <w:vAlign w:val="center"/>
                </w:tcPr>
                <w:p>
                  <w:pPr>
                    <w:adjustRightInd w:val="0"/>
                    <w:jc w:val="center"/>
                    <w:rPr>
                      <w:bCs/>
                      <w:szCs w:val="21"/>
                    </w:rPr>
                  </w:pPr>
                  <w:r>
                    <w:rPr>
                      <w:rFonts w:hint="eastAsia"/>
                      <w:bCs/>
                      <w:szCs w:val="21"/>
                    </w:rPr>
                    <w:t>25</w:t>
                  </w:r>
                </w:p>
              </w:tc>
              <w:tc>
                <w:tcPr>
                  <w:tcW w:w="1183" w:type="pct"/>
                  <w:vAlign w:val="center"/>
                </w:tcPr>
                <w:p>
                  <w:pPr>
                    <w:adjustRightInd w:val="0"/>
                    <w:jc w:val="center"/>
                    <w:rPr>
                      <w:bCs/>
                      <w:szCs w:val="21"/>
                    </w:rPr>
                  </w:pPr>
                  <w:r>
                    <w:rPr>
                      <w:rFonts w:hint="eastAsia"/>
                      <w:bCs/>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54" w:type="pct"/>
                  <w:vAlign w:val="center"/>
                </w:tcPr>
                <w:p>
                  <w:pPr>
                    <w:adjustRightInd w:val="0"/>
                    <w:jc w:val="center"/>
                    <w:rPr>
                      <w:b/>
                      <w:szCs w:val="21"/>
                    </w:rPr>
                  </w:pPr>
                  <w:r>
                    <w:rPr>
                      <w:rFonts w:hint="eastAsia"/>
                      <w:b/>
                      <w:szCs w:val="21"/>
                    </w:rPr>
                    <w:t>达标情况</w:t>
                  </w:r>
                </w:p>
              </w:tc>
              <w:tc>
                <w:tcPr>
                  <w:tcW w:w="1304" w:type="pct"/>
                  <w:vAlign w:val="center"/>
                </w:tcPr>
                <w:p>
                  <w:pPr>
                    <w:adjustRightInd w:val="0"/>
                    <w:jc w:val="center"/>
                    <w:rPr>
                      <w:b/>
                      <w:szCs w:val="21"/>
                    </w:rPr>
                  </w:pPr>
                  <w:r>
                    <w:rPr>
                      <w:rFonts w:hint="eastAsia"/>
                      <w:b/>
                      <w:szCs w:val="21"/>
                    </w:rPr>
                    <w:t>达标</w:t>
                  </w:r>
                </w:p>
              </w:tc>
              <w:tc>
                <w:tcPr>
                  <w:tcW w:w="858" w:type="pct"/>
                  <w:vAlign w:val="center"/>
                </w:tcPr>
                <w:p>
                  <w:pPr>
                    <w:adjustRightInd w:val="0"/>
                    <w:jc w:val="center"/>
                    <w:rPr>
                      <w:b/>
                      <w:szCs w:val="21"/>
                    </w:rPr>
                  </w:pPr>
                  <w:r>
                    <w:rPr>
                      <w:rFonts w:hint="eastAsia"/>
                      <w:b/>
                      <w:szCs w:val="21"/>
                    </w:rPr>
                    <w:t>达标</w:t>
                  </w:r>
                </w:p>
              </w:tc>
              <w:tc>
                <w:tcPr>
                  <w:tcW w:w="1183" w:type="pct"/>
                  <w:vAlign w:val="center"/>
                </w:tcPr>
                <w:p>
                  <w:pPr>
                    <w:adjustRightInd w:val="0"/>
                    <w:jc w:val="center"/>
                    <w:rPr>
                      <w:b/>
                      <w:szCs w:val="21"/>
                    </w:rPr>
                  </w:pPr>
                  <w:r>
                    <w:rPr>
                      <w:rFonts w:hint="eastAsia"/>
                      <w:b/>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54" w:type="pct"/>
                  <w:vAlign w:val="center"/>
                </w:tcPr>
                <w:p>
                  <w:pPr>
                    <w:adjustRightInd w:val="0"/>
                    <w:jc w:val="center"/>
                    <w:rPr>
                      <w:b/>
                      <w:szCs w:val="21"/>
                    </w:rPr>
                  </w:pPr>
                  <w:r>
                    <w:rPr>
                      <w:rFonts w:hint="eastAsia"/>
                      <w:b/>
                      <w:szCs w:val="21"/>
                    </w:rPr>
                    <w:t>排放速率（kg/h）</w:t>
                  </w:r>
                </w:p>
              </w:tc>
              <w:tc>
                <w:tcPr>
                  <w:tcW w:w="1304" w:type="pct"/>
                  <w:vAlign w:val="center"/>
                </w:tcPr>
                <w:p>
                  <w:pPr>
                    <w:adjustRightInd w:val="0"/>
                    <w:jc w:val="center"/>
                    <w:rPr>
                      <w:bCs/>
                      <w:szCs w:val="21"/>
                    </w:rPr>
                  </w:pPr>
                  <w:r>
                    <w:rPr>
                      <w:rFonts w:hint="eastAsia"/>
                      <w:bCs/>
                      <w:szCs w:val="21"/>
                    </w:rPr>
                    <w:t>0.032</w:t>
                  </w:r>
                </w:p>
              </w:tc>
              <w:tc>
                <w:tcPr>
                  <w:tcW w:w="858" w:type="pct"/>
                  <w:vAlign w:val="center"/>
                </w:tcPr>
                <w:p>
                  <w:pPr>
                    <w:adjustRightInd w:val="0"/>
                    <w:jc w:val="center"/>
                    <w:rPr>
                      <w:bCs/>
                      <w:szCs w:val="21"/>
                    </w:rPr>
                  </w:pPr>
                  <w:r>
                    <w:rPr>
                      <w:rFonts w:hint="eastAsia"/>
                      <w:bCs/>
                      <w:szCs w:val="21"/>
                    </w:rPr>
                    <w:t>0.016</w:t>
                  </w:r>
                </w:p>
              </w:tc>
              <w:tc>
                <w:tcPr>
                  <w:tcW w:w="1183" w:type="pct"/>
                  <w:vAlign w:val="center"/>
                </w:tcPr>
                <w:p>
                  <w:pPr>
                    <w:adjustRightInd w:val="0"/>
                    <w:jc w:val="center"/>
                    <w:rPr>
                      <w:bCs/>
                      <w:szCs w:val="21"/>
                    </w:rPr>
                  </w:pPr>
                  <w:r>
                    <w:rPr>
                      <w:rFonts w:hint="eastAsia"/>
                      <w:bCs/>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54" w:type="pct"/>
                  <w:vAlign w:val="center"/>
                </w:tcPr>
                <w:p>
                  <w:pPr>
                    <w:adjustRightInd w:val="0"/>
                    <w:jc w:val="center"/>
                    <w:rPr>
                      <w:b/>
                      <w:szCs w:val="21"/>
                    </w:rPr>
                  </w:pPr>
                  <w:r>
                    <w:rPr>
                      <w:rFonts w:hint="eastAsia"/>
                      <w:b/>
                      <w:szCs w:val="21"/>
                    </w:rPr>
                    <w:t>标准限值</w:t>
                  </w:r>
                </w:p>
              </w:tc>
              <w:tc>
                <w:tcPr>
                  <w:tcW w:w="1304" w:type="pct"/>
                  <w:vAlign w:val="center"/>
                </w:tcPr>
                <w:p>
                  <w:pPr>
                    <w:adjustRightInd w:val="0"/>
                    <w:jc w:val="center"/>
                    <w:rPr>
                      <w:bCs/>
                      <w:szCs w:val="21"/>
                    </w:rPr>
                  </w:pPr>
                  <w:r>
                    <w:rPr>
                      <w:rFonts w:hint="eastAsia"/>
                      <w:bCs/>
                      <w:szCs w:val="21"/>
                    </w:rPr>
                    <w:t>3.5</w:t>
                  </w:r>
                </w:p>
              </w:tc>
              <w:tc>
                <w:tcPr>
                  <w:tcW w:w="858" w:type="pct"/>
                  <w:vAlign w:val="center"/>
                </w:tcPr>
                <w:p>
                  <w:pPr>
                    <w:adjustRightInd w:val="0"/>
                    <w:jc w:val="center"/>
                    <w:rPr>
                      <w:bCs/>
                      <w:szCs w:val="21"/>
                    </w:rPr>
                  </w:pPr>
                  <w:r>
                    <w:rPr>
                      <w:rFonts w:hint="eastAsia"/>
                      <w:bCs/>
                      <w:szCs w:val="21"/>
                    </w:rPr>
                    <w:t>0.26</w:t>
                  </w:r>
                </w:p>
              </w:tc>
              <w:tc>
                <w:tcPr>
                  <w:tcW w:w="1183" w:type="pct"/>
                  <w:vAlign w:val="center"/>
                </w:tcPr>
                <w:p>
                  <w:pPr>
                    <w:adjustRightInd w:val="0"/>
                    <w:jc w:val="center"/>
                    <w:rPr>
                      <w:bCs/>
                      <w:szCs w:val="21"/>
                    </w:rPr>
                  </w:pPr>
                  <w:r>
                    <w:rPr>
                      <w:rFonts w:hint="eastAsia"/>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54" w:type="pct"/>
                  <w:vAlign w:val="center"/>
                </w:tcPr>
                <w:p>
                  <w:pPr>
                    <w:adjustRightInd w:val="0"/>
                    <w:jc w:val="center"/>
                    <w:rPr>
                      <w:b/>
                      <w:szCs w:val="21"/>
                    </w:rPr>
                  </w:pPr>
                  <w:r>
                    <w:rPr>
                      <w:rFonts w:hint="eastAsia"/>
                      <w:b/>
                      <w:szCs w:val="21"/>
                    </w:rPr>
                    <w:t>达标情况</w:t>
                  </w:r>
                </w:p>
              </w:tc>
              <w:tc>
                <w:tcPr>
                  <w:tcW w:w="1304" w:type="pct"/>
                  <w:vAlign w:val="center"/>
                </w:tcPr>
                <w:p>
                  <w:pPr>
                    <w:adjustRightInd w:val="0"/>
                    <w:jc w:val="center"/>
                    <w:rPr>
                      <w:b/>
                      <w:szCs w:val="21"/>
                    </w:rPr>
                  </w:pPr>
                  <w:r>
                    <w:rPr>
                      <w:rFonts w:hint="eastAsia"/>
                      <w:b/>
                      <w:szCs w:val="21"/>
                    </w:rPr>
                    <w:t>达标</w:t>
                  </w:r>
                </w:p>
              </w:tc>
              <w:tc>
                <w:tcPr>
                  <w:tcW w:w="858" w:type="pct"/>
                  <w:vAlign w:val="center"/>
                </w:tcPr>
                <w:p>
                  <w:pPr>
                    <w:adjustRightInd w:val="0"/>
                    <w:jc w:val="center"/>
                    <w:rPr>
                      <w:b/>
                      <w:szCs w:val="21"/>
                    </w:rPr>
                  </w:pPr>
                  <w:r>
                    <w:rPr>
                      <w:rFonts w:hint="eastAsia"/>
                      <w:b/>
                      <w:szCs w:val="21"/>
                    </w:rPr>
                    <w:t>达标</w:t>
                  </w:r>
                </w:p>
              </w:tc>
              <w:tc>
                <w:tcPr>
                  <w:tcW w:w="1183" w:type="pct"/>
                  <w:vAlign w:val="center"/>
                </w:tcPr>
                <w:p>
                  <w:pPr>
                    <w:adjustRightInd w:val="0"/>
                    <w:jc w:val="center"/>
                    <w:rPr>
                      <w:b/>
                      <w:szCs w:val="21"/>
                    </w:rPr>
                  </w:pPr>
                  <w:r>
                    <w:rPr>
                      <w:rFonts w:hint="eastAsia"/>
                      <w:b/>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54" w:type="pct"/>
                  <w:vAlign w:val="center"/>
                </w:tcPr>
                <w:p>
                  <w:pPr>
                    <w:adjustRightInd w:val="0"/>
                    <w:jc w:val="center"/>
                    <w:rPr>
                      <w:b/>
                      <w:szCs w:val="21"/>
                    </w:rPr>
                  </w:pPr>
                  <w:r>
                    <w:rPr>
                      <w:rFonts w:hint="eastAsia"/>
                      <w:b/>
                      <w:szCs w:val="21"/>
                    </w:rPr>
                    <w:t>标况烟气流量（m</w:t>
                  </w:r>
                  <w:r>
                    <w:rPr>
                      <w:rFonts w:hint="eastAsia"/>
                      <w:b/>
                      <w:szCs w:val="21"/>
                      <w:vertAlign w:val="superscript"/>
                    </w:rPr>
                    <w:t>3</w:t>
                  </w:r>
                  <w:r>
                    <w:rPr>
                      <w:rFonts w:hint="eastAsia"/>
                      <w:b/>
                      <w:szCs w:val="21"/>
                    </w:rPr>
                    <w:t>/h）</w:t>
                  </w:r>
                </w:p>
              </w:tc>
              <w:tc>
                <w:tcPr>
                  <w:tcW w:w="3346" w:type="pct"/>
                  <w:gridSpan w:val="3"/>
                  <w:vAlign w:val="center"/>
                </w:tcPr>
                <w:p>
                  <w:pPr>
                    <w:adjustRightInd w:val="0"/>
                    <w:jc w:val="center"/>
                    <w:rPr>
                      <w:bCs/>
                      <w:szCs w:val="21"/>
                    </w:rPr>
                  </w:pPr>
                  <w:r>
                    <w:rPr>
                      <w:rFonts w:hint="eastAsia"/>
                      <w:bCs/>
                      <w:szCs w:val="21"/>
                    </w:rPr>
                    <w:t>3212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654" w:type="pct"/>
                  <w:vAlign w:val="center"/>
                </w:tcPr>
                <w:p>
                  <w:pPr>
                    <w:adjustRightInd w:val="0"/>
                    <w:jc w:val="center"/>
                    <w:rPr>
                      <w:b/>
                      <w:szCs w:val="21"/>
                    </w:rPr>
                  </w:pPr>
                  <w:r>
                    <w:rPr>
                      <w:rFonts w:hint="eastAsia"/>
                      <w:b/>
                      <w:szCs w:val="21"/>
                    </w:rPr>
                    <w:t>备注</w:t>
                  </w:r>
                </w:p>
              </w:tc>
              <w:tc>
                <w:tcPr>
                  <w:tcW w:w="3346" w:type="pct"/>
                  <w:gridSpan w:val="3"/>
                  <w:vAlign w:val="center"/>
                </w:tcPr>
                <w:p>
                  <w:pPr>
                    <w:adjustRightInd w:val="0"/>
                    <w:jc w:val="center"/>
                    <w:rPr>
                      <w:bCs/>
                      <w:szCs w:val="21"/>
                    </w:rPr>
                  </w:pPr>
                  <w:r>
                    <w:rPr>
                      <w:rFonts w:hint="eastAsia"/>
                      <w:bCs/>
                      <w:szCs w:val="28"/>
                    </w:rPr>
                    <w:t>根据《固定污染源排气中颗粒物测定于气态污染物采样方法》（G</w:t>
                  </w:r>
                  <w:r>
                    <w:rPr>
                      <w:bCs/>
                      <w:szCs w:val="28"/>
                    </w:rPr>
                    <w:t>B/T16157-1996</w:t>
                  </w:r>
                  <w:r>
                    <w:rPr>
                      <w:rFonts w:hint="eastAsia"/>
                      <w:bCs/>
                      <w:szCs w:val="28"/>
                    </w:rPr>
                    <w:t>）修改单中增加的内容：采用本标准测定浓度小于等于2</w:t>
                  </w:r>
                  <w:r>
                    <w:rPr>
                      <w:bCs/>
                      <w:szCs w:val="28"/>
                    </w:rPr>
                    <w:t>0mg/m</w:t>
                  </w:r>
                  <w:r>
                    <w:rPr>
                      <w:bCs/>
                      <w:szCs w:val="28"/>
                      <w:vertAlign w:val="superscript"/>
                    </w:rPr>
                    <w:t>3</w:t>
                  </w:r>
                  <w:r>
                    <w:rPr>
                      <w:rFonts w:hint="eastAsia"/>
                      <w:bCs/>
                      <w:szCs w:val="28"/>
                    </w:rPr>
                    <w:t>时，测定结果表述为“＜2</w:t>
                  </w:r>
                  <w:r>
                    <w:rPr>
                      <w:bCs/>
                      <w:szCs w:val="28"/>
                    </w:rPr>
                    <w:t>0mg/m</w:t>
                  </w:r>
                  <w:r>
                    <w:rPr>
                      <w:bCs/>
                      <w:szCs w:val="28"/>
                      <w:vertAlign w:val="superscript"/>
                    </w:rPr>
                    <w:t>3</w:t>
                  </w:r>
                  <w:r>
                    <w:rPr>
                      <w:rFonts w:hint="eastAsia"/>
                      <w:bCs/>
                      <w:szCs w:val="28"/>
                    </w:rPr>
                    <w:t>”</w:t>
                  </w:r>
                  <w:r>
                    <w:rPr>
                      <w:rFonts w:hint="eastAsia"/>
                      <w:bCs/>
                      <w:szCs w:val="21"/>
                    </w:rPr>
                    <w:t>。</w:t>
                  </w:r>
                </w:p>
              </w:tc>
            </w:tr>
          </w:tbl>
          <w:p>
            <w:pPr>
              <w:adjustRightInd w:val="0"/>
              <w:spacing w:before="120" w:beforeLines="50" w:line="360" w:lineRule="auto"/>
              <w:ind w:firstLine="480" w:firstLineChars="200"/>
              <w:rPr>
                <w:rFonts w:cs="宋体"/>
                <w:kern w:val="0"/>
                <w:sz w:val="24"/>
                <w:lang w:bidi="ar"/>
              </w:rPr>
            </w:pPr>
            <w:r>
              <w:rPr>
                <w:rFonts w:hint="eastAsia"/>
                <w:bCs/>
                <w:sz w:val="24"/>
                <w:szCs w:val="28"/>
              </w:rPr>
              <w:t>根据监测结果，热压、凉板工段</w:t>
            </w:r>
            <w:r>
              <w:rPr>
                <w:rFonts w:hint="eastAsia" w:cs="宋体"/>
                <w:kern w:val="0"/>
                <w:sz w:val="24"/>
                <w:lang w:bidi="ar"/>
              </w:rPr>
              <w:t>中废气颗粒物、甲醛、非甲烷总烃排放浓度、速率均能达到</w:t>
            </w:r>
            <w:r>
              <w:rPr>
                <w:rFonts w:hint="eastAsia"/>
                <w:sz w:val="24"/>
                <w:szCs w:val="21"/>
              </w:rPr>
              <w:t>《大气污染物综合排放标准》（GB16297-1996）表2中有组织最高允许排放浓度</w:t>
            </w:r>
            <w:r>
              <w:rPr>
                <w:rFonts w:hint="eastAsia" w:cs="宋体"/>
                <w:kern w:val="0"/>
                <w:sz w:val="24"/>
                <w:lang w:bidi="ar"/>
              </w:rPr>
              <w:t>标准要求。</w:t>
            </w:r>
          </w:p>
          <w:p>
            <w:pPr>
              <w:adjustRightInd w:val="0"/>
              <w:spacing w:line="360" w:lineRule="auto"/>
              <w:ind w:firstLine="480" w:firstLineChars="200"/>
              <w:rPr>
                <w:bCs/>
                <w:sz w:val="24"/>
                <w:szCs w:val="28"/>
                <w:highlight w:val="yellow"/>
              </w:rPr>
            </w:pPr>
            <w:r>
              <w:rPr>
                <w:rFonts w:hint="eastAsia" w:cs="宋体"/>
                <w:kern w:val="0"/>
                <w:sz w:val="24"/>
                <w:lang w:bidi="ar"/>
              </w:rPr>
              <w:t>对比</w:t>
            </w:r>
            <w:r>
              <w:rPr>
                <w:rFonts w:hint="eastAsia"/>
                <w:sz w:val="24"/>
              </w:rPr>
              <w:t>本项目技改后</w:t>
            </w:r>
            <w:r>
              <w:rPr>
                <w:rFonts w:hint="eastAsia"/>
                <w:bCs/>
                <w:sz w:val="24"/>
                <w:szCs w:val="28"/>
              </w:rPr>
              <w:t>热压凉板工段废气排气筒2022年10月自行监测数据，本次监测结果污染物排放速率与技改后污染物排放速率监测结果出入较大，不符合实际情况，因此现有项目热压凉板工段废气排气筒污染物排放量不采用本次监测数据核算，本次监测结果仅作为污染物达标排放评价，</w:t>
            </w:r>
            <w:r>
              <w:rPr>
                <w:rFonts w:hint="eastAsia"/>
                <w:bCs/>
                <w:sz w:val="24"/>
                <w:szCs w:val="28"/>
                <w:highlight w:val="green"/>
              </w:rPr>
              <w:t>本次评价现有项目热压凉板工段废气排气筒污染物排放量采用技改后核算产生量作为现有项目排放量。</w:t>
            </w:r>
          </w:p>
          <w:p>
            <w:pPr>
              <w:adjustRightInd w:val="0"/>
              <w:spacing w:line="360" w:lineRule="auto"/>
              <w:ind w:firstLine="480" w:firstLineChars="200"/>
              <w:rPr>
                <w:sz w:val="24"/>
                <w:highlight w:val="green"/>
              </w:rPr>
            </w:pPr>
            <w:r>
              <w:rPr>
                <w:rFonts w:hint="eastAsia"/>
                <w:bCs/>
                <w:sz w:val="24"/>
                <w:szCs w:val="28"/>
                <w:highlight w:val="green"/>
              </w:rPr>
              <w:t>根据2022年10月自行监测数据，热压凉板废气排放情况详见下表。</w:t>
            </w:r>
          </w:p>
          <w:p>
            <w:pPr>
              <w:widowControl/>
              <w:adjustRightInd w:val="0"/>
              <w:spacing w:line="360" w:lineRule="auto"/>
              <w:jc w:val="center"/>
              <w:rPr>
                <w:rFonts w:cs="宋体"/>
                <w:b/>
                <w:bCs/>
                <w:kern w:val="0"/>
                <w:sz w:val="24"/>
                <w:szCs w:val="20"/>
                <w:highlight w:val="green"/>
                <w:lang w:bidi="ar"/>
              </w:rPr>
            </w:pPr>
            <w:r>
              <w:rPr>
                <w:rFonts w:hint="eastAsia" w:cs="宋体"/>
                <w:b/>
                <w:bCs/>
                <w:kern w:val="0"/>
                <w:sz w:val="24"/>
                <w:szCs w:val="20"/>
                <w:highlight w:val="green"/>
                <w:lang w:bidi="ar"/>
              </w:rPr>
              <w:t>表2-18  热压凉板工段废气排放情况（DA006）</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500"/>
              <w:gridCol w:w="2161"/>
              <w:gridCol w:w="1701"/>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499" w:type="pct"/>
                  <w:tcMar>
                    <w:left w:w="57" w:type="dxa"/>
                    <w:right w:w="57" w:type="dxa"/>
                  </w:tcMar>
                  <w:vAlign w:val="center"/>
                </w:tcPr>
                <w:p>
                  <w:pPr>
                    <w:adjustRightInd w:val="0"/>
                    <w:jc w:val="center"/>
                    <w:rPr>
                      <w:b/>
                      <w:szCs w:val="21"/>
                      <w:highlight w:val="green"/>
                    </w:rPr>
                  </w:pPr>
                  <w:r>
                    <w:rPr>
                      <w:rFonts w:hint="eastAsia"/>
                      <w:b/>
                      <w:szCs w:val="21"/>
                      <w:highlight w:val="green"/>
                    </w:rPr>
                    <w:t>监测项目</w:t>
                  </w:r>
                </w:p>
              </w:tc>
              <w:tc>
                <w:tcPr>
                  <w:tcW w:w="1296" w:type="pct"/>
                  <w:tcMar>
                    <w:left w:w="57" w:type="dxa"/>
                    <w:right w:w="57" w:type="dxa"/>
                  </w:tcMar>
                  <w:vAlign w:val="center"/>
                </w:tcPr>
                <w:p>
                  <w:pPr>
                    <w:adjustRightInd w:val="0"/>
                    <w:jc w:val="center"/>
                    <w:rPr>
                      <w:b/>
                      <w:szCs w:val="21"/>
                      <w:highlight w:val="green"/>
                    </w:rPr>
                  </w:pPr>
                  <w:r>
                    <w:rPr>
                      <w:rFonts w:hint="eastAsia"/>
                      <w:b/>
                      <w:szCs w:val="21"/>
                      <w:highlight w:val="green"/>
                    </w:rPr>
                    <w:t>颗粒物</w:t>
                  </w:r>
                </w:p>
              </w:tc>
              <w:tc>
                <w:tcPr>
                  <w:tcW w:w="1020" w:type="pct"/>
                  <w:tcMar>
                    <w:left w:w="57" w:type="dxa"/>
                    <w:right w:w="57" w:type="dxa"/>
                  </w:tcMar>
                  <w:vAlign w:val="center"/>
                </w:tcPr>
                <w:p>
                  <w:pPr>
                    <w:adjustRightInd w:val="0"/>
                    <w:jc w:val="center"/>
                    <w:rPr>
                      <w:b/>
                      <w:szCs w:val="21"/>
                      <w:highlight w:val="green"/>
                    </w:rPr>
                  </w:pPr>
                  <w:r>
                    <w:rPr>
                      <w:rFonts w:hint="eastAsia"/>
                      <w:b/>
                      <w:szCs w:val="21"/>
                      <w:highlight w:val="green"/>
                    </w:rPr>
                    <w:t>甲醛</w:t>
                  </w:r>
                </w:p>
              </w:tc>
              <w:tc>
                <w:tcPr>
                  <w:tcW w:w="1183" w:type="pct"/>
                  <w:tcMar>
                    <w:left w:w="57" w:type="dxa"/>
                    <w:right w:w="57" w:type="dxa"/>
                  </w:tcMar>
                  <w:vAlign w:val="center"/>
                </w:tcPr>
                <w:p>
                  <w:pPr>
                    <w:adjustRightInd w:val="0"/>
                    <w:jc w:val="center"/>
                    <w:rPr>
                      <w:b/>
                      <w:szCs w:val="21"/>
                      <w:highlight w:val="green"/>
                    </w:rPr>
                  </w:pPr>
                  <w:r>
                    <w:rPr>
                      <w:rFonts w:hint="eastAsia"/>
                      <w:b/>
                      <w:szCs w:val="21"/>
                      <w:highlight w:val="gree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499" w:type="pct"/>
                  <w:tcMar>
                    <w:left w:w="57" w:type="dxa"/>
                    <w:right w:w="57" w:type="dxa"/>
                  </w:tcMar>
                  <w:vAlign w:val="center"/>
                </w:tcPr>
                <w:p>
                  <w:pPr>
                    <w:adjustRightInd w:val="0"/>
                    <w:jc w:val="center"/>
                    <w:rPr>
                      <w:b/>
                      <w:szCs w:val="21"/>
                      <w:highlight w:val="green"/>
                    </w:rPr>
                  </w:pPr>
                  <w:r>
                    <w:rPr>
                      <w:rFonts w:hint="eastAsia"/>
                      <w:b/>
                      <w:szCs w:val="21"/>
                      <w:highlight w:val="green"/>
                    </w:rPr>
                    <w:t>实测浓度（mg/m</w:t>
                  </w:r>
                  <w:r>
                    <w:rPr>
                      <w:rFonts w:hint="eastAsia"/>
                      <w:b/>
                      <w:szCs w:val="21"/>
                      <w:highlight w:val="green"/>
                      <w:vertAlign w:val="superscript"/>
                    </w:rPr>
                    <w:t>3</w:t>
                  </w:r>
                  <w:r>
                    <w:rPr>
                      <w:rFonts w:hint="eastAsia"/>
                      <w:b/>
                      <w:szCs w:val="21"/>
                      <w:highlight w:val="green"/>
                    </w:rPr>
                    <w:t>）</w:t>
                  </w:r>
                </w:p>
              </w:tc>
              <w:tc>
                <w:tcPr>
                  <w:tcW w:w="1296" w:type="pct"/>
                  <w:tcMar>
                    <w:left w:w="57" w:type="dxa"/>
                    <w:right w:w="57" w:type="dxa"/>
                  </w:tcMar>
                  <w:vAlign w:val="center"/>
                </w:tcPr>
                <w:p>
                  <w:pPr>
                    <w:adjustRightInd w:val="0"/>
                    <w:jc w:val="center"/>
                    <w:rPr>
                      <w:bCs/>
                      <w:szCs w:val="21"/>
                      <w:highlight w:val="green"/>
                    </w:rPr>
                  </w:pPr>
                  <w:r>
                    <w:rPr>
                      <w:rFonts w:hint="eastAsia"/>
                      <w:bCs/>
                      <w:szCs w:val="21"/>
                      <w:highlight w:val="green"/>
                    </w:rPr>
                    <w:t>＜20（18.2）</w:t>
                  </w:r>
                </w:p>
              </w:tc>
              <w:tc>
                <w:tcPr>
                  <w:tcW w:w="1020" w:type="pct"/>
                  <w:tcMar>
                    <w:left w:w="57" w:type="dxa"/>
                    <w:right w:w="57" w:type="dxa"/>
                  </w:tcMar>
                  <w:vAlign w:val="center"/>
                </w:tcPr>
                <w:p>
                  <w:pPr>
                    <w:adjustRightInd w:val="0"/>
                    <w:jc w:val="center"/>
                    <w:rPr>
                      <w:bCs/>
                      <w:szCs w:val="21"/>
                      <w:highlight w:val="green"/>
                    </w:rPr>
                  </w:pPr>
                  <w:r>
                    <w:rPr>
                      <w:rFonts w:hint="eastAsia"/>
                      <w:bCs/>
                      <w:szCs w:val="21"/>
                      <w:highlight w:val="green"/>
                    </w:rPr>
                    <w:t>1.78</w:t>
                  </w:r>
                </w:p>
              </w:tc>
              <w:tc>
                <w:tcPr>
                  <w:tcW w:w="1183" w:type="pct"/>
                  <w:tcMar>
                    <w:left w:w="57" w:type="dxa"/>
                    <w:right w:w="57" w:type="dxa"/>
                  </w:tcMar>
                  <w:vAlign w:val="center"/>
                </w:tcPr>
                <w:p>
                  <w:pPr>
                    <w:adjustRightInd w:val="0"/>
                    <w:jc w:val="center"/>
                    <w:rPr>
                      <w:bCs/>
                      <w:szCs w:val="21"/>
                      <w:highlight w:val="green"/>
                    </w:rPr>
                  </w:pPr>
                  <w:r>
                    <w:rPr>
                      <w:rFonts w:hint="eastAsia"/>
                      <w:bCs/>
                      <w:szCs w:val="21"/>
                      <w:highlight w:val="gree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499" w:type="pct"/>
                  <w:tcMar>
                    <w:left w:w="57" w:type="dxa"/>
                    <w:right w:w="57" w:type="dxa"/>
                  </w:tcMar>
                  <w:vAlign w:val="center"/>
                </w:tcPr>
                <w:p>
                  <w:pPr>
                    <w:adjustRightInd w:val="0"/>
                    <w:jc w:val="center"/>
                    <w:rPr>
                      <w:b/>
                      <w:szCs w:val="21"/>
                      <w:highlight w:val="green"/>
                    </w:rPr>
                  </w:pPr>
                  <w:r>
                    <w:rPr>
                      <w:rFonts w:hint="eastAsia"/>
                      <w:b/>
                      <w:szCs w:val="21"/>
                      <w:highlight w:val="green"/>
                    </w:rPr>
                    <w:t>标准限值</w:t>
                  </w:r>
                </w:p>
              </w:tc>
              <w:tc>
                <w:tcPr>
                  <w:tcW w:w="1296" w:type="pct"/>
                  <w:tcMar>
                    <w:left w:w="57" w:type="dxa"/>
                    <w:right w:w="57" w:type="dxa"/>
                  </w:tcMar>
                  <w:vAlign w:val="center"/>
                </w:tcPr>
                <w:p>
                  <w:pPr>
                    <w:adjustRightInd w:val="0"/>
                    <w:jc w:val="center"/>
                    <w:rPr>
                      <w:bCs/>
                      <w:szCs w:val="21"/>
                      <w:highlight w:val="green"/>
                    </w:rPr>
                  </w:pPr>
                  <w:r>
                    <w:rPr>
                      <w:rFonts w:hint="eastAsia"/>
                      <w:bCs/>
                      <w:szCs w:val="21"/>
                      <w:highlight w:val="green"/>
                    </w:rPr>
                    <w:t>120</w:t>
                  </w:r>
                </w:p>
              </w:tc>
              <w:tc>
                <w:tcPr>
                  <w:tcW w:w="1020" w:type="pct"/>
                  <w:tcMar>
                    <w:left w:w="57" w:type="dxa"/>
                    <w:right w:w="57" w:type="dxa"/>
                  </w:tcMar>
                  <w:vAlign w:val="center"/>
                </w:tcPr>
                <w:p>
                  <w:pPr>
                    <w:adjustRightInd w:val="0"/>
                    <w:jc w:val="center"/>
                    <w:rPr>
                      <w:bCs/>
                      <w:szCs w:val="21"/>
                      <w:highlight w:val="green"/>
                    </w:rPr>
                  </w:pPr>
                  <w:r>
                    <w:rPr>
                      <w:rFonts w:hint="eastAsia"/>
                      <w:bCs/>
                      <w:szCs w:val="21"/>
                      <w:highlight w:val="green"/>
                    </w:rPr>
                    <w:t>25</w:t>
                  </w:r>
                </w:p>
              </w:tc>
              <w:tc>
                <w:tcPr>
                  <w:tcW w:w="1183" w:type="pct"/>
                  <w:tcMar>
                    <w:left w:w="57" w:type="dxa"/>
                    <w:right w:w="57" w:type="dxa"/>
                  </w:tcMar>
                  <w:vAlign w:val="center"/>
                </w:tcPr>
                <w:p>
                  <w:pPr>
                    <w:adjustRightInd w:val="0"/>
                    <w:jc w:val="center"/>
                    <w:rPr>
                      <w:bCs/>
                      <w:szCs w:val="21"/>
                      <w:highlight w:val="green"/>
                    </w:rPr>
                  </w:pPr>
                  <w:r>
                    <w:rPr>
                      <w:rFonts w:hint="eastAsia"/>
                      <w:bCs/>
                      <w:szCs w:val="21"/>
                      <w:highlight w:val="gree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499" w:type="pct"/>
                  <w:tcMar>
                    <w:left w:w="57" w:type="dxa"/>
                    <w:right w:w="57" w:type="dxa"/>
                  </w:tcMar>
                  <w:vAlign w:val="center"/>
                </w:tcPr>
                <w:p>
                  <w:pPr>
                    <w:adjustRightInd w:val="0"/>
                    <w:jc w:val="center"/>
                    <w:rPr>
                      <w:b/>
                      <w:szCs w:val="21"/>
                      <w:highlight w:val="green"/>
                    </w:rPr>
                  </w:pPr>
                  <w:r>
                    <w:rPr>
                      <w:rFonts w:hint="eastAsia"/>
                      <w:b/>
                      <w:szCs w:val="21"/>
                      <w:highlight w:val="green"/>
                    </w:rPr>
                    <w:t>达标情况</w:t>
                  </w:r>
                </w:p>
              </w:tc>
              <w:tc>
                <w:tcPr>
                  <w:tcW w:w="1296" w:type="pct"/>
                  <w:tcMar>
                    <w:left w:w="57" w:type="dxa"/>
                    <w:right w:w="57" w:type="dxa"/>
                  </w:tcMar>
                  <w:vAlign w:val="center"/>
                </w:tcPr>
                <w:p>
                  <w:pPr>
                    <w:adjustRightInd w:val="0"/>
                    <w:jc w:val="center"/>
                    <w:rPr>
                      <w:b/>
                      <w:szCs w:val="21"/>
                      <w:highlight w:val="green"/>
                    </w:rPr>
                  </w:pPr>
                  <w:r>
                    <w:rPr>
                      <w:rFonts w:hint="eastAsia"/>
                      <w:b/>
                      <w:szCs w:val="21"/>
                      <w:highlight w:val="green"/>
                    </w:rPr>
                    <w:t>达标</w:t>
                  </w:r>
                </w:p>
              </w:tc>
              <w:tc>
                <w:tcPr>
                  <w:tcW w:w="1020" w:type="pct"/>
                  <w:tcMar>
                    <w:left w:w="57" w:type="dxa"/>
                    <w:right w:w="57" w:type="dxa"/>
                  </w:tcMar>
                  <w:vAlign w:val="center"/>
                </w:tcPr>
                <w:p>
                  <w:pPr>
                    <w:adjustRightInd w:val="0"/>
                    <w:jc w:val="center"/>
                    <w:rPr>
                      <w:b/>
                      <w:szCs w:val="21"/>
                      <w:highlight w:val="green"/>
                    </w:rPr>
                  </w:pPr>
                  <w:r>
                    <w:rPr>
                      <w:rFonts w:hint="eastAsia"/>
                      <w:b/>
                      <w:szCs w:val="21"/>
                      <w:highlight w:val="green"/>
                    </w:rPr>
                    <w:t>达标</w:t>
                  </w:r>
                </w:p>
              </w:tc>
              <w:tc>
                <w:tcPr>
                  <w:tcW w:w="1183" w:type="pct"/>
                  <w:tcMar>
                    <w:left w:w="57" w:type="dxa"/>
                    <w:right w:w="57" w:type="dxa"/>
                  </w:tcMar>
                  <w:vAlign w:val="center"/>
                </w:tcPr>
                <w:p>
                  <w:pPr>
                    <w:adjustRightInd w:val="0"/>
                    <w:jc w:val="center"/>
                    <w:rPr>
                      <w:b/>
                      <w:szCs w:val="21"/>
                      <w:highlight w:val="green"/>
                    </w:rPr>
                  </w:pPr>
                  <w:r>
                    <w:rPr>
                      <w:rFonts w:hint="eastAsia"/>
                      <w:b/>
                      <w:szCs w:val="21"/>
                      <w:highlight w:val="gree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499" w:type="pct"/>
                  <w:tcMar>
                    <w:left w:w="57" w:type="dxa"/>
                    <w:right w:w="57" w:type="dxa"/>
                  </w:tcMar>
                  <w:vAlign w:val="center"/>
                </w:tcPr>
                <w:p>
                  <w:pPr>
                    <w:adjustRightInd w:val="0"/>
                    <w:jc w:val="center"/>
                    <w:rPr>
                      <w:b/>
                      <w:szCs w:val="21"/>
                      <w:highlight w:val="green"/>
                    </w:rPr>
                  </w:pPr>
                  <w:r>
                    <w:rPr>
                      <w:rFonts w:hint="eastAsia"/>
                      <w:b/>
                      <w:szCs w:val="21"/>
                      <w:highlight w:val="green"/>
                    </w:rPr>
                    <w:t>排放速率（kg/h）</w:t>
                  </w:r>
                </w:p>
              </w:tc>
              <w:tc>
                <w:tcPr>
                  <w:tcW w:w="1296" w:type="pct"/>
                  <w:tcMar>
                    <w:left w:w="57" w:type="dxa"/>
                    <w:right w:w="57" w:type="dxa"/>
                  </w:tcMar>
                  <w:vAlign w:val="center"/>
                </w:tcPr>
                <w:p>
                  <w:pPr>
                    <w:adjustRightInd w:val="0"/>
                    <w:jc w:val="center"/>
                    <w:rPr>
                      <w:bCs/>
                      <w:szCs w:val="21"/>
                      <w:highlight w:val="green"/>
                    </w:rPr>
                  </w:pPr>
                  <w:r>
                    <w:rPr>
                      <w:rFonts w:hint="eastAsia"/>
                      <w:bCs/>
                      <w:szCs w:val="21"/>
                      <w:highlight w:val="green"/>
                    </w:rPr>
                    <w:t>＜0.0980</w:t>
                  </w:r>
                </w:p>
              </w:tc>
              <w:tc>
                <w:tcPr>
                  <w:tcW w:w="1020" w:type="pct"/>
                  <w:tcMar>
                    <w:left w:w="57" w:type="dxa"/>
                    <w:right w:w="57" w:type="dxa"/>
                  </w:tcMar>
                  <w:vAlign w:val="center"/>
                </w:tcPr>
                <w:p>
                  <w:pPr>
                    <w:adjustRightInd w:val="0"/>
                    <w:jc w:val="center"/>
                    <w:rPr>
                      <w:bCs/>
                      <w:szCs w:val="21"/>
                      <w:highlight w:val="green"/>
                    </w:rPr>
                  </w:pPr>
                  <w:r>
                    <w:rPr>
                      <w:rFonts w:hint="eastAsia"/>
                      <w:bCs/>
                      <w:szCs w:val="21"/>
                      <w:highlight w:val="green"/>
                    </w:rPr>
                    <w:t>0.0175</w:t>
                  </w:r>
                </w:p>
              </w:tc>
              <w:tc>
                <w:tcPr>
                  <w:tcW w:w="1183" w:type="pct"/>
                  <w:tcMar>
                    <w:left w:w="57" w:type="dxa"/>
                    <w:right w:w="57" w:type="dxa"/>
                  </w:tcMar>
                  <w:vAlign w:val="center"/>
                </w:tcPr>
                <w:p>
                  <w:pPr>
                    <w:adjustRightInd w:val="0"/>
                    <w:jc w:val="center"/>
                    <w:rPr>
                      <w:bCs/>
                      <w:szCs w:val="21"/>
                      <w:highlight w:val="green"/>
                    </w:rPr>
                  </w:pPr>
                  <w:r>
                    <w:rPr>
                      <w:rFonts w:hint="eastAsia"/>
                      <w:bCs/>
                      <w:szCs w:val="21"/>
                      <w:highlight w:val="green"/>
                    </w:rPr>
                    <w:t>0.0397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499" w:type="pct"/>
                  <w:tcMar>
                    <w:left w:w="57" w:type="dxa"/>
                    <w:right w:w="57" w:type="dxa"/>
                  </w:tcMar>
                  <w:vAlign w:val="center"/>
                </w:tcPr>
                <w:p>
                  <w:pPr>
                    <w:adjustRightInd w:val="0"/>
                    <w:jc w:val="center"/>
                    <w:rPr>
                      <w:b/>
                      <w:szCs w:val="21"/>
                      <w:highlight w:val="green"/>
                    </w:rPr>
                  </w:pPr>
                  <w:r>
                    <w:rPr>
                      <w:rFonts w:hint="eastAsia"/>
                      <w:b/>
                      <w:szCs w:val="21"/>
                      <w:highlight w:val="green"/>
                    </w:rPr>
                    <w:t>标准限值</w:t>
                  </w:r>
                </w:p>
              </w:tc>
              <w:tc>
                <w:tcPr>
                  <w:tcW w:w="1296" w:type="pct"/>
                  <w:tcMar>
                    <w:left w:w="57" w:type="dxa"/>
                    <w:right w:w="57" w:type="dxa"/>
                  </w:tcMar>
                  <w:vAlign w:val="center"/>
                </w:tcPr>
                <w:p>
                  <w:pPr>
                    <w:adjustRightInd w:val="0"/>
                    <w:jc w:val="center"/>
                    <w:rPr>
                      <w:bCs/>
                      <w:szCs w:val="21"/>
                      <w:highlight w:val="green"/>
                    </w:rPr>
                  </w:pPr>
                  <w:r>
                    <w:rPr>
                      <w:rFonts w:hint="eastAsia"/>
                      <w:bCs/>
                      <w:szCs w:val="21"/>
                      <w:highlight w:val="green"/>
                    </w:rPr>
                    <w:t>3.5</w:t>
                  </w:r>
                </w:p>
              </w:tc>
              <w:tc>
                <w:tcPr>
                  <w:tcW w:w="1020" w:type="pct"/>
                  <w:tcMar>
                    <w:left w:w="57" w:type="dxa"/>
                    <w:right w:w="57" w:type="dxa"/>
                  </w:tcMar>
                  <w:vAlign w:val="center"/>
                </w:tcPr>
                <w:p>
                  <w:pPr>
                    <w:adjustRightInd w:val="0"/>
                    <w:jc w:val="center"/>
                    <w:rPr>
                      <w:bCs/>
                      <w:szCs w:val="21"/>
                      <w:highlight w:val="green"/>
                    </w:rPr>
                  </w:pPr>
                  <w:r>
                    <w:rPr>
                      <w:rFonts w:hint="eastAsia"/>
                      <w:bCs/>
                      <w:szCs w:val="21"/>
                      <w:highlight w:val="green"/>
                    </w:rPr>
                    <w:t>0.26</w:t>
                  </w:r>
                </w:p>
              </w:tc>
              <w:tc>
                <w:tcPr>
                  <w:tcW w:w="1183" w:type="pct"/>
                  <w:tcMar>
                    <w:left w:w="57" w:type="dxa"/>
                    <w:right w:w="57" w:type="dxa"/>
                  </w:tcMar>
                  <w:vAlign w:val="center"/>
                </w:tcPr>
                <w:p>
                  <w:pPr>
                    <w:adjustRightInd w:val="0"/>
                    <w:jc w:val="center"/>
                    <w:rPr>
                      <w:bCs/>
                      <w:szCs w:val="21"/>
                      <w:highlight w:val="green"/>
                    </w:rPr>
                  </w:pPr>
                  <w:r>
                    <w:rPr>
                      <w:rFonts w:hint="eastAsia"/>
                      <w:bCs/>
                      <w:szCs w:val="21"/>
                      <w:highlight w:val="gree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499" w:type="pct"/>
                  <w:tcMar>
                    <w:left w:w="57" w:type="dxa"/>
                    <w:right w:w="57" w:type="dxa"/>
                  </w:tcMar>
                  <w:vAlign w:val="center"/>
                </w:tcPr>
                <w:p>
                  <w:pPr>
                    <w:adjustRightInd w:val="0"/>
                    <w:jc w:val="center"/>
                    <w:rPr>
                      <w:b/>
                      <w:szCs w:val="21"/>
                      <w:highlight w:val="green"/>
                    </w:rPr>
                  </w:pPr>
                  <w:r>
                    <w:rPr>
                      <w:rFonts w:hint="eastAsia"/>
                      <w:b/>
                      <w:szCs w:val="21"/>
                      <w:highlight w:val="green"/>
                    </w:rPr>
                    <w:t>达标情况</w:t>
                  </w:r>
                </w:p>
              </w:tc>
              <w:tc>
                <w:tcPr>
                  <w:tcW w:w="1296" w:type="pct"/>
                  <w:tcMar>
                    <w:left w:w="57" w:type="dxa"/>
                    <w:right w:w="57" w:type="dxa"/>
                  </w:tcMar>
                  <w:vAlign w:val="center"/>
                </w:tcPr>
                <w:p>
                  <w:pPr>
                    <w:adjustRightInd w:val="0"/>
                    <w:jc w:val="center"/>
                    <w:rPr>
                      <w:b/>
                      <w:szCs w:val="21"/>
                      <w:highlight w:val="green"/>
                    </w:rPr>
                  </w:pPr>
                  <w:r>
                    <w:rPr>
                      <w:rFonts w:hint="eastAsia"/>
                      <w:b/>
                      <w:szCs w:val="21"/>
                      <w:highlight w:val="green"/>
                    </w:rPr>
                    <w:t>达标</w:t>
                  </w:r>
                </w:p>
              </w:tc>
              <w:tc>
                <w:tcPr>
                  <w:tcW w:w="1020" w:type="pct"/>
                  <w:tcMar>
                    <w:left w:w="57" w:type="dxa"/>
                    <w:right w:w="57" w:type="dxa"/>
                  </w:tcMar>
                  <w:vAlign w:val="center"/>
                </w:tcPr>
                <w:p>
                  <w:pPr>
                    <w:adjustRightInd w:val="0"/>
                    <w:jc w:val="center"/>
                    <w:rPr>
                      <w:b/>
                      <w:szCs w:val="21"/>
                      <w:highlight w:val="green"/>
                    </w:rPr>
                  </w:pPr>
                  <w:r>
                    <w:rPr>
                      <w:rFonts w:hint="eastAsia"/>
                      <w:b/>
                      <w:szCs w:val="21"/>
                      <w:highlight w:val="green"/>
                    </w:rPr>
                    <w:t>达标</w:t>
                  </w:r>
                </w:p>
              </w:tc>
              <w:tc>
                <w:tcPr>
                  <w:tcW w:w="1183" w:type="pct"/>
                  <w:tcMar>
                    <w:left w:w="57" w:type="dxa"/>
                    <w:right w:w="57" w:type="dxa"/>
                  </w:tcMar>
                  <w:vAlign w:val="center"/>
                </w:tcPr>
                <w:p>
                  <w:pPr>
                    <w:adjustRightInd w:val="0"/>
                    <w:jc w:val="center"/>
                    <w:rPr>
                      <w:b/>
                      <w:szCs w:val="21"/>
                      <w:highlight w:val="green"/>
                    </w:rPr>
                  </w:pPr>
                  <w:r>
                    <w:rPr>
                      <w:rFonts w:hint="eastAsia"/>
                      <w:b/>
                      <w:szCs w:val="21"/>
                      <w:highlight w:val="gree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1499" w:type="pct"/>
                  <w:tcMar>
                    <w:left w:w="57" w:type="dxa"/>
                    <w:right w:w="57" w:type="dxa"/>
                  </w:tcMar>
                  <w:vAlign w:val="center"/>
                </w:tcPr>
                <w:p>
                  <w:pPr>
                    <w:adjustRightInd w:val="0"/>
                    <w:jc w:val="center"/>
                    <w:rPr>
                      <w:b/>
                      <w:szCs w:val="21"/>
                      <w:highlight w:val="green"/>
                    </w:rPr>
                  </w:pPr>
                  <w:r>
                    <w:rPr>
                      <w:rFonts w:hint="eastAsia"/>
                      <w:b/>
                      <w:szCs w:val="21"/>
                      <w:highlight w:val="green"/>
                    </w:rPr>
                    <w:t>标况烟气流量（m</w:t>
                  </w:r>
                  <w:r>
                    <w:rPr>
                      <w:rFonts w:hint="eastAsia"/>
                      <w:b/>
                      <w:szCs w:val="21"/>
                      <w:highlight w:val="green"/>
                      <w:vertAlign w:val="superscript"/>
                    </w:rPr>
                    <w:t>3</w:t>
                  </w:r>
                  <w:r>
                    <w:rPr>
                      <w:rFonts w:hint="eastAsia"/>
                      <w:b/>
                      <w:szCs w:val="21"/>
                      <w:highlight w:val="green"/>
                    </w:rPr>
                    <w:t>/h）</w:t>
                  </w:r>
                </w:p>
              </w:tc>
              <w:tc>
                <w:tcPr>
                  <w:tcW w:w="3500" w:type="pct"/>
                  <w:gridSpan w:val="3"/>
                  <w:tcMar>
                    <w:left w:w="57" w:type="dxa"/>
                    <w:right w:w="57" w:type="dxa"/>
                  </w:tcMar>
                  <w:vAlign w:val="center"/>
                </w:tcPr>
                <w:p>
                  <w:pPr>
                    <w:adjustRightInd w:val="0"/>
                    <w:jc w:val="center"/>
                    <w:rPr>
                      <w:bCs/>
                      <w:szCs w:val="21"/>
                      <w:highlight w:val="green"/>
                    </w:rPr>
                  </w:pPr>
                  <w:r>
                    <w:rPr>
                      <w:rFonts w:hint="eastAsia"/>
                      <w:bCs/>
                      <w:szCs w:val="21"/>
                      <w:highlight w:val="green"/>
                    </w:rPr>
                    <w:t>9795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7" w:hRule="atLeast"/>
                <w:jc w:val="center"/>
              </w:trPr>
              <w:tc>
                <w:tcPr>
                  <w:tcW w:w="1499" w:type="pct"/>
                  <w:tcMar>
                    <w:left w:w="57" w:type="dxa"/>
                    <w:right w:w="57" w:type="dxa"/>
                  </w:tcMar>
                  <w:vAlign w:val="center"/>
                </w:tcPr>
                <w:p>
                  <w:pPr>
                    <w:adjustRightInd w:val="0"/>
                    <w:jc w:val="center"/>
                    <w:rPr>
                      <w:b/>
                      <w:szCs w:val="21"/>
                      <w:highlight w:val="green"/>
                    </w:rPr>
                  </w:pPr>
                  <w:r>
                    <w:rPr>
                      <w:rFonts w:hint="eastAsia"/>
                      <w:b/>
                      <w:szCs w:val="21"/>
                      <w:highlight w:val="green"/>
                    </w:rPr>
                    <w:t>备注</w:t>
                  </w:r>
                </w:p>
              </w:tc>
              <w:tc>
                <w:tcPr>
                  <w:tcW w:w="3500" w:type="pct"/>
                  <w:gridSpan w:val="3"/>
                  <w:tcMar>
                    <w:left w:w="57" w:type="dxa"/>
                    <w:right w:w="57" w:type="dxa"/>
                  </w:tcMar>
                  <w:vAlign w:val="center"/>
                </w:tcPr>
                <w:p>
                  <w:pPr>
                    <w:adjustRightInd w:val="0"/>
                    <w:jc w:val="center"/>
                    <w:rPr>
                      <w:bCs/>
                      <w:szCs w:val="21"/>
                      <w:highlight w:val="green"/>
                    </w:rPr>
                  </w:pPr>
                  <w:r>
                    <w:rPr>
                      <w:rFonts w:hint="eastAsia"/>
                      <w:bCs/>
                      <w:szCs w:val="28"/>
                      <w:highlight w:val="green"/>
                    </w:rPr>
                    <w:t>根据《固定污染源排气中颗粒物测定于气态污染物采样方法》（G</w:t>
                  </w:r>
                  <w:r>
                    <w:rPr>
                      <w:bCs/>
                      <w:szCs w:val="28"/>
                      <w:highlight w:val="green"/>
                    </w:rPr>
                    <w:t>B/T16157-1996</w:t>
                  </w:r>
                  <w:r>
                    <w:rPr>
                      <w:rFonts w:hint="eastAsia"/>
                      <w:bCs/>
                      <w:szCs w:val="28"/>
                      <w:highlight w:val="green"/>
                    </w:rPr>
                    <w:t>）修改单中增加的内容：采用本标准测定浓度小于等于2</w:t>
                  </w:r>
                  <w:r>
                    <w:rPr>
                      <w:bCs/>
                      <w:szCs w:val="28"/>
                      <w:highlight w:val="green"/>
                    </w:rPr>
                    <w:t>0mg/m</w:t>
                  </w:r>
                  <w:r>
                    <w:rPr>
                      <w:bCs/>
                      <w:szCs w:val="28"/>
                      <w:highlight w:val="green"/>
                      <w:vertAlign w:val="superscript"/>
                    </w:rPr>
                    <w:t>3</w:t>
                  </w:r>
                  <w:r>
                    <w:rPr>
                      <w:rFonts w:hint="eastAsia"/>
                      <w:bCs/>
                      <w:szCs w:val="28"/>
                      <w:highlight w:val="green"/>
                    </w:rPr>
                    <w:t>时，测定结果表述为“＜2</w:t>
                  </w:r>
                  <w:r>
                    <w:rPr>
                      <w:bCs/>
                      <w:szCs w:val="28"/>
                      <w:highlight w:val="green"/>
                    </w:rPr>
                    <w:t>0mg/m</w:t>
                  </w:r>
                  <w:r>
                    <w:rPr>
                      <w:bCs/>
                      <w:szCs w:val="28"/>
                      <w:highlight w:val="green"/>
                      <w:vertAlign w:val="superscript"/>
                    </w:rPr>
                    <w:t>3</w:t>
                  </w:r>
                  <w:r>
                    <w:rPr>
                      <w:rFonts w:hint="eastAsia"/>
                      <w:bCs/>
                      <w:szCs w:val="28"/>
                      <w:highlight w:val="green"/>
                    </w:rPr>
                    <w:t>”。</w:t>
                  </w:r>
                </w:p>
              </w:tc>
            </w:tr>
          </w:tbl>
          <w:p>
            <w:pPr>
              <w:adjustRightInd w:val="0"/>
              <w:spacing w:before="120" w:beforeLines="50" w:line="360" w:lineRule="auto"/>
              <w:ind w:firstLine="480" w:firstLineChars="200"/>
              <w:rPr>
                <w:bCs/>
                <w:sz w:val="24"/>
                <w:szCs w:val="28"/>
                <w:highlight w:val="green"/>
              </w:rPr>
            </w:pPr>
            <w:r>
              <w:rPr>
                <w:rFonts w:hint="eastAsia"/>
                <w:bCs/>
                <w:sz w:val="24"/>
                <w:szCs w:val="28"/>
                <w:highlight w:val="green"/>
              </w:rPr>
              <w:t>根据上表监测数据，计算出颗粒物排放量为0.706t/a，甲醛排放量为0.126t/a、非甲烷总烃排放量为0.286t/a，2022年10月自行监测时热压凉板工序废气治理设施已技改完成，污染物排放量为技改后排放量，由于技改前后仅增加活性炭装置，因此现有项目热压凉板有组织排放量即为技改后核算的有组织产生量，集气罩收集效率不变，技改前后无组织排放量一致。</w:t>
            </w:r>
          </w:p>
          <w:p>
            <w:pPr>
              <w:adjustRightInd w:val="0"/>
              <w:spacing w:line="360" w:lineRule="auto"/>
              <w:ind w:firstLine="480" w:firstLineChars="200"/>
              <w:rPr>
                <w:b/>
                <w:sz w:val="24"/>
                <w:szCs w:val="21"/>
              </w:rPr>
            </w:pPr>
            <w:r>
              <w:rPr>
                <w:rFonts w:hint="eastAsia"/>
                <w:bCs/>
                <w:sz w:val="24"/>
                <w:szCs w:val="28"/>
                <w:highlight w:val="green"/>
              </w:rPr>
              <w:t>项目技改后热压、凉板工段废气处理装置为“集气罩收集+三级活性炭吸附装置+15m高排气筒排放”，集气罩对废气的收集效率为90%，三级活性炭吸附装置对非甲烷总烃、甲醛的去除效率为80%，则废气中颗粒物产生量为0.784t/a、产生速率0.1089kg/h；甲醛产生量0.7t/a、产生速率0.097kg/h；非甲烷总烃产生量为1.588t/a、产生速率0.22kg/h。</w:t>
            </w:r>
          </w:p>
          <w:p>
            <w:pPr>
              <w:adjustRightInd w:val="0"/>
              <w:spacing w:line="360" w:lineRule="auto"/>
              <w:ind w:firstLine="480" w:firstLineChars="200"/>
              <w:rPr>
                <w:rFonts w:cs="宋体"/>
                <w:kern w:val="0"/>
                <w:sz w:val="24"/>
                <w:lang w:bidi="ar"/>
              </w:rPr>
            </w:pPr>
            <w:r>
              <w:rPr>
                <w:rFonts w:hint="eastAsia"/>
                <w:bCs/>
                <w:sz w:val="24"/>
                <w:szCs w:val="28"/>
              </w:rPr>
              <w:t>则</w:t>
            </w:r>
            <w:r>
              <w:rPr>
                <w:rFonts w:hint="eastAsia"/>
                <w:bCs/>
                <w:sz w:val="24"/>
                <w:szCs w:val="28"/>
                <w:highlight w:val="green"/>
              </w:rPr>
              <w:t>现有项目热压凉板废气经集气罩收集后直接通过1</w:t>
            </w:r>
            <w:r>
              <w:rPr>
                <w:bCs/>
                <w:sz w:val="24"/>
                <w:szCs w:val="28"/>
                <w:highlight w:val="green"/>
              </w:rPr>
              <w:t>5m</w:t>
            </w:r>
            <w:r>
              <w:rPr>
                <w:rFonts w:hint="eastAsia"/>
                <w:bCs/>
                <w:sz w:val="24"/>
                <w:szCs w:val="28"/>
                <w:highlight w:val="green"/>
              </w:rPr>
              <w:t>高排气筒排放，集气罩收集效率约9</w:t>
            </w:r>
            <w:r>
              <w:rPr>
                <w:bCs/>
                <w:sz w:val="24"/>
                <w:szCs w:val="28"/>
                <w:highlight w:val="green"/>
              </w:rPr>
              <w:t>0</w:t>
            </w:r>
            <w:r>
              <w:rPr>
                <w:rFonts w:hint="eastAsia"/>
                <w:bCs/>
                <w:sz w:val="24"/>
                <w:szCs w:val="28"/>
                <w:highlight w:val="green"/>
              </w:rPr>
              <w:t>%，则现有项目热压凉板</w:t>
            </w:r>
            <w:r>
              <w:rPr>
                <w:rFonts w:hint="eastAsia"/>
                <w:bCs/>
                <w:sz w:val="24"/>
                <w:szCs w:val="28"/>
              </w:rPr>
              <w:t>有组织颗粒物排放量为</w:t>
            </w:r>
            <w:r>
              <w:rPr>
                <w:bCs/>
                <w:sz w:val="24"/>
                <w:szCs w:val="28"/>
              </w:rPr>
              <w:t>0.706</w:t>
            </w:r>
            <w:r>
              <w:rPr>
                <w:rFonts w:hint="eastAsia"/>
                <w:bCs/>
                <w:sz w:val="24"/>
                <w:szCs w:val="28"/>
              </w:rPr>
              <w:t>t/a，甲醛排放量为</w:t>
            </w:r>
            <w:r>
              <w:rPr>
                <w:bCs/>
                <w:sz w:val="24"/>
                <w:szCs w:val="28"/>
              </w:rPr>
              <w:t>0.63</w:t>
            </w:r>
            <w:r>
              <w:rPr>
                <w:rFonts w:hint="eastAsia"/>
                <w:bCs/>
                <w:sz w:val="24"/>
                <w:szCs w:val="28"/>
              </w:rPr>
              <w:t>t/a、非甲烷总烃排放量为</w:t>
            </w:r>
            <w:r>
              <w:rPr>
                <w:bCs/>
                <w:sz w:val="24"/>
                <w:szCs w:val="28"/>
              </w:rPr>
              <w:t>1.4292</w:t>
            </w:r>
            <w:r>
              <w:rPr>
                <w:rFonts w:hint="eastAsia"/>
                <w:bCs/>
                <w:sz w:val="24"/>
                <w:szCs w:val="28"/>
              </w:rPr>
              <w:t>t/a。</w:t>
            </w:r>
            <w:r>
              <w:rPr>
                <w:rFonts w:hint="eastAsia"/>
                <w:bCs/>
                <w:sz w:val="24"/>
                <w:szCs w:val="28"/>
                <w:highlight w:val="green"/>
              </w:rPr>
              <w:t>无组织废气中颗粒物的排放量为0.0784t/a、甲醛产生量为0.07t/a、非甲烷总烃产生量为0.1588t/a</w:t>
            </w:r>
            <w:r>
              <w:rPr>
                <w:rFonts w:hint="eastAsia"/>
                <w:bCs/>
                <w:sz w:val="24"/>
                <w:szCs w:val="28"/>
              </w:rPr>
              <w:t>。</w:t>
            </w:r>
          </w:p>
          <w:p>
            <w:pPr>
              <w:adjustRightInd w:val="0"/>
              <w:spacing w:line="360" w:lineRule="auto"/>
              <w:ind w:firstLine="480" w:firstLineChars="200"/>
              <w:rPr>
                <w:sz w:val="24"/>
                <w:szCs w:val="21"/>
              </w:rPr>
            </w:pPr>
            <w:r>
              <w:rPr>
                <w:rFonts w:hint="eastAsia"/>
                <w:sz w:val="24"/>
                <w:szCs w:val="21"/>
              </w:rPr>
              <w:t>根据以上核算数据，现有项目有组织废气排放情况见下表。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表2-19  现有项目有组织废气排放汇总情况一览表</w:t>
            </w:r>
          </w:p>
          <w:tbl>
            <w:tblPr>
              <w:tblStyle w:val="32"/>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206"/>
              <w:gridCol w:w="995"/>
              <w:gridCol w:w="1059"/>
              <w:gridCol w:w="853"/>
              <w:gridCol w:w="965"/>
              <w:gridCol w:w="956"/>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15" w:type="pct"/>
                  <w:vMerge w:val="restart"/>
                  <w:vAlign w:val="center"/>
                </w:tcPr>
                <w:p>
                  <w:pPr>
                    <w:autoSpaceDE w:val="0"/>
                    <w:autoSpaceDN w:val="0"/>
                    <w:adjustRightInd w:val="0"/>
                    <w:jc w:val="center"/>
                    <w:rPr>
                      <w:b/>
                      <w:bCs/>
                      <w:szCs w:val="21"/>
                    </w:rPr>
                  </w:pPr>
                  <w:r>
                    <w:rPr>
                      <w:rFonts w:hint="eastAsia"/>
                      <w:b/>
                      <w:bCs/>
                      <w:szCs w:val="21"/>
                    </w:rPr>
                    <w:t>排气筒编号</w:t>
                  </w:r>
                </w:p>
              </w:tc>
              <w:tc>
                <w:tcPr>
                  <w:tcW w:w="731" w:type="pct"/>
                  <w:vMerge w:val="restart"/>
                  <w:vAlign w:val="center"/>
                </w:tcPr>
                <w:p>
                  <w:pPr>
                    <w:autoSpaceDE w:val="0"/>
                    <w:autoSpaceDN w:val="0"/>
                    <w:adjustRightInd w:val="0"/>
                    <w:jc w:val="center"/>
                    <w:rPr>
                      <w:b/>
                      <w:bCs/>
                      <w:szCs w:val="21"/>
                    </w:rPr>
                  </w:pPr>
                  <w:r>
                    <w:rPr>
                      <w:b/>
                      <w:bCs/>
                      <w:szCs w:val="21"/>
                    </w:rPr>
                    <w:t>污染源</w:t>
                  </w:r>
                </w:p>
              </w:tc>
              <w:tc>
                <w:tcPr>
                  <w:tcW w:w="604" w:type="pct"/>
                  <w:vMerge w:val="restart"/>
                  <w:vAlign w:val="center"/>
                </w:tcPr>
                <w:p>
                  <w:pPr>
                    <w:autoSpaceDE w:val="0"/>
                    <w:autoSpaceDN w:val="0"/>
                    <w:adjustRightInd w:val="0"/>
                    <w:jc w:val="center"/>
                    <w:rPr>
                      <w:b/>
                      <w:bCs/>
                      <w:szCs w:val="21"/>
                    </w:rPr>
                  </w:pPr>
                  <w:r>
                    <w:rPr>
                      <w:b/>
                      <w:bCs/>
                      <w:szCs w:val="21"/>
                    </w:rPr>
                    <w:t>污染物</w:t>
                  </w:r>
                </w:p>
              </w:tc>
              <w:tc>
                <w:tcPr>
                  <w:tcW w:w="643" w:type="pct"/>
                  <w:vMerge w:val="restart"/>
                  <w:vAlign w:val="center"/>
                </w:tcPr>
                <w:p>
                  <w:pPr>
                    <w:autoSpaceDE w:val="0"/>
                    <w:autoSpaceDN w:val="0"/>
                    <w:adjustRightInd w:val="0"/>
                    <w:jc w:val="center"/>
                    <w:rPr>
                      <w:b/>
                      <w:bCs/>
                      <w:szCs w:val="21"/>
                    </w:rPr>
                  </w:pPr>
                  <w:r>
                    <w:rPr>
                      <w:b/>
                      <w:bCs/>
                      <w:szCs w:val="21"/>
                    </w:rPr>
                    <w:t>排放形式</w:t>
                  </w:r>
                </w:p>
              </w:tc>
              <w:tc>
                <w:tcPr>
                  <w:tcW w:w="518" w:type="pct"/>
                  <w:vMerge w:val="restart"/>
                  <w:vAlign w:val="center"/>
                </w:tcPr>
                <w:p>
                  <w:pPr>
                    <w:autoSpaceDE w:val="0"/>
                    <w:autoSpaceDN w:val="0"/>
                    <w:adjustRightInd w:val="0"/>
                    <w:jc w:val="center"/>
                    <w:rPr>
                      <w:b/>
                      <w:bCs/>
                      <w:szCs w:val="21"/>
                    </w:rPr>
                  </w:pPr>
                  <w:r>
                    <w:rPr>
                      <w:b/>
                      <w:bCs/>
                      <w:szCs w:val="21"/>
                    </w:rPr>
                    <w:t>废气量m</w:t>
                  </w:r>
                  <w:r>
                    <w:rPr>
                      <w:b/>
                      <w:bCs/>
                      <w:szCs w:val="21"/>
                      <w:vertAlign w:val="superscript"/>
                    </w:rPr>
                    <w:t>3</w:t>
                  </w:r>
                  <w:r>
                    <w:rPr>
                      <w:b/>
                      <w:bCs/>
                      <w:szCs w:val="21"/>
                    </w:rPr>
                    <w:t>/h</w:t>
                  </w:r>
                </w:p>
              </w:tc>
              <w:tc>
                <w:tcPr>
                  <w:tcW w:w="1888" w:type="pct"/>
                  <w:gridSpan w:val="3"/>
                  <w:vAlign w:val="center"/>
                </w:tcPr>
                <w:p>
                  <w:pPr>
                    <w:autoSpaceDE w:val="0"/>
                    <w:autoSpaceDN w:val="0"/>
                    <w:adjustRightInd w:val="0"/>
                    <w:jc w:val="center"/>
                    <w:rPr>
                      <w:b/>
                      <w:bCs/>
                      <w:szCs w:val="21"/>
                    </w:rPr>
                  </w:pPr>
                  <w:r>
                    <w:rPr>
                      <w:b/>
                      <w:bCs/>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15" w:type="pct"/>
                  <w:vMerge w:val="continue"/>
                  <w:vAlign w:val="center"/>
                </w:tcPr>
                <w:p>
                  <w:pPr>
                    <w:autoSpaceDE w:val="0"/>
                    <w:autoSpaceDN w:val="0"/>
                    <w:adjustRightInd w:val="0"/>
                    <w:jc w:val="center"/>
                    <w:rPr>
                      <w:b/>
                      <w:bCs/>
                      <w:szCs w:val="21"/>
                    </w:rPr>
                  </w:pPr>
                </w:p>
              </w:tc>
              <w:tc>
                <w:tcPr>
                  <w:tcW w:w="731" w:type="pct"/>
                  <w:vMerge w:val="continue"/>
                  <w:vAlign w:val="center"/>
                </w:tcPr>
                <w:p>
                  <w:pPr>
                    <w:autoSpaceDE w:val="0"/>
                    <w:autoSpaceDN w:val="0"/>
                    <w:adjustRightInd w:val="0"/>
                    <w:jc w:val="center"/>
                    <w:rPr>
                      <w:b/>
                      <w:bCs/>
                      <w:szCs w:val="21"/>
                    </w:rPr>
                  </w:pPr>
                </w:p>
              </w:tc>
              <w:tc>
                <w:tcPr>
                  <w:tcW w:w="604" w:type="pct"/>
                  <w:vMerge w:val="continue"/>
                  <w:vAlign w:val="center"/>
                </w:tcPr>
                <w:p>
                  <w:pPr>
                    <w:autoSpaceDE w:val="0"/>
                    <w:autoSpaceDN w:val="0"/>
                    <w:adjustRightInd w:val="0"/>
                    <w:jc w:val="center"/>
                    <w:rPr>
                      <w:b/>
                      <w:bCs/>
                      <w:szCs w:val="21"/>
                    </w:rPr>
                  </w:pPr>
                </w:p>
              </w:tc>
              <w:tc>
                <w:tcPr>
                  <w:tcW w:w="643" w:type="pct"/>
                  <w:vMerge w:val="continue"/>
                  <w:vAlign w:val="center"/>
                </w:tcPr>
                <w:p>
                  <w:pPr>
                    <w:autoSpaceDE w:val="0"/>
                    <w:autoSpaceDN w:val="0"/>
                    <w:adjustRightInd w:val="0"/>
                    <w:jc w:val="center"/>
                    <w:rPr>
                      <w:b/>
                      <w:bCs/>
                      <w:szCs w:val="21"/>
                    </w:rPr>
                  </w:pPr>
                </w:p>
              </w:tc>
              <w:tc>
                <w:tcPr>
                  <w:tcW w:w="518" w:type="pct"/>
                  <w:vMerge w:val="continue"/>
                  <w:vAlign w:val="center"/>
                </w:tcPr>
                <w:p>
                  <w:pPr>
                    <w:autoSpaceDE w:val="0"/>
                    <w:autoSpaceDN w:val="0"/>
                    <w:adjustRightInd w:val="0"/>
                    <w:jc w:val="center"/>
                    <w:rPr>
                      <w:b/>
                      <w:bCs/>
                      <w:szCs w:val="21"/>
                    </w:rPr>
                  </w:pPr>
                </w:p>
              </w:tc>
              <w:tc>
                <w:tcPr>
                  <w:tcW w:w="586" w:type="pct"/>
                  <w:vAlign w:val="center"/>
                </w:tcPr>
                <w:p>
                  <w:pPr>
                    <w:autoSpaceDE w:val="0"/>
                    <w:autoSpaceDN w:val="0"/>
                    <w:adjustRightInd w:val="0"/>
                    <w:jc w:val="center"/>
                    <w:rPr>
                      <w:b/>
                      <w:bCs/>
                      <w:szCs w:val="21"/>
                    </w:rPr>
                  </w:pPr>
                  <w:r>
                    <w:rPr>
                      <w:b/>
                      <w:bCs/>
                      <w:szCs w:val="21"/>
                    </w:rPr>
                    <w:t>排放量</w:t>
                  </w:r>
                  <w:r>
                    <w:rPr>
                      <w:b/>
                      <w:bCs/>
                      <w:sz w:val="24"/>
                    </w:rPr>
                    <w:t>t/a</w:t>
                  </w:r>
                </w:p>
              </w:tc>
              <w:tc>
                <w:tcPr>
                  <w:tcW w:w="580" w:type="pct"/>
                  <w:vAlign w:val="center"/>
                </w:tcPr>
                <w:p>
                  <w:pPr>
                    <w:autoSpaceDE w:val="0"/>
                    <w:autoSpaceDN w:val="0"/>
                    <w:adjustRightInd w:val="0"/>
                    <w:jc w:val="center"/>
                    <w:rPr>
                      <w:b/>
                      <w:bCs/>
                      <w:szCs w:val="21"/>
                    </w:rPr>
                  </w:pPr>
                  <w:r>
                    <w:rPr>
                      <w:b/>
                      <w:bCs/>
                      <w:szCs w:val="21"/>
                    </w:rPr>
                    <w:t>排放速率</w:t>
                  </w:r>
                  <w:r>
                    <w:rPr>
                      <w:b/>
                      <w:bCs/>
                      <w:sz w:val="24"/>
                    </w:rPr>
                    <w:t>kg/h</w:t>
                  </w:r>
                </w:p>
              </w:tc>
              <w:tc>
                <w:tcPr>
                  <w:tcW w:w="720" w:type="pct"/>
                  <w:vAlign w:val="center"/>
                </w:tcPr>
                <w:p>
                  <w:pPr>
                    <w:autoSpaceDE w:val="0"/>
                    <w:autoSpaceDN w:val="0"/>
                    <w:adjustRightInd w:val="0"/>
                    <w:jc w:val="center"/>
                    <w:rPr>
                      <w:b/>
                      <w:bCs/>
                      <w:szCs w:val="21"/>
                    </w:rPr>
                  </w:pPr>
                  <w:r>
                    <w:rPr>
                      <w:b/>
                      <w:bCs/>
                      <w:szCs w:val="21"/>
                    </w:rPr>
                    <w:t>排放浓度</w:t>
                  </w:r>
                  <w:r>
                    <w:rPr>
                      <w:b/>
                      <w:bCs/>
                      <w:sz w:val="24"/>
                    </w:rPr>
                    <w:t>mg/m</w:t>
                  </w:r>
                  <w:r>
                    <w:rPr>
                      <w:b/>
                      <w:bCs/>
                      <w:sz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15" w:type="pct"/>
                  <w:vMerge w:val="restart"/>
                  <w:vAlign w:val="center"/>
                </w:tcPr>
                <w:p>
                  <w:pPr>
                    <w:autoSpaceDE w:val="0"/>
                    <w:autoSpaceDN w:val="0"/>
                    <w:adjustRightInd w:val="0"/>
                    <w:jc w:val="center"/>
                    <w:rPr>
                      <w:szCs w:val="21"/>
                    </w:rPr>
                  </w:pPr>
                  <w:r>
                    <w:rPr>
                      <w:bCs/>
                      <w:szCs w:val="21"/>
                    </w:rPr>
                    <w:t>DA00</w:t>
                  </w:r>
                  <w:r>
                    <w:rPr>
                      <w:rFonts w:hint="eastAsia"/>
                      <w:bCs/>
                      <w:szCs w:val="21"/>
                    </w:rPr>
                    <w:t>7</w:t>
                  </w:r>
                </w:p>
              </w:tc>
              <w:tc>
                <w:tcPr>
                  <w:tcW w:w="731" w:type="pct"/>
                  <w:vMerge w:val="restart"/>
                  <w:vAlign w:val="center"/>
                </w:tcPr>
                <w:p>
                  <w:pPr>
                    <w:autoSpaceDE w:val="0"/>
                    <w:autoSpaceDN w:val="0"/>
                    <w:adjustRightInd w:val="0"/>
                    <w:jc w:val="center"/>
                    <w:rPr>
                      <w:bCs/>
                      <w:szCs w:val="21"/>
                    </w:rPr>
                  </w:pPr>
                  <w:r>
                    <w:rPr>
                      <w:rFonts w:hint="eastAsia"/>
                      <w:szCs w:val="21"/>
                    </w:rPr>
                    <w:t>7t/h导热油锅炉</w:t>
                  </w:r>
                </w:p>
              </w:tc>
              <w:tc>
                <w:tcPr>
                  <w:tcW w:w="604" w:type="pct"/>
                  <w:vAlign w:val="center"/>
                </w:tcPr>
                <w:p>
                  <w:pPr>
                    <w:autoSpaceDE w:val="0"/>
                    <w:autoSpaceDN w:val="0"/>
                    <w:adjustRightInd w:val="0"/>
                    <w:jc w:val="center"/>
                    <w:rPr>
                      <w:bCs/>
                      <w:szCs w:val="21"/>
                    </w:rPr>
                  </w:pPr>
                  <w:r>
                    <w:rPr>
                      <w:bCs/>
                      <w:szCs w:val="21"/>
                    </w:rPr>
                    <w:t>颗粒物</w:t>
                  </w:r>
                </w:p>
              </w:tc>
              <w:tc>
                <w:tcPr>
                  <w:tcW w:w="643" w:type="pct"/>
                  <w:vMerge w:val="restart"/>
                  <w:vAlign w:val="center"/>
                </w:tcPr>
                <w:p>
                  <w:pPr>
                    <w:autoSpaceDE w:val="0"/>
                    <w:autoSpaceDN w:val="0"/>
                    <w:adjustRightInd w:val="0"/>
                    <w:jc w:val="center"/>
                    <w:rPr>
                      <w:bCs/>
                      <w:szCs w:val="21"/>
                    </w:rPr>
                  </w:pPr>
                  <w:r>
                    <w:rPr>
                      <w:rFonts w:hint="eastAsia"/>
                      <w:bCs/>
                      <w:szCs w:val="21"/>
                    </w:rPr>
                    <w:t>有组织</w:t>
                  </w:r>
                </w:p>
              </w:tc>
              <w:tc>
                <w:tcPr>
                  <w:tcW w:w="518" w:type="pct"/>
                  <w:vMerge w:val="restart"/>
                  <w:vAlign w:val="center"/>
                </w:tcPr>
                <w:p>
                  <w:pPr>
                    <w:autoSpaceDE w:val="0"/>
                    <w:autoSpaceDN w:val="0"/>
                    <w:adjustRightInd w:val="0"/>
                    <w:jc w:val="center"/>
                    <w:rPr>
                      <w:bCs/>
                      <w:szCs w:val="21"/>
                    </w:rPr>
                  </w:pPr>
                  <w:r>
                    <w:rPr>
                      <w:rFonts w:hint="eastAsia"/>
                      <w:bCs/>
                      <w:szCs w:val="21"/>
                    </w:rPr>
                    <w:t>13342</w:t>
                  </w:r>
                </w:p>
              </w:tc>
              <w:tc>
                <w:tcPr>
                  <w:tcW w:w="586" w:type="pct"/>
                  <w:vAlign w:val="center"/>
                </w:tcPr>
                <w:p>
                  <w:pPr>
                    <w:autoSpaceDE w:val="0"/>
                    <w:autoSpaceDN w:val="0"/>
                    <w:adjustRightInd w:val="0"/>
                    <w:jc w:val="center"/>
                    <w:rPr>
                      <w:bCs/>
                      <w:szCs w:val="21"/>
                      <w:highlight w:val="green"/>
                    </w:rPr>
                  </w:pPr>
                  <w:r>
                    <w:rPr>
                      <w:rFonts w:hint="eastAsia"/>
                      <w:bCs/>
                      <w:szCs w:val="21"/>
                      <w:highlight w:val="green"/>
                    </w:rPr>
                    <w:t>3.017</w:t>
                  </w:r>
                </w:p>
              </w:tc>
              <w:tc>
                <w:tcPr>
                  <w:tcW w:w="580" w:type="pct"/>
                  <w:vAlign w:val="center"/>
                </w:tcPr>
                <w:p>
                  <w:pPr>
                    <w:autoSpaceDE w:val="0"/>
                    <w:autoSpaceDN w:val="0"/>
                    <w:adjustRightInd w:val="0"/>
                    <w:jc w:val="center"/>
                    <w:rPr>
                      <w:bCs/>
                      <w:szCs w:val="21"/>
                      <w:highlight w:val="green"/>
                    </w:rPr>
                  </w:pPr>
                  <w:r>
                    <w:rPr>
                      <w:rFonts w:hint="eastAsia"/>
                      <w:bCs/>
                      <w:szCs w:val="21"/>
                      <w:highlight w:val="green"/>
                    </w:rPr>
                    <w:t>0.419</w:t>
                  </w:r>
                </w:p>
              </w:tc>
              <w:tc>
                <w:tcPr>
                  <w:tcW w:w="720" w:type="pct"/>
                  <w:vAlign w:val="center"/>
                </w:tcPr>
                <w:p>
                  <w:pPr>
                    <w:autoSpaceDE w:val="0"/>
                    <w:autoSpaceDN w:val="0"/>
                    <w:adjustRightInd w:val="0"/>
                    <w:jc w:val="center"/>
                    <w:rPr>
                      <w:bCs/>
                      <w:szCs w:val="21"/>
                      <w:highlight w:val="green"/>
                    </w:rPr>
                  </w:pPr>
                  <w:r>
                    <w:rPr>
                      <w:rFonts w:hint="eastAsia"/>
                      <w:bCs/>
                      <w:szCs w:val="21"/>
                      <w:highlight w:val="gree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15" w:type="pct"/>
                  <w:vMerge w:val="continue"/>
                  <w:vAlign w:val="center"/>
                </w:tcPr>
                <w:p>
                  <w:pPr>
                    <w:autoSpaceDE w:val="0"/>
                    <w:autoSpaceDN w:val="0"/>
                    <w:adjustRightInd w:val="0"/>
                    <w:jc w:val="center"/>
                    <w:rPr>
                      <w:bCs/>
                      <w:szCs w:val="21"/>
                    </w:rPr>
                  </w:pPr>
                </w:p>
              </w:tc>
              <w:tc>
                <w:tcPr>
                  <w:tcW w:w="731" w:type="pct"/>
                  <w:vMerge w:val="continue"/>
                  <w:vAlign w:val="center"/>
                </w:tcPr>
                <w:p>
                  <w:pPr>
                    <w:autoSpaceDE w:val="0"/>
                    <w:autoSpaceDN w:val="0"/>
                    <w:adjustRightInd w:val="0"/>
                    <w:jc w:val="center"/>
                    <w:rPr>
                      <w:bCs/>
                      <w:szCs w:val="21"/>
                    </w:rPr>
                  </w:pPr>
                </w:p>
              </w:tc>
              <w:tc>
                <w:tcPr>
                  <w:tcW w:w="604" w:type="pct"/>
                  <w:vAlign w:val="center"/>
                </w:tcPr>
                <w:p>
                  <w:pPr>
                    <w:autoSpaceDE w:val="0"/>
                    <w:autoSpaceDN w:val="0"/>
                    <w:adjustRightInd w:val="0"/>
                    <w:jc w:val="center"/>
                    <w:rPr>
                      <w:bCs/>
                      <w:szCs w:val="21"/>
                    </w:rPr>
                  </w:pPr>
                  <w:r>
                    <w:rPr>
                      <w:bCs/>
                      <w:szCs w:val="21"/>
                    </w:rPr>
                    <w:t>SO</w:t>
                  </w:r>
                  <w:r>
                    <w:rPr>
                      <w:bCs/>
                      <w:szCs w:val="21"/>
                      <w:vertAlign w:val="subscript"/>
                    </w:rPr>
                    <w:t>2</w:t>
                  </w:r>
                </w:p>
              </w:tc>
              <w:tc>
                <w:tcPr>
                  <w:tcW w:w="643" w:type="pct"/>
                  <w:vMerge w:val="continue"/>
                  <w:vAlign w:val="center"/>
                </w:tcPr>
                <w:p>
                  <w:pPr>
                    <w:autoSpaceDE w:val="0"/>
                    <w:autoSpaceDN w:val="0"/>
                    <w:adjustRightInd w:val="0"/>
                    <w:jc w:val="center"/>
                    <w:rPr>
                      <w:bCs/>
                      <w:szCs w:val="21"/>
                    </w:rPr>
                  </w:pPr>
                </w:p>
              </w:tc>
              <w:tc>
                <w:tcPr>
                  <w:tcW w:w="518" w:type="pct"/>
                  <w:vMerge w:val="continue"/>
                  <w:vAlign w:val="center"/>
                </w:tcPr>
                <w:p>
                  <w:pPr>
                    <w:autoSpaceDE w:val="0"/>
                    <w:autoSpaceDN w:val="0"/>
                    <w:adjustRightInd w:val="0"/>
                    <w:jc w:val="center"/>
                    <w:rPr>
                      <w:bCs/>
                      <w:szCs w:val="21"/>
                    </w:rPr>
                  </w:pPr>
                </w:p>
              </w:tc>
              <w:tc>
                <w:tcPr>
                  <w:tcW w:w="586" w:type="pct"/>
                  <w:vAlign w:val="center"/>
                </w:tcPr>
                <w:p>
                  <w:pPr>
                    <w:autoSpaceDE w:val="0"/>
                    <w:autoSpaceDN w:val="0"/>
                    <w:adjustRightInd w:val="0"/>
                    <w:jc w:val="center"/>
                    <w:rPr>
                      <w:bCs/>
                      <w:szCs w:val="21"/>
                      <w:highlight w:val="green"/>
                    </w:rPr>
                  </w:pPr>
                  <w:r>
                    <w:rPr>
                      <w:rFonts w:hint="eastAsia"/>
                      <w:bCs/>
                      <w:szCs w:val="21"/>
                      <w:highlight w:val="green"/>
                    </w:rPr>
                    <w:t>5</w:t>
                  </w:r>
                  <w:r>
                    <w:rPr>
                      <w:bCs/>
                      <w:szCs w:val="21"/>
                      <w:highlight w:val="green"/>
                    </w:rPr>
                    <w:t>.19</w:t>
                  </w:r>
                </w:p>
              </w:tc>
              <w:tc>
                <w:tcPr>
                  <w:tcW w:w="580" w:type="pct"/>
                  <w:vAlign w:val="center"/>
                </w:tcPr>
                <w:p>
                  <w:pPr>
                    <w:autoSpaceDE w:val="0"/>
                    <w:autoSpaceDN w:val="0"/>
                    <w:adjustRightInd w:val="0"/>
                    <w:jc w:val="center"/>
                    <w:rPr>
                      <w:bCs/>
                      <w:szCs w:val="21"/>
                      <w:highlight w:val="green"/>
                    </w:rPr>
                  </w:pPr>
                  <w:r>
                    <w:rPr>
                      <w:bCs/>
                      <w:szCs w:val="21"/>
                      <w:highlight w:val="green"/>
                    </w:rPr>
                    <w:t>0.721</w:t>
                  </w:r>
                </w:p>
              </w:tc>
              <w:tc>
                <w:tcPr>
                  <w:tcW w:w="720" w:type="pct"/>
                  <w:vAlign w:val="center"/>
                </w:tcPr>
                <w:p>
                  <w:pPr>
                    <w:autoSpaceDE w:val="0"/>
                    <w:autoSpaceDN w:val="0"/>
                    <w:adjustRightInd w:val="0"/>
                    <w:jc w:val="center"/>
                    <w:rPr>
                      <w:bCs/>
                      <w:szCs w:val="21"/>
                      <w:highlight w:val="green"/>
                    </w:rPr>
                  </w:pPr>
                  <w:r>
                    <w:rPr>
                      <w:bCs/>
                      <w:szCs w:val="21"/>
                      <w:highlight w:val="gree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15" w:type="pct"/>
                  <w:vMerge w:val="continue"/>
                  <w:vAlign w:val="center"/>
                </w:tcPr>
                <w:p>
                  <w:pPr>
                    <w:autoSpaceDE w:val="0"/>
                    <w:autoSpaceDN w:val="0"/>
                    <w:adjustRightInd w:val="0"/>
                    <w:jc w:val="center"/>
                    <w:rPr>
                      <w:bCs/>
                      <w:szCs w:val="21"/>
                    </w:rPr>
                  </w:pPr>
                </w:p>
              </w:tc>
              <w:tc>
                <w:tcPr>
                  <w:tcW w:w="731" w:type="pct"/>
                  <w:vMerge w:val="continue"/>
                  <w:vAlign w:val="center"/>
                </w:tcPr>
                <w:p>
                  <w:pPr>
                    <w:autoSpaceDE w:val="0"/>
                    <w:autoSpaceDN w:val="0"/>
                    <w:adjustRightInd w:val="0"/>
                    <w:jc w:val="center"/>
                    <w:rPr>
                      <w:bCs/>
                      <w:szCs w:val="21"/>
                    </w:rPr>
                  </w:pPr>
                </w:p>
              </w:tc>
              <w:tc>
                <w:tcPr>
                  <w:tcW w:w="604" w:type="pct"/>
                  <w:vAlign w:val="center"/>
                </w:tcPr>
                <w:p>
                  <w:pPr>
                    <w:autoSpaceDE w:val="0"/>
                    <w:autoSpaceDN w:val="0"/>
                    <w:adjustRightInd w:val="0"/>
                    <w:jc w:val="center"/>
                    <w:rPr>
                      <w:bCs/>
                      <w:szCs w:val="21"/>
                    </w:rPr>
                  </w:pPr>
                  <w:r>
                    <w:rPr>
                      <w:bCs/>
                      <w:szCs w:val="21"/>
                    </w:rPr>
                    <w:t>NO</w:t>
                  </w:r>
                  <w:r>
                    <w:rPr>
                      <w:bCs/>
                      <w:szCs w:val="21"/>
                      <w:vertAlign w:val="subscript"/>
                    </w:rPr>
                    <w:t>x</w:t>
                  </w:r>
                </w:p>
              </w:tc>
              <w:tc>
                <w:tcPr>
                  <w:tcW w:w="643" w:type="pct"/>
                  <w:vMerge w:val="continue"/>
                  <w:vAlign w:val="center"/>
                </w:tcPr>
                <w:p>
                  <w:pPr>
                    <w:autoSpaceDE w:val="0"/>
                    <w:autoSpaceDN w:val="0"/>
                    <w:adjustRightInd w:val="0"/>
                    <w:jc w:val="center"/>
                    <w:rPr>
                      <w:bCs/>
                      <w:szCs w:val="21"/>
                    </w:rPr>
                  </w:pPr>
                </w:p>
              </w:tc>
              <w:tc>
                <w:tcPr>
                  <w:tcW w:w="518" w:type="pct"/>
                  <w:vMerge w:val="continue"/>
                  <w:vAlign w:val="center"/>
                </w:tcPr>
                <w:p>
                  <w:pPr>
                    <w:autoSpaceDE w:val="0"/>
                    <w:autoSpaceDN w:val="0"/>
                    <w:adjustRightInd w:val="0"/>
                    <w:jc w:val="center"/>
                    <w:rPr>
                      <w:bCs/>
                      <w:szCs w:val="21"/>
                    </w:rPr>
                  </w:pPr>
                </w:p>
              </w:tc>
              <w:tc>
                <w:tcPr>
                  <w:tcW w:w="586" w:type="pct"/>
                  <w:vAlign w:val="center"/>
                </w:tcPr>
                <w:p>
                  <w:pPr>
                    <w:autoSpaceDE w:val="0"/>
                    <w:autoSpaceDN w:val="0"/>
                    <w:adjustRightInd w:val="0"/>
                    <w:jc w:val="center"/>
                    <w:rPr>
                      <w:bCs/>
                      <w:szCs w:val="21"/>
                      <w:highlight w:val="green"/>
                    </w:rPr>
                  </w:pPr>
                  <w:r>
                    <w:rPr>
                      <w:rFonts w:hint="eastAsia"/>
                      <w:bCs/>
                      <w:szCs w:val="21"/>
                      <w:highlight w:val="green"/>
                    </w:rPr>
                    <w:t>6</w:t>
                  </w:r>
                  <w:r>
                    <w:rPr>
                      <w:bCs/>
                      <w:szCs w:val="21"/>
                      <w:highlight w:val="green"/>
                    </w:rPr>
                    <w:t>.08</w:t>
                  </w:r>
                </w:p>
              </w:tc>
              <w:tc>
                <w:tcPr>
                  <w:tcW w:w="580" w:type="pct"/>
                  <w:vAlign w:val="center"/>
                </w:tcPr>
                <w:p>
                  <w:pPr>
                    <w:autoSpaceDE w:val="0"/>
                    <w:autoSpaceDN w:val="0"/>
                    <w:adjustRightInd w:val="0"/>
                    <w:jc w:val="center"/>
                    <w:rPr>
                      <w:bCs/>
                      <w:szCs w:val="21"/>
                      <w:highlight w:val="green"/>
                    </w:rPr>
                  </w:pPr>
                  <w:r>
                    <w:rPr>
                      <w:bCs/>
                      <w:szCs w:val="21"/>
                      <w:highlight w:val="green"/>
                    </w:rPr>
                    <w:t>0.844</w:t>
                  </w:r>
                </w:p>
              </w:tc>
              <w:tc>
                <w:tcPr>
                  <w:tcW w:w="720" w:type="pct"/>
                  <w:vAlign w:val="center"/>
                </w:tcPr>
                <w:p>
                  <w:pPr>
                    <w:autoSpaceDE w:val="0"/>
                    <w:autoSpaceDN w:val="0"/>
                    <w:adjustRightInd w:val="0"/>
                    <w:jc w:val="center"/>
                    <w:rPr>
                      <w:bCs/>
                      <w:szCs w:val="21"/>
                      <w:highlight w:val="green"/>
                    </w:rPr>
                  </w:pPr>
                  <w:r>
                    <w:rPr>
                      <w:bCs/>
                      <w:szCs w:val="21"/>
                      <w:highlight w:val="green"/>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15" w:type="pct"/>
                  <w:vAlign w:val="center"/>
                </w:tcPr>
                <w:p>
                  <w:pPr>
                    <w:autoSpaceDE w:val="0"/>
                    <w:autoSpaceDN w:val="0"/>
                    <w:adjustRightInd w:val="0"/>
                    <w:jc w:val="center"/>
                    <w:rPr>
                      <w:bCs/>
                      <w:szCs w:val="21"/>
                    </w:rPr>
                  </w:pPr>
                  <w:r>
                    <w:rPr>
                      <w:rFonts w:hint="eastAsia"/>
                      <w:bCs/>
                      <w:szCs w:val="21"/>
                    </w:rPr>
                    <w:t>DA008</w:t>
                  </w:r>
                </w:p>
              </w:tc>
              <w:tc>
                <w:tcPr>
                  <w:tcW w:w="731" w:type="pct"/>
                  <w:vAlign w:val="center"/>
                </w:tcPr>
                <w:p>
                  <w:pPr>
                    <w:autoSpaceDE w:val="0"/>
                    <w:autoSpaceDN w:val="0"/>
                    <w:adjustRightInd w:val="0"/>
                    <w:jc w:val="center"/>
                    <w:rPr>
                      <w:bCs/>
                      <w:szCs w:val="21"/>
                    </w:rPr>
                  </w:pPr>
                  <w:r>
                    <w:rPr>
                      <w:rFonts w:hint="eastAsia"/>
                      <w:bCs/>
                      <w:szCs w:val="21"/>
                    </w:rPr>
                    <w:t>刨片工段</w:t>
                  </w:r>
                </w:p>
              </w:tc>
              <w:tc>
                <w:tcPr>
                  <w:tcW w:w="604" w:type="pct"/>
                  <w:vAlign w:val="center"/>
                </w:tcPr>
                <w:p>
                  <w:pPr>
                    <w:autoSpaceDE w:val="0"/>
                    <w:autoSpaceDN w:val="0"/>
                    <w:adjustRightInd w:val="0"/>
                    <w:jc w:val="center"/>
                    <w:rPr>
                      <w:bCs/>
                      <w:szCs w:val="21"/>
                    </w:rPr>
                  </w:pPr>
                  <w:r>
                    <w:rPr>
                      <w:rFonts w:hint="eastAsia"/>
                      <w:bCs/>
                      <w:szCs w:val="21"/>
                    </w:rPr>
                    <w:t>颗粒物</w:t>
                  </w:r>
                </w:p>
              </w:tc>
              <w:tc>
                <w:tcPr>
                  <w:tcW w:w="643" w:type="pct"/>
                  <w:vMerge w:val="continue"/>
                  <w:vAlign w:val="center"/>
                </w:tcPr>
                <w:p>
                  <w:pPr>
                    <w:autoSpaceDE w:val="0"/>
                    <w:autoSpaceDN w:val="0"/>
                    <w:adjustRightInd w:val="0"/>
                    <w:jc w:val="center"/>
                    <w:rPr>
                      <w:bCs/>
                      <w:szCs w:val="21"/>
                    </w:rPr>
                  </w:pPr>
                </w:p>
              </w:tc>
              <w:tc>
                <w:tcPr>
                  <w:tcW w:w="518" w:type="pct"/>
                  <w:vAlign w:val="center"/>
                </w:tcPr>
                <w:p>
                  <w:pPr>
                    <w:autoSpaceDE w:val="0"/>
                    <w:autoSpaceDN w:val="0"/>
                    <w:adjustRightInd w:val="0"/>
                    <w:jc w:val="center"/>
                    <w:rPr>
                      <w:bCs/>
                      <w:szCs w:val="21"/>
                    </w:rPr>
                  </w:pPr>
                  <w:r>
                    <w:rPr>
                      <w:rFonts w:hint="eastAsia"/>
                      <w:bCs/>
                      <w:szCs w:val="21"/>
                    </w:rPr>
                    <w:t>18496</w:t>
                  </w:r>
                </w:p>
              </w:tc>
              <w:tc>
                <w:tcPr>
                  <w:tcW w:w="586" w:type="pct"/>
                  <w:vAlign w:val="center"/>
                </w:tcPr>
                <w:p>
                  <w:pPr>
                    <w:autoSpaceDE w:val="0"/>
                    <w:autoSpaceDN w:val="0"/>
                    <w:adjustRightInd w:val="0"/>
                    <w:jc w:val="center"/>
                    <w:rPr>
                      <w:bCs/>
                      <w:szCs w:val="21"/>
                    </w:rPr>
                  </w:pPr>
                  <w:r>
                    <w:rPr>
                      <w:rFonts w:hint="eastAsia"/>
                      <w:bCs/>
                      <w:szCs w:val="21"/>
                    </w:rPr>
                    <w:t>4.35</w:t>
                  </w:r>
                </w:p>
              </w:tc>
              <w:tc>
                <w:tcPr>
                  <w:tcW w:w="580" w:type="pct"/>
                  <w:vAlign w:val="center"/>
                </w:tcPr>
                <w:p>
                  <w:pPr>
                    <w:autoSpaceDE w:val="0"/>
                    <w:autoSpaceDN w:val="0"/>
                    <w:adjustRightInd w:val="0"/>
                    <w:jc w:val="center"/>
                    <w:rPr>
                      <w:bCs/>
                      <w:szCs w:val="21"/>
                    </w:rPr>
                  </w:pPr>
                  <w:r>
                    <w:rPr>
                      <w:rFonts w:hint="eastAsia"/>
                      <w:bCs/>
                      <w:szCs w:val="21"/>
                    </w:rPr>
                    <w:t>0.604</w:t>
                  </w:r>
                </w:p>
              </w:tc>
              <w:tc>
                <w:tcPr>
                  <w:tcW w:w="720" w:type="pct"/>
                  <w:vAlign w:val="center"/>
                </w:tcPr>
                <w:p>
                  <w:pPr>
                    <w:autoSpaceDE w:val="0"/>
                    <w:autoSpaceDN w:val="0"/>
                    <w:adjustRightInd w:val="0"/>
                    <w:jc w:val="center"/>
                    <w:rPr>
                      <w:bCs/>
                      <w:szCs w:val="21"/>
                    </w:rPr>
                  </w:pPr>
                  <w:r>
                    <w:rPr>
                      <w:rFonts w:hint="eastAsia"/>
                      <w:bCs/>
                      <w:szCs w:val="21"/>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15" w:type="pct"/>
                  <w:vAlign w:val="center"/>
                </w:tcPr>
                <w:p>
                  <w:pPr>
                    <w:autoSpaceDE w:val="0"/>
                    <w:autoSpaceDN w:val="0"/>
                    <w:adjustRightInd w:val="0"/>
                    <w:jc w:val="center"/>
                    <w:rPr>
                      <w:bCs/>
                      <w:szCs w:val="21"/>
                    </w:rPr>
                  </w:pPr>
                  <w:r>
                    <w:rPr>
                      <w:rFonts w:hint="eastAsia"/>
                      <w:bCs/>
                      <w:szCs w:val="21"/>
                    </w:rPr>
                    <w:t>DA009</w:t>
                  </w:r>
                </w:p>
              </w:tc>
              <w:tc>
                <w:tcPr>
                  <w:tcW w:w="731" w:type="pct"/>
                  <w:vAlign w:val="center"/>
                </w:tcPr>
                <w:p>
                  <w:pPr>
                    <w:autoSpaceDE w:val="0"/>
                    <w:autoSpaceDN w:val="0"/>
                    <w:adjustRightInd w:val="0"/>
                    <w:jc w:val="center"/>
                    <w:rPr>
                      <w:bCs/>
                      <w:szCs w:val="21"/>
                    </w:rPr>
                  </w:pPr>
                  <w:r>
                    <w:rPr>
                      <w:rFonts w:hint="eastAsia"/>
                      <w:bCs/>
                      <w:szCs w:val="21"/>
                    </w:rPr>
                    <w:t>铺装工段</w:t>
                  </w:r>
                </w:p>
              </w:tc>
              <w:tc>
                <w:tcPr>
                  <w:tcW w:w="604" w:type="pct"/>
                  <w:vAlign w:val="center"/>
                </w:tcPr>
                <w:p>
                  <w:pPr>
                    <w:autoSpaceDE w:val="0"/>
                    <w:autoSpaceDN w:val="0"/>
                    <w:adjustRightInd w:val="0"/>
                    <w:jc w:val="center"/>
                    <w:rPr>
                      <w:bCs/>
                      <w:szCs w:val="21"/>
                    </w:rPr>
                  </w:pPr>
                  <w:r>
                    <w:rPr>
                      <w:rFonts w:hint="eastAsia"/>
                      <w:bCs/>
                      <w:szCs w:val="21"/>
                    </w:rPr>
                    <w:t>颗粒物</w:t>
                  </w:r>
                </w:p>
              </w:tc>
              <w:tc>
                <w:tcPr>
                  <w:tcW w:w="643" w:type="pct"/>
                  <w:vMerge w:val="continue"/>
                  <w:vAlign w:val="center"/>
                </w:tcPr>
                <w:p>
                  <w:pPr>
                    <w:autoSpaceDE w:val="0"/>
                    <w:autoSpaceDN w:val="0"/>
                    <w:adjustRightInd w:val="0"/>
                    <w:jc w:val="center"/>
                    <w:rPr>
                      <w:bCs/>
                      <w:szCs w:val="21"/>
                    </w:rPr>
                  </w:pPr>
                </w:p>
              </w:tc>
              <w:tc>
                <w:tcPr>
                  <w:tcW w:w="518" w:type="pct"/>
                  <w:vAlign w:val="center"/>
                </w:tcPr>
                <w:p>
                  <w:pPr>
                    <w:autoSpaceDE w:val="0"/>
                    <w:autoSpaceDN w:val="0"/>
                    <w:adjustRightInd w:val="0"/>
                    <w:jc w:val="center"/>
                    <w:rPr>
                      <w:bCs/>
                      <w:szCs w:val="21"/>
                    </w:rPr>
                  </w:pPr>
                  <w:r>
                    <w:rPr>
                      <w:rFonts w:hint="eastAsia"/>
                      <w:bCs/>
                      <w:szCs w:val="21"/>
                    </w:rPr>
                    <w:t>5604</w:t>
                  </w:r>
                </w:p>
              </w:tc>
              <w:tc>
                <w:tcPr>
                  <w:tcW w:w="586" w:type="pct"/>
                  <w:vAlign w:val="center"/>
                </w:tcPr>
                <w:p>
                  <w:pPr>
                    <w:autoSpaceDE w:val="0"/>
                    <w:autoSpaceDN w:val="0"/>
                    <w:adjustRightInd w:val="0"/>
                    <w:jc w:val="center"/>
                    <w:rPr>
                      <w:bCs/>
                      <w:szCs w:val="21"/>
                    </w:rPr>
                  </w:pPr>
                  <w:r>
                    <w:rPr>
                      <w:rFonts w:hint="eastAsia"/>
                      <w:bCs/>
                      <w:szCs w:val="21"/>
                    </w:rPr>
                    <w:t>0.943</w:t>
                  </w:r>
                </w:p>
              </w:tc>
              <w:tc>
                <w:tcPr>
                  <w:tcW w:w="580" w:type="pct"/>
                  <w:vAlign w:val="center"/>
                </w:tcPr>
                <w:p>
                  <w:pPr>
                    <w:autoSpaceDE w:val="0"/>
                    <w:autoSpaceDN w:val="0"/>
                    <w:adjustRightInd w:val="0"/>
                    <w:jc w:val="center"/>
                    <w:rPr>
                      <w:bCs/>
                      <w:szCs w:val="21"/>
                    </w:rPr>
                  </w:pPr>
                  <w:r>
                    <w:rPr>
                      <w:rFonts w:hint="eastAsia"/>
                      <w:bCs/>
                      <w:szCs w:val="21"/>
                    </w:rPr>
                    <w:t>0.131</w:t>
                  </w:r>
                </w:p>
              </w:tc>
              <w:tc>
                <w:tcPr>
                  <w:tcW w:w="720" w:type="pct"/>
                  <w:vAlign w:val="center"/>
                </w:tcPr>
                <w:p>
                  <w:pPr>
                    <w:autoSpaceDE w:val="0"/>
                    <w:autoSpaceDN w:val="0"/>
                    <w:adjustRightInd w:val="0"/>
                    <w:jc w:val="center"/>
                    <w:rPr>
                      <w:bCs/>
                      <w:szCs w:val="21"/>
                    </w:rPr>
                  </w:pPr>
                  <w:r>
                    <w:rPr>
                      <w:rFonts w:hint="eastAsia"/>
                      <w:bCs/>
                      <w:szCs w:val="2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15" w:type="pct"/>
                  <w:vAlign w:val="center"/>
                </w:tcPr>
                <w:p>
                  <w:pPr>
                    <w:autoSpaceDE w:val="0"/>
                    <w:autoSpaceDN w:val="0"/>
                    <w:adjustRightInd w:val="0"/>
                    <w:jc w:val="center"/>
                    <w:rPr>
                      <w:bCs/>
                      <w:szCs w:val="21"/>
                    </w:rPr>
                  </w:pPr>
                  <w:r>
                    <w:rPr>
                      <w:rFonts w:hint="eastAsia"/>
                      <w:bCs/>
                      <w:szCs w:val="21"/>
                    </w:rPr>
                    <w:t>DA010</w:t>
                  </w:r>
                </w:p>
              </w:tc>
              <w:tc>
                <w:tcPr>
                  <w:tcW w:w="731" w:type="pct"/>
                  <w:vAlign w:val="center"/>
                </w:tcPr>
                <w:p>
                  <w:pPr>
                    <w:autoSpaceDE w:val="0"/>
                    <w:autoSpaceDN w:val="0"/>
                    <w:adjustRightInd w:val="0"/>
                    <w:jc w:val="center"/>
                    <w:rPr>
                      <w:bCs/>
                      <w:szCs w:val="21"/>
                    </w:rPr>
                  </w:pPr>
                  <w:r>
                    <w:rPr>
                      <w:rFonts w:hint="eastAsia"/>
                      <w:bCs/>
                      <w:szCs w:val="21"/>
                    </w:rPr>
                    <w:t>干燥工段</w:t>
                  </w:r>
                </w:p>
              </w:tc>
              <w:tc>
                <w:tcPr>
                  <w:tcW w:w="604" w:type="pct"/>
                  <w:vAlign w:val="center"/>
                </w:tcPr>
                <w:p>
                  <w:pPr>
                    <w:autoSpaceDE w:val="0"/>
                    <w:autoSpaceDN w:val="0"/>
                    <w:adjustRightInd w:val="0"/>
                    <w:jc w:val="center"/>
                    <w:rPr>
                      <w:bCs/>
                      <w:szCs w:val="21"/>
                    </w:rPr>
                  </w:pPr>
                  <w:r>
                    <w:rPr>
                      <w:rFonts w:hint="eastAsia"/>
                      <w:bCs/>
                      <w:szCs w:val="21"/>
                    </w:rPr>
                    <w:t>颗粒物</w:t>
                  </w:r>
                </w:p>
              </w:tc>
              <w:tc>
                <w:tcPr>
                  <w:tcW w:w="643" w:type="pct"/>
                  <w:vMerge w:val="continue"/>
                  <w:vAlign w:val="center"/>
                </w:tcPr>
                <w:p>
                  <w:pPr>
                    <w:autoSpaceDE w:val="0"/>
                    <w:autoSpaceDN w:val="0"/>
                    <w:adjustRightInd w:val="0"/>
                    <w:jc w:val="center"/>
                    <w:rPr>
                      <w:bCs/>
                      <w:szCs w:val="21"/>
                    </w:rPr>
                  </w:pPr>
                </w:p>
              </w:tc>
              <w:tc>
                <w:tcPr>
                  <w:tcW w:w="518" w:type="pct"/>
                  <w:vAlign w:val="center"/>
                </w:tcPr>
                <w:p>
                  <w:pPr>
                    <w:autoSpaceDE w:val="0"/>
                    <w:autoSpaceDN w:val="0"/>
                    <w:adjustRightInd w:val="0"/>
                    <w:jc w:val="center"/>
                    <w:rPr>
                      <w:bCs/>
                      <w:szCs w:val="21"/>
                    </w:rPr>
                  </w:pPr>
                  <w:r>
                    <w:rPr>
                      <w:rFonts w:hint="eastAsia"/>
                      <w:bCs/>
                      <w:szCs w:val="21"/>
                    </w:rPr>
                    <w:t>18833</w:t>
                  </w:r>
                </w:p>
              </w:tc>
              <w:tc>
                <w:tcPr>
                  <w:tcW w:w="586" w:type="pct"/>
                  <w:vAlign w:val="center"/>
                </w:tcPr>
                <w:p>
                  <w:pPr>
                    <w:autoSpaceDE w:val="0"/>
                    <w:autoSpaceDN w:val="0"/>
                    <w:adjustRightInd w:val="0"/>
                    <w:jc w:val="center"/>
                    <w:rPr>
                      <w:bCs/>
                      <w:szCs w:val="21"/>
                    </w:rPr>
                  </w:pPr>
                  <w:r>
                    <w:rPr>
                      <w:rFonts w:hint="eastAsia"/>
                      <w:bCs/>
                      <w:szCs w:val="21"/>
                    </w:rPr>
                    <w:t>1.35</w:t>
                  </w:r>
                </w:p>
              </w:tc>
              <w:tc>
                <w:tcPr>
                  <w:tcW w:w="580" w:type="pct"/>
                  <w:vAlign w:val="center"/>
                </w:tcPr>
                <w:p>
                  <w:pPr>
                    <w:autoSpaceDE w:val="0"/>
                    <w:autoSpaceDN w:val="0"/>
                    <w:adjustRightInd w:val="0"/>
                    <w:jc w:val="center"/>
                    <w:rPr>
                      <w:bCs/>
                      <w:szCs w:val="21"/>
                    </w:rPr>
                  </w:pPr>
                  <w:r>
                    <w:rPr>
                      <w:rFonts w:hint="eastAsia"/>
                      <w:bCs/>
                      <w:szCs w:val="21"/>
                    </w:rPr>
                    <w:t>0.188</w:t>
                  </w:r>
                </w:p>
              </w:tc>
              <w:tc>
                <w:tcPr>
                  <w:tcW w:w="720" w:type="pct"/>
                  <w:vAlign w:val="center"/>
                </w:tcPr>
                <w:p>
                  <w:pPr>
                    <w:autoSpaceDE w:val="0"/>
                    <w:autoSpaceDN w:val="0"/>
                    <w:adjustRightInd w:val="0"/>
                    <w:jc w:val="center"/>
                    <w:rPr>
                      <w:bCs/>
                      <w:szCs w:val="21"/>
                    </w:rPr>
                  </w:pPr>
                  <w:r>
                    <w:rPr>
                      <w:rFonts w:hint="eastAsia"/>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15" w:type="pct"/>
                  <w:vMerge w:val="restart"/>
                  <w:vAlign w:val="center"/>
                </w:tcPr>
                <w:p>
                  <w:pPr>
                    <w:autoSpaceDE w:val="0"/>
                    <w:autoSpaceDN w:val="0"/>
                    <w:adjustRightInd w:val="0"/>
                    <w:jc w:val="center"/>
                    <w:rPr>
                      <w:bCs/>
                      <w:szCs w:val="21"/>
                    </w:rPr>
                  </w:pPr>
                  <w:r>
                    <w:rPr>
                      <w:rFonts w:hint="eastAsia"/>
                      <w:bCs/>
                      <w:szCs w:val="21"/>
                    </w:rPr>
                    <w:t>DA011</w:t>
                  </w:r>
                </w:p>
              </w:tc>
              <w:tc>
                <w:tcPr>
                  <w:tcW w:w="731" w:type="pct"/>
                  <w:vMerge w:val="restart"/>
                  <w:vAlign w:val="center"/>
                </w:tcPr>
                <w:p>
                  <w:pPr>
                    <w:autoSpaceDE w:val="0"/>
                    <w:autoSpaceDN w:val="0"/>
                    <w:adjustRightInd w:val="0"/>
                    <w:jc w:val="center"/>
                    <w:rPr>
                      <w:bCs/>
                      <w:szCs w:val="21"/>
                    </w:rPr>
                  </w:pPr>
                  <w:r>
                    <w:rPr>
                      <w:rFonts w:hint="eastAsia"/>
                      <w:bCs/>
                      <w:szCs w:val="21"/>
                    </w:rPr>
                    <w:t>热压凉板工段</w:t>
                  </w:r>
                </w:p>
              </w:tc>
              <w:tc>
                <w:tcPr>
                  <w:tcW w:w="604" w:type="pct"/>
                  <w:vAlign w:val="center"/>
                </w:tcPr>
                <w:p>
                  <w:pPr>
                    <w:autoSpaceDE w:val="0"/>
                    <w:autoSpaceDN w:val="0"/>
                    <w:adjustRightInd w:val="0"/>
                    <w:jc w:val="center"/>
                    <w:rPr>
                      <w:bCs/>
                      <w:szCs w:val="21"/>
                    </w:rPr>
                  </w:pPr>
                  <w:r>
                    <w:rPr>
                      <w:rFonts w:hint="eastAsia"/>
                      <w:bCs/>
                      <w:szCs w:val="21"/>
                    </w:rPr>
                    <w:t>颗粒物</w:t>
                  </w:r>
                </w:p>
              </w:tc>
              <w:tc>
                <w:tcPr>
                  <w:tcW w:w="643" w:type="pct"/>
                  <w:vMerge w:val="continue"/>
                  <w:vAlign w:val="center"/>
                </w:tcPr>
                <w:p>
                  <w:pPr>
                    <w:autoSpaceDE w:val="0"/>
                    <w:autoSpaceDN w:val="0"/>
                    <w:adjustRightInd w:val="0"/>
                    <w:jc w:val="center"/>
                    <w:rPr>
                      <w:bCs/>
                      <w:szCs w:val="21"/>
                    </w:rPr>
                  </w:pPr>
                </w:p>
              </w:tc>
              <w:tc>
                <w:tcPr>
                  <w:tcW w:w="518" w:type="pct"/>
                  <w:vMerge w:val="restart"/>
                  <w:vAlign w:val="center"/>
                </w:tcPr>
                <w:p>
                  <w:pPr>
                    <w:autoSpaceDE w:val="0"/>
                    <w:autoSpaceDN w:val="0"/>
                    <w:adjustRightInd w:val="0"/>
                    <w:jc w:val="center"/>
                    <w:rPr>
                      <w:bCs/>
                      <w:szCs w:val="21"/>
                    </w:rPr>
                  </w:pPr>
                  <w:r>
                    <w:rPr>
                      <w:bCs/>
                      <w:szCs w:val="21"/>
                    </w:rPr>
                    <w:t>9795</w:t>
                  </w:r>
                </w:p>
              </w:tc>
              <w:tc>
                <w:tcPr>
                  <w:tcW w:w="586" w:type="pct"/>
                  <w:vAlign w:val="center"/>
                </w:tcPr>
                <w:p>
                  <w:pPr>
                    <w:autoSpaceDE w:val="0"/>
                    <w:autoSpaceDN w:val="0"/>
                    <w:adjustRightInd w:val="0"/>
                    <w:jc w:val="center"/>
                    <w:rPr>
                      <w:bCs/>
                      <w:szCs w:val="21"/>
                      <w:highlight w:val="green"/>
                    </w:rPr>
                  </w:pPr>
                  <w:r>
                    <w:rPr>
                      <w:bCs/>
                      <w:szCs w:val="21"/>
                      <w:highlight w:val="green"/>
                    </w:rPr>
                    <w:t>0.706</w:t>
                  </w:r>
                </w:p>
              </w:tc>
              <w:tc>
                <w:tcPr>
                  <w:tcW w:w="580" w:type="pct"/>
                  <w:vAlign w:val="center"/>
                </w:tcPr>
                <w:p>
                  <w:pPr>
                    <w:autoSpaceDE w:val="0"/>
                    <w:autoSpaceDN w:val="0"/>
                    <w:adjustRightInd w:val="0"/>
                    <w:jc w:val="center"/>
                    <w:rPr>
                      <w:bCs/>
                      <w:szCs w:val="21"/>
                      <w:highlight w:val="green"/>
                    </w:rPr>
                  </w:pPr>
                  <w:r>
                    <w:rPr>
                      <w:bCs/>
                      <w:szCs w:val="21"/>
                      <w:highlight w:val="green"/>
                    </w:rPr>
                    <w:t>0.1089</w:t>
                  </w:r>
                </w:p>
              </w:tc>
              <w:tc>
                <w:tcPr>
                  <w:tcW w:w="720" w:type="pct"/>
                  <w:vAlign w:val="center"/>
                </w:tcPr>
                <w:p>
                  <w:pPr>
                    <w:autoSpaceDE w:val="0"/>
                    <w:autoSpaceDN w:val="0"/>
                    <w:adjustRightInd w:val="0"/>
                    <w:jc w:val="center"/>
                    <w:rPr>
                      <w:bCs/>
                      <w:szCs w:val="21"/>
                      <w:highlight w:val="green"/>
                    </w:rPr>
                  </w:pPr>
                  <w:r>
                    <w:rPr>
                      <w:rFonts w:hint="eastAsia"/>
                      <w:bCs/>
                      <w:szCs w:val="21"/>
                      <w:highlight w:val="gree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15" w:type="pct"/>
                  <w:vMerge w:val="continue"/>
                  <w:vAlign w:val="center"/>
                </w:tcPr>
                <w:p>
                  <w:pPr>
                    <w:autoSpaceDE w:val="0"/>
                    <w:autoSpaceDN w:val="0"/>
                    <w:adjustRightInd w:val="0"/>
                    <w:jc w:val="center"/>
                    <w:rPr>
                      <w:bCs/>
                      <w:szCs w:val="21"/>
                    </w:rPr>
                  </w:pPr>
                </w:p>
              </w:tc>
              <w:tc>
                <w:tcPr>
                  <w:tcW w:w="731" w:type="pct"/>
                  <w:vMerge w:val="continue"/>
                  <w:vAlign w:val="center"/>
                </w:tcPr>
                <w:p>
                  <w:pPr>
                    <w:autoSpaceDE w:val="0"/>
                    <w:autoSpaceDN w:val="0"/>
                    <w:adjustRightInd w:val="0"/>
                    <w:jc w:val="center"/>
                    <w:rPr>
                      <w:bCs/>
                      <w:szCs w:val="21"/>
                    </w:rPr>
                  </w:pPr>
                </w:p>
              </w:tc>
              <w:tc>
                <w:tcPr>
                  <w:tcW w:w="604" w:type="pct"/>
                  <w:vAlign w:val="center"/>
                </w:tcPr>
                <w:p>
                  <w:pPr>
                    <w:autoSpaceDE w:val="0"/>
                    <w:autoSpaceDN w:val="0"/>
                    <w:adjustRightInd w:val="0"/>
                    <w:jc w:val="center"/>
                    <w:rPr>
                      <w:bCs/>
                      <w:szCs w:val="21"/>
                    </w:rPr>
                  </w:pPr>
                  <w:r>
                    <w:rPr>
                      <w:rFonts w:hint="eastAsia"/>
                      <w:bCs/>
                      <w:szCs w:val="21"/>
                    </w:rPr>
                    <w:t>甲醛</w:t>
                  </w:r>
                </w:p>
              </w:tc>
              <w:tc>
                <w:tcPr>
                  <w:tcW w:w="643" w:type="pct"/>
                  <w:vMerge w:val="continue"/>
                  <w:vAlign w:val="center"/>
                </w:tcPr>
                <w:p>
                  <w:pPr>
                    <w:autoSpaceDE w:val="0"/>
                    <w:autoSpaceDN w:val="0"/>
                    <w:adjustRightInd w:val="0"/>
                    <w:jc w:val="center"/>
                    <w:rPr>
                      <w:bCs/>
                      <w:szCs w:val="21"/>
                    </w:rPr>
                  </w:pPr>
                </w:p>
              </w:tc>
              <w:tc>
                <w:tcPr>
                  <w:tcW w:w="518" w:type="pct"/>
                  <w:vMerge w:val="continue"/>
                  <w:vAlign w:val="center"/>
                </w:tcPr>
                <w:p>
                  <w:pPr>
                    <w:autoSpaceDE w:val="0"/>
                    <w:autoSpaceDN w:val="0"/>
                    <w:adjustRightInd w:val="0"/>
                    <w:jc w:val="center"/>
                    <w:rPr>
                      <w:bCs/>
                      <w:szCs w:val="21"/>
                    </w:rPr>
                  </w:pPr>
                </w:p>
              </w:tc>
              <w:tc>
                <w:tcPr>
                  <w:tcW w:w="586" w:type="pct"/>
                  <w:vAlign w:val="center"/>
                </w:tcPr>
                <w:p>
                  <w:pPr>
                    <w:autoSpaceDE w:val="0"/>
                    <w:autoSpaceDN w:val="0"/>
                    <w:adjustRightInd w:val="0"/>
                    <w:jc w:val="center"/>
                    <w:rPr>
                      <w:bCs/>
                      <w:szCs w:val="21"/>
                      <w:highlight w:val="green"/>
                    </w:rPr>
                  </w:pPr>
                  <w:r>
                    <w:rPr>
                      <w:bCs/>
                      <w:szCs w:val="21"/>
                      <w:highlight w:val="green"/>
                    </w:rPr>
                    <w:t>0.63</w:t>
                  </w:r>
                </w:p>
              </w:tc>
              <w:tc>
                <w:tcPr>
                  <w:tcW w:w="580" w:type="pct"/>
                  <w:vAlign w:val="center"/>
                </w:tcPr>
                <w:p>
                  <w:pPr>
                    <w:autoSpaceDE w:val="0"/>
                    <w:autoSpaceDN w:val="0"/>
                    <w:adjustRightInd w:val="0"/>
                    <w:jc w:val="center"/>
                    <w:rPr>
                      <w:bCs/>
                      <w:szCs w:val="21"/>
                      <w:highlight w:val="green"/>
                    </w:rPr>
                  </w:pPr>
                  <w:r>
                    <w:rPr>
                      <w:bCs/>
                      <w:szCs w:val="21"/>
                      <w:highlight w:val="green"/>
                    </w:rPr>
                    <w:t>0.097</w:t>
                  </w:r>
                </w:p>
              </w:tc>
              <w:tc>
                <w:tcPr>
                  <w:tcW w:w="720" w:type="pct"/>
                  <w:vAlign w:val="center"/>
                </w:tcPr>
                <w:p>
                  <w:pPr>
                    <w:autoSpaceDE w:val="0"/>
                    <w:autoSpaceDN w:val="0"/>
                    <w:adjustRightInd w:val="0"/>
                    <w:jc w:val="center"/>
                    <w:rPr>
                      <w:bCs/>
                      <w:szCs w:val="21"/>
                      <w:highlight w:val="green"/>
                    </w:rPr>
                  </w:pPr>
                  <w:r>
                    <w:rPr>
                      <w:bCs/>
                      <w:szCs w:val="21"/>
                      <w:highlight w:val="green"/>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15" w:type="pct"/>
                  <w:vMerge w:val="continue"/>
                  <w:vAlign w:val="center"/>
                </w:tcPr>
                <w:p>
                  <w:pPr>
                    <w:autoSpaceDE w:val="0"/>
                    <w:autoSpaceDN w:val="0"/>
                    <w:adjustRightInd w:val="0"/>
                    <w:jc w:val="center"/>
                    <w:rPr>
                      <w:bCs/>
                      <w:szCs w:val="21"/>
                    </w:rPr>
                  </w:pPr>
                </w:p>
              </w:tc>
              <w:tc>
                <w:tcPr>
                  <w:tcW w:w="731" w:type="pct"/>
                  <w:vMerge w:val="continue"/>
                  <w:vAlign w:val="center"/>
                </w:tcPr>
                <w:p>
                  <w:pPr>
                    <w:autoSpaceDE w:val="0"/>
                    <w:autoSpaceDN w:val="0"/>
                    <w:adjustRightInd w:val="0"/>
                    <w:jc w:val="center"/>
                    <w:rPr>
                      <w:bCs/>
                      <w:szCs w:val="21"/>
                    </w:rPr>
                  </w:pPr>
                </w:p>
              </w:tc>
              <w:tc>
                <w:tcPr>
                  <w:tcW w:w="604" w:type="pct"/>
                  <w:vAlign w:val="center"/>
                </w:tcPr>
                <w:p>
                  <w:pPr>
                    <w:autoSpaceDE w:val="0"/>
                    <w:autoSpaceDN w:val="0"/>
                    <w:adjustRightInd w:val="0"/>
                    <w:jc w:val="center"/>
                    <w:rPr>
                      <w:bCs/>
                      <w:szCs w:val="21"/>
                    </w:rPr>
                  </w:pPr>
                  <w:r>
                    <w:rPr>
                      <w:rFonts w:hint="eastAsia"/>
                      <w:bCs/>
                      <w:szCs w:val="21"/>
                    </w:rPr>
                    <w:t>非甲烷总烃</w:t>
                  </w:r>
                </w:p>
              </w:tc>
              <w:tc>
                <w:tcPr>
                  <w:tcW w:w="643" w:type="pct"/>
                  <w:vMerge w:val="continue"/>
                  <w:vAlign w:val="center"/>
                </w:tcPr>
                <w:p>
                  <w:pPr>
                    <w:autoSpaceDE w:val="0"/>
                    <w:autoSpaceDN w:val="0"/>
                    <w:adjustRightInd w:val="0"/>
                    <w:jc w:val="center"/>
                    <w:rPr>
                      <w:bCs/>
                      <w:szCs w:val="21"/>
                    </w:rPr>
                  </w:pPr>
                </w:p>
              </w:tc>
              <w:tc>
                <w:tcPr>
                  <w:tcW w:w="518" w:type="pct"/>
                  <w:vMerge w:val="continue"/>
                  <w:vAlign w:val="center"/>
                </w:tcPr>
                <w:p>
                  <w:pPr>
                    <w:autoSpaceDE w:val="0"/>
                    <w:autoSpaceDN w:val="0"/>
                    <w:adjustRightInd w:val="0"/>
                    <w:jc w:val="center"/>
                    <w:rPr>
                      <w:bCs/>
                      <w:szCs w:val="21"/>
                    </w:rPr>
                  </w:pPr>
                </w:p>
              </w:tc>
              <w:tc>
                <w:tcPr>
                  <w:tcW w:w="586" w:type="pct"/>
                  <w:vAlign w:val="center"/>
                </w:tcPr>
                <w:p>
                  <w:pPr>
                    <w:autoSpaceDE w:val="0"/>
                    <w:autoSpaceDN w:val="0"/>
                    <w:adjustRightInd w:val="0"/>
                    <w:jc w:val="center"/>
                    <w:rPr>
                      <w:bCs/>
                      <w:szCs w:val="21"/>
                      <w:highlight w:val="green"/>
                    </w:rPr>
                  </w:pPr>
                  <w:r>
                    <w:rPr>
                      <w:bCs/>
                      <w:szCs w:val="21"/>
                      <w:highlight w:val="green"/>
                    </w:rPr>
                    <w:t>1.4292</w:t>
                  </w:r>
                </w:p>
              </w:tc>
              <w:tc>
                <w:tcPr>
                  <w:tcW w:w="580" w:type="pct"/>
                  <w:vAlign w:val="center"/>
                </w:tcPr>
                <w:p>
                  <w:pPr>
                    <w:autoSpaceDE w:val="0"/>
                    <w:autoSpaceDN w:val="0"/>
                    <w:adjustRightInd w:val="0"/>
                    <w:jc w:val="center"/>
                    <w:rPr>
                      <w:bCs/>
                      <w:szCs w:val="21"/>
                      <w:highlight w:val="green"/>
                    </w:rPr>
                  </w:pPr>
                  <w:r>
                    <w:rPr>
                      <w:bCs/>
                      <w:szCs w:val="21"/>
                      <w:highlight w:val="green"/>
                    </w:rPr>
                    <w:t>0.22</w:t>
                  </w:r>
                </w:p>
              </w:tc>
              <w:tc>
                <w:tcPr>
                  <w:tcW w:w="720" w:type="pct"/>
                  <w:vAlign w:val="center"/>
                </w:tcPr>
                <w:p>
                  <w:pPr>
                    <w:autoSpaceDE w:val="0"/>
                    <w:autoSpaceDN w:val="0"/>
                    <w:adjustRightInd w:val="0"/>
                    <w:jc w:val="center"/>
                    <w:rPr>
                      <w:bCs/>
                      <w:szCs w:val="21"/>
                      <w:highlight w:val="green"/>
                    </w:rPr>
                  </w:pPr>
                  <w:r>
                    <w:rPr>
                      <w:bCs/>
                      <w:szCs w:val="21"/>
                      <w:highlight w:val="green"/>
                    </w:rPr>
                    <w:t>22.46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347" w:type="pct"/>
                  <w:gridSpan w:val="2"/>
                  <w:vMerge w:val="restart"/>
                  <w:vAlign w:val="center"/>
                </w:tcPr>
                <w:p>
                  <w:pPr>
                    <w:autoSpaceDE w:val="0"/>
                    <w:autoSpaceDN w:val="0"/>
                    <w:adjustRightInd w:val="0"/>
                    <w:jc w:val="center"/>
                    <w:rPr>
                      <w:bCs/>
                      <w:szCs w:val="21"/>
                    </w:rPr>
                  </w:pPr>
                  <w:r>
                    <w:rPr>
                      <w:rFonts w:hint="eastAsia"/>
                      <w:bCs/>
                      <w:szCs w:val="21"/>
                    </w:rPr>
                    <w:t>合计</w:t>
                  </w:r>
                </w:p>
              </w:tc>
              <w:tc>
                <w:tcPr>
                  <w:tcW w:w="604" w:type="pct"/>
                  <w:vAlign w:val="center"/>
                </w:tcPr>
                <w:p>
                  <w:pPr>
                    <w:autoSpaceDE w:val="0"/>
                    <w:autoSpaceDN w:val="0"/>
                    <w:adjustRightInd w:val="0"/>
                    <w:jc w:val="center"/>
                    <w:rPr>
                      <w:bCs/>
                      <w:szCs w:val="21"/>
                    </w:rPr>
                  </w:pPr>
                  <w:r>
                    <w:rPr>
                      <w:bCs/>
                      <w:szCs w:val="21"/>
                    </w:rPr>
                    <w:t>SO</w:t>
                  </w:r>
                  <w:r>
                    <w:rPr>
                      <w:bCs/>
                      <w:szCs w:val="21"/>
                      <w:vertAlign w:val="subscript"/>
                    </w:rPr>
                    <w:t>2</w:t>
                  </w:r>
                </w:p>
              </w:tc>
              <w:tc>
                <w:tcPr>
                  <w:tcW w:w="643" w:type="pct"/>
                  <w:vAlign w:val="center"/>
                </w:tcPr>
                <w:p>
                  <w:pPr>
                    <w:autoSpaceDE w:val="0"/>
                    <w:autoSpaceDN w:val="0"/>
                    <w:adjustRightInd w:val="0"/>
                    <w:jc w:val="center"/>
                    <w:rPr>
                      <w:bCs/>
                      <w:szCs w:val="21"/>
                    </w:rPr>
                  </w:pPr>
                  <w:r>
                    <w:rPr>
                      <w:rFonts w:hint="eastAsia"/>
                      <w:bCs/>
                      <w:szCs w:val="21"/>
                    </w:rPr>
                    <w:t>/</w:t>
                  </w:r>
                </w:p>
              </w:tc>
              <w:tc>
                <w:tcPr>
                  <w:tcW w:w="518" w:type="pct"/>
                  <w:vAlign w:val="center"/>
                </w:tcPr>
                <w:p>
                  <w:pPr>
                    <w:autoSpaceDE w:val="0"/>
                    <w:autoSpaceDN w:val="0"/>
                    <w:adjustRightInd w:val="0"/>
                    <w:jc w:val="center"/>
                    <w:rPr>
                      <w:bCs/>
                      <w:szCs w:val="21"/>
                    </w:rPr>
                  </w:pPr>
                  <w:r>
                    <w:rPr>
                      <w:rFonts w:hint="eastAsia"/>
                      <w:bCs/>
                      <w:szCs w:val="21"/>
                    </w:rPr>
                    <w:t>/</w:t>
                  </w:r>
                </w:p>
              </w:tc>
              <w:tc>
                <w:tcPr>
                  <w:tcW w:w="586" w:type="pct"/>
                  <w:vAlign w:val="center"/>
                </w:tcPr>
                <w:p>
                  <w:pPr>
                    <w:autoSpaceDE w:val="0"/>
                    <w:autoSpaceDN w:val="0"/>
                    <w:adjustRightInd w:val="0"/>
                    <w:jc w:val="center"/>
                    <w:rPr>
                      <w:bCs/>
                      <w:szCs w:val="21"/>
                    </w:rPr>
                  </w:pPr>
                  <w:r>
                    <w:rPr>
                      <w:rFonts w:hint="eastAsia"/>
                      <w:bCs/>
                      <w:szCs w:val="21"/>
                    </w:rPr>
                    <w:t>5</w:t>
                  </w:r>
                  <w:r>
                    <w:rPr>
                      <w:bCs/>
                      <w:szCs w:val="21"/>
                    </w:rPr>
                    <w:t>.19</w:t>
                  </w:r>
                </w:p>
              </w:tc>
              <w:tc>
                <w:tcPr>
                  <w:tcW w:w="580" w:type="pct"/>
                  <w:vAlign w:val="center"/>
                </w:tcPr>
                <w:p>
                  <w:pPr>
                    <w:autoSpaceDE w:val="0"/>
                    <w:autoSpaceDN w:val="0"/>
                    <w:adjustRightInd w:val="0"/>
                    <w:jc w:val="center"/>
                    <w:rPr>
                      <w:bCs/>
                      <w:szCs w:val="21"/>
                    </w:rPr>
                  </w:pPr>
                  <w:r>
                    <w:rPr>
                      <w:rFonts w:hint="eastAsia"/>
                      <w:bCs/>
                      <w:szCs w:val="21"/>
                    </w:rPr>
                    <w:t>/</w:t>
                  </w:r>
                </w:p>
              </w:tc>
              <w:tc>
                <w:tcPr>
                  <w:tcW w:w="720" w:type="pct"/>
                  <w:vAlign w:val="center"/>
                </w:tcPr>
                <w:p>
                  <w:pPr>
                    <w:autoSpaceDE w:val="0"/>
                    <w:autoSpaceDN w:val="0"/>
                    <w:adjustRightInd w:val="0"/>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7" w:type="pct"/>
                  <w:gridSpan w:val="2"/>
                  <w:vMerge w:val="continue"/>
                  <w:vAlign w:val="center"/>
                </w:tcPr>
                <w:p>
                  <w:pPr>
                    <w:autoSpaceDE w:val="0"/>
                    <w:autoSpaceDN w:val="0"/>
                    <w:adjustRightInd w:val="0"/>
                    <w:jc w:val="center"/>
                    <w:rPr>
                      <w:bCs/>
                      <w:szCs w:val="21"/>
                    </w:rPr>
                  </w:pPr>
                </w:p>
              </w:tc>
              <w:tc>
                <w:tcPr>
                  <w:tcW w:w="604" w:type="pct"/>
                  <w:vAlign w:val="center"/>
                </w:tcPr>
                <w:p>
                  <w:pPr>
                    <w:autoSpaceDE w:val="0"/>
                    <w:autoSpaceDN w:val="0"/>
                    <w:adjustRightInd w:val="0"/>
                    <w:jc w:val="center"/>
                    <w:rPr>
                      <w:bCs/>
                      <w:szCs w:val="21"/>
                    </w:rPr>
                  </w:pPr>
                  <w:r>
                    <w:rPr>
                      <w:bCs/>
                      <w:szCs w:val="21"/>
                    </w:rPr>
                    <w:t>NO</w:t>
                  </w:r>
                  <w:r>
                    <w:rPr>
                      <w:bCs/>
                      <w:szCs w:val="21"/>
                      <w:vertAlign w:val="subscript"/>
                    </w:rPr>
                    <w:t>x</w:t>
                  </w:r>
                </w:p>
              </w:tc>
              <w:tc>
                <w:tcPr>
                  <w:tcW w:w="643" w:type="pct"/>
                  <w:vAlign w:val="center"/>
                </w:tcPr>
                <w:p>
                  <w:pPr>
                    <w:autoSpaceDE w:val="0"/>
                    <w:autoSpaceDN w:val="0"/>
                    <w:adjustRightInd w:val="0"/>
                    <w:jc w:val="center"/>
                    <w:rPr>
                      <w:bCs/>
                      <w:szCs w:val="21"/>
                    </w:rPr>
                  </w:pPr>
                  <w:r>
                    <w:rPr>
                      <w:rFonts w:hint="eastAsia"/>
                      <w:bCs/>
                      <w:szCs w:val="21"/>
                    </w:rPr>
                    <w:t>/</w:t>
                  </w:r>
                </w:p>
              </w:tc>
              <w:tc>
                <w:tcPr>
                  <w:tcW w:w="518" w:type="pct"/>
                  <w:vAlign w:val="center"/>
                </w:tcPr>
                <w:p>
                  <w:pPr>
                    <w:autoSpaceDE w:val="0"/>
                    <w:autoSpaceDN w:val="0"/>
                    <w:adjustRightInd w:val="0"/>
                    <w:jc w:val="center"/>
                    <w:rPr>
                      <w:bCs/>
                      <w:szCs w:val="21"/>
                    </w:rPr>
                  </w:pPr>
                  <w:r>
                    <w:rPr>
                      <w:rFonts w:hint="eastAsia"/>
                      <w:bCs/>
                      <w:szCs w:val="21"/>
                    </w:rPr>
                    <w:t>/</w:t>
                  </w:r>
                </w:p>
              </w:tc>
              <w:tc>
                <w:tcPr>
                  <w:tcW w:w="586" w:type="pct"/>
                  <w:vAlign w:val="center"/>
                </w:tcPr>
                <w:p>
                  <w:pPr>
                    <w:autoSpaceDE w:val="0"/>
                    <w:autoSpaceDN w:val="0"/>
                    <w:adjustRightInd w:val="0"/>
                    <w:jc w:val="center"/>
                    <w:rPr>
                      <w:bCs/>
                      <w:szCs w:val="21"/>
                    </w:rPr>
                  </w:pPr>
                  <w:r>
                    <w:rPr>
                      <w:rFonts w:hint="eastAsia"/>
                      <w:bCs/>
                      <w:szCs w:val="21"/>
                    </w:rPr>
                    <w:t>6</w:t>
                  </w:r>
                  <w:r>
                    <w:rPr>
                      <w:bCs/>
                      <w:szCs w:val="21"/>
                    </w:rPr>
                    <w:t>.08</w:t>
                  </w:r>
                </w:p>
              </w:tc>
              <w:tc>
                <w:tcPr>
                  <w:tcW w:w="580" w:type="pct"/>
                  <w:vAlign w:val="center"/>
                </w:tcPr>
                <w:p>
                  <w:pPr>
                    <w:autoSpaceDE w:val="0"/>
                    <w:autoSpaceDN w:val="0"/>
                    <w:adjustRightInd w:val="0"/>
                    <w:jc w:val="center"/>
                    <w:rPr>
                      <w:bCs/>
                      <w:szCs w:val="21"/>
                    </w:rPr>
                  </w:pPr>
                  <w:r>
                    <w:rPr>
                      <w:rFonts w:hint="eastAsia"/>
                      <w:bCs/>
                      <w:szCs w:val="21"/>
                    </w:rPr>
                    <w:t>/</w:t>
                  </w:r>
                </w:p>
              </w:tc>
              <w:tc>
                <w:tcPr>
                  <w:tcW w:w="720" w:type="pct"/>
                  <w:vAlign w:val="center"/>
                </w:tcPr>
                <w:p>
                  <w:pPr>
                    <w:autoSpaceDE w:val="0"/>
                    <w:autoSpaceDN w:val="0"/>
                    <w:adjustRightInd w:val="0"/>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7" w:type="pct"/>
                  <w:gridSpan w:val="2"/>
                  <w:vMerge w:val="continue"/>
                  <w:vAlign w:val="center"/>
                </w:tcPr>
                <w:p>
                  <w:pPr>
                    <w:autoSpaceDE w:val="0"/>
                    <w:autoSpaceDN w:val="0"/>
                    <w:adjustRightInd w:val="0"/>
                    <w:jc w:val="center"/>
                    <w:rPr>
                      <w:bCs/>
                      <w:szCs w:val="21"/>
                    </w:rPr>
                  </w:pPr>
                </w:p>
              </w:tc>
              <w:tc>
                <w:tcPr>
                  <w:tcW w:w="604" w:type="pct"/>
                  <w:vAlign w:val="center"/>
                </w:tcPr>
                <w:p>
                  <w:pPr>
                    <w:autoSpaceDE w:val="0"/>
                    <w:autoSpaceDN w:val="0"/>
                    <w:adjustRightInd w:val="0"/>
                    <w:jc w:val="center"/>
                    <w:rPr>
                      <w:bCs/>
                      <w:szCs w:val="21"/>
                    </w:rPr>
                  </w:pPr>
                  <w:r>
                    <w:rPr>
                      <w:rFonts w:hint="eastAsia"/>
                      <w:bCs/>
                      <w:szCs w:val="21"/>
                    </w:rPr>
                    <w:t>颗粒物</w:t>
                  </w:r>
                </w:p>
              </w:tc>
              <w:tc>
                <w:tcPr>
                  <w:tcW w:w="643" w:type="pct"/>
                  <w:vAlign w:val="center"/>
                </w:tcPr>
                <w:p>
                  <w:pPr>
                    <w:autoSpaceDE w:val="0"/>
                    <w:autoSpaceDN w:val="0"/>
                    <w:adjustRightInd w:val="0"/>
                    <w:jc w:val="center"/>
                    <w:rPr>
                      <w:bCs/>
                      <w:szCs w:val="21"/>
                    </w:rPr>
                  </w:pPr>
                  <w:r>
                    <w:rPr>
                      <w:rFonts w:hint="eastAsia"/>
                      <w:bCs/>
                      <w:szCs w:val="21"/>
                    </w:rPr>
                    <w:t>/</w:t>
                  </w:r>
                </w:p>
              </w:tc>
              <w:tc>
                <w:tcPr>
                  <w:tcW w:w="518" w:type="pct"/>
                  <w:vAlign w:val="center"/>
                </w:tcPr>
                <w:p>
                  <w:pPr>
                    <w:autoSpaceDE w:val="0"/>
                    <w:autoSpaceDN w:val="0"/>
                    <w:adjustRightInd w:val="0"/>
                    <w:jc w:val="center"/>
                    <w:rPr>
                      <w:bCs/>
                      <w:szCs w:val="21"/>
                    </w:rPr>
                  </w:pPr>
                  <w:r>
                    <w:rPr>
                      <w:rFonts w:hint="eastAsia"/>
                      <w:bCs/>
                      <w:szCs w:val="21"/>
                    </w:rPr>
                    <w:t>/</w:t>
                  </w:r>
                </w:p>
              </w:tc>
              <w:tc>
                <w:tcPr>
                  <w:tcW w:w="586" w:type="pct"/>
                  <w:vAlign w:val="center"/>
                </w:tcPr>
                <w:p>
                  <w:pPr>
                    <w:autoSpaceDE w:val="0"/>
                    <w:autoSpaceDN w:val="0"/>
                    <w:adjustRightInd w:val="0"/>
                    <w:jc w:val="center"/>
                    <w:rPr>
                      <w:bCs/>
                      <w:szCs w:val="21"/>
                    </w:rPr>
                  </w:pPr>
                  <w:r>
                    <w:rPr>
                      <w:bCs/>
                      <w:szCs w:val="21"/>
                      <w:highlight w:val="green"/>
                    </w:rPr>
                    <w:t>10.366</w:t>
                  </w:r>
                </w:p>
              </w:tc>
              <w:tc>
                <w:tcPr>
                  <w:tcW w:w="580" w:type="pct"/>
                  <w:vAlign w:val="center"/>
                </w:tcPr>
                <w:p>
                  <w:pPr>
                    <w:autoSpaceDE w:val="0"/>
                    <w:autoSpaceDN w:val="0"/>
                    <w:adjustRightInd w:val="0"/>
                    <w:jc w:val="center"/>
                    <w:rPr>
                      <w:bCs/>
                      <w:szCs w:val="21"/>
                    </w:rPr>
                  </w:pPr>
                  <w:r>
                    <w:rPr>
                      <w:rFonts w:hint="eastAsia"/>
                      <w:bCs/>
                      <w:szCs w:val="21"/>
                    </w:rPr>
                    <w:t>/</w:t>
                  </w:r>
                </w:p>
              </w:tc>
              <w:tc>
                <w:tcPr>
                  <w:tcW w:w="720" w:type="pct"/>
                  <w:vAlign w:val="center"/>
                </w:tcPr>
                <w:p>
                  <w:pPr>
                    <w:autoSpaceDE w:val="0"/>
                    <w:autoSpaceDN w:val="0"/>
                    <w:adjustRightInd w:val="0"/>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7" w:type="pct"/>
                  <w:gridSpan w:val="2"/>
                  <w:vMerge w:val="continue"/>
                  <w:vAlign w:val="center"/>
                </w:tcPr>
                <w:p>
                  <w:pPr>
                    <w:autoSpaceDE w:val="0"/>
                    <w:autoSpaceDN w:val="0"/>
                    <w:adjustRightInd w:val="0"/>
                    <w:jc w:val="center"/>
                    <w:rPr>
                      <w:bCs/>
                      <w:szCs w:val="21"/>
                    </w:rPr>
                  </w:pPr>
                </w:p>
              </w:tc>
              <w:tc>
                <w:tcPr>
                  <w:tcW w:w="604" w:type="pct"/>
                  <w:vAlign w:val="center"/>
                </w:tcPr>
                <w:p>
                  <w:pPr>
                    <w:autoSpaceDE w:val="0"/>
                    <w:autoSpaceDN w:val="0"/>
                    <w:adjustRightInd w:val="0"/>
                    <w:jc w:val="center"/>
                    <w:rPr>
                      <w:bCs/>
                      <w:szCs w:val="21"/>
                    </w:rPr>
                  </w:pPr>
                  <w:r>
                    <w:rPr>
                      <w:rFonts w:hint="eastAsia"/>
                      <w:bCs/>
                      <w:szCs w:val="21"/>
                    </w:rPr>
                    <w:t>甲醛</w:t>
                  </w:r>
                </w:p>
              </w:tc>
              <w:tc>
                <w:tcPr>
                  <w:tcW w:w="643" w:type="pct"/>
                  <w:vAlign w:val="center"/>
                </w:tcPr>
                <w:p>
                  <w:pPr>
                    <w:autoSpaceDE w:val="0"/>
                    <w:autoSpaceDN w:val="0"/>
                    <w:adjustRightInd w:val="0"/>
                    <w:jc w:val="center"/>
                    <w:rPr>
                      <w:bCs/>
                      <w:szCs w:val="21"/>
                    </w:rPr>
                  </w:pPr>
                  <w:r>
                    <w:rPr>
                      <w:rFonts w:hint="eastAsia"/>
                      <w:bCs/>
                      <w:szCs w:val="21"/>
                    </w:rPr>
                    <w:t>/</w:t>
                  </w:r>
                </w:p>
              </w:tc>
              <w:tc>
                <w:tcPr>
                  <w:tcW w:w="518" w:type="pct"/>
                  <w:vAlign w:val="center"/>
                </w:tcPr>
                <w:p>
                  <w:pPr>
                    <w:autoSpaceDE w:val="0"/>
                    <w:autoSpaceDN w:val="0"/>
                    <w:adjustRightInd w:val="0"/>
                    <w:jc w:val="center"/>
                    <w:rPr>
                      <w:bCs/>
                      <w:szCs w:val="21"/>
                    </w:rPr>
                  </w:pPr>
                  <w:r>
                    <w:rPr>
                      <w:rFonts w:hint="eastAsia"/>
                      <w:bCs/>
                      <w:szCs w:val="21"/>
                    </w:rPr>
                    <w:t>/</w:t>
                  </w:r>
                </w:p>
              </w:tc>
              <w:tc>
                <w:tcPr>
                  <w:tcW w:w="586" w:type="pct"/>
                  <w:vAlign w:val="center"/>
                </w:tcPr>
                <w:p>
                  <w:pPr>
                    <w:autoSpaceDE w:val="0"/>
                    <w:autoSpaceDN w:val="0"/>
                    <w:adjustRightInd w:val="0"/>
                    <w:jc w:val="center"/>
                    <w:rPr>
                      <w:bCs/>
                      <w:szCs w:val="21"/>
                    </w:rPr>
                  </w:pPr>
                  <w:r>
                    <w:rPr>
                      <w:rFonts w:hint="eastAsia"/>
                      <w:bCs/>
                      <w:szCs w:val="21"/>
                    </w:rPr>
                    <w:t>0</w:t>
                  </w:r>
                  <w:r>
                    <w:rPr>
                      <w:bCs/>
                      <w:szCs w:val="21"/>
                    </w:rPr>
                    <w:t>.63</w:t>
                  </w:r>
                </w:p>
              </w:tc>
              <w:tc>
                <w:tcPr>
                  <w:tcW w:w="580" w:type="pct"/>
                  <w:vAlign w:val="center"/>
                </w:tcPr>
                <w:p>
                  <w:pPr>
                    <w:autoSpaceDE w:val="0"/>
                    <w:autoSpaceDN w:val="0"/>
                    <w:adjustRightInd w:val="0"/>
                    <w:jc w:val="center"/>
                    <w:rPr>
                      <w:bCs/>
                      <w:szCs w:val="21"/>
                    </w:rPr>
                  </w:pPr>
                  <w:r>
                    <w:rPr>
                      <w:rFonts w:hint="eastAsia"/>
                      <w:bCs/>
                      <w:szCs w:val="21"/>
                    </w:rPr>
                    <w:t>/</w:t>
                  </w:r>
                </w:p>
              </w:tc>
              <w:tc>
                <w:tcPr>
                  <w:tcW w:w="720" w:type="pct"/>
                  <w:vAlign w:val="center"/>
                </w:tcPr>
                <w:p>
                  <w:pPr>
                    <w:autoSpaceDE w:val="0"/>
                    <w:autoSpaceDN w:val="0"/>
                    <w:adjustRightInd w:val="0"/>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7" w:type="pct"/>
                  <w:gridSpan w:val="2"/>
                  <w:vMerge w:val="continue"/>
                  <w:vAlign w:val="center"/>
                </w:tcPr>
                <w:p>
                  <w:pPr>
                    <w:autoSpaceDE w:val="0"/>
                    <w:autoSpaceDN w:val="0"/>
                    <w:adjustRightInd w:val="0"/>
                    <w:jc w:val="center"/>
                    <w:rPr>
                      <w:bCs/>
                      <w:szCs w:val="21"/>
                    </w:rPr>
                  </w:pPr>
                </w:p>
              </w:tc>
              <w:tc>
                <w:tcPr>
                  <w:tcW w:w="604" w:type="pct"/>
                  <w:vAlign w:val="center"/>
                </w:tcPr>
                <w:p>
                  <w:pPr>
                    <w:autoSpaceDE w:val="0"/>
                    <w:autoSpaceDN w:val="0"/>
                    <w:adjustRightInd w:val="0"/>
                    <w:jc w:val="center"/>
                    <w:rPr>
                      <w:bCs/>
                      <w:szCs w:val="21"/>
                    </w:rPr>
                  </w:pPr>
                  <w:r>
                    <w:rPr>
                      <w:rFonts w:hint="eastAsia"/>
                      <w:bCs/>
                      <w:szCs w:val="21"/>
                    </w:rPr>
                    <w:t>非甲烷总烃</w:t>
                  </w:r>
                </w:p>
              </w:tc>
              <w:tc>
                <w:tcPr>
                  <w:tcW w:w="643" w:type="pct"/>
                  <w:vAlign w:val="center"/>
                </w:tcPr>
                <w:p>
                  <w:pPr>
                    <w:autoSpaceDE w:val="0"/>
                    <w:autoSpaceDN w:val="0"/>
                    <w:adjustRightInd w:val="0"/>
                    <w:jc w:val="center"/>
                    <w:rPr>
                      <w:bCs/>
                      <w:szCs w:val="21"/>
                    </w:rPr>
                  </w:pPr>
                  <w:r>
                    <w:rPr>
                      <w:rFonts w:hint="eastAsia"/>
                      <w:bCs/>
                      <w:szCs w:val="21"/>
                    </w:rPr>
                    <w:t>/</w:t>
                  </w:r>
                </w:p>
              </w:tc>
              <w:tc>
                <w:tcPr>
                  <w:tcW w:w="518" w:type="pct"/>
                  <w:vAlign w:val="center"/>
                </w:tcPr>
                <w:p>
                  <w:pPr>
                    <w:autoSpaceDE w:val="0"/>
                    <w:autoSpaceDN w:val="0"/>
                    <w:adjustRightInd w:val="0"/>
                    <w:jc w:val="center"/>
                    <w:rPr>
                      <w:bCs/>
                      <w:szCs w:val="21"/>
                    </w:rPr>
                  </w:pPr>
                  <w:r>
                    <w:rPr>
                      <w:rFonts w:hint="eastAsia"/>
                      <w:bCs/>
                      <w:szCs w:val="21"/>
                    </w:rPr>
                    <w:t>/</w:t>
                  </w:r>
                </w:p>
              </w:tc>
              <w:tc>
                <w:tcPr>
                  <w:tcW w:w="586" w:type="pct"/>
                  <w:vAlign w:val="center"/>
                </w:tcPr>
                <w:p>
                  <w:pPr>
                    <w:autoSpaceDE w:val="0"/>
                    <w:autoSpaceDN w:val="0"/>
                    <w:adjustRightInd w:val="0"/>
                    <w:jc w:val="center"/>
                    <w:rPr>
                      <w:bCs/>
                      <w:szCs w:val="21"/>
                    </w:rPr>
                  </w:pPr>
                  <w:r>
                    <w:rPr>
                      <w:rFonts w:hint="eastAsia"/>
                      <w:bCs/>
                      <w:szCs w:val="21"/>
                    </w:rPr>
                    <w:t>1</w:t>
                  </w:r>
                  <w:r>
                    <w:rPr>
                      <w:bCs/>
                      <w:szCs w:val="21"/>
                    </w:rPr>
                    <w:t>.4292</w:t>
                  </w:r>
                </w:p>
              </w:tc>
              <w:tc>
                <w:tcPr>
                  <w:tcW w:w="580" w:type="pct"/>
                  <w:vAlign w:val="center"/>
                </w:tcPr>
                <w:p>
                  <w:pPr>
                    <w:autoSpaceDE w:val="0"/>
                    <w:autoSpaceDN w:val="0"/>
                    <w:adjustRightInd w:val="0"/>
                    <w:jc w:val="center"/>
                    <w:rPr>
                      <w:bCs/>
                      <w:szCs w:val="21"/>
                    </w:rPr>
                  </w:pPr>
                  <w:r>
                    <w:rPr>
                      <w:rFonts w:hint="eastAsia"/>
                      <w:bCs/>
                      <w:szCs w:val="21"/>
                    </w:rPr>
                    <w:t>/</w:t>
                  </w:r>
                </w:p>
              </w:tc>
              <w:tc>
                <w:tcPr>
                  <w:tcW w:w="720" w:type="pct"/>
                  <w:vAlign w:val="center"/>
                </w:tcPr>
                <w:p>
                  <w:pPr>
                    <w:autoSpaceDE w:val="0"/>
                    <w:autoSpaceDN w:val="0"/>
                    <w:adjustRightInd w:val="0"/>
                    <w:jc w:val="center"/>
                    <w:rPr>
                      <w:bCs/>
                      <w:szCs w:val="21"/>
                    </w:rPr>
                  </w:pPr>
                  <w:r>
                    <w:rPr>
                      <w:rFonts w:hint="eastAsia"/>
                      <w:bCs/>
                      <w:szCs w:val="21"/>
                    </w:rPr>
                    <w:t>/</w:t>
                  </w:r>
                </w:p>
              </w:tc>
            </w:tr>
          </w:tbl>
          <w:p>
            <w:pPr>
              <w:adjustRightInd w:val="0"/>
              <w:spacing w:before="120" w:beforeLines="50" w:line="360" w:lineRule="auto"/>
              <w:ind w:firstLine="482" w:firstLineChars="200"/>
              <w:rPr>
                <w:b/>
                <w:sz w:val="24"/>
                <w:szCs w:val="21"/>
              </w:rPr>
            </w:pPr>
            <w:r>
              <w:rPr>
                <w:rFonts w:hint="eastAsia"/>
                <w:b/>
                <w:sz w:val="24"/>
                <w:szCs w:val="21"/>
              </w:rPr>
              <w:t>2）无组织废气</w:t>
            </w:r>
          </w:p>
          <w:p>
            <w:pPr>
              <w:adjustRightInd w:val="0"/>
              <w:spacing w:line="360" w:lineRule="auto"/>
              <w:ind w:firstLine="480" w:firstLineChars="200"/>
              <w:rPr>
                <w:bCs/>
                <w:sz w:val="24"/>
                <w:szCs w:val="21"/>
                <w:highlight w:val="green"/>
              </w:rPr>
            </w:pPr>
            <w:r>
              <w:rPr>
                <w:rFonts w:hint="eastAsia" w:hAnsi="宋体"/>
                <w:sz w:val="24"/>
                <w:szCs w:val="22"/>
                <w:highlight w:val="green"/>
              </w:rPr>
              <w:t>现有</w:t>
            </w:r>
            <w:r>
              <w:rPr>
                <w:rFonts w:hAnsi="宋体"/>
                <w:sz w:val="24"/>
                <w:szCs w:val="22"/>
                <w:highlight w:val="green"/>
              </w:rPr>
              <w:t>项目无组织排放粉尘主要在原料堆场</w:t>
            </w:r>
            <w:r>
              <w:rPr>
                <w:rFonts w:hint="eastAsia" w:hAnsi="宋体"/>
                <w:sz w:val="24"/>
                <w:szCs w:val="22"/>
                <w:highlight w:val="green"/>
              </w:rPr>
              <w:t>及仓库</w:t>
            </w:r>
            <w:r>
              <w:rPr>
                <w:rFonts w:hAnsi="宋体"/>
                <w:sz w:val="24"/>
                <w:szCs w:val="22"/>
                <w:highlight w:val="green"/>
              </w:rPr>
              <w:t>装卸中、车间加工过程等过程产生。</w:t>
            </w:r>
          </w:p>
          <w:p>
            <w:pPr>
              <w:adjustRightInd w:val="0"/>
              <w:spacing w:line="360" w:lineRule="auto"/>
              <w:ind w:firstLine="480" w:firstLineChars="200"/>
              <w:rPr>
                <w:bCs/>
                <w:sz w:val="24"/>
                <w:szCs w:val="21"/>
                <w:highlight w:val="green"/>
              </w:rPr>
            </w:pPr>
            <w:r>
              <w:rPr>
                <w:rFonts w:hint="eastAsia"/>
                <w:bCs/>
                <w:sz w:val="24"/>
                <w:szCs w:val="21"/>
                <w:highlight w:val="green"/>
              </w:rPr>
              <w:t>①原料卸料运输存储无组织粉尘排放量</w:t>
            </w:r>
          </w:p>
          <w:p>
            <w:pPr>
              <w:adjustRightInd w:val="0"/>
              <w:spacing w:line="360" w:lineRule="auto"/>
              <w:ind w:firstLine="480" w:firstLineChars="200"/>
              <w:rPr>
                <w:bCs/>
                <w:sz w:val="24"/>
                <w:szCs w:val="21"/>
                <w:highlight w:val="green"/>
              </w:rPr>
            </w:pPr>
            <w:r>
              <w:rPr>
                <w:rFonts w:hint="eastAsia"/>
                <w:bCs/>
                <w:sz w:val="24"/>
                <w:szCs w:val="21"/>
                <w:highlight w:val="green"/>
              </w:rPr>
              <w:t>根据现有环评报告，原料卸料运输存储无组织粉尘排放量为0.05t/a。</w:t>
            </w:r>
          </w:p>
          <w:p>
            <w:pPr>
              <w:adjustRightInd w:val="0"/>
              <w:spacing w:line="360" w:lineRule="auto"/>
              <w:ind w:firstLine="480" w:firstLineChars="200"/>
              <w:rPr>
                <w:bCs/>
                <w:sz w:val="24"/>
                <w:szCs w:val="21"/>
                <w:highlight w:val="green"/>
              </w:rPr>
            </w:pPr>
            <w:r>
              <w:rPr>
                <w:rFonts w:hint="eastAsia"/>
                <w:bCs/>
                <w:sz w:val="24"/>
                <w:szCs w:val="21"/>
                <w:highlight w:val="green"/>
              </w:rPr>
              <w:t>②成品卸料运输储存无组织粉尘排放量</w:t>
            </w:r>
          </w:p>
          <w:p>
            <w:pPr>
              <w:adjustRightInd w:val="0"/>
              <w:spacing w:line="360" w:lineRule="auto"/>
              <w:ind w:firstLine="480" w:firstLineChars="200"/>
              <w:rPr>
                <w:bCs/>
                <w:sz w:val="24"/>
                <w:szCs w:val="21"/>
                <w:highlight w:val="green"/>
              </w:rPr>
            </w:pPr>
            <w:r>
              <w:rPr>
                <w:rFonts w:hint="eastAsia"/>
                <w:bCs/>
                <w:sz w:val="24"/>
                <w:szCs w:val="21"/>
                <w:highlight w:val="green"/>
              </w:rPr>
              <w:t>根据现有环评报告，成品卸料运输存储无组织粉尘排放量为0.5t/a。</w:t>
            </w:r>
          </w:p>
          <w:p>
            <w:pPr>
              <w:adjustRightInd w:val="0"/>
              <w:spacing w:line="360" w:lineRule="auto"/>
              <w:ind w:firstLine="480" w:firstLineChars="200"/>
              <w:rPr>
                <w:bCs/>
                <w:sz w:val="24"/>
                <w:szCs w:val="21"/>
                <w:highlight w:val="green"/>
              </w:rPr>
            </w:pPr>
            <w:r>
              <w:rPr>
                <w:rFonts w:hint="eastAsia"/>
                <w:bCs/>
                <w:sz w:val="24"/>
                <w:szCs w:val="21"/>
                <w:highlight w:val="green"/>
              </w:rPr>
              <w:t>③铺装、砂光及锯切等无组织粉尘排放量</w:t>
            </w:r>
          </w:p>
          <w:p>
            <w:pPr>
              <w:adjustRightInd w:val="0"/>
              <w:spacing w:line="360" w:lineRule="auto"/>
              <w:ind w:firstLine="480" w:firstLineChars="200"/>
              <w:rPr>
                <w:bCs/>
                <w:sz w:val="24"/>
                <w:szCs w:val="21"/>
                <w:highlight w:val="green"/>
              </w:rPr>
            </w:pPr>
            <w:r>
              <w:rPr>
                <w:rFonts w:hint="eastAsia"/>
                <w:bCs/>
                <w:sz w:val="24"/>
                <w:szCs w:val="21"/>
                <w:highlight w:val="green"/>
              </w:rPr>
              <w:t>根据现有环评报告，铺装、砂光及锯切等无组织粉尘排放量为1.64t/a。</w:t>
            </w:r>
          </w:p>
          <w:p>
            <w:pPr>
              <w:adjustRightInd w:val="0"/>
              <w:spacing w:line="360" w:lineRule="auto"/>
              <w:ind w:firstLine="480" w:firstLineChars="200"/>
              <w:rPr>
                <w:bCs/>
                <w:sz w:val="24"/>
                <w:szCs w:val="21"/>
                <w:highlight w:val="green"/>
              </w:rPr>
            </w:pPr>
            <w:r>
              <w:rPr>
                <w:rFonts w:hint="eastAsia"/>
                <w:bCs/>
                <w:sz w:val="24"/>
                <w:szCs w:val="21"/>
                <w:highlight w:val="green"/>
              </w:rPr>
              <w:t>④热压凉板废气无组织排放量</w:t>
            </w:r>
          </w:p>
          <w:p>
            <w:pPr>
              <w:adjustRightInd w:val="0"/>
              <w:spacing w:line="360" w:lineRule="auto"/>
              <w:ind w:firstLine="480" w:firstLineChars="200"/>
              <w:rPr>
                <w:bCs/>
                <w:sz w:val="24"/>
                <w:szCs w:val="28"/>
                <w:highlight w:val="green"/>
              </w:rPr>
            </w:pPr>
            <w:r>
              <w:rPr>
                <w:rFonts w:hint="eastAsia"/>
                <w:bCs/>
                <w:sz w:val="24"/>
                <w:szCs w:val="28"/>
                <w:highlight w:val="green"/>
              </w:rPr>
              <w:t>根据自行检测报告核算，热压凉板无组织废气中颗粒物的排放量为0.0784t/a、甲醛排放量为0.07t/a、非甲烷总烃排放量为0.1588t/a。</w:t>
            </w:r>
          </w:p>
          <w:p>
            <w:pPr>
              <w:adjustRightInd w:val="0"/>
              <w:spacing w:line="360" w:lineRule="auto"/>
              <w:ind w:firstLine="480" w:firstLineChars="200"/>
              <w:rPr>
                <w:bCs/>
                <w:sz w:val="24"/>
                <w:szCs w:val="21"/>
                <w:highlight w:val="green"/>
              </w:rPr>
            </w:pPr>
            <w:r>
              <w:rPr>
                <w:rFonts w:hint="eastAsia"/>
                <w:bCs/>
                <w:sz w:val="24"/>
                <w:szCs w:val="28"/>
                <w:highlight w:val="green"/>
              </w:rPr>
              <w:t>⑤筛选打磨无组织粉尘排放量。</w:t>
            </w:r>
          </w:p>
          <w:p>
            <w:pPr>
              <w:pStyle w:val="11"/>
              <w:adjustRightInd w:val="0"/>
              <w:snapToGrid/>
              <w:spacing w:before="0" w:after="0" w:line="360" w:lineRule="auto"/>
              <w:ind w:right="0" w:firstLine="480" w:firstLineChars="200"/>
              <w:rPr>
                <w:kern w:val="2"/>
                <w:sz w:val="24"/>
                <w:szCs w:val="24"/>
                <w:highlight w:val="green"/>
              </w:rPr>
            </w:pPr>
            <w:r>
              <w:rPr>
                <w:kern w:val="2"/>
                <w:sz w:val="24"/>
                <w:szCs w:val="24"/>
                <w:highlight w:val="green"/>
              </w:rPr>
              <w:t>根据工艺流程，刨花振动筛选过程会产生一定量粉尘，粉尘产生量按产品量的0.1‰计算，</w:t>
            </w:r>
            <w:r>
              <w:rPr>
                <w:rFonts w:hint="eastAsia"/>
                <w:kern w:val="2"/>
                <w:sz w:val="24"/>
                <w:szCs w:val="24"/>
                <w:highlight w:val="green"/>
              </w:rPr>
              <w:t>产品量为3万t（刨花板产生量50000m</w:t>
            </w:r>
            <w:r>
              <w:rPr>
                <w:rFonts w:hint="eastAsia"/>
                <w:kern w:val="2"/>
                <w:sz w:val="24"/>
                <w:szCs w:val="24"/>
                <w:highlight w:val="green"/>
                <w:vertAlign w:val="superscript"/>
              </w:rPr>
              <w:t>3</w:t>
            </w:r>
            <w:r>
              <w:rPr>
                <w:rFonts w:hint="eastAsia"/>
                <w:kern w:val="2"/>
                <w:sz w:val="24"/>
                <w:szCs w:val="24"/>
                <w:highlight w:val="green"/>
              </w:rPr>
              <w:t>/a，密度约为600kg/m</w:t>
            </w:r>
            <w:r>
              <w:rPr>
                <w:rFonts w:hint="eastAsia"/>
                <w:kern w:val="2"/>
                <w:sz w:val="24"/>
                <w:szCs w:val="24"/>
                <w:highlight w:val="green"/>
                <w:vertAlign w:val="superscript"/>
              </w:rPr>
              <w:t>3</w:t>
            </w:r>
            <w:r>
              <w:rPr>
                <w:rFonts w:hint="eastAsia"/>
                <w:kern w:val="2"/>
                <w:sz w:val="24"/>
                <w:szCs w:val="24"/>
                <w:highlight w:val="green"/>
              </w:rPr>
              <w:t>），则振动筛选粉尘产生量为3t/a，</w:t>
            </w:r>
            <w:r>
              <w:rPr>
                <w:rFonts w:hint="eastAsia"/>
                <w:sz w:val="24"/>
                <w:highlight w:val="green"/>
              </w:rPr>
              <w:t>经“旋风除尘器”处理（除尘效率取80%）后粉尘排放量为0.6t/a，排放速率为0.083kg/h，呈无组织形式排放，除尘灰经收集后用于导热油锅炉作为燃料燃烧。</w:t>
            </w:r>
          </w:p>
          <w:p>
            <w:pPr>
              <w:pStyle w:val="11"/>
              <w:adjustRightInd w:val="0"/>
              <w:snapToGrid/>
              <w:spacing w:before="0" w:after="0" w:line="360" w:lineRule="auto"/>
              <w:ind w:right="0" w:firstLine="480" w:firstLineChars="200"/>
              <w:rPr>
                <w:sz w:val="24"/>
                <w:highlight w:val="green"/>
              </w:rPr>
            </w:pPr>
            <w:r>
              <w:rPr>
                <w:rFonts w:hint="eastAsia"/>
                <w:kern w:val="2"/>
                <w:sz w:val="24"/>
                <w:szCs w:val="24"/>
                <w:highlight w:val="green"/>
              </w:rPr>
              <w:t>打磨粉尘参考《排放源统计调查产排污核算方法和系数手册》中“211木制家具制造行业系数表”中，以“实木、人造板”等为原料生产“实木家具、人造板家具”时表面光滑处理工艺（磨光工段）颗粒物的产污系数23.5克/立方米-产品。根据建设单位提供资料，项目刨花板产生量50000m</w:t>
            </w:r>
            <w:r>
              <w:rPr>
                <w:rFonts w:hint="eastAsia"/>
                <w:kern w:val="2"/>
                <w:sz w:val="24"/>
                <w:szCs w:val="24"/>
                <w:highlight w:val="green"/>
                <w:vertAlign w:val="superscript"/>
              </w:rPr>
              <w:t>3</w:t>
            </w:r>
            <w:r>
              <w:rPr>
                <w:rFonts w:hint="eastAsia"/>
                <w:kern w:val="2"/>
                <w:sz w:val="24"/>
                <w:szCs w:val="24"/>
                <w:highlight w:val="green"/>
              </w:rPr>
              <w:t>/a，则打磨粉尘产生量为1.175t/a。</w:t>
            </w:r>
            <w:r>
              <w:rPr>
                <w:rFonts w:hint="eastAsia"/>
                <w:sz w:val="24"/>
                <w:highlight w:val="green"/>
              </w:rPr>
              <w:t>经“旋风除尘器（除尘效率80%）”后粉尘排放量为0.235t/a，排放速率为0.033kg/h，呈无组织形式排放，除尘灰经收集后用于导热油锅炉作为燃料燃烧。</w:t>
            </w:r>
          </w:p>
          <w:p>
            <w:pPr>
              <w:pStyle w:val="11"/>
              <w:adjustRightInd w:val="0"/>
              <w:snapToGrid/>
              <w:spacing w:before="0" w:after="0" w:line="360" w:lineRule="auto"/>
              <w:ind w:right="0" w:firstLine="480" w:firstLineChars="200"/>
              <w:rPr>
                <w:sz w:val="24"/>
                <w:highlight w:val="green"/>
              </w:rPr>
            </w:pPr>
            <w:r>
              <w:rPr>
                <w:rFonts w:hint="eastAsia"/>
                <w:sz w:val="24"/>
                <w:highlight w:val="green"/>
              </w:rPr>
              <w:t>现有项目无组织废气排放情况见下表。</w:t>
            </w:r>
          </w:p>
          <w:p>
            <w:pPr>
              <w:adjustRightInd w:val="0"/>
              <w:spacing w:line="360" w:lineRule="auto"/>
              <w:jc w:val="center"/>
              <w:rPr>
                <w:b/>
                <w:sz w:val="24"/>
                <w:szCs w:val="21"/>
                <w:highlight w:val="green"/>
              </w:rPr>
            </w:pPr>
            <w:r>
              <w:rPr>
                <w:rFonts w:hint="eastAsia"/>
                <w:b/>
                <w:sz w:val="24"/>
                <w:szCs w:val="21"/>
                <w:highlight w:val="green"/>
              </w:rPr>
              <w:t>表2-20  现有项目无组织废气排放情况一览表</w:t>
            </w:r>
          </w:p>
          <w:tbl>
            <w:tblPr>
              <w:tblStyle w:val="32"/>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31"/>
              <w:gridCol w:w="2751"/>
              <w:gridCol w:w="1695"/>
              <w:gridCol w:w="2253"/>
            </w:tblGrid>
            <w:tr>
              <w:tblPrEx>
                <w:tblCellMar>
                  <w:top w:w="0" w:type="dxa"/>
                  <w:left w:w="108" w:type="dxa"/>
                  <w:bottom w:w="0" w:type="dxa"/>
                  <w:right w:w="108" w:type="dxa"/>
                </w:tblCellMar>
              </w:tblPrEx>
              <w:trPr>
                <w:cantSplit/>
                <w:trHeight w:val="196" w:hRule="atLeast"/>
                <w:jc w:val="center"/>
              </w:trPr>
              <w:tc>
                <w:tcPr>
                  <w:tcW w:w="979" w:type="pct"/>
                  <w:vAlign w:val="center"/>
                </w:tcPr>
                <w:p>
                  <w:pPr>
                    <w:widowControl/>
                    <w:jc w:val="center"/>
                    <w:textAlignment w:val="center"/>
                    <w:rPr>
                      <w:b/>
                      <w:bCs/>
                      <w:kern w:val="0"/>
                      <w:szCs w:val="21"/>
                      <w:highlight w:val="green"/>
                    </w:rPr>
                  </w:pPr>
                  <w:r>
                    <w:rPr>
                      <w:rFonts w:hAnsi="宋体"/>
                      <w:b/>
                      <w:bCs/>
                      <w:kern w:val="0"/>
                      <w:szCs w:val="21"/>
                      <w:highlight w:val="green"/>
                    </w:rPr>
                    <w:t>物料名称</w:t>
                  </w:r>
                </w:p>
              </w:tc>
              <w:tc>
                <w:tcPr>
                  <w:tcW w:w="1650" w:type="pct"/>
                  <w:vAlign w:val="center"/>
                </w:tcPr>
                <w:p>
                  <w:pPr>
                    <w:widowControl/>
                    <w:jc w:val="center"/>
                    <w:textAlignment w:val="center"/>
                    <w:rPr>
                      <w:b/>
                      <w:bCs/>
                      <w:kern w:val="0"/>
                      <w:szCs w:val="21"/>
                      <w:highlight w:val="green"/>
                    </w:rPr>
                  </w:pPr>
                  <w:r>
                    <w:rPr>
                      <w:rFonts w:hAnsi="宋体"/>
                      <w:b/>
                      <w:bCs/>
                      <w:kern w:val="0"/>
                      <w:szCs w:val="21"/>
                      <w:highlight w:val="green"/>
                    </w:rPr>
                    <w:t>产生粉尘的作业点</w:t>
                  </w:r>
                </w:p>
              </w:tc>
              <w:tc>
                <w:tcPr>
                  <w:tcW w:w="1017" w:type="pct"/>
                  <w:tcBorders>
                    <w:left w:val="single" w:color="auto" w:sz="4" w:space="0"/>
                  </w:tcBorders>
                  <w:vAlign w:val="center"/>
                </w:tcPr>
                <w:p>
                  <w:pPr>
                    <w:widowControl/>
                    <w:jc w:val="center"/>
                    <w:textAlignment w:val="center"/>
                    <w:rPr>
                      <w:rFonts w:hAnsi="宋体"/>
                      <w:b/>
                      <w:bCs/>
                      <w:kern w:val="0"/>
                      <w:szCs w:val="21"/>
                      <w:highlight w:val="green"/>
                    </w:rPr>
                  </w:pPr>
                  <w:r>
                    <w:rPr>
                      <w:rFonts w:hint="eastAsia" w:hAnsi="宋体"/>
                      <w:b/>
                      <w:bCs/>
                      <w:kern w:val="0"/>
                      <w:szCs w:val="21"/>
                      <w:highlight w:val="green"/>
                    </w:rPr>
                    <w:t>污染物</w:t>
                  </w:r>
                </w:p>
              </w:tc>
              <w:tc>
                <w:tcPr>
                  <w:tcW w:w="1352" w:type="pct"/>
                  <w:tcBorders>
                    <w:left w:val="single" w:color="auto" w:sz="4" w:space="0"/>
                  </w:tcBorders>
                  <w:vAlign w:val="center"/>
                </w:tcPr>
                <w:p>
                  <w:pPr>
                    <w:widowControl/>
                    <w:jc w:val="center"/>
                    <w:textAlignment w:val="center"/>
                    <w:rPr>
                      <w:b/>
                      <w:bCs/>
                      <w:kern w:val="0"/>
                      <w:szCs w:val="21"/>
                      <w:highlight w:val="green"/>
                    </w:rPr>
                  </w:pPr>
                  <w:r>
                    <w:rPr>
                      <w:rFonts w:hAnsi="宋体"/>
                      <w:b/>
                      <w:bCs/>
                      <w:kern w:val="0"/>
                      <w:szCs w:val="21"/>
                      <w:highlight w:val="green"/>
                    </w:rPr>
                    <w:t>无组织排放量（</w:t>
                  </w:r>
                  <w:r>
                    <w:rPr>
                      <w:b/>
                      <w:bCs/>
                      <w:kern w:val="0"/>
                      <w:szCs w:val="21"/>
                      <w:highlight w:val="green"/>
                    </w:rPr>
                    <w:t>t/a</w:t>
                  </w:r>
                  <w:r>
                    <w:rPr>
                      <w:rFonts w:hAnsi="宋体"/>
                      <w:b/>
                      <w:bCs/>
                      <w:kern w:val="0"/>
                      <w:szCs w:val="21"/>
                      <w:highlight w:val="gree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75" w:hRule="atLeast"/>
                <w:jc w:val="center"/>
              </w:trPr>
              <w:tc>
                <w:tcPr>
                  <w:tcW w:w="979" w:type="pct"/>
                  <w:vAlign w:val="center"/>
                </w:tcPr>
                <w:p>
                  <w:pPr>
                    <w:widowControl/>
                    <w:jc w:val="center"/>
                    <w:textAlignment w:val="center"/>
                    <w:rPr>
                      <w:kern w:val="0"/>
                      <w:szCs w:val="21"/>
                      <w:highlight w:val="green"/>
                    </w:rPr>
                  </w:pPr>
                  <w:r>
                    <w:rPr>
                      <w:rFonts w:hAnsi="宋体"/>
                      <w:kern w:val="0"/>
                      <w:szCs w:val="21"/>
                      <w:highlight w:val="green"/>
                    </w:rPr>
                    <w:t>原料</w:t>
                  </w:r>
                </w:p>
              </w:tc>
              <w:tc>
                <w:tcPr>
                  <w:tcW w:w="1650" w:type="pct"/>
                  <w:vAlign w:val="center"/>
                </w:tcPr>
                <w:p>
                  <w:pPr>
                    <w:widowControl/>
                    <w:jc w:val="center"/>
                    <w:textAlignment w:val="center"/>
                    <w:rPr>
                      <w:kern w:val="0"/>
                      <w:szCs w:val="21"/>
                      <w:highlight w:val="green"/>
                    </w:rPr>
                  </w:pPr>
                  <w:r>
                    <w:rPr>
                      <w:rFonts w:hAnsi="宋体"/>
                      <w:kern w:val="0"/>
                      <w:szCs w:val="21"/>
                      <w:highlight w:val="green"/>
                    </w:rPr>
                    <w:t>卸料、运输、储存</w:t>
                  </w:r>
                </w:p>
              </w:tc>
              <w:tc>
                <w:tcPr>
                  <w:tcW w:w="1017" w:type="pct"/>
                  <w:tcBorders>
                    <w:left w:val="single" w:color="auto" w:sz="4" w:space="0"/>
                  </w:tcBorders>
                  <w:vAlign w:val="center"/>
                </w:tcPr>
                <w:p>
                  <w:pPr>
                    <w:widowControl/>
                    <w:jc w:val="center"/>
                    <w:textAlignment w:val="center"/>
                    <w:rPr>
                      <w:rFonts w:hAnsi="宋体"/>
                      <w:kern w:val="0"/>
                      <w:szCs w:val="21"/>
                      <w:highlight w:val="green"/>
                    </w:rPr>
                  </w:pPr>
                  <w:r>
                    <w:rPr>
                      <w:rFonts w:hint="eastAsia" w:hAnsi="宋体"/>
                      <w:kern w:val="0"/>
                      <w:szCs w:val="21"/>
                      <w:highlight w:val="green"/>
                    </w:rPr>
                    <w:t>颗粒物</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2" w:hRule="atLeast"/>
                <w:jc w:val="center"/>
              </w:trPr>
              <w:tc>
                <w:tcPr>
                  <w:tcW w:w="979" w:type="pct"/>
                  <w:vAlign w:val="center"/>
                </w:tcPr>
                <w:p>
                  <w:pPr>
                    <w:widowControl/>
                    <w:jc w:val="center"/>
                    <w:textAlignment w:val="center"/>
                    <w:rPr>
                      <w:kern w:val="0"/>
                      <w:szCs w:val="21"/>
                      <w:highlight w:val="green"/>
                    </w:rPr>
                  </w:pPr>
                  <w:r>
                    <w:rPr>
                      <w:rFonts w:hAnsi="宋体"/>
                      <w:kern w:val="0"/>
                      <w:szCs w:val="21"/>
                      <w:highlight w:val="green"/>
                    </w:rPr>
                    <w:t>成品</w:t>
                  </w:r>
                </w:p>
              </w:tc>
              <w:tc>
                <w:tcPr>
                  <w:tcW w:w="1650" w:type="pct"/>
                  <w:vAlign w:val="center"/>
                </w:tcPr>
                <w:p>
                  <w:pPr>
                    <w:widowControl/>
                    <w:jc w:val="center"/>
                    <w:textAlignment w:val="center"/>
                    <w:rPr>
                      <w:kern w:val="0"/>
                      <w:szCs w:val="21"/>
                      <w:highlight w:val="green"/>
                    </w:rPr>
                  </w:pPr>
                  <w:r>
                    <w:rPr>
                      <w:rFonts w:hAnsi="宋体"/>
                      <w:kern w:val="0"/>
                      <w:szCs w:val="21"/>
                      <w:highlight w:val="green"/>
                    </w:rPr>
                    <w:t>卸料、运输、储存</w:t>
                  </w:r>
                </w:p>
              </w:tc>
              <w:tc>
                <w:tcPr>
                  <w:tcW w:w="1017" w:type="pct"/>
                  <w:tcBorders>
                    <w:left w:val="single" w:color="auto" w:sz="4" w:space="0"/>
                  </w:tcBorders>
                  <w:vAlign w:val="center"/>
                </w:tcPr>
                <w:p>
                  <w:pPr>
                    <w:widowControl/>
                    <w:jc w:val="center"/>
                    <w:textAlignment w:val="center"/>
                    <w:rPr>
                      <w:rFonts w:hAnsi="宋体"/>
                      <w:kern w:val="0"/>
                      <w:szCs w:val="21"/>
                      <w:highlight w:val="green"/>
                    </w:rPr>
                  </w:pPr>
                  <w:r>
                    <w:rPr>
                      <w:rFonts w:hint="eastAsia" w:hAnsi="宋体"/>
                      <w:kern w:val="0"/>
                      <w:szCs w:val="21"/>
                      <w:highlight w:val="green"/>
                    </w:rPr>
                    <w:t>颗粒物</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76" w:hRule="atLeast"/>
                <w:jc w:val="center"/>
              </w:trPr>
              <w:tc>
                <w:tcPr>
                  <w:tcW w:w="979" w:type="pct"/>
                  <w:vMerge w:val="restart"/>
                  <w:vAlign w:val="center"/>
                </w:tcPr>
                <w:p>
                  <w:pPr>
                    <w:widowControl/>
                    <w:jc w:val="center"/>
                    <w:textAlignment w:val="center"/>
                    <w:rPr>
                      <w:kern w:val="0"/>
                      <w:szCs w:val="21"/>
                      <w:highlight w:val="green"/>
                    </w:rPr>
                  </w:pPr>
                  <w:r>
                    <w:rPr>
                      <w:rFonts w:hAnsi="宋体"/>
                      <w:kern w:val="0"/>
                      <w:szCs w:val="21"/>
                      <w:highlight w:val="green"/>
                    </w:rPr>
                    <w:t>生产车间</w:t>
                  </w:r>
                </w:p>
              </w:tc>
              <w:tc>
                <w:tcPr>
                  <w:tcW w:w="1650" w:type="pct"/>
                  <w:vAlign w:val="center"/>
                </w:tcPr>
                <w:p>
                  <w:pPr>
                    <w:widowControl/>
                    <w:jc w:val="center"/>
                    <w:textAlignment w:val="center"/>
                    <w:rPr>
                      <w:bCs/>
                      <w:kern w:val="0"/>
                      <w:szCs w:val="21"/>
                      <w:highlight w:val="green"/>
                    </w:rPr>
                  </w:pPr>
                  <w:r>
                    <w:rPr>
                      <w:rFonts w:hAnsi="宋体"/>
                      <w:bCs/>
                      <w:kern w:val="0"/>
                      <w:szCs w:val="21"/>
                      <w:highlight w:val="green"/>
                    </w:rPr>
                    <w:t>铺装、砂光、锯切等</w:t>
                  </w:r>
                </w:p>
              </w:tc>
              <w:tc>
                <w:tcPr>
                  <w:tcW w:w="1017"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颗粒物</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1.64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8" w:hRule="atLeast"/>
                <w:jc w:val="center"/>
              </w:trPr>
              <w:tc>
                <w:tcPr>
                  <w:tcW w:w="979" w:type="pct"/>
                  <w:vMerge w:val="continue"/>
                  <w:vAlign w:val="center"/>
                </w:tcPr>
                <w:p>
                  <w:pPr>
                    <w:widowControl/>
                    <w:jc w:val="center"/>
                    <w:textAlignment w:val="center"/>
                    <w:rPr>
                      <w:rFonts w:hAnsi="宋体"/>
                      <w:kern w:val="0"/>
                      <w:szCs w:val="21"/>
                      <w:highlight w:val="green"/>
                    </w:rPr>
                  </w:pPr>
                </w:p>
              </w:tc>
              <w:tc>
                <w:tcPr>
                  <w:tcW w:w="1650" w:type="pct"/>
                  <w:vAlign w:val="center"/>
                </w:tcPr>
                <w:p>
                  <w:pPr>
                    <w:widowControl/>
                    <w:jc w:val="center"/>
                    <w:textAlignment w:val="center"/>
                    <w:rPr>
                      <w:rFonts w:hAnsi="宋体"/>
                      <w:bCs/>
                      <w:kern w:val="0"/>
                      <w:szCs w:val="21"/>
                      <w:highlight w:val="green"/>
                    </w:rPr>
                  </w:pPr>
                  <w:r>
                    <w:rPr>
                      <w:rFonts w:hint="eastAsia" w:hAnsi="宋体"/>
                      <w:bCs/>
                      <w:kern w:val="0"/>
                      <w:szCs w:val="21"/>
                      <w:highlight w:val="green"/>
                    </w:rPr>
                    <w:t>筛选、打磨</w:t>
                  </w:r>
                </w:p>
              </w:tc>
              <w:tc>
                <w:tcPr>
                  <w:tcW w:w="1017"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颗粒物</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0.835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8" w:hRule="atLeast"/>
                <w:jc w:val="center"/>
              </w:trPr>
              <w:tc>
                <w:tcPr>
                  <w:tcW w:w="979" w:type="pct"/>
                  <w:vMerge w:val="continue"/>
                  <w:vAlign w:val="center"/>
                </w:tcPr>
                <w:p>
                  <w:pPr>
                    <w:widowControl/>
                    <w:jc w:val="center"/>
                    <w:textAlignment w:val="center"/>
                    <w:rPr>
                      <w:rFonts w:hAnsi="宋体"/>
                      <w:kern w:val="0"/>
                      <w:szCs w:val="21"/>
                      <w:highlight w:val="green"/>
                    </w:rPr>
                  </w:pPr>
                </w:p>
              </w:tc>
              <w:tc>
                <w:tcPr>
                  <w:tcW w:w="1650" w:type="pct"/>
                  <w:vMerge w:val="restart"/>
                  <w:vAlign w:val="center"/>
                </w:tcPr>
                <w:p>
                  <w:pPr>
                    <w:widowControl/>
                    <w:jc w:val="center"/>
                    <w:textAlignment w:val="center"/>
                    <w:rPr>
                      <w:rFonts w:hAnsi="宋体"/>
                      <w:bCs/>
                      <w:kern w:val="0"/>
                      <w:szCs w:val="21"/>
                      <w:highlight w:val="green"/>
                    </w:rPr>
                  </w:pPr>
                  <w:r>
                    <w:rPr>
                      <w:rFonts w:hint="eastAsia" w:hAnsi="宋体"/>
                      <w:bCs/>
                      <w:kern w:val="0"/>
                      <w:szCs w:val="21"/>
                      <w:highlight w:val="green"/>
                    </w:rPr>
                    <w:t>热压凉板</w:t>
                  </w:r>
                </w:p>
              </w:tc>
              <w:tc>
                <w:tcPr>
                  <w:tcW w:w="1017"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甲醛</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8" w:hRule="atLeast"/>
                <w:jc w:val="center"/>
              </w:trPr>
              <w:tc>
                <w:tcPr>
                  <w:tcW w:w="979" w:type="pct"/>
                  <w:vMerge w:val="continue"/>
                  <w:vAlign w:val="center"/>
                </w:tcPr>
                <w:p>
                  <w:pPr>
                    <w:widowControl/>
                    <w:jc w:val="center"/>
                    <w:textAlignment w:val="center"/>
                    <w:rPr>
                      <w:rFonts w:hAnsi="宋体"/>
                      <w:kern w:val="0"/>
                      <w:szCs w:val="21"/>
                      <w:highlight w:val="green"/>
                    </w:rPr>
                  </w:pPr>
                </w:p>
              </w:tc>
              <w:tc>
                <w:tcPr>
                  <w:tcW w:w="1650" w:type="pct"/>
                  <w:vMerge w:val="continue"/>
                  <w:vAlign w:val="center"/>
                </w:tcPr>
                <w:p>
                  <w:pPr>
                    <w:widowControl/>
                    <w:jc w:val="center"/>
                    <w:textAlignment w:val="center"/>
                    <w:rPr>
                      <w:rFonts w:hAnsi="宋体"/>
                      <w:bCs/>
                      <w:kern w:val="0"/>
                      <w:szCs w:val="21"/>
                      <w:highlight w:val="green"/>
                    </w:rPr>
                  </w:pPr>
                </w:p>
              </w:tc>
              <w:tc>
                <w:tcPr>
                  <w:tcW w:w="1017"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非甲烷总烃</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0.1588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8" w:hRule="atLeast"/>
                <w:jc w:val="center"/>
              </w:trPr>
              <w:tc>
                <w:tcPr>
                  <w:tcW w:w="979" w:type="pct"/>
                  <w:vMerge w:val="continue"/>
                  <w:vAlign w:val="center"/>
                </w:tcPr>
                <w:p>
                  <w:pPr>
                    <w:widowControl/>
                    <w:jc w:val="center"/>
                    <w:textAlignment w:val="center"/>
                    <w:rPr>
                      <w:rFonts w:hAnsi="宋体"/>
                      <w:kern w:val="0"/>
                      <w:szCs w:val="21"/>
                      <w:highlight w:val="green"/>
                    </w:rPr>
                  </w:pPr>
                </w:p>
              </w:tc>
              <w:tc>
                <w:tcPr>
                  <w:tcW w:w="1650" w:type="pct"/>
                  <w:vMerge w:val="continue"/>
                  <w:vAlign w:val="center"/>
                </w:tcPr>
                <w:p>
                  <w:pPr>
                    <w:widowControl/>
                    <w:jc w:val="center"/>
                    <w:textAlignment w:val="center"/>
                    <w:rPr>
                      <w:rFonts w:hAnsi="宋体"/>
                      <w:bCs/>
                      <w:kern w:val="0"/>
                      <w:szCs w:val="21"/>
                      <w:highlight w:val="green"/>
                    </w:rPr>
                  </w:pPr>
                </w:p>
              </w:tc>
              <w:tc>
                <w:tcPr>
                  <w:tcW w:w="1017"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颗粒物</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0.0784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77" w:hRule="atLeast"/>
                <w:jc w:val="center"/>
              </w:trPr>
              <w:tc>
                <w:tcPr>
                  <w:tcW w:w="2630" w:type="pct"/>
                  <w:gridSpan w:val="2"/>
                  <w:vMerge w:val="restart"/>
                  <w:vAlign w:val="center"/>
                </w:tcPr>
                <w:p>
                  <w:pPr>
                    <w:widowControl/>
                    <w:jc w:val="center"/>
                    <w:textAlignment w:val="center"/>
                    <w:rPr>
                      <w:kern w:val="0"/>
                      <w:szCs w:val="21"/>
                      <w:highlight w:val="green"/>
                    </w:rPr>
                  </w:pPr>
                  <w:r>
                    <w:rPr>
                      <w:rFonts w:hAnsi="宋体"/>
                      <w:kern w:val="0"/>
                      <w:szCs w:val="21"/>
                      <w:highlight w:val="green"/>
                    </w:rPr>
                    <w:t>合计</w:t>
                  </w:r>
                </w:p>
              </w:tc>
              <w:tc>
                <w:tcPr>
                  <w:tcW w:w="1017" w:type="pct"/>
                  <w:tcBorders>
                    <w:left w:val="single" w:color="auto" w:sz="4" w:space="0"/>
                  </w:tcBorders>
                  <w:vAlign w:val="center"/>
                </w:tcPr>
                <w:p>
                  <w:pPr>
                    <w:widowControl/>
                    <w:jc w:val="center"/>
                    <w:textAlignment w:val="center"/>
                    <w:rPr>
                      <w:rFonts w:hAnsi="宋体"/>
                      <w:kern w:val="0"/>
                      <w:szCs w:val="21"/>
                      <w:highlight w:val="green"/>
                    </w:rPr>
                  </w:pPr>
                  <w:r>
                    <w:rPr>
                      <w:rFonts w:hint="eastAsia" w:hAnsi="宋体"/>
                      <w:kern w:val="0"/>
                      <w:szCs w:val="21"/>
                      <w:highlight w:val="green"/>
                    </w:rPr>
                    <w:t>颗粒物</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3.1034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630" w:type="pct"/>
                  <w:gridSpan w:val="2"/>
                  <w:vMerge w:val="continue"/>
                  <w:vAlign w:val="center"/>
                </w:tcPr>
                <w:p>
                  <w:pPr>
                    <w:widowControl/>
                    <w:jc w:val="center"/>
                    <w:textAlignment w:val="center"/>
                    <w:rPr>
                      <w:rFonts w:hAnsi="宋体"/>
                      <w:kern w:val="0"/>
                      <w:szCs w:val="21"/>
                      <w:highlight w:val="green"/>
                    </w:rPr>
                  </w:pPr>
                </w:p>
              </w:tc>
              <w:tc>
                <w:tcPr>
                  <w:tcW w:w="1017" w:type="pct"/>
                  <w:tcBorders>
                    <w:left w:val="single" w:color="auto" w:sz="4" w:space="0"/>
                  </w:tcBorders>
                  <w:vAlign w:val="center"/>
                </w:tcPr>
                <w:p>
                  <w:pPr>
                    <w:widowControl/>
                    <w:jc w:val="center"/>
                    <w:textAlignment w:val="center"/>
                    <w:rPr>
                      <w:rFonts w:hAnsi="宋体"/>
                      <w:kern w:val="0"/>
                      <w:szCs w:val="21"/>
                      <w:highlight w:val="green"/>
                    </w:rPr>
                  </w:pPr>
                  <w:r>
                    <w:rPr>
                      <w:rFonts w:hint="eastAsia" w:hAnsi="宋体"/>
                      <w:kern w:val="0"/>
                      <w:szCs w:val="21"/>
                      <w:highlight w:val="green"/>
                    </w:rPr>
                    <w:t>甲醛</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0" w:hRule="atLeast"/>
                <w:jc w:val="center"/>
              </w:trPr>
              <w:tc>
                <w:tcPr>
                  <w:tcW w:w="2630" w:type="pct"/>
                  <w:gridSpan w:val="2"/>
                  <w:vMerge w:val="continue"/>
                  <w:vAlign w:val="center"/>
                </w:tcPr>
                <w:p>
                  <w:pPr>
                    <w:widowControl/>
                    <w:jc w:val="center"/>
                    <w:textAlignment w:val="center"/>
                    <w:rPr>
                      <w:rFonts w:hAnsi="宋体"/>
                      <w:kern w:val="0"/>
                      <w:szCs w:val="21"/>
                      <w:highlight w:val="green"/>
                    </w:rPr>
                  </w:pPr>
                </w:p>
              </w:tc>
              <w:tc>
                <w:tcPr>
                  <w:tcW w:w="1017" w:type="pct"/>
                  <w:tcBorders>
                    <w:left w:val="single" w:color="auto" w:sz="4" w:space="0"/>
                  </w:tcBorders>
                  <w:vAlign w:val="center"/>
                </w:tcPr>
                <w:p>
                  <w:pPr>
                    <w:widowControl/>
                    <w:jc w:val="center"/>
                    <w:textAlignment w:val="center"/>
                    <w:rPr>
                      <w:rFonts w:hAnsi="宋体"/>
                      <w:kern w:val="0"/>
                      <w:szCs w:val="21"/>
                      <w:highlight w:val="green"/>
                    </w:rPr>
                  </w:pPr>
                  <w:r>
                    <w:rPr>
                      <w:rFonts w:hint="eastAsia" w:hAnsi="宋体"/>
                      <w:kern w:val="0"/>
                      <w:szCs w:val="21"/>
                      <w:highlight w:val="green"/>
                    </w:rPr>
                    <w:t>非甲烷总烃</w:t>
                  </w:r>
                </w:p>
              </w:tc>
              <w:tc>
                <w:tcPr>
                  <w:tcW w:w="1352"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0.1588</w:t>
                  </w:r>
                </w:p>
              </w:tc>
            </w:tr>
          </w:tbl>
          <w:p>
            <w:pPr>
              <w:spacing w:before="120" w:beforeLines="50" w:line="360" w:lineRule="auto"/>
              <w:ind w:firstLine="480" w:firstLineChars="200"/>
              <w:rPr>
                <w:sz w:val="24"/>
                <w:szCs w:val="22"/>
              </w:rPr>
            </w:pPr>
            <w:r>
              <w:rPr>
                <w:rFonts w:hint="eastAsia" w:hAnsi="宋体"/>
                <w:sz w:val="24"/>
                <w:szCs w:val="22"/>
              </w:rPr>
              <w:t>2021年3月19日</w:t>
            </w:r>
            <w:r>
              <w:rPr>
                <w:rFonts w:hint="eastAsia"/>
                <w:sz w:val="24"/>
              </w:rPr>
              <w:t>云南健牛生物科技有限公司</w:t>
            </w:r>
            <w:r>
              <w:rPr>
                <w:rFonts w:hint="eastAsia" w:ascii="宋体" w:hAnsi="宋体" w:cs="宋体"/>
                <w:kern w:val="0"/>
                <w:sz w:val="24"/>
                <w:lang w:bidi="ar"/>
              </w:rPr>
              <w:t>对现有项目</w:t>
            </w:r>
            <w:r>
              <w:rPr>
                <w:rFonts w:hAnsi="宋体"/>
                <w:sz w:val="24"/>
                <w:szCs w:val="22"/>
              </w:rPr>
              <w:t>厂区无组织排放</w:t>
            </w:r>
            <w:r>
              <w:rPr>
                <w:rFonts w:hint="eastAsia" w:hAnsi="宋体"/>
                <w:sz w:val="24"/>
                <w:szCs w:val="22"/>
              </w:rPr>
              <w:t>情况进行监测，监测期间厂区正常生产</w:t>
            </w:r>
            <w:r>
              <w:rPr>
                <w:rFonts w:hint="eastAsia" w:ascii="宋体" w:hAnsi="宋体" w:cs="宋体"/>
                <w:kern w:val="0"/>
                <w:sz w:val="24"/>
                <w:lang w:bidi="ar"/>
              </w:rPr>
              <w:t>，监测情况</w:t>
            </w:r>
            <w:r>
              <w:rPr>
                <w:rFonts w:hAnsi="宋体"/>
                <w:sz w:val="24"/>
                <w:szCs w:val="22"/>
              </w:rPr>
              <w:t>详见表</w:t>
            </w:r>
            <w:r>
              <w:rPr>
                <w:rFonts w:hint="eastAsia"/>
                <w:sz w:val="24"/>
                <w:szCs w:val="22"/>
              </w:rPr>
              <w:t>2-21</w:t>
            </w:r>
            <w:r>
              <w:rPr>
                <w:rFonts w:hAnsi="宋体"/>
                <w:sz w:val="24"/>
                <w:szCs w:val="22"/>
              </w:rPr>
              <w:t>。</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2-21</w:t>
            </w:r>
            <w:r>
              <w:rPr>
                <w:rFonts w:cs="宋体"/>
                <w:b/>
                <w:bCs/>
                <w:kern w:val="0"/>
                <w:sz w:val="24"/>
                <w:szCs w:val="20"/>
                <w:lang w:bidi="ar"/>
              </w:rPr>
              <w:t xml:space="preserve">  厂区无组织</w:t>
            </w:r>
            <w:r>
              <w:rPr>
                <w:rFonts w:hint="eastAsia" w:cs="宋体"/>
                <w:b/>
                <w:bCs/>
                <w:kern w:val="0"/>
                <w:sz w:val="24"/>
                <w:szCs w:val="20"/>
                <w:lang w:bidi="ar"/>
              </w:rPr>
              <w:t>废气</w:t>
            </w:r>
            <w:r>
              <w:rPr>
                <w:rFonts w:cs="宋体"/>
                <w:b/>
                <w:bCs/>
                <w:kern w:val="0"/>
                <w:sz w:val="24"/>
                <w:szCs w:val="20"/>
                <w:lang w:bidi="ar"/>
              </w:rPr>
              <w:t>排放</w:t>
            </w:r>
            <w:r>
              <w:rPr>
                <w:rFonts w:hint="eastAsia" w:cs="宋体"/>
                <w:b/>
                <w:bCs/>
                <w:kern w:val="0"/>
                <w:sz w:val="24"/>
                <w:szCs w:val="20"/>
                <w:lang w:bidi="ar"/>
              </w:rPr>
              <w:t>情况一览</w:t>
            </w:r>
            <w:r>
              <w:rPr>
                <w:rFonts w:cs="宋体"/>
                <w:b/>
                <w:bCs/>
                <w:kern w:val="0"/>
                <w:sz w:val="24"/>
                <w:szCs w:val="20"/>
                <w:lang w:bidi="ar"/>
              </w:rPr>
              <w:t>表</w:t>
            </w:r>
            <w:r>
              <w:rPr>
                <w:rFonts w:hint="eastAsia" w:cs="宋体"/>
                <w:b/>
                <w:bCs/>
                <w:kern w:val="0"/>
                <w:sz w:val="24"/>
                <w:szCs w:val="20"/>
                <w:lang w:bidi="ar"/>
              </w:rPr>
              <w:t>（单位：mg/m</w:t>
            </w:r>
            <w:r>
              <w:rPr>
                <w:rFonts w:hint="eastAsia" w:cs="宋体"/>
                <w:b/>
                <w:bCs/>
                <w:kern w:val="0"/>
                <w:sz w:val="24"/>
                <w:szCs w:val="20"/>
                <w:vertAlign w:val="superscript"/>
                <w:lang w:bidi="ar"/>
              </w:rPr>
              <w:t>3</w:t>
            </w:r>
            <w:r>
              <w:rPr>
                <w:rFonts w:hint="eastAsia" w:cs="宋体"/>
                <w:b/>
                <w:bCs/>
                <w:kern w:val="0"/>
                <w:sz w:val="24"/>
                <w:szCs w:val="20"/>
                <w:lang w:bidi="ar"/>
              </w:rPr>
              <w:t>）</w:t>
            </w:r>
          </w:p>
          <w:tbl>
            <w:tblPr>
              <w:tblStyle w:val="32"/>
              <w:tblW w:w="498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3"/>
              <w:gridCol w:w="1196"/>
              <w:gridCol w:w="1381"/>
              <w:gridCol w:w="847"/>
              <w:gridCol w:w="833"/>
              <w:gridCol w:w="860"/>
              <w:gridCol w:w="875"/>
              <w:gridCol w:w="860"/>
              <w:gridCol w:w="7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29" w:type="pct"/>
                  <w:vMerge w:val="restart"/>
                  <w:vAlign w:val="center"/>
                </w:tcPr>
                <w:p>
                  <w:pPr>
                    <w:widowControl/>
                    <w:jc w:val="center"/>
                    <w:textAlignment w:val="center"/>
                    <w:rPr>
                      <w:b/>
                      <w:kern w:val="0"/>
                      <w:szCs w:val="21"/>
                    </w:rPr>
                  </w:pPr>
                  <w:r>
                    <w:rPr>
                      <w:rFonts w:hint="eastAsia"/>
                      <w:b/>
                      <w:kern w:val="0"/>
                      <w:szCs w:val="21"/>
                    </w:rPr>
                    <w:t>检测项目</w:t>
                  </w:r>
                </w:p>
              </w:tc>
              <w:tc>
                <w:tcPr>
                  <w:tcW w:w="669" w:type="pct"/>
                  <w:vMerge w:val="restart"/>
                  <w:vAlign w:val="center"/>
                </w:tcPr>
                <w:p>
                  <w:pPr>
                    <w:widowControl/>
                    <w:jc w:val="center"/>
                    <w:textAlignment w:val="center"/>
                    <w:rPr>
                      <w:b/>
                      <w:kern w:val="0"/>
                      <w:szCs w:val="21"/>
                    </w:rPr>
                  </w:pPr>
                  <w:r>
                    <w:rPr>
                      <w:rFonts w:hint="eastAsia"/>
                      <w:b/>
                      <w:kern w:val="0"/>
                      <w:szCs w:val="21"/>
                    </w:rPr>
                    <w:t>日期</w:t>
                  </w:r>
                </w:p>
              </w:tc>
              <w:tc>
                <w:tcPr>
                  <w:tcW w:w="837" w:type="pct"/>
                  <w:vMerge w:val="restart"/>
                  <w:vAlign w:val="center"/>
                </w:tcPr>
                <w:p>
                  <w:pPr>
                    <w:widowControl/>
                    <w:jc w:val="center"/>
                    <w:textAlignment w:val="center"/>
                    <w:rPr>
                      <w:b/>
                      <w:kern w:val="0"/>
                      <w:szCs w:val="21"/>
                    </w:rPr>
                  </w:pPr>
                  <w:r>
                    <w:rPr>
                      <w:rFonts w:hint="eastAsia"/>
                      <w:b/>
                      <w:kern w:val="0"/>
                      <w:szCs w:val="21"/>
                    </w:rPr>
                    <w:t>时间</w:t>
                  </w:r>
                </w:p>
              </w:tc>
              <w:tc>
                <w:tcPr>
                  <w:tcW w:w="2078" w:type="pct"/>
                  <w:gridSpan w:val="4"/>
                  <w:vAlign w:val="center"/>
                </w:tcPr>
                <w:p>
                  <w:pPr>
                    <w:widowControl/>
                    <w:jc w:val="center"/>
                    <w:textAlignment w:val="center"/>
                    <w:rPr>
                      <w:b/>
                      <w:kern w:val="0"/>
                      <w:szCs w:val="21"/>
                    </w:rPr>
                  </w:pPr>
                  <w:r>
                    <w:rPr>
                      <w:rFonts w:hint="eastAsia"/>
                      <w:b/>
                      <w:kern w:val="0"/>
                      <w:szCs w:val="21"/>
                    </w:rPr>
                    <w:t>检测结果</w:t>
                  </w:r>
                </w:p>
              </w:tc>
              <w:tc>
                <w:tcPr>
                  <w:tcW w:w="523" w:type="pct"/>
                  <w:vMerge w:val="restart"/>
                  <w:tcBorders>
                    <w:left w:val="single" w:color="auto" w:sz="4" w:space="0"/>
                  </w:tcBorders>
                  <w:vAlign w:val="center"/>
                </w:tcPr>
                <w:p>
                  <w:pPr>
                    <w:widowControl/>
                    <w:jc w:val="center"/>
                    <w:textAlignment w:val="center"/>
                    <w:rPr>
                      <w:b/>
                      <w:kern w:val="0"/>
                      <w:szCs w:val="21"/>
                    </w:rPr>
                  </w:pPr>
                  <w:r>
                    <w:rPr>
                      <w:rFonts w:hint="eastAsia"/>
                      <w:b/>
                      <w:kern w:val="0"/>
                      <w:szCs w:val="21"/>
                    </w:rPr>
                    <w:t>标准限值</w:t>
                  </w:r>
                </w:p>
              </w:tc>
              <w:tc>
                <w:tcPr>
                  <w:tcW w:w="464" w:type="pct"/>
                  <w:vMerge w:val="restart"/>
                  <w:tcBorders>
                    <w:left w:val="single" w:color="auto" w:sz="4" w:space="0"/>
                  </w:tcBorders>
                  <w:vAlign w:val="center"/>
                </w:tcPr>
                <w:p>
                  <w:pPr>
                    <w:widowControl/>
                    <w:jc w:val="center"/>
                    <w:textAlignment w:val="center"/>
                    <w:rPr>
                      <w:b/>
                      <w:kern w:val="0"/>
                      <w:szCs w:val="21"/>
                    </w:rPr>
                  </w:pPr>
                  <w:r>
                    <w:rPr>
                      <w:rFonts w:hint="eastAsia"/>
                      <w:b/>
                      <w:kern w:val="0"/>
                      <w:szCs w:val="21"/>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29" w:type="pct"/>
                  <w:vMerge w:val="continue"/>
                  <w:vAlign w:val="center"/>
                </w:tcPr>
                <w:p>
                  <w:pPr>
                    <w:widowControl/>
                    <w:jc w:val="center"/>
                    <w:textAlignment w:val="center"/>
                    <w:rPr>
                      <w:kern w:val="0"/>
                      <w:szCs w:val="21"/>
                    </w:rPr>
                  </w:pPr>
                </w:p>
              </w:tc>
              <w:tc>
                <w:tcPr>
                  <w:tcW w:w="669" w:type="pct"/>
                  <w:vMerge w:val="continue"/>
                  <w:vAlign w:val="center"/>
                </w:tcPr>
                <w:p>
                  <w:pPr>
                    <w:widowControl/>
                    <w:jc w:val="center"/>
                    <w:textAlignment w:val="center"/>
                    <w:rPr>
                      <w:kern w:val="0"/>
                      <w:szCs w:val="21"/>
                    </w:rPr>
                  </w:pPr>
                </w:p>
              </w:tc>
              <w:tc>
                <w:tcPr>
                  <w:tcW w:w="837" w:type="pct"/>
                  <w:vMerge w:val="continue"/>
                  <w:vAlign w:val="center"/>
                </w:tcPr>
                <w:p>
                  <w:pPr>
                    <w:widowControl/>
                    <w:jc w:val="center"/>
                    <w:textAlignment w:val="center"/>
                    <w:rPr>
                      <w:kern w:val="0"/>
                      <w:szCs w:val="21"/>
                    </w:rPr>
                  </w:pPr>
                </w:p>
              </w:tc>
              <w:tc>
                <w:tcPr>
                  <w:tcW w:w="516" w:type="pct"/>
                  <w:vAlign w:val="center"/>
                </w:tcPr>
                <w:p>
                  <w:pPr>
                    <w:widowControl/>
                    <w:jc w:val="center"/>
                    <w:textAlignment w:val="center"/>
                    <w:rPr>
                      <w:b/>
                      <w:kern w:val="0"/>
                      <w:szCs w:val="21"/>
                    </w:rPr>
                  </w:pPr>
                  <w:r>
                    <w:rPr>
                      <w:rFonts w:hint="eastAsia"/>
                      <w:b/>
                      <w:kern w:val="0"/>
                      <w:szCs w:val="21"/>
                    </w:rPr>
                    <w:t>上风向1#</w:t>
                  </w:r>
                </w:p>
              </w:tc>
              <w:tc>
                <w:tcPr>
                  <w:tcW w:w="507" w:type="pct"/>
                  <w:tcBorders>
                    <w:left w:val="single" w:color="auto" w:sz="4" w:space="0"/>
                  </w:tcBorders>
                  <w:vAlign w:val="center"/>
                </w:tcPr>
                <w:p>
                  <w:pPr>
                    <w:widowControl/>
                    <w:jc w:val="center"/>
                    <w:textAlignment w:val="center"/>
                    <w:rPr>
                      <w:b/>
                      <w:kern w:val="0"/>
                      <w:szCs w:val="21"/>
                    </w:rPr>
                  </w:pPr>
                  <w:r>
                    <w:rPr>
                      <w:rFonts w:hint="eastAsia"/>
                      <w:b/>
                      <w:kern w:val="0"/>
                      <w:szCs w:val="21"/>
                    </w:rPr>
                    <w:t>下风向2#</w:t>
                  </w:r>
                </w:p>
              </w:tc>
              <w:tc>
                <w:tcPr>
                  <w:tcW w:w="523" w:type="pct"/>
                  <w:tcBorders>
                    <w:left w:val="single" w:color="auto" w:sz="4" w:space="0"/>
                  </w:tcBorders>
                  <w:vAlign w:val="center"/>
                </w:tcPr>
                <w:p>
                  <w:pPr>
                    <w:widowControl/>
                    <w:jc w:val="center"/>
                    <w:textAlignment w:val="center"/>
                    <w:rPr>
                      <w:b/>
                      <w:kern w:val="0"/>
                      <w:szCs w:val="21"/>
                    </w:rPr>
                  </w:pPr>
                  <w:r>
                    <w:rPr>
                      <w:rFonts w:hint="eastAsia"/>
                      <w:b/>
                      <w:kern w:val="0"/>
                      <w:szCs w:val="21"/>
                    </w:rPr>
                    <w:t>下风向3#</w:t>
                  </w:r>
                </w:p>
              </w:tc>
              <w:tc>
                <w:tcPr>
                  <w:tcW w:w="532" w:type="pct"/>
                  <w:tcBorders>
                    <w:left w:val="single" w:color="auto" w:sz="4" w:space="0"/>
                  </w:tcBorders>
                  <w:vAlign w:val="center"/>
                </w:tcPr>
                <w:p>
                  <w:pPr>
                    <w:widowControl/>
                    <w:jc w:val="center"/>
                    <w:textAlignment w:val="center"/>
                    <w:rPr>
                      <w:b/>
                      <w:kern w:val="0"/>
                      <w:szCs w:val="21"/>
                    </w:rPr>
                  </w:pPr>
                  <w:r>
                    <w:rPr>
                      <w:rFonts w:hint="eastAsia"/>
                      <w:b/>
                      <w:kern w:val="0"/>
                      <w:szCs w:val="21"/>
                    </w:rPr>
                    <w:t>下风向4#</w:t>
                  </w:r>
                </w:p>
              </w:tc>
              <w:tc>
                <w:tcPr>
                  <w:tcW w:w="523" w:type="pct"/>
                  <w:vMerge w:val="continue"/>
                  <w:tcBorders>
                    <w:left w:val="single" w:color="auto" w:sz="4" w:space="0"/>
                  </w:tcBorders>
                  <w:vAlign w:val="center"/>
                </w:tcPr>
                <w:p>
                  <w:pPr>
                    <w:widowControl/>
                    <w:jc w:val="center"/>
                    <w:textAlignment w:val="center"/>
                    <w:rPr>
                      <w:kern w:val="0"/>
                      <w:szCs w:val="21"/>
                    </w:rPr>
                  </w:pPr>
                </w:p>
              </w:tc>
              <w:tc>
                <w:tcPr>
                  <w:tcW w:w="464" w:type="pct"/>
                  <w:vMerge w:val="continue"/>
                  <w:tcBorders>
                    <w:left w:val="single" w:color="auto" w:sz="4" w:space="0"/>
                  </w:tcBorders>
                  <w:vAlign w:val="center"/>
                </w:tcPr>
                <w:p>
                  <w:pPr>
                    <w:widowControl/>
                    <w:jc w:val="center"/>
                    <w:textAlignment w:val="center"/>
                    <w:rPr>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8" w:hRule="atLeast"/>
                <w:jc w:val="center"/>
              </w:trPr>
              <w:tc>
                <w:tcPr>
                  <w:tcW w:w="429" w:type="pct"/>
                  <w:vMerge w:val="restart"/>
                  <w:vAlign w:val="center"/>
                </w:tcPr>
                <w:p>
                  <w:pPr>
                    <w:widowControl/>
                    <w:jc w:val="center"/>
                    <w:textAlignment w:val="center"/>
                    <w:rPr>
                      <w:kern w:val="0"/>
                      <w:szCs w:val="21"/>
                    </w:rPr>
                  </w:pPr>
                  <w:r>
                    <w:rPr>
                      <w:rFonts w:hint="eastAsia"/>
                      <w:kern w:val="0"/>
                      <w:szCs w:val="21"/>
                    </w:rPr>
                    <w:t>颗粒物</w:t>
                  </w:r>
                </w:p>
              </w:tc>
              <w:tc>
                <w:tcPr>
                  <w:tcW w:w="669" w:type="pct"/>
                  <w:vMerge w:val="restart"/>
                  <w:vAlign w:val="center"/>
                </w:tcPr>
                <w:p>
                  <w:pPr>
                    <w:widowControl/>
                    <w:jc w:val="center"/>
                    <w:textAlignment w:val="center"/>
                    <w:rPr>
                      <w:kern w:val="0"/>
                      <w:szCs w:val="21"/>
                    </w:rPr>
                  </w:pPr>
                  <w:r>
                    <w:rPr>
                      <w:rFonts w:hint="eastAsia"/>
                      <w:kern w:val="0"/>
                      <w:szCs w:val="21"/>
                    </w:rPr>
                    <w:t>2021-03-19</w:t>
                  </w:r>
                </w:p>
              </w:tc>
              <w:tc>
                <w:tcPr>
                  <w:tcW w:w="837" w:type="pct"/>
                  <w:vAlign w:val="center"/>
                </w:tcPr>
                <w:p>
                  <w:pPr>
                    <w:widowControl/>
                    <w:jc w:val="center"/>
                    <w:textAlignment w:val="center"/>
                    <w:rPr>
                      <w:kern w:val="0"/>
                      <w:szCs w:val="21"/>
                    </w:rPr>
                  </w:pPr>
                  <w:r>
                    <w:rPr>
                      <w:rFonts w:hint="eastAsia"/>
                      <w:kern w:val="0"/>
                      <w:szCs w:val="21"/>
                    </w:rPr>
                    <w:t>09:00-10:00</w:t>
                  </w:r>
                </w:p>
              </w:tc>
              <w:tc>
                <w:tcPr>
                  <w:tcW w:w="516" w:type="pct"/>
                  <w:vAlign w:val="center"/>
                </w:tcPr>
                <w:p>
                  <w:pPr>
                    <w:widowControl/>
                    <w:jc w:val="center"/>
                    <w:textAlignment w:val="center"/>
                    <w:rPr>
                      <w:kern w:val="0"/>
                      <w:szCs w:val="21"/>
                    </w:rPr>
                  </w:pPr>
                  <w:r>
                    <w:rPr>
                      <w:rFonts w:hint="eastAsia"/>
                      <w:kern w:val="0"/>
                      <w:szCs w:val="21"/>
                    </w:rPr>
                    <w:t>0.237</w:t>
                  </w:r>
                </w:p>
              </w:tc>
              <w:tc>
                <w:tcPr>
                  <w:tcW w:w="507" w:type="pct"/>
                  <w:tcBorders>
                    <w:left w:val="single" w:color="auto" w:sz="4" w:space="0"/>
                  </w:tcBorders>
                  <w:vAlign w:val="center"/>
                </w:tcPr>
                <w:p>
                  <w:pPr>
                    <w:widowControl/>
                    <w:jc w:val="center"/>
                    <w:textAlignment w:val="center"/>
                    <w:rPr>
                      <w:kern w:val="0"/>
                      <w:szCs w:val="21"/>
                    </w:rPr>
                  </w:pPr>
                  <w:r>
                    <w:rPr>
                      <w:rFonts w:hint="eastAsia"/>
                      <w:kern w:val="0"/>
                      <w:szCs w:val="21"/>
                    </w:rPr>
                    <w:t>0.433</w:t>
                  </w:r>
                </w:p>
              </w:tc>
              <w:tc>
                <w:tcPr>
                  <w:tcW w:w="523" w:type="pct"/>
                  <w:tcBorders>
                    <w:left w:val="single" w:color="auto" w:sz="4" w:space="0"/>
                  </w:tcBorders>
                  <w:vAlign w:val="center"/>
                </w:tcPr>
                <w:p>
                  <w:pPr>
                    <w:widowControl/>
                    <w:jc w:val="center"/>
                    <w:textAlignment w:val="center"/>
                    <w:rPr>
                      <w:kern w:val="0"/>
                      <w:szCs w:val="21"/>
                    </w:rPr>
                  </w:pPr>
                  <w:r>
                    <w:rPr>
                      <w:rFonts w:hint="eastAsia"/>
                      <w:kern w:val="0"/>
                      <w:szCs w:val="21"/>
                    </w:rPr>
                    <w:t>0.500</w:t>
                  </w:r>
                </w:p>
              </w:tc>
              <w:tc>
                <w:tcPr>
                  <w:tcW w:w="532" w:type="pct"/>
                  <w:tcBorders>
                    <w:left w:val="single" w:color="auto" w:sz="4" w:space="0"/>
                  </w:tcBorders>
                  <w:vAlign w:val="center"/>
                </w:tcPr>
                <w:p>
                  <w:pPr>
                    <w:widowControl/>
                    <w:jc w:val="center"/>
                    <w:textAlignment w:val="center"/>
                    <w:rPr>
                      <w:kern w:val="0"/>
                      <w:szCs w:val="21"/>
                    </w:rPr>
                  </w:pPr>
                  <w:r>
                    <w:rPr>
                      <w:rFonts w:hint="eastAsia"/>
                      <w:kern w:val="0"/>
                      <w:szCs w:val="21"/>
                    </w:rPr>
                    <w:t>0.417</w:t>
                  </w:r>
                </w:p>
              </w:tc>
              <w:tc>
                <w:tcPr>
                  <w:tcW w:w="523" w:type="pct"/>
                  <w:vMerge w:val="restart"/>
                  <w:tcBorders>
                    <w:left w:val="single" w:color="auto" w:sz="4" w:space="0"/>
                  </w:tcBorders>
                  <w:vAlign w:val="center"/>
                </w:tcPr>
                <w:p>
                  <w:pPr>
                    <w:widowControl/>
                    <w:jc w:val="center"/>
                    <w:textAlignment w:val="center"/>
                    <w:rPr>
                      <w:kern w:val="0"/>
                      <w:szCs w:val="21"/>
                    </w:rPr>
                  </w:pPr>
                  <w:r>
                    <w:rPr>
                      <w:rFonts w:hint="eastAsia"/>
                      <w:kern w:val="0"/>
                      <w:szCs w:val="21"/>
                    </w:rPr>
                    <w:t>1.0</w:t>
                  </w: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3" w:hRule="atLeast"/>
                <w:jc w:val="center"/>
              </w:trPr>
              <w:tc>
                <w:tcPr>
                  <w:tcW w:w="429" w:type="pct"/>
                  <w:vMerge w:val="continue"/>
                  <w:vAlign w:val="center"/>
                </w:tcPr>
                <w:p>
                  <w:pPr>
                    <w:widowControl/>
                    <w:jc w:val="center"/>
                    <w:textAlignment w:val="center"/>
                    <w:rPr>
                      <w:kern w:val="0"/>
                      <w:szCs w:val="21"/>
                    </w:rPr>
                  </w:pPr>
                </w:p>
              </w:tc>
              <w:tc>
                <w:tcPr>
                  <w:tcW w:w="669" w:type="pct"/>
                  <w:vMerge w:val="continue"/>
                  <w:vAlign w:val="center"/>
                </w:tcPr>
                <w:p>
                  <w:pPr>
                    <w:widowControl/>
                    <w:jc w:val="center"/>
                    <w:textAlignment w:val="center"/>
                    <w:rPr>
                      <w:kern w:val="0"/>
                      <w:szCs w:val="21"/>
                    </w:rPr>
                  </w:pPr>
                </w:p>
              </w:tc>
              <w:tc>
                <w:tcPr>
                  <w:tcW w:w="837" w:type="pct"/>
                  <w:vAlign w:val="center"/>
                </w:tcPr>
                <w:p>
                  <w:pPr>
                    <w:widowControl/>
                    <w:jc w:val="center"/>
                    <w:textAlignment w:val="center"/>
                    <w:rPr>
                      <w:kern w:val="0"/>
                      <w:szCs w:val="21"/>
                    </w:rPr>
                  </w:pPr>
                  <w:r>
                    <w:rPr>
                      <w:rFonts w:hint="eastAsia"/>
                      <w:kern w:val="0"/>
                      <w:szCs w:val="21"/>
                    </w:rPr>
                    <w:t>13:00-14:00</w:t>
                  </w:r>
                </w:p>
              </w:tc>
              <w:tc>
                <w:tcPr>
                  <w:tcW w:w="516" w:type="pct"/>
                  <w:vAlign w:val="center"/>
                </w:tcPr>
                <w:p>
                  <w:pPr>
                    <w:widowControl/>
                    <w:jc w:val="center"/>
                    <w:textAlignment w:val="center"/>
                    <w:rPr>
                      <w:kern w:val="0"/>
                      <w:szCs w:val="21"/>
                    </w:rPr>
                  </w:pPr>
                  <w:r>
                    <w:rPr>
                      <w:rFonts w:hint="eastAsia"/>
                      <w:kern w:val="0"/>
                      <w:szCs w:val="21"/>
                    </w:rPr>
                    <w:t>0.283</w:t>
                  </w:r>
                </w:p>
              </w:tc>
              <w:tc>
                <w:tcPr>
                  <w:tcW w:w="507" w:type="pct"/>
                  <w:tcBorders>
                    <w:left w:val="single" w:color="auto" w:sz="4" w:space="0"/>
                  </w:tcBorders>
                  <w:vAlign w:val="center"/>
                </w:tcPr>
                <w:p>
                  <w:pPr>
                    <w:widowControl/>
                    <w:jc w:val="center"/>
                    <w:textAlignment w:val="center"/>
                    <w:rPr>
                      <w:kern w:val="0"/>
                      <w:szCs w:val="21"/>
                    </w:rPr>
                  </w:pPr>
                  <w:r>
                    <w:rPr>
                      <w:rFonts w:hint="eastAsia"/>
                      <w:kern w:val="0"/>
                      <w:szCs w:val="21"/>
                    </w:rPr>
                    <w:t>0.390</w:t>
                  </w:r>
                </w:p>
              </w:tc>
              <w:tc>
                <w:tcPr>
                  <w:tcW w:w="523" w:type="pct"/>
                  <w:tcBorders>
                    <w:left w:val="single" w:color="auto" w:sz="4" w:space="0"/>
                  </w:tcBorders>
                  <w:vAlign w:val="center"/>
                </w:tcPr>
                <w:p>
                  <w:pPr>
                    <w:widowControl/>
                    <w:jc w:val="center"/>
                    <w:textAlignment w:val="center"/>
                  </w:pPr>
                  <w:r>
                    <w:rPr>
                      <w:rFonts w:hint="eastAsia"/>
                    </w:rPr>
                    <w:t>0.424</w:t>
                  </w:r>
                </w:p>
              </w:tc>
              <w:tc>
                <w:tcPr>
                  <w:tcW w:w="532" w:type="pct"/>
                  <w:tcBorders>
                    <w:left w:val="single" w:color="auto" w:sz="4" w:space="0"/>
                  </w:tcBorders>
                  <w:vAlign w:val="center"/>
                </w:tcPr>
                <w:p>
                  <w:pPr>
                    <w:widowControl/>
                    <w:jc w:val="center"/>
                    <w:textAlignment w:val="center"/>
                    <w:rPr>
                      <w:kern w:val="0"/>
                      <w:szCs w:val="21"/>
                    </w:rPr>
                  </w:pPr>
                  <w:r>
                    <w:rPr>
                      <w:rFonts w:hint="eastAsia"/>
                      <w:kern w:val="0"/>
                      <w:szCs w:val="21"/>
                    </w:rPr>
                    <w:t>0.458</w:t>
                  </w:r>
                </w:p>
              </w:tc>
              <w:tc>
                <w:tcPr>
                  <w:tcW w:w="523" w:type="pct"/>
                  <w:vMerge w:val="continue"/>
                  <w:tcBorders>
                    <w:left w:val="single" w:color="auto" w:sz="4" w:space="0"/>
                  </w:tcBorders>
                  <w:vAlign w:val="center"/>
                </w:tcPr>
                <w:p>
                  <w:pPr>
                    <w:widowControl/>
                    <w:jc w:val="center"/>
                    <w:textAlignment w:val="center"/>
                    <w:rPr>
                      <w:kern w:val="0"/>
                      <w:szCs w:val="21"/>
                    </w:rPr>
                  </w:pP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9" w:hRule="atLeast"/>
                <w:jc w:val="center"/>
              </w:trPr>
              <w:tc>
                <w:tcPr>
                  <w:tcW w:w="429" w:type="pct"/>
                  <w:vMerge w:val="continue"/>
                  <w:vAlign w:val="center"/>
                </w:tcPr>
                <w:p>
                  <w:pPr>
                    <w:widowControl/>
                    <w:jc w:val="center"/>
                    <w:textAlignment w:val="center"/>
                    <w:rPr>
                      <w:kern w:val="0"/>
                      <w:szCs w:val="21"/>
                    </w:rPr>
                  </w:pPr>
                </w:p>
              </w:tc>
              <w:tc>
                <w:tcPr>
                  <w:tcW w:w="669" w:type="pct"/>
                  <w:vMerge w:val="continue"/>
                  <w:vAlign w:val="center"/>
                </w:tcPr>
                <w:p>
                  <w:pPr>
                    <w:widowControl/>
                    <w:jc w:val="center"/>
                    <w:textAlignment w:val="center"/>
                    <w:rPr>
                      <w:kern w:val="0"/>
                      <w:szCs w:val="21"/>
                    </w:rPr>
                  </w:pPr>
                </w:p>
              </w:tc>
              <w:tc>
                <w:tcPr>
                  <w:tcW w:w="837" w:type="pct"/>
                  <w:vAlign w:val="center"/>
                </w:tcPr>
                <w:p>
                  <w:pPr>
                    <w:widowControl/>
                    <w:jc w:val="center"/>
                    <w:textAlignment w:val="center"/>
                    <w:rPr>
                      <w:kern w:val="0"/>
                      <w:szCs w:val="21"/>
                    </w:rPr>
                  </w:pPr>
                  <w:r>
                    <w:rPr>
                      <w:rFonts w:hint="eastAsia"/>
                      <w:kern w:val="0"/>
                      <w:szCs w:val="21"/>
                    </w:rPr>
                    <w:t>17:00-18:00</w:t>
                  </w:r>
                </w:p>
              </w:tc>
              <w:tc>
                <w:tcPr>
                  <w:tcW w:w="516" w:type="pct"/>
                  <w:vAlign w:val="center"/>
                </w:tcPr>
                <w:p>
                  <w:pPr>
                    <w:widowControl/>
                    <w:jc w:val="center"/>
                    <w:textAlignment w:val="center"/>
                    <w:rPr>
                      <w:kern w:val="0"/>
                      <w:szCs w:val="21"/>
                    </w:rPr>
                  </w:pPr>
                  <w:r>
                    <w:rPr>
                      <w:rFonts w:hint="eastAsia"/>
                      <w:kern w:val="0"/>
                      <w:szCs w:val="21"/>
                    </w:rPr>
                    <w:t>0.254</w:t>
                  </w:r>
                </w:p>
              </w:tc>
              <w:tc>
                <w:tcPr>
                  <w:tcW w:w="507" w:type="pct"/>
                  <w:tcBorders>
                    <w:left w:val="single" w:color="auto" w:sz="4" w:space="0"/>
                  </w:tcBorders>
                  <w:vAlign w:val="center"/>
                </w:tcPr>
                <w:p>
                  <w:pPr>
                    <w:widowControl/>
                    <w:jc w:val="center"/>
                    <w:textAlignment w:val="center"/>
                    <w:rPr>
                      <w:kern w:val="0"/>
                      <w:szCs w:val="21"/>
                    </w:rPr>
                  </w:pPr>
                  <w:r>
                    <w:rPr>
                      <w:rFonts w:hint="eastAsia"/>
                      <w:kern w:val="0"/>
                      <w:szCs w:val="21"/>
                    </w:rPr>
                    <w:t>0.466</w:t>
                  </w:r>
                </w:p>
              </w:tc>
              <w:tc>
                <w:tcPr>
                  <w:tcW w:w="523" w:type="pct"/>
                  <w:tcBorders>
                    <w:left w:val="single" w:color="auto" w:sz="4" w:space="0"/>
                  </w:tcBorders>
                  <w:vAlign w:val="center"/>
                </w:tcPr>
                <w:p>
                  <w:pPr>
                    <w:widowControl/>
                    <w:jc w:val="center"/>
                    <w:textAlignment w:val="center"/>
                    <w:rPr>
                      <w:kern w:val="0"/>
                      <w:szCs w:val="21"/>
                    </w:rPr>
                  </w:pPr>
                  <w:r>
                    <w:rPr>
                      <w:rFonts w:hint="eastAsia"/>
                      <w:kern w:val="0"/>
                      <w:szCs w:val="21"/>
                    </w:rPr>
                    <w:t>0.407</w:t>
                  </w:r>
                </w:p>
              </w:tc>
              <w:tc>
                <w:tcPr>
                  <w:tcW w:w="532" w:type="pct"/>
                  <w:tcBorders>
                    <w:left w:val="single" w:color="auto" w:sz="4" w:space="0"/>
                  </w:tcBorders>
                  <w:vAlign w:val="center"/>
                </w:tcPr>
                <w:p>
                  <w:pPr>
                    <w:widowControl/>
                    <w:jc w:val="center"/>
                    <w:textAlignment w:val="center"/>
                    <w:rPr>
                      <w:kern w:val="0"/>
                      <w:szCs w:val="21"/>
                    </w:rPr>
                  </w:pPr>
                  <w:r>
                    <w:rPr>
                      <w:rFonts w:hint="eastAsia"/>
                      <w:kern w:val="0"/>
                      <w:szCs w:val="21"/>
                    </w:rPr>
                    <w:t>0.431</w:t>
                  </w:r>
                </w:p>
              </w:tc>
              <w:tc>
                <w:tcPr>
                  <w:tcW w:w="523" w:type="pct"/>
                  <w:vMerge w:val="continue"/>
                  <w:tcBorders>
                    <w:left w:val="single" w:color="auto" w:sz="4" w:space="0"/>
                  </w:tcBorders>
                  <w:vAlign w:val="center"/>
                </w:tcPr>
                <w:p>
                  <w:pPr>
                    <w:widowControl/>
                    <w:jc w:val="center"/>
                    <w:textAlignment w:val="center"/>
                    <w:rPr>
                      <w:kern w:val="0"/>
                      <w:szCs w:val="21"/>
                    </w:rPr>
                  </w:pP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35" w:type="pct"/>
                  <w:gridSpan w:val="3"/>
                  <w:vAlign w:val="center"/>
                </w:tcPr>
                <w:p>
                  <w:pPr>
                    <w:widowControl/>
                    <w:jc w:val="center"/>
                    <w:textAlignment w:val="center"/>
                    <w:rPr>
                      <w:kern w:val="0"/>
                      <w:szCs w:val="21"/>
                    </w:rPr>
                  </w:pPr>
                  <w:r>
                    <w:rPr>
                      <w:rFonts w:hint="eastAsia"/>
                      <w:kern w:val="0"/>
                      <w:szCs w:val="21"/>
                    </w:rPr>
                    <w:t>平均值</w:t>
                  </w:r>
                </w:p>
              </w:tc>
              <w:tc>
                <w:tcPr>
                  <w:tcW w:w="516" w:type="pct"/>
                  <w:vAlign w:val="center"/>
                </w:tcPr>
                <w:p>
                  <w:pPr>
                    <w:widowControl/>
                    <w:jc w:val="center"/>
                    <w:textAlignment w:val="center"/>
                    <w:rPr>
                      <w:b/>
                      <w:bCs/>
                      <w:kern w:val="0"/>
                      <w:szCs w:val="21"/>
                    </w:rPr>
                  </w:pPr>
                  <w:r>
                    <w:rPr>
                      <w:rFonts w:hint="eastAsia"/>
                      <w:b/>
                      <w:bCs/>
                      <w:kern w:val="0"/>
                      <w:szCs w:val="21"/>
                    </w:rPr>
                    <w:t>0.258</w:t>
                  </w:r>
                </w:p>
              </w:tc>
              <w:tc>
                <w:tcPr>
                  <w:tcW w:w="507" w:type="pct"/>
                  <w:tcBorders>
                    <w:left w:val="single" w:color="auto" w:sz="4" w:space="0"/>
                  </w:tcBorders>
                  <w:vAlign w:val="center"/>
                </w:tcPr>
                <w:p>
                  <w:pPr>
                    <w:widowControl/>
                    <w:jc w:val="center"/>
                    <w:textAlignment w:val="center"/>
                    <w:rPr>
                      <w:b/>
                      <w:bCs/>
                      <w:kern w:val="0"/>
                      <w:szCs w:val="21"/>
                    </w:rPr>
                  </w:pPr>
                  <w:r>
                    <w:rPr>
                      <w:rFonts w:hint="eastAsia"/>
                      <w:b/>
                      <w:bCs/>
                      <w:kern w:val="0"/>
                      <w:szCs w:val="21"/>
                    </w:rPr>
                    <w:t>0.430</w:t>
                  </w:r>
                </w:p>
              </w:tc>
              <w:tc>
                <w:tcPr>
                  <w:tcW w:w="523" w:type="pct"/>
                  <w:tcBorders>
                    <w:left w:val="single" w:color="auto" w:sz="4" w:space="0"/>
                  </w:tcBorders>
                  <w:vAlign w:val="center"/>
                </w:tcPr>
                <w:p>
                  <w:pPr>
                    <w:widowControl/>
                    <w:jc w:val="center"/>
                    <w:textAlignment w:val="center"/>
                    <w:rPr>
                      <w:b/>
                      <w:bCs/>
                      <w:kern w:val="0"/>
                      <w:szCs w:val="21"/>
                    </w:rPr>
                  </w:pPr>
                  <w:r>
                    <w:rPr>
                      <w:rFonts w:hint="eastAsia"/>
                      <w:b/>
                      <w:bCs/>
                      <w:kern w:val="0"/>
                      <w:szCs w:val="21"/>
                    </w:rPr>
                    <w:t>0.444</w:t>
                  </w:r>
                </w:p>
              </w:tc>
              <w:tc>
                <w:tcPr>
                  <w:tcW w:w="532" w:type="pct"/>
                  <w:tcBorders>
                    <w:left w:val="single" w:color="auto" w:sz="4" w:space="0"/>
                  </w:tcBorders>
                  <w:vAlign w:val="center"/>
                </w:tcPr>
                <w:p>
                  <w:pPr>
                    <w:widowControl/>
                    <w:jc w:val="center"/>
                    <w:textAlignment w:val="center"/>
                    <w:rPr>
                      <w:b/>
                      <w:bCs/>
                      <w:kern w:val="0"/>
                      <w:szCs w:val="21"/>
                    </w:rPr>
                  </w:pPr>
                  <w:r>
                    <w:rPr>
                      <w:rFonts w:hint="eastAsia"/>
                      <w:b/>
                      <w:bCs/>
                      <w:kern w:val="0"/>
                      <w:szCs w:val="21"/>
                    </w:rPr>
                    <w:t>0.435</w:t>
                  </w:r>
                </w:p>
              </w:tc>
              <w:tc>
                <w:tcPr>
                  <w:tcW w:w="523" w:type="pct"/>
                  <w:vMerge w:val="continue"/>
                  <w:tcBorders>
                    <w:left w:val="single" w:color="auto" w:sz="4" w:space="0"/>
                  </w:tcBorders>
                  <w:vAlign w:val="center"/>
                </w:tcPr>
                <w:p>
                  <w:pPr>
                    <w:widowControl/>
                    <w:jc w:val="center"/>
                    <w:textAlignment w:val="center"/>
                    <w:rPr>
                      <w:kern w:val="0"/>
                      <w:szCs w:val="21"/>
                    </w:rPr>
                  </w:pP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9" w:hRule="atLeast"/>
                <w:jc w:val="center"/>
              </w:trPr>
              <w:tc>
                <w:tcPr>
                  <w:tcW w:w="429" w:type="pct"/>
                  <w:vMerge w:val="restart"/>
                  <w:vAlign w:val="center"/>
                </w:tcPr>
                <w:p>
                  <w:pPr>
                    <w:widowControl/>
                    <w:jc w:val="center"/>
                    <w:textAlignment w:val="center"/>
                    <w:rPr>
                      <w:kern w:val="0"/>
                      <w:szCs w:val="21"/>
                    </w:rPr>
                  </w:pPr>
                  <w:r>
                    <w:rPr>
                      <w:rFonts w:hint="eastAsia"/>
                      <w:kern w:val="0"/>
                      <w:szCs w:val="21"/>
                    </w:rPr>
                    <w:t>甲醛</w:t>
                  </w:r>
                </w:p>
              </w:tc>
              <w:tc>
                <w:tcPr>
                  <w:tcW w:w="669" w:type="pct"/>
                  <w:vMerge w:val="restart"/>
                  <w:vAlign w:val="center"/>
                </w:tcPr>
                <w:p>
                  <w:pPr>
                    <w:widowControl/>
                    <w:jc w:val="center"/>
                    <w:textAlignment w:val="center"/>
                    <w:rPr>
                      <w:kern w:val="0"/>
                      <w:szCs w:val="21"/>
                    </w:rPr>
                  </w:pPr>
                  <w:r>
                    <w:rPr>
                      <w:rFonts w:hint="eastAsia"/>
                      <w:kern w:val="0"/>
                      <w:szCs w:val="21"/>
                    </w:rPr>
                    <w:t>2021-03-19</w:t>
                  </w:r>
                </w:p>
              </w:tc>
              <w:tc>
                <w:tcPr>
                  <w:tcW w:w="837" w:type="pct"/>
                  <w:vAlign w:val="center"/>
                </w:tcPr>
                <w:p>
                  <w:pPr>
                    <w:widowControl/>
                    <w:jc w:val="center"/>
                    <w:textAlignment w:val="center"/>
                    <w:rPr>
                      <w:kern w:val="0"/>
                      <w:szCs w:val="21"/>
                    </w:rPr>
                  </w:pPr>
                  <w:r>
                    <w:rPr>
                      <w:rFonts w:hint="eastAsia"/>
                      <w:kern w:val="0"/>
                      <w:szCs w:val="21"/>
                    </w:rPr>
                    <w:t>09:00-10:00</w:t>
                  </w:r>
                </w:p>
              </w:tc>
              <w:tc>
                <w:tcPr>
                  <w:tcW w:w="516" w:type="pct"/>
                  <w:vAlign w:val="center"/>
                </w:tcPr>
                <w:p>
                  <w:pPr>
                    <w:widowControl/>
                    <w:jc w:val="center"/>
                    <w:textAlignment w:val="center"/>
                    <w:rPr>
                      <w:kern w:val="0"/>
                      <w:szCs w:val="21"/>
                    </w:rPr>
                  </w:pPr>
                  <w:r>
                    <w:rPr>
                      <w:rFonts w:hint="eastAsia"/>
                      <w:kern w:val="0"/>
                      <w:szCs w:val="21"/>
                    </w:rPr>
                    <w:t>0.012</w:t>
                  </w:r>
                </w:p>
              </w:tc>
              <w:tc>
                <w:tcPr>
                  <w:tcW w:w="507" w:type="pct"/>
                  <w:tcBorders>
                    <w:left w:val="single" w:color="auto" w:sz="4" w:space="0"/>
                  </w:tcBorders>
                  <w:vAlign w:val="center"/>
                </w:tcPr>
                <w:p>
                  <w:pPr>
                    <w:widowControl/>
                    <w:jc w:val="center"/>
                    <w:textAlignment w:val="center"/>
                    <w:rPr>
                      <w:kern w:val="0"/>
                      <w:szCs w:val="21"/>
                    </w:rPr>
                  </w:pPr>
                  <w:r>
                    <w:rPr>
                      <w:rFonts w:hint="eastAsia"/>
                      <w:kern w:val="0"/>
                      <w:szCs w:val="21"/>
                    </w:rPr>
                    <w:t>0.020</w:t>
                  </w:r>
                </w:p>
              </w:tc>
              <w:tc>
                <w:tcPr>
                  <w:tcW w:w="523" w:type="pct"/>
                  <w:tcBorders>
                    <w:left w:val="single" w:color="auto" w:sz="4" w:space="0"/>
                  </w:tcBorders>
                  <w:vAlign w:val="center"/>
                </w:tcPr>
                <w:p>
                  <w:pPr>
                    <w:widowControl/>
                    <w:jc w:val="center"/>
                    <w:textAlignment w:val="center"/>
                    <w:rPr>
                      <w:kern w:val="0"/>
                      <w:szCs w:val="21"/>
                    </w:rPr>
                  </w:pPr>
                  <w:r>
                    <w:rPr>
                      <w:rFonts w:hint="eastAsia"/>
                      <w:kern w:val="0"/>
                      <w:szCs w:val="21"/>
                    </w:rPr>
                    <w:t>0.020</w:t>
                  </w:r>
                </w:p>
              </w:tc>
              <w:tc>
                <w:tcPr>
                  <w:tcW w:w="532" w:type="pct"/>
                  <w:tcBorders>
                    <w:left w:val="single" w:color="auto" w:sz="4" w:space="0"/>
                  </w:tcBorders>
                  <w:vAlign w:val="center"/>
                </w:tcPr>
                <w:p>
                  <w:pPr>
                    <w:widowControl/>
                    <w:jc w:val="center"/>
                    <w:textAlignment w:val="center"/>
                    <w:rPr>
                      <w:kern w:val="0"/>
                      <w:szCs w:val="21"/>
                    </w:rPr>
                  </w:pPr>
                  <w:r>
                    <w:rPr>
                      <w:rFonts w:hint="eastAsia"/>
                      <w:kern w:val="0"/>
                      <w:szCs w:val="21"/>
                    </w:rPr>
                    <w:t>0.024</w:t>
                  </w:r>
                </w:p>
              </w:tc>
              <w:tc>
                <w:tcPr>
                  <w:tcW w:w="523" w:type="pct"/>
                  <w:vMerge w:val="restart"/>
                  <w:tcBorders>
                    <w:left w:val="single" w:color="auto" w:sz="4" w:space="0"/>
                  </w:tcBorders>
                  <w:vAlign w:val="center"/>
                </w:tcPr>
                <w:p>
                  <w:pPr>
                    <w:widowControl/>
                    <w:jc w:val="center"/>
                    <w:textAlignment w:val="center"/>
                    <w:rPr>
                      <w:kern w:val="0"/>
                      <w:szCs w:val="21"/>
                    </w:rPr>
                  </w:pPr>
                  <w:r>
                    <w:rPr>
                      <w:rFonts w:hint="eastAsia"/>
                      <w:kern w:val="0"/>
                      <w:szCs w:val="21"/>
                    </w:rPr>
                    <w:t>0.20</w:t>
                  </w: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429" w:type="pct"/>
                  <w:vMerge w:val="continue"/>
                  <w:vAlign w:val="center"/>
                </w:tcPr>
                <w:p>
                  <w:pPr>
                    <w:widowControl/>
                    <w:jc w:val="center"/>
                    <w:textAlignment w:val="center"/>
                    <w:rPr>
                      <w:kern w:val="0"/>
                      <w:szCs w:val="21"/>
                    </w:rPr>
                  </w:pPr>
                </w:p>
              </w:tc>
              <w:tc>
                <w:tcPr>
                  <w:tcW w:w="669" w:type="pct"/>
                  <w:vMerge w:val="continue"/>
                  <w:vAlign w:val="center"/>
                </w:tcPr>
                <w:p>
                  <w:pPr>
                    <w:widowControl/>
                    <w:jc w:val="center"/>
                    <w:textAlignment w:val="center"/>
                    <w:rPr>
                      <w:kern w:val="0"/>
                      <w:szCs w:val="21"/>
                    </w:rPr>
                  </w:pPr>
                </w:p>
              </w:tc>
              <w:tc>
                <w:tcPr>
                  <w:tcW w:w="837" w:type="pct"/>
                  <w:vAlign w:val="center"/>
                </w:tcPr>
                <w:p>
                  <w:pPr>
                    <w:widowControl/>
                    <w:jc w:val="center"/>
                    <w:textAlignment w:val="center"/>
                    <w:rPr>
                      <w:kern w:val="0"/>
                      <w:szCs w:val="21"/>
                    </w:rPr>
                  </w:pPr>
                  <w:r>
                    <w:rPr>
                      <w:rFonts w:hint="eastAsia"/>
                      <w:kern w:val="0"/>
                      <w:szCs w:val="21"/>
                    </w:rPr>
                    <w:t>13:00-14:00</w:t>
                  </w:r>
                </w:p>
              </w:tc>
              <w:tc>
                <w:tcPr>
                  <w:tcW w:w="516" w:type="pct"/>
                  <w:vAlign w:val="center"/>
                </w:tcPr>
                <w:p>
                  <w:pPr>
                    <w:widowControl/>
                    <w:jc w:val="center"/>
                    <w:textAlignment w:val="center"/>
                    <w:rPr>
                      <w:kern w:val="0"/>
                      <w:szCs w:val="21"/>
                    </w:rPr>
                  </w:pPr>
                  <w:r>
                    <w:rPr>
                      <w:rFonts w:hint="eastAsia"/>
                      <w:kern w:val="0"/>
                      <w:szCs w:val="21"/>
                    </w:rPr>
                    <w:t>0.012</w:t>
                  </w:r>
                </w:p>
              </w:tc>
              <w:tc>
                <w:tcPr>
                  <w:tcW w:w="507" w:type="pct"/>
                  <w:tcBorders>
                    <w:left w:val="single" w:color="auto" w:sz="4" w:space="0"/>
                  </w:tcBorders>
                  <w:vAlign w:val="center"/>
                </w:tcPr>
                <w:p>
                  <w:pPr>
                    <w:widowControl/>
                    <w:jc w:val="center"/>
                    <w:textAlignment w:val="center"/>
                    <w:rPr>
                      <w:kern w:val="0"/>
                      <w:szCs w:val="21"/>
                    </w:rPr>
                  </w:pPr>
                  <w:r>
                    <w:rPr>
                      <w:rFonts w:hint="eastAsia"/>
                      <w:kern w:val="0"/>
                      <w:szCs w:val="21"/>
                    </w:rPr>
                    <w:t>0.025</w:t>
                  </w:r>
                </w:p>
              </w:tc>
              <w:tc>
                <w:tcPr>
                  <w:tcW w:w="523" w:type="pct"/>
                  <w:tcBorders>
                    <w:left w:val="single" w:color="auto" w:sz="4" w:space="0"/>
                  </w:tcBorders>
                  <w:vAlign w:val="center"/>
                </w:tcPr>
                <w:p>
                  <w:pPr>
                    <w:widowControl/>
                    <w:jc w:val="center"/>
                    <w:textAlignment w:val="center"/>
                    <w:rPr>
                      <w:kern w:val="0"/>
                      <w:szCs w:val="21"/>
                    </w:rPr>
                  </w:pPr>
                  <w:r>
                    <w:rPr>
                      <w:rFonts w:hint="eastAsia"/>
                      <w:kern w:val="0"/>
                      <w:szCs w:val="21"/>
                    </w:rPr>
                    <w:t>0.012</w:t>
                  </w:r>
                </w:p>
              </w:tc>
              <w:tc>
                <w:tcPr>
                  <w:tcW w:w="532" w:type="pct"/>
                  <w:tcBorders>
                    <w:left w:val="single" w:color="auto" w:sz="4" w:space="0"/>
                  </w:tcBorders>
                  <w:vAlign w:val="center"/>
                </w:tcPr>
                <w:p>
                  <w:pPr>
                    <w:widowControl/>
                    <w:jc w:val="center"/>
                    <w:textAlignment w:val="center"/>
                    <w:rPr>
                      <w:kern w:val="0"/>
                      <w:szCs w:val="21"/>
                    </w:rPr>
                  </w:pPr>
                  <w:r>
                    <w:rPr>
                      <w:rFonts w:hint="eastAsia"/>
                      <w:kern w:val="0"/>
                      <w:szCs w:val="21"/>
                    </w:rPr>
                    <w:t>0.029</w:t>
                  </w:r>
                </w:p>
              </w:tc>
              <w:tc>
                <w:tcPr>
                  <w:tcW w:w="523" w:type="pct"/>
                  <w:vMerge w:val="continue"/>
                  <w:tcBorders>
                    <w:left w:val="single" w:color="auto" w:sz="4" w:space="0"/>
                  </w:tcBorders>
                  <w:vAlign w:val="center"/>
                </w:tcPr>
                <w:p>
                  <w:pPr>
                    <w:widowControl/>
                    <w:jc w:val="center"/>
                    <w:textAlignment w:val="center"/>
                    <w:rPr>
                      <w:kern w:val="0"/>
                      <w:szCs w:val="21"/>
                    </w:rPr>
                  </w:pP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7" w:hRule="atLeast"/>
                <w:jc w:val="center"/>
              </w:trPr>
              <w:tc>
                <w:tcPr>
                  <w:tcW w:w="429" w:type="pct"/>
                  <w:vMerge w:val="continue"/>
                  <w:vAlign w:val="center"/>
                </w:tcPr>
                <w:p>
                  <w:pPr>
                    <w:widowControl/>
                    <w:jc w:val="center"/>
                    <w:textAlignment w:val="center"/>
                    <w:rPr>
                      <w:kern w:val="0"/>
                      <w:szCs w:val="21"/>
                    </w:rPr>
                  </w:pPr>
                </w:p>
              </w:tc>
              <w:tc>
                <w:tcPr>
                  <w:tcW w:w="669" w:type="pct"/>
                  <w:vMerge w:val="continue"/>
                  <w:vAlign w:val="center"/>
                </w:tcPr>
                <w:p>
                  <w:pPr>
                    <w:widowControl/>
                    <w:jc w:val="center"/>
                    <w:textAlignment w:val="center"/>
                    <w:rPr>
                      <w:kern w:val="0"/>
                      <w:szCs w:val="21"/>
                    </w:rPr>
                  </w:pPr>
                </w:p>
              </w:tc>
              <w:tc>
                <w:tcPr>
                  <w:tcW w:w="837" w:type="pct"/>
                  <w:vAlign w:val="center"/>
                </w:tcPr>
                <w:p>
                  <w:pPr>
                    <w:widowControl/>
                    <w:jc w:val="center"/>
                    <w:textAlignment w:val="center"/>
                    <w:rPr>
                      <w:kern w:val="0"/>
                      <w:szCs w:val="21"/>
                    </w:rPr>
                  </w:pPr>
                  <w:r>
                    <w:rPr>
                      <w:rFonts w:hint="eastAsia"/>
                      <w:kern w:val="0"/>
                      <w:szCs w:val="21"/>
                    </w:rPr>
                    <w:t>17:00-18:00</w:t>
                  </w:r>
                </w:p>
              </w:tc>
              <w:tc>
                <w:tcPr>
                  <w:tcW w:w="516" w:type="pct"/>
                  <w:vAlign w:val="center"/>
                </w:tcPr>
                <w:p>
                  <w:pPr>
                    <w:widowControl/>
                    <w:jc w:val="center"/>
                    <w:textAlignment w:val="center"/>
                    <w:rPr>
                      <w:kern w:val="0"/>
                      <w:szCs w:val="21"/>
                    </w:rPr>
                  </w:pPr>
                  <w:r>
                    <w:rPr>
                      <w:rFonts w:hint="eastAsia"/>
                      <w:kern w:val="0"/>
                      <w:szCs w:val="21"/>
                    </w:rPr>
                    <w:t>0.016</w:t>
                  </w:r>
                </w:p>
              </w:tc>
              <w:tc>
                <w:tcPr>
                  <w:tcW w:w="507" w:type="pct"/>
                  <w:tcBorders>
                    <w:left w:val="single" w:color="auto" w:sz="4" w:space="0"/>
                  </w:tcBorders>
                  <w:vAlign w:val="center"/>
                </w:tcPr>
                <w:p>
                  <w:pPr>
                    <w:widowControl/>
                    <w:jc w:val="center"/>
                    <w:textAlignment w:val="center"/>
                    <w:rPr>
                      <w:kern w:val="0"/>
                      <w:szCs w:val="21"/>
                    </w:rPr>
                  </w:pPr>
                  <w:r>
                    <w:rPr>
                      <w:rFonts w:hint="eastAsia"/>
                      <w:kern w:val="0"/>
                      <w:szCs w:val="21"/>
                    </w:rPr>
                    <w:t>0.022</w:t>
                  </w:r>
                </w:p>
              </w:tc>
              <w:tc>
                <w:tcPr>
                  <w:tcW w:w="523" w:type="pct"/>
                  <w:tcBorders>
                    <w:left w:val="single" w:color="auto" w:sz="4" w:space="0"/>
                  </w:tcBorders>
                  <w:vAlign w:val="center"/>
                </w:tcPr>
                <w:p>
                  <w:pPr>
                    <w:widowControl/>
                    <w:jc w:val="center"/>
                    <w:textAlignment w:val="center"/>
                    <w:rPr>
                      <w:kern w:val="0"/>
                      <w:szCs w:val="21"/>
                    </w:rPr>
                  </w:pPr>
                  <w:r>
                    <w:rPr>
                      <w:rFonts w:hint="eastAsia"/>
                      <w:kern w:val="0"/>
                      <w:szCs w:val="21"/>
                    </w:rPr>
                    <w:t>0.025</w:t>
                  </w:r>
                </w:p>
              </w:tc>
              <w:tc>
                <w:tcPr>
                  <w:tcW w:w="532" w:type="pct"/>
                  <w:tcBorders>
                    <w:left w:val="single" w:color="auto" w:sz="4" w:space="0"/>
                  </w:tcBorders>
                  <w:vAlign w:val="center"/>
                </w:tcPr>
                <w:p>
                  <w:pPr>
                    <w:widowControl/>
                    <w:jc w:val="center"/>
                    <w:textAlignment w:val="center"/>
                    <w:rPr>
                      <w:kern w:val="0"/>
                      <w:szCs w:val="21"/>
                    </w:rPr>
                  </w:pPr>
                  <w:r>
                    <w:rPr>
                      <w:rFonts w:hint="eastAsia"/>
                      <w:kern w:val="0"/>
                      <w:szCs w:val="21"/>
                    </w:rPr>
                    <w:t>0.016</w:t>
                  </w:r>
                </w:p>
              </w:tc>
              <w:tc>
                <w:tcPr>
                  <w:tcW w:w="523" w:type="pct"/>
                  <w:vMerge w:val="continue"/>
                  <w:tcBorders>
                    <w:left w:val="single" w:color="auto" w:sz="4" w:space="0"/>
                  </w:tcBorders>
                  <w:vAlign w:val="center"/>
                </w:tcPr>
                <w:p>
                  <w:pPr>
                    <w:widowControl/>
                    <w:jc w:val="center"/>
                    <w:textAlignment w:val="center"/>
                    <w:rPr>
                      <w:kern w:val="0"/>
                      <w:szCs w:val="21"/>
                    </w:rPr>
                  </w:pP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 w:hRule="atLeast"/>
                <w:jc w:val="center"/>
              </w:trPr>
              <w:tc>
                <w:tcPr>
                  <w:tcW w:w="1935" w:type="pct"/>
                  <w:gridSpan w:val="3"/>
                  <w:vAlign w:val="center"/>
                </w:tcPr>
                <w:p>
                  <w:pPr>
                    <w:widowControl/>
                    <w:jc w:val="center"/>
                    <w:textAlignment w:val="center"/>
                    <w:rPr>
                      <w:kern w:val="0"/>
                      <w:szCs w:val="21"/>
                    </w:rPr>
                  </w:pPr>
                  <w:r>
                    <w:rPr>
                      <w:rFonts w:hint="eastAsia"/>
                      <w:kern w:val="0"/>
                      <w:szCs w:val="21"/>
                    </w:rPr>
                    <w:t>平均值</w:t>
                  </w:r>
                </w:p>
              </w:tc>
              <w:tc>
                <w:tcPr>
                  <w:tcW w:w="516" w:type="pct"/>
                  <w:vAlign w:val="center"/>
                </w:tcPr>
                <w:p>
                  <w:pPr>
                    <w:widowControl/>
                    <w:jc w:val="center"/>
                    <w:textAlignment w:val="center"/>
                    <w:rPr>
                      <w:b/>
                      <w:bCs/>
                      <w:kern w:val="0"/>
                      <w:szCs w:val="21"/>
                    </w:rPr>
                  </w:pPr>
                  <w:r>
                    <w:rPr>
                      <w:rFonts w:hint="eastAsia"/>
                      <w:b/>
                      <w:bCs/>
                      <w:kern w:val="0"/>
                      <w:szCs w:val="21"/>
                    </w:rPr>
                    <w:t>0.013</w:t>
                  </w:r>
                </w:p>
              </w:tc>
              <w:tc>
                <w:tcPr>
                  <w:tcW w:w="507" w:type="pct"/>
                  <w:tcBorders>
                    <w:left w:val="single" w:color="auto" w:sz="4" w:space="0"/>
                  </w:tcBorders>
                  <w:vAlign w:val="center"/>
                </w:tcPr>
                <w:p>
                  <w:pPr>
                    <w:widowControl/>
                    <w:jc w:val="center"/>
                    <w:textAlignment w:val="center"/>
                    <w:rPr>
                      <w:b/>
                      <w:bCs/>
                      <w:kern w:val="0"/>
                      <w:szCs w:val="21"/>
                    </w:rPr>
                  </w:pPr>
                  <w:r>
                    <w:rPr>
                      <w:rFonts w:hint="eastAsia"/>
                      <w:b/>
                      <w:bCs/>
                      <w:kern w:val="0"/>
                      <w:szCs w:val="21"/>
                    </w:rPr>
                    <w:t>0.022</w:t>
                  </w:r>
                </w:p>
              </w:tc>
              <w:tc>
                <w:tcPr>
                  <w:tcW w:w="523" w:type="pct"/>
                  <w:tcBorders>
                    <w:left w:val="single" w:color="auto" w:sz="4" w:space="0"/>
                  </w:tcBorders>
                  <w:vAlign w:val="center"/>
                </w:tcPr>
                <w:p>
                  <w:pPr>
                    <w:widowControl/>
                    <w:jc w:val="center"/>
                    <w:textAlignment w:val="center"/>
                    <w:rPr>
                      <w:b/>
                      <w:bCs/>
                      <w:kern w:val="0"/>
                      <w:szCs w:val="21"/>
                    </w:rPr>
                  </w:pPr>
                  <w:r>
                    <w:rPr>
                      <w:rFonts w:hint="eastAsia"/>
                      <w:b/>
                      <w:bCs/>
                      <w:kern w:val="0"/>
                      <w:szCs w:val="21"/>
                    </w:rPr>
                    <w:t>0.019</w:t>
                  </w:r>
                </w:p>
              </w:tc>
              <w:tc>
                <w:tcPr>
                  <w:tcW w:w="532" w:type="pct"/>
                  <w:tcBorders>
                    <w:left w:val="single" w:color="auto" w:sz="4" w:space="0"/>
                  </w:tcBorders>
                  <w:vAlign w:val="center"/>
                </w:tcPr>
                <w:p>
                  <w:pPr>
                    <w:widowControl/>
                    <w:jc w:val="center"/>
                    <w:textAlignment w:val="center"/>
                    <w:rPr>
                      <w:b/>
                      <w:bCs/>
                      <w:kern w:val="0"/>
                      <w:szCs w:val="21"/>
                    </w:rPr>
                  </w:pPr>
                  <w:r>
                    <w:rPr>
                      <w:rFonts w:hint="eastAsia"/>
                      <w:b/>
                      <w:bCs/>
                      <w:kern w:val="0"/>
                      <w:szCs w:val="21"/>
                    </w:rPr>
                    <w:t>0.023</w:t>
                  </w:r>
                </w:p>
              </w:tc>
              <w:tc>
                <w:tcPr>
                  <w:tcW w:w="523" w:type="pct"/>
                  <w:vMerge w:val="continue"/>
                  <w:tcBorders>
                    <w:left w:val="single" w:color="auto" w:sz="4" w:space="0"/>
                  </w:tcBorders>
                  <w:vAlign w:val="center"/>
                </w:tcPr>
                <w:p>
                  <w:pPr>
                    <w:widowControl/>
                    <w:jc w:val="center"/>
                    <w:textAlignment w:val="center"/>
                    <w:rPr>
                      <w:kern w:val="0"/>
                      <w:szCs w:val="21"/>
                    </w:rPr>
                  </w:pP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 w:hRule="atLeast"/>
                <w:jc w:val="center"/>
              </w:trPr>
              <w:tc>
                <w:tcPr>
                  <w:tcW w:w="429" w:type="pct"/>
                  <w:vMerge w:val="restart"/>
                  <w:vAlign w:val="center"/>
                </w:tcPr>
                <w:p>
                  <w:pPr>
                    <w:widowControl/>
                    <w:jc w:val="center"/>
                    <w:textAlignment w:val="center"/>
                    <w:rPr>
                      <w:kern w:val="0"/>
                      <w:szCs w:val="21"/>
                    </w:rPr>
                  </w:pPr>
                  <w:r>
                    <w:rPr>
                      <w:rFonts w:hint="eastAsia"/>
                      <w:kern w:val="0"/>
                      <w:szCs w:val="21"/>
                    </w:rPr>
                    <w:t>非甲烷总烃</w:t>
                  </w:r>
                </w:p>
              </w:tc>
              <w:tc>
                <w:tcPr>
                  <w:tcW w:w="669" w:type="pct"/>
                  <w:vMerge w:val="restart"/>
                  <w:vAlign w:val="center"/>
                </w:tcPr>
                <w:p>
                  <w:pPr>
                    <w:widowControl/>
                    <w:jc w:val="center"/>
                    <w:textAlignment w:val="center"/>
                    <w:rPr>
                      <w:bCs/>
                      <w:kern w:val="0"/>
                      <w:szCs w:val="21"/>
                    </w:rPr>
                  </w:pPr>
                  <w:r>
                    <w:rPr>
                      <w:rFonts w:hint="eastAsia"/>
                      <w:kern w:val="0"/>
                      <w:szCs w:val="21"/>
                    </w:rPr>
                    <w:t>2021-03-19</w:t>
                  </w:r>
                </w:p>
              </w:tc>
              <w:tc>
                <w:tcPr>
                  <w:tcW w:w="837" w:type="pct"/>
                  <w:vAlign w:val="center"/>
                </w:tcPr>
                <w:p>
                  <w:pPr>
                    <w:widowControl/>
                    <w:jc w:val="center"/>
                    <w:textAlignment w:val="center"/>
                    <w:rPr>
                      <w:kern w:val="0"/>
                      <w:szCs w:val="21"/>
                    </w:rPr>
                  </w:pPr>
                  <w:r>
                    <w:rPr>
                      <w:rFonts w:hint="eastAsia"/>
                      <w:kern w:val="0"/>
                      <w:szCs w:val="21"/>
                    </w:rPr>
                    <w:t>09:00</w:t>
                  </w:r>
                </w:p>
              </w:tc>
              <w:tc>
                <w:tcPr>
                  <w:tcW w:w="516" w:type="pct"/>
                  <w:vAlign w:val="center"/>
                </w:tcPr>
                <w:p>
                  <w:pPr>
                    <w:widowControl/>
                    <w:jc w:val="center"/>
                    <w:textAlignment w:val="center"/>
                    <w:rPr>
                      <w:kern w:val="0"/>
                      <w:szCs w:val="21"/>
                    </w:rPr>
                  </w:pPr>
                  <w:r>
                    <w:rPr>
                      <w:rFonts w:hint="eastAsia"/>
                      <w:kern w:val="0"/>
                      <w:szCs w:val="21"/>
                    </w:rPr>
                    <w:t>0.57</w:t>
                  </w:r>
                </w:p>
              </w:tc>
              <w:tc>
                <w:tcPr>
                  <w:tcW w:w="507" w:type="pct"/>
                  <w:tcBorders>
                    <w:left w:val="single" w:color="auto" w:sz="4" w:space="0"/>
                  </w:tcBorders>
                  <w:vAlign w:val="center"/>
                </w:tcPr>
                <w:p>
                  <w:pPr>
                    <w:widowControl/>
                    <w:jc w:val="center"/>
                    <w:textAlignment w:val="center"/>
                    <w:rPr>
                      <w:kern w:val="0"/>
                      <w:szCs w:val="21"/>
                    </w:rPr>
                  </w:pPr>
                  <w:r>
                    <w:rPr>
                      <w:rFonts w:hint="eastAsia"/>
                      <w:kern w:val="0"/>
                      <w:szCs w:val="21"/>
                    </w:rPr>
                    <w:t>0.72</w:t>
                  </w:r>
                </w:p>
              </w:tc>
              <w:tc>
                <w:tcPr>
                  <w:tcW w:w="523" w:type="pct"/>
                  <w:tcBorders>
                    <w:left w:val="single" w:color="auto" w:sz="4" w:space="0"/>
                  </w:tcBorders>
                  <w:vAlign w:val="center"/>
                </w:tcPr>
                <w:p>
                  <w:pPr>
                    <w:widowControl/>
                    <w:jc w:val="center"/>
                    <w:textAlignment w:val="center"/>
                    <w:rPr>
                      <w:kern w:val="0"/>
                      <w:szCs w:val="21"/>
                    </w:rPr>
                  </w:pPr>
                  <w:r>
                    <w:rPr>
                      <w:rFonts w:hint="eastAsia"/>
                      <w:kern w:val="0"/>
                      <w:szCs w:val="21"/>
                    </w:rPr>
                    <w:t>0.82</w:t>
                  </w:r>
                </w:p>
              </w:tc>
              <w:tc>
                <w:tcPr>
                  <w:tcW w:w="532" w:type="pct"/>
                  <w:tcBorders>
                    <w:left w:val="single" w:color="auto" w:sz="4" w:space="0"/>
                  </w:tcBorders>
                  <w:vAlign w:val="center"/>
                </w:tcPr>
                <w:p>
                  <w:pPr>
                    <w:widowControl/>
                    <w:jc w:val="center"/>
                    <w:textAlignment w:val="center"/>
                    <w:rPr>
                      <w:kern w:val="0"/>
                      <w:szCs w:val="21"/>
                    </w:rPr>
                  </w:pPr>
                  <w:r>
                    <w:rPr>
                      <w:rFonts w:hint="eastAsia"/>
                      <w:kern w:val="0"/>
                      <w:szCs w:val="21"/>
                    </w:rPr>
                    <w:t>0.88</w:t>
                  </w:r>
                </w:p>
              </w:tc>
              <w:tc>
                <w:tcPr>
                  <w:tcW w:w="523" w:type="pct"/>
                  <w:vMerge w:val="restart"/>
                  <w:tcBorders>
                    <w:left w:val="single" w:color="auto" w:sz="4" w:space="0"/>
                  </w:tcBorders>
                  <w:vAlign w:val="center"/>
                </w:tcPr>
                <w:p>
                  <w:pPr>
                    <w:widowControl/>
                    <w:jc w:val="center"/>
                    <w:textAlignment w:val="center"/>
                    <w:rPr>
                      <w:kern w:val="0"/>
                      <w:szCs w:val="21"/>
                    </w:rPr>
                  </w:pPr>
                  <w:r>
                    <w:rPr>
                      <w:rFonts w:hint="eastAsia"/>
                      <w:kern w:val="0"/>
                      <w:szCs w:val="21"/>
                    </w:rPr>
                    <w:t>4.0</w:t>
                  </w: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 w:hRule="atLeast"/>
                <w:jc w:val="center"/>
              </w:trPr>
              <w:tc>
                <w:tcPr>
                  <w:tcW w:w="429" w:type="pct"/>
                  <w:vMerge w:val="continue"/>
                  <w:vAlign w:val="center"/>
                </w:tcPr>
                <w:p>
                  <w:pPr>
                    <w:widowControl/>
                    <w:jc w:val="center"/>
                    <w:textAlignment w:val="center"/>
                    <w:rPr>
                      <w:kern w:val="0"/>
                      <w:szCs w:val="21"/>
                    </w:rPr>
                  </w:pPr>
                </w:p>
              </w:tc>
              <w:tc>
                <w:tcPr>
                  <w:tcW w:w="669" w:type="pct"/>
                  <w:vMerge w:val="continue"/>
                  <w:vAlign w:val="center"/>
                </w:tcPr>
                <w:p>
                  <w:pPr>
                    <w:widowControl/>
                    <w:jc w:val="center"/>
                    <w:textAlignment w:val="center"/>
                    <w:rPr>
                      <w:bCs/>
                      <w:kern w:val="0"/>
                      <w:szCs w:val="21"/>
                    </w:rPr>
                  </w:pPr>
                </w:p>
              </w:tc>
              <w:tc>
                <w:tcPr>
                  <w:tcW w:w="837" w:type="pct"/>
                  <w:vAlign w:val="center"/>
                </w:tcPr>
                <w:p>
                  <w:pPr>
                    <w:widowControl/>
                    <w:jc w:val="center"/>
                    <w:textAlignment w:val="center"/>
                    <w:rPr>
                      <w:kern w:val="0"/>
                      <w:szCs w:val="21"/>
                    </w:rPr>
                  </w:pPr>
                  <w:r>
                    <w:rPr>
                      <w:rFonts w:hint="eastAsia"/>
                      <w:kern w:val="0"/>
                      <w:szCs w:val="21"/>
                    </w:rPr>
                    <w:t>13:00</w:t>
                  </w:r>
                </w:p>
              </w:tc>
              <w:tc>
                <w:tcPr>
                  <w:tcW w:w="516" w:type="pct"/>
                  <w:vAlign w:val="center"/>
                </w:tcPr>
                <w:p>
                  <w:pPr>
                    <w:widowControl/>
                    <w:jc w:val="center"/>
                    <w:textAlignment w:val="center"/>
                    <w:rPr>
                      <w:kern w:val="0"/>
                      <w:szCs w:val="21"/>
                    </w:rPr>
                  </w:pPr>
                  <w:r>
                    <w:rPr>
                      <w:rFonts w:hint="eastAsia"/>
                      <w:kern w:val="0"/>
                      <w:szCs w:val="21"/>
                    </w:rPr>
                    <w:t>0.66</w:t>
                  </w:r>
                </w:p>
              </w:tc>
              <w:tc>
                <w:tcPr>
                  <w:tcW w:w="507" w:type="pct"/>
                  <w:tcBorders>
                    <w:left w:val="single" w:color="auto" w:sz="4" w:space="0"/>
                  </w:tcBorders>
                  <w:vAlign w:val="center"/>
                </w:tcPr>
                <w:p>
                  <w:pPr>
                    <w:widowControl/>
                    <w:jc w:val="center"/>
                    <w:textAlignment w:val="center"/>
                    <w:rPr>
                      <w:kern w:val="0"/>
                      <w:szCs w:val="21"/>
                    </w:rPr>
                  </w:pPr>
                  <w:r>
                    <w:rPr>
                      <w:rFonts w:hint="eastAsia"/>
                      <w:kern w:val="0"/>
                      <w:szCs w:val="21"/>
                    </w:rPr>
                    <w:t>0.78</w:t>
                  </w:r>
                </w:p>
              </w:tc>
              <w:tc>
                <w:tcPr>
                  <w:tcW w:w="523" w:type="pct"/>
                  <w:tcBorders>
                    <w:left w:val="single" w:color="auto" w:sz="4" w:space="0"/>
                  </w:tcBorders>
                  <w:vAlign w:val="center"/>
                </w:tcPr>
                <w:p>
                  <w:pPr>
                    <w:widowControl/>
                    <w:jc w:val="center"/>
                    <w:textAlignment w:val="center"/>
                    <w:rPr>
                      <w:kern w:val="0"/>
                      <w:szCs w:val="21"/>
                    </w:rPr>
                  </w:pPr>
                  <w:r>
                    <w:rPr>
                      <w:rFonts w:hint="eastAsia"/>
                      <w:kern w:val="0"/>
                      <w:szCs w:val="21"/>
                    </w:rPr>
                    <w:t>0.91</w:t>
                  </w:r>
                </w:p>
              </w:tc>
              <w:tc>
                <w:tcPr>
                  <w:tcW w:w="532" w:type="pct"/>
                  <w:tcBorders>
                    <w:left w:val="single" w:color="auto" w:sz="4" w:space="0"/>
                  </w:tcBorders>
                  <w:vAlign w:val="center"/>
                </w:tcPr>
                <w:p>
                  <w:pPr>
                    <w:widowControl/>
                    <w:jc w:val="center"/>
                    <w:textAlignment w:val="center"/>
                    <w:rPr>
                      <w:kern w:val="0"/>
                      <w:szCs w:val="21"/>
                    </w:rPr>
                  </w:pPr>
                  <w:r>
                    <w:rPr>
                      <w:rFonts w:hint="eastAsia"/>
                      <w:kern w:val="0"/>
                      <w:szCs w:val="21"/>
                    </w:rPr>
                    <w:t>0.93</w:t>
                  </w:r>
                </w:p>
              </w:tc>
              <w:tc>
                <w:tcPr>
                  <w:tcW w:w="523" w:type="pct"/>
                  <w:vMerge w:val="continue"/>
                  <w:tcBorders>
                    <w:left w:val="single" w:color="auto" w:sz="4" w:space="0"/>
                  </w:tcBorders>
                  <w:vAlign w:val="center"/>
                </w:tcPr>
                <w:p>
                  <w:pPr>
                    <w:widowControl/>
                    <w:jc w:val="center"/>
                    <w:textAlignment w:val="center"/>
                    <w:rPr>
                      <w:kern w:val="0"/>
                      <w:szCs w:val="21"/>
                    </w:rPr>
                  </w:pP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8" w:hRule="atLeast"/>
                <w:jc w:val="center"/>
              </w:trPr>
              <w:tc>
                <w:tcPr>
                  <w:tcW w:w="429" w:type="pct"/>
                  <w:vMerge w:val="continue"/>
                  <w:vAlign w:val="center"/>
                </w:tcPr>
                <w:p>
                  <w:pPr>
                    <w:widowControl/>
                    <w:jc w:val="center"/>
                    <w:textAlignment w:val="center"/>
                    <w:rPr>
                      <w:kern w:val="0"/>
                      <w:szCs w:val="21"/>
                    </w:rPr>
                  </w:pPr>
                </w:p>
              </w:tc>
              <w:tc>
                <w:tcPr>
                  <w:tcW w:w="669" w:type="pct"/>
                  <w:vMerge w:val="continue"/>
                  <w:vAlign w:val="center"/>
                </w:tcPr>
                <w:p>
                  <w:pPr>
                    <w:widowControl/>
                    <w:jc w:val="center"/>
                    <w:textAlignment w:val="center"/>
                    <w:rPr>
                      <w:bCs/>
                      <w:kern w:val="0"/>
                      <w:szCs w:val="21"/>
                    </w:rPr>
                  </w:pPr>
                </w:p>
              </w:tc>
              <w:tc>
                <w:tcPr>
                  <w:tcW w:w="837" w:type="pct"/>
                  <w:vAlign w:val="center"/>
                </w:tcPr>
                <w:p>
                  <w:pPr>
                    <w:widowControl/>
                    <w:jc w:val="center"/>
                    <w:textAlignment w:val="center"/>
                    <w:rPr>
                      <w:kern w:val="0"/>
                      <w:szCs w:val="21"/>
                    </w:rPr>
                  </w:pPr>
                  <w:r>
                    <w:rPr>
                      <w:rFonts w:hint="eastAsia"/>
                      <w:kern w:val="0"/>
                      <w:szCs w:val="21"/>
                    </w:rPr>
                    <w:t>17:00</w:t>
                  </w:r>
                </w:p>
              </w:tc>
              <w:tc>
                <w:tcPr>
                  <w:tcW w:w="516" w:type="pct"/>
                  <w:vAlign w:val="center"/>
                </w:tcPr>
                <w:p>
                  <w:pPr>
                    <w:widowControl/>
                    <w:jc w:val="center"/>
                    <w:textAlignment w:val="center"/>
                    <w:rPr>
                      <w:kern w:val="0"/>
                      <w:szCs w:val="21"/>
                    </w:rPr>
                  </w:pPr>
                  <w:r>
                    <w:rPr>
                      <w:rFonts w:hint="eastAsia"/>
                      <w:kern w:val="0"/>
                      <w:szCs w:val="21"/>
                    </w:rPr>
                    <w:t>0.61</w:t>
                  </w:r>
                </w:p>
              </w:tc>
              <w:tc>
                <w:tcPr>
                  <w:tcW w:w="507" w:type="pct"/>
                  <w:tcBorders>
                    <w:left w:val="single" w:color="auto" w:sz="4" w:space="0"/>
                  </w:tcBorders>
                  <w:vAlign w:val="center"/>
                </w:tcPr>
                <w:p>
                  <w:pPr>
                    <w:widowControl/>
                    <w:jc w:val="center"/>
                    <w:textAlignment w:val="center"/>
                    <w:rPr>
                      <w:kern w:val="0"/>
                      <w:szCs w:val="21"/>
                    </w:rPr>
                  </w:pPr>
                  <w:r>
                    <w:rPr>
                      <w:rFonts w:hint="eastAsia"/>
                      <w:kern w:val="0"/>
                      <w:szCs w:val="21"/>
                    </w:rPr>
                    <w:t>0.79</w:t>
                  </w:r>
                </w:p>
              </w:tc>
              <w:tc>
                <w:tcPr>
                  <w:tcW w:w="523" w:type="pct"/>
                  <w:tcBorders>
                    <w:left w:val="single" w:color="auto" w:sz="4" w:space="0"/>
                  </w:tcBorders>
                  <w:vAlign w:val="center"/>
                </w:tcPr>
                <w:p>
                  <w:pPr>
                    <w:widowControl/>
                    <w:jc w:val="center"/>
                    <w:textAlignment w:val="center"/>
                    <w:rPr>
                      <w:kern w:val="0"/>
                      <w:szCs w:val="21"/>
                    </w:rPr>
                  </w:pPr>
                  <w:r>
                    <w:rPr>
                      <w:rFonts w:hint="eastAsia"/>
                      <w:kern w:val="0"/>
                      <w:szCs w:val="21"/>
                    </w:rPr>
                    <w:t>0.89</w:t>
                  </w:r>
                </w:p>
              </w:tc>
              <w:tc>
                <w:tcPr>
                  <w:tcW w:w="532" w:type="pct"/>
                  <w:tcBorders>
                    <w:left w:val="single" w:color="auto" w:sz="4" w:space="0"/>
                  </w:tcBorders>
                  <w:vAlign w:val="center"/>
                </w:tcPr>
                <w:p>
                  <w:pPr>
                    <w:widowControl/>
                    <w:jc w:val="center"/>
                    <w:textAlignment w:val="center"/>
                    <w:rPr>
                      <w:kern w:val="0"/>
                      <w:szCs w:val="21"/>
                    </w:rPr>
                  </w:pPr>
                  <w:r>
                    <w:rPr>
                      <w:rFonts w:hint="eastAsia"/>
                      <w:kern w:val="0"/>
                      <w:szCs w:val="21"/>
                    </w:rPr>
                    <w:t>0.85</w:t>
                  </w:r>
                </w:p>
              </w:tc>
              <w:tc>
                <w:tcPr>
                  <w:tcW w:w="523" w:type="pct"/>
                  <w:vMerge w:val="continue"/>
                  <w:tcBorders>
                    <w:left w:val="single" w:color="auto" w:sz="4" w:space="0"/>
                  </w:tcBorders>
                  <w:vAlign w:val="center"/>
                </w:tcPr>
                <w:p>
                  <w:pPr>
                    <w:widowControl/>
                    <w:jc w:val="center"/>
                    <w:textAlignment w:val="center"/>
                    <w:rPr>
                      <w:kern w:val="0"/>
                      <w:szCs w:val="21"/>
                    </w:rPr>
                  </w:pPr>
                </w:p>
              </w:tc>
              <w:tc>
                <w:tcPr>
                  <w:tcW w:w="464" w:type="pct"/>
                  <w:tcBorders>
                    <w:left w:val="single" w:color="auto" w:sz="4" w:space="0"/>
                  </w:tcBorders>
                  <w:vAlign w:val="center"/>
                </w:tcPr>
                <w:p>
                  <w:pPr>
                    <w:widowControl/>
                    <w:jc w:val="center"/>
                    <w:textAlignment w:val="center"/>
                    <w:rPr>
                      <w:kern w:val="0"/>
                      <w:szCs w:val="21"/>
                    </w:rPr>
                  </w:pPr>
                  <w:r>
                    <w:rPr>
                      <w:rFonts w:hint="eastAsia"/>
                      <w:kern w:val="0"/>
                      <w:szCs w:val="21"/>
                    </w:rPr>
                    <w:t>达标</w:t>
                  </w:r>
                </w:p>
              </w:tc>
            </w:tr>
          </w:tbl>
          <w:p>
            <w:pPr>
              <w:adjustRightInd w:val="0"/>
              <w:spacing w:before="120" w:beforeLines="50" w:line="360" w:lineRule="auto"/>
              <w:ind w:firstLine="480" w:firstLineChars="200"/>
            </w:pPr>
            <w:r>
              <w:rPr>
                <w:rFonts w:hint="eastAsia" w:cs="宋体"/>
                <w:kern w:val="0"/>
                <w:sz w:val="24"/>
                <w:lang w:bidi="ar"/>
              </w:rPr>
              <w:t>由监测结果可知，现有项目厂区无组织废气中颗粒物、甲醛、非甲烷总烃的排放满足</w:t>
            </w:r>
            <w:r>
              <w:rPr>
                <w:rFonts w:hint="eastAsia"/>
                <w:sz w:val="24"/>
                <w:szCs w:val="21"/>
              </w:rPr>
              <w:t>《大气污染物综合排放标准》（GB16297-1996）表2中无组织排放监控浓度限值。</w:t>
            </w:r>
          </w:p>
          <w:p>
            <w:pPr>
              <w:widowControl/>
              <w:adjustRightInd w:val="0"/>
              <w:spacing w:line="360" w:lineRule="auto"/>
              <w:ind w:firstLine="482" w:firstLineChars="200"/>
              <w:jc w:val="left"/>
              <w:rPr>
                <w:b/>
                <w:sz w:val="24"/>
                <w:szCs w:val="21"/>
              </w:rPr>
            </w:pPr>
            <w:r>
              <w:rPr>
                <w:rFonts w:hint="eastAsia"/>
                <w:b/>
                <w:sz w:val="24"/>
                <w:szCs w:val="21"/>
              </w:rPr>
              <w:t>2、废水</w:t>
            </w:r>
          </w:p>
          <w:p>
            <w:pPr>
              <w:adjustRightInd w:val="0"/>
              <w:spacing w:line="360" w:lineRule="auto"/>
              <w:ind w:firstLine="480" w:firstLineChars="200"/>
              <w:jc w:val="left"/>
              <w:rPr>
                <w:rFonts w:hAnsi="宋体"/>
                <w:sz w:val="24"/>
              </w:rPr>
            </w:pPr>
            <w:r>
              <w:rPr>
                <w:rFonts w:hint="eastAsia" w:hAnsi="宋体"/>
                <w:sz w:val="24"/>
              </w:rPr>
              <w:t>（1）现有项目废水产排情况</w:t>
            </w:r>
          </w:p>
          <w:p>
            <w:pPr>
              <w:adjustRightInd w:val="0"/>
              <w:spacing w:line="360" w:lineRule="auto"/>
              <w:ind w:firstLine="480" w:firstLineChars="200"/>
              <w:rPr>
                <w:sz w:val="24"/>
              </w:rPr>
            </w:pPr>
            <w:r>
              <w:rPr>
                <w:rFonts w:hint="eastAsia"/>
                <w:sz w:val="24"/>
              </w:rPr>
              <w:t>现有</w:t>
            </w:r>
            <w:r>
              <w:rPr>
                <w:sz w:val="24"/>
              </w:rPr>
              <w:t>项目内的用水主要为制胶设备清洗用水、化验室用水、</w:t>
            </w:r>
            <w:r>
              <w:rPr>
                <w:rFonts w:hint="eastAsia"/>
                <w:sz w:val="24"/>
              </w:rPr>
              <w:t>拌胶及热压机</w:t>
            </w:r>
            <w:r>
              <w:rPr>
                <w:sz w:val="24"/>
              </w:rPr>
              <w:t>冷却用水、制胶车间地面清洁水、生活用水</w:t>
            </w:r>
            <w:r>
              <w:rPr>
                <w:rFonts w:hint="eastAsia"/>
                <w:sz w:val="24"/>
              </w:rPr>
              <w:t>、绿化及降尘用水</w:t>
            </w:r>
            <w:r>
              <w:rPr>
                <w:sz w:val="24"/>
              </w:rPr>
              <w:t>。废水主要来自制胶车间废水、生活污水</w:t>
            </w:r>
            <w:r>
              <w:rPr>
                <w:rFonts w:hint="eastAsia"/>
                <w:sz w:val="24"/>
              </w:rPr>
              <w:t>、</w:t>
            </w:r>
            <w:r>
              <w:rPr>
                <w:sz w:val="24"/>
              </w:rPr>
              <w:t>化验室废水。</w:t>
            </w:r>
          </w:p>
          <w:p>
            <w:pPr>
              <w:adjustRightInd w:val="0"/>
              <w:spacing w:line="360" w:lineRule="auto"/>
              <w:ind w:firstLine="480" w:firstLineChars="200"/>
              <w:rPr>
                <w:sz w:val="24"/>
              </w:rPr>
            </w:pPr>
            <w:r>
              <w:rPr>
                <w:rFonts w:hint="eastAsia"/>
                <w:sz w:val="24"/>
              </w:rPr>
              <w:t>根据建设单位提供数据，现有项目</w:t>
            </w:r>
            <w:r>
              <w:rPr>
                <w:sz w:val="24"/>
              </w:rPr>
              <w:t>制胶</w:t>
            </w:r>
            <w:r>
              <w:rPr>
                <w:rFonts w:hint="eastAsia"/>
                <w:sz w:val="24"/>
              </w:rPr>
              <w:t>设备清洗</w:t>
            </w:r>
            <w:r>
              <w:rPr>
                <w:sz w:val="24"/>
              </w:rPr>
              <w:t>用水量约为</w:t>
            </w:r>
            <w:r>
              <w:rPr>
                <w:rFonts w:hint="eastAsia"/>
                <w:sz w:val="24"/>
              </w:rPr>
              <w:t>1</w:t>
            </w:r>
            <w:r>
              <w:rPr>
                <w:sz w:val="24"/>
              </w:rPr>
              <w:t>m</w:t>
            </w:r>
            <w:r>
              <w:rPr>
                <w:sz w:val="24"/>
                <w:vertAlign w:val="superscript"/>
              </w:rPr>
              <w:t>3</w:t>
            </w:r>
            <w:r>
              <w:rPr>
                <w:sz w:val="24"/>
              </w:rPr>
              <w:t>/次</w:t>
            </w:r>
            <w:r>
              <w:rPr>
                <w:rFonts w:hint="eastAsia"/>
                <w:sz w:val="24"/>
              </w:rPr>
              <w:t>，</w:t>
            </w:r>
            <w:r>
              <w:rPr>
                <w:sz w:val="24"/>
              </w:rPr>
              <w:t>废水产生量为</w:t>
            </w:r>
            <w:r>
              <w:rPr>
                <w:rFonts w:hint="eastAsia"/>
                <w:sz w:val="24"/>
              </w:rPr>
              <w:t>0.9</w:t>
            </w:r>
            <w:r>
              <w:rPr>
                <w:sz w:val="24"/>
              </w:rPr>
              <w:t>m</w:t>
            </w:r>
            <w:r>
              <w:rPr>
                <w:sz w:val="24"/>
                <w:vertAlign w:val="superscript"/>
              </w:rPr>
              <w:t>3</w:t>
            </w:r>
            <w:r>
              <w:rPr>
                <w:sz w:val="24"/>
              </w:rPr>
              <w:t>/次，</w:t>
            </w:r>
            <w:r>
              <w:rPr>
                <w:rFonts w:hint="eastAsia"/>
                <w:sz w:val="24"/>
              </w:rPr>
              <w:t>10.8</w:t>
            </w:r>
            <w:r>
              <w:rPr>
                <w:sz w:val="24"/>
              </w:rPr>
              <w:t>m</w:t>
            </w:r>
            <w:r>
              <w:rPr>
                <w:sz w:val="24"/>
                <w:vertAlign w:val="superscript"/>
              </w:rPr>
              <w:t>3</w:t>
            </w:r>
            <w:r>
              <w:rPr>
                <w:sz w:val="24"/>
              </w:rPr>
              <w:t>/a</w:t>
            </w:r>
            <w:r>
              <w:rPr>
                <w:rFonts w:hint="eastAsia"/>
                <w:sz w:val="24"/>
              </w:rPr>
              <w:t>，</w:t>
            </w:r>
            <w:r>
              <w:rPr>
                <w:sz w:val="24"/>
              </w:rPr>
              <w:t>为高浓度有机废水</w:t>
            </w:r>
            <w:r>
              <w:rPr>
                <w:rFonts w:hint="eastAsia"/>
                <w:sz w:val="24"/>
              </w:rPr>
              <w:t>，但废水产生量较少；</w:t>
            </w:r>
            <w:r>
              <w:rPr>
                <w:sz w:val="24"/>
              </w:rPr>
              <w:t>化验室的用水量为0.15m</w:t>
            </w:r>
            <w:r>
              <w:rPr>
                <w:sz w:val="24"/>
                <w:vertAlign w:val="superscript"/>
              </w:rPr>
              <w:t>3</w:t>
            </w:r>
            <w:r>
              <w:rPr>
                <w:sz w:val="24"/>
              </w:rPr>
              <w:t>/d，废水产生量约为0.135m</w:t>
            </w:r>
            <w:r>
              <w:rPr>
                <w:sz w:val="24"/>
                <w:vertAlign w:val="superscript"/>
              </w:rPr>
              <w:t>3</w:t>
            </w:r>
            <w:r>
              <w:rPr>
                <w:sz w:val="24"/>
              </w:rPr>
              <w:t>/d，</w:t>
            </w:r>
            <w:r>
              <w:rPr>
                <w:rFonts w:hint="eastAsia"/>
                <w:sz w:val="24"/>
              </w:rPr>
              <w:t>产生量为</w:t>
            </w:r>
            <w:r>
              <w:rPr>
                <w:sz w:val="24"/>
              </w:rPr>
              <w:t>32.4m</w:t>
            </w:r>
            <w:r>
              <w:rPr>
                <w:sz w:val="24"/>
                <w:vertAlign w:val="superscript"/>
              </w:rPr>
              <w:t>3</w:t>
            </w:r>
            <w:r>
              <w:rPr>
                <w:sz w:val="24"/>
              </w:rPr>
              <w:t>/a</w:t>
            </w:r>
            <w:r>
              <w:rPr>
                <w:rFonts w:hint="eastAsia"/>
                <w:sz w:val="24"/>
              </w:rPr>
              <w:t>，与制胶设备清洗废水一起喷洒在导热油锅炉内燃烧，随锅炉烟气排出</w:t>
            </w:r>
            <w:r>
              <w:rPr>
                <w:sz w:val="24"/>
              </w:rPr>
              <w:t>。</w:t>
            </w:r>
            <w:r>
              <w:rPr>
                <w:rFonts w:hint="eastAsia"/>
                <w:sz w:val="24"/>
              </w:rPr>
              <w:t>冷却用水水</w:t>
            </w:r>
            <w:r>
              <w:rPr>
                <w:sz w:val="24"/>
              </w:rPr>
              <w:t>量约为4m</w:t>
            </w:r>
            <w:r>
              <w:rPr>
                <w:sz w:val="24"/>
                <w:vertAlign w:val="superscript"/>
              </w:rPr>
              <w:t>3</w:t>
            </w:r>
            <w:r>
              <w:rPr>
                <w:sz w:val="24"/>
              </w:rPr>
              <w:t>/d，每天补充的水量为0.</w:t>
            </w:r>
            <w:r>
              <w:rPr>
                <w:rFonts w:hint="eastAsia"/>
                <w:sz w:val="24"/>
              </w:rPr>
              <w:t>8</w:t>
            </w:r>
            <w:r>
              <w:rPr>
                <w:sz w:val="24"/>
              </w:rPr>
              <w:t>m</w:t>
            </w:r>
            <w:r>
              <w:rPr>
                <w:sz w:val="24"/>
                <w:vertAlign w:val="superscript"/>
              </w:rPr>
              <w:t>3</w:t>
            </w:r>
            <w:r>
              <w:rPr>
                <w:sz w:val="24"/>
              </w:rPr>
              <w:t>/d</w:t>
            </w:r>
            <w:r>
              <w:rPr>
                <w:rFonts w:hint="eastAsia"/>
                <w:sz w:val="24"/>
              </w:rPr>
              <w:t>，240</w:t>
            </w:r>
            <w:r>
              <w:rPr>
                <w:sz w:val="24"/>
              </w:rPr>
              <w:t>m</w:t>
            </w:r>
            <w:r>
              <w:rPr>
                <w:sz w:val="24"/>
                <w:vertAlign w:val="superscript"/>
              </w:rPr>
              <w:t>3</w:t>
            </w:r>
            <w:r>
              <w:rPr>
                <w:sz w:val="24"/>
              </w:rPr>
              <w:t>/</w:t>
            </w:r>
            <w:r>
              <w:rPr>
                <w:rFonts w:hint="eastAsia"/>
                <w:sz w:val="24"/>
              </w:rPr>
              <w:t>a，</w:t>
            </w:r>
            <w:r>
              <w:rPr>
                <w:sz w:val="24"/>
              </w:rPr>
              <w:t>该部分水冷却后循环利用</w:t>
            </w:r>
            <w:r>
              <w:rPr>
                <w:rFonts w:hint="eastAsia"/>
                <w:sz w:val="24"/>
              </w:rPr>
              <w:t>。</w:t>
            </w:r>
            <w:r>
              <w:rPr>
                <w:rFonts w:hAnsi="宋体"/>
                <w:sz w:val="24"/>
              </w:rPr>
              <w:t>制胶车间地面</w:t>
            </w:r>
            <w:r>
              <w:rPr>
                <w:rFonts w:hint="eastAsia" w:hAnsi="宋体"/>
                <w:sz w:val="24"/>
              </w:rPr>
              <w:t>清洁</w:t>
            </w:r>
            <w:r>
              <w:rPr>
                <w:rFonts w:hAnsi="宋体"/>
                <w:sz w:val="24"/>
              </w:rPr>
              <w:t>一般</w:t>
            </w:r>
            <w:r>
              <w:rPr>
                <w:sz w:val="24"/>
              </w:rPr>
              <w:t>1</w:t>
            </w:r>
            <w:r>
              <w:rPr>
                <w:rFonts w:hAnsi="宋体"/>
                <w:sz w:val="24"/>
              </w:rPr>
              <w:t>个月</w:t>
            </w:r>
            <w:r>
              <w:rPr>
                <w:rFonts w:hint="eastAsia" w:hAnsi="宋体"/>
                <w:sz w:val="24"/>
              </w:rPr>
              <w:t>一</w:t>
            </w:r>
            <w:r>
              <w:rPr>
                <w:rFonts w:hAnsi="宋体"/>
                <w:sz w:val="24"/>
              </w:rPr>
              <w:t>次，每次</w:t>
            </w:r>
            <w:r>
              <w:rPr>
                <w:rFonts w:hint="eastAsia" w:hAnsi="宋体"/>
                <w:sz w:val="24"/>
              </w:rPr>
              <w:t>清洁</w:t>
            </w:r>
            <w:r>
              <w:rPr>
                <w:rFonts w:hAnsi="宋体"/>
                <w:sz w:val="24"/>
              </w:rPr>
              <w:t>的用量为</w:t>
            </w:r>
            <w:r>
              <w:rPr>
                <w:rFonts w:hint="eastAsia"/>
                <w:sz w:val="24"/>
              </w:rPr>
              <w:t>1</w:t>
            </w:r>
            <w:r>
              <w:rPr>
                <w:sz w:val="24"/>
              </w:rPr>
              <w:t>m</w:t>
            </w:r>
            <w:r>
              <w:rPr>
                <w:sz w:val="24"/>
                <w:vertAlign w:val="superscript"/>
              </w:rPr>
              <w:t>3</w:t>
            </w:r>
            <w:r>
              <w:rPr>
                <w:sz w:val="24"/>
              </w:rPr>
              <w:t>/次，废水产生量为</w:t>
            </w:r>
            <w:r>
              <w:rPr>
                <w:rFonts w:hint="eastAsia"/>
                <w:sz w:val="24"/>
              </w:rPr>
              <w:t>0.9</w:t>
            </w:r>
            <w:r>
              <w:rPr>
                <w:sz w:val="24"/>
              </w:rPr>
              <w:t>m</w:t>
            </w:r>
            <w:r>
              <w:rPr>
                <w:sz w:val="24"/>
                <w:vertAlign w:val="superscript"/>
              </w:rPr>
              <w:t>3</w:t>
            </w:r>
            <w:r>
              <w:rPr>
                <w:sz w:val="24"/>
              </w:rPr>
              <w:t>/次，</w:t>
            </w:r>
            <w:r>
              <w:rPr>
                <w:rFonts w:hint="eastAsia"/>
                <w:sz w:val="24"/>
              </w:rPr>
              <w:t>10.8</w:t>
            </w:r>
            <w:r>
              <w:rPr>
                <w:sz w:val="24"/>
              </w:rPr>
              <w:t>m</w:t>
            </w:r>
            <w:r>
              <w:rPr>
                <w:sz w:val="24"/>
                <w:vertAlign w:val="superscript"/>
              </w:rPr>
              <w:t>3</w:t>
            </w:r>
            <w:r>
              <w:rPr>
                <w:sz w:val="24"/>
              </w:rPr>
              <w:t>/a</w:t>
            </w:r>
            <w:r>
              <w:rPr>
                <w:rFonts w:hint="eastAsia"/>
                <w:sz w:val="24"/>
              </w:rPr>
              <w:t>，进入废水收集池再通过泵泵至中水处理站处理</w:t>
            </w:r>
            <w:r>
              <w:rPr>
                <w:sz w:val="24"/>
              </w:rPr>
              <w:t>。</w:t>
            </w:r>
            <w:r>
              <w:rPr>
                <w:rFonts w:hint="eastAsia"/>
                <w:sz w:val="24"/>
              </w:rPr>
              <w:t>厕所用水量为3.15m</w:t>
            </w:r>
            <w:r>
              <w:rPr>
                <w:rFonts w:hint="eastAsia"/>
                <w:sz w:val="24"/>
                <w:vertAlign w:val="superscript"/>
              </w:rPr>
              <w:t>3</w:t>
            </w:r>
            <w:r>
              <w:rPr>
                <w:rFonts w:hint="eastAsia"/>
                <w:sz w:val="24"/>
              </w:rPr>
              <w:t>/d，废水产生量为2.52m</w:t>
            </w:r>
            <w:r>
              <w:rPr>
                <w:rFonts w:hint="eastAsia"/>
                <w:sz w:val="24"/>
                <w:vertAlign w:val="superscript"/>
              </w:rPr>
              <w:t>3</w:t>
            </w:r>
            <w:r>
              <w:rPr>
                <w:rFonts w:hint="eastAsia"/>
                <w:sz w:val="24"/>
              </w:rPr>
              <w:t>/d，756m</w:t>
            </w:r>
            <w:r>
              <w:rPr>
                <w:rFonts w:hint="eastAsia"/>
                <w:sz w:val="24"/>
                <w:vertAlign w:val="superscript"/>
              </w:rPr>
              <w:t>3</w:t>
            </w:r>
            <w:r>
              <w:rPr>
                <w:rFonts w:hint="eastAsia"/>
                <w:sz w:val="24"/>
              </w:rPr>
              <w:t>/a，进入中水处理站处理。生活用水</w:t>
            </w:r>
            <w:r>
              <w:rPr>
                <w:sz w:val="24"/>
              </w:rPr>
              <w:t>量约为2.</w:t>
            </w:r>
            <w:r>
              <w:rPr>
                <w:rFonts w:hint="eastAsia"/>
                <w:sz w:val="24"/>
              </w:rPr>
              <w:t>5</w:t>
            </w:r>
            <w:r>
              <w:rPr>
                <w:sz w:val="24"/>
              </w:rPr>
              <w:t>m</w:t>
            </w:r>
            <w:r>
              <w:rPr>
                <w:sz w:val="24"/>
                <w:vertAlign w:val="superscript"/>
              </w:rPr>
              <w:t>3</w:t>
            </w:r>
            <w:r>
              <w:rPr>
                <w:sz w:val="24"/>
              </w:rPr>
              <w:t>/d，废水产生量为2m</w:t>
            </w:r>
            <w:r>
              <w:rPr>
                <w:sz w:val="24"/>
                <w:vertAlign w:val="superscript"/>
              </w:rPr>
              <w:t>3</w:t>
            </w:r>
            <w:r>
              <w:rPr>
                <w:sz w:val="24"/>
              </w:rPr>
              <w:t>/d，</w:t>
            </w:r>
            <w:r>
              <w:rPr>
                <w:rFonts w:hint="eastAsia"/>
                <w:sz w:val="24"/>
              </w:rPr>
              <w:t>600</w:t>
            </w:r>
            <w:r>
              <w:rPr>
                <w:sz w:val="24"/>
              </w:rPr>
              <w:t>m</w:t>
            </w:r>
            <w:r>
              <w:rPr>
                <w:sz w:val="24"/>
                <w:vertAlign w:val="superscript"/>
              </w:rPr>
              <w:t>3</w:t>
            </w:r>
            <w:r>
              <w:rPr>
                <w:sz w:val="24"/>
              </w:rPr>
              <w:t>/a</w:t>
            </w:r>
            <w:r>
              <w:rPr>
                <w:rFonts w:hint="eastAsia"/>
                <w:sz w:val="24"/>
              </w:rPr>
              <w:t>，经隔油池化粪池处理后进入废水收集池再通过泵泵至中水处理站处理</w:t>
            </w:r>
            <w:r>
              <w:rPr>
                <w:sz w:val="24"/>
              </w:rPr>
              <w:t>。</w:t>
            </w:r>
            <w:r>
              <w:rPr>
                <w:rFonts w:hint="eastAsia"/>
                <w:sz w:val="24"/>
              </w:rPr>
              <w:t>降尘用水9</w:t>
            </w:r>
            <w:r>
              <w:rPr>
                <w:sz w:val="24"/>
              </w:rPr>
              <w:t>.31</w:t>
            </w:r>
            <w:r>
              <w:rPr>
                <w:rFonts w:hint="eastAsia"/>
                <w:sz w:val="24"/>
              </w:rPr>
              <w:t>m</w:t>
            </w:r>
            <w:r>
              <w:rPr>
                <w:rFonts w:hint="eastAsia"/>
                <w:sz w:val="24"/>
                <w:vertAlign w:val="superscript"/>
              </w:rPr>
              <w:t>3</w:t>
            </w:r>
            <w:r>
              <w:rPr>
                <w:rFonts w:hint="eastAsia"/>
                <w:sz w:val="24"/>
              </w:rPr>
              <w:t>/d，不产生废水；绿化用水量为0</w:t>
            </w:r>
            <w:r>
              <w:rPr>
                <w:sz w:val="24"/>
              </w:rPr>
              <w:t>.2m</w:t>
            </w:r>
            <w:r>
              <w:rPr>
                <w:sz w:val="24"/>
                <w:vertAlign w:val="superscript"/>
              </w:rPr>
              <w:t>3</w:t>
            </w:r>
            <w:r>
              <w:rPr>
                <w:sz w:val="24"/>
              </w:rPr>
              <w:t>/</w:t>
            </w:r>
            <w:r>
              <w:rPr>
                <w:rFonts w:hint="eastAsia"/>
                <w:sz w:val="24"/>
              </w:rPr>
              <w:t>d，不产生废水。</w:t>
            </w:r>
          </w:p>
          <w:p>
            <w:pPr>
              <w:adjustRightInd w:val="0"/>
              <w:spacing w:line="360" w:lineRule="auto"/>
              <w:ind w:firstLine="480" w:firstLineChars="200"/>
              <w:rPr>
                <w:sz w:val="24"/>
              </w:rPr>
            </w:pPr>
            <w:r>
              <w:rPr>
                <w:rFonts w:hint="eastAsia"/>
                <w:sz w:val="24"/>
              </w:rPr>
              <w:t>废水经中水处理站处理</w:t>
            </w:r>
            <w:r>
              <w:rPr>
                <w:sz w:val="24"/>
              </w:rPr>
              <w:t>达</w:t>
            </w:r>
            <w:r>
              <w:rPr>
                <w:rFonts w:hint="eastAsia" w:cs="宋体"/>
                <w:kern w:val="0"/>
                <w:sz w:val="24"/>
                <w:lang w:bidi="ar"/>
              </w:rPr>
              <w:t>《城市污水再生利用 城市杂用水水质》（</w:t>
            </w:r>
            <w:r>
              <w:rPr>
                <w:kern w:val="0"/>
                <w:sz w:val="24"/>
                <w:lang w:bidi="ar"/>
              </w:rPr>
              <w:t>GB/T18920-2020</w:t>
            </w:r>
            <w:r>
              <w:rPr>
                <w:rFonts w:hint="eastAsia" w:cs="宋体"/>
                <w:kern w:val="0"/>
                <w:sz w:val="24"/>
                <w:lang w:bidi="ar"/>
              </w:rPr>
              <w:t>）中冲厕、绿化及道路清扫准后，</w:t>
            </w:r>
            <w:r>
              <w:rPr>
                <w:sz w:val="24"/>
              </w:rPr>
              <w:t>回用</w:t>
            </w:r>
            <w:r>
              <w:rPr>
                <w:rFonts w:hint="eastAsia"/>
                <w:sz w:val="24"/>
              </w:rPr>
              <w:t>于项目区冲厕、绿化及降尘用水</w:t>
            </w:r>
            <w:r>
              <w:rPr>
                <w:sz w:val="24"/>
              </w:rPr>
              <w:t>，不外排</w:t>
            </w:r>
            <w:r>
              <w:rPr>
                <w:rFonts w:hint="eastAsia"/>
                <w:sz w:val="24"/>
              </w:rPr>
              <w:t>。</w:t>
            </w:r>
          </w:p>
          <w:p>
            <w:pPr>
              <w:adjustRightInd w:val="0"/>
              <w:spacing w:line="360" w:lineRule="auto"/>
              <w:ind w:firstLine="480" w:firstLineChars="200"/>
              <w:jc w:val="left"/>
              <w:rPr>
                <w:sz w:val="24"/>
              </w:rPr>
            </w:pPr>
            <w:r>
              <w:rPr>
                <w:rFonts w:hint="eastAsia"/>
                <w:sz w:val="24"/>
              </w:rPr>
              <w:t>现有项目水平衡见下图。</w:t>
            </w:r>
          </w:p>
          <w:p>
            <w:pPr>
              <w:adjustRightInd w:val="0"/>
              <w:spacing w:line="360" w:lineRule="auto"/>
              <w:jc w:val="center"/>
              <w:rPr>
                <w:b/>
                <w:sz w:val="24"/>
                <w:szCs w:val="21"/>
              </w:rPr>
            </w:pPr>
            <w:r>
              <w:object>
                <v:shape id="_x0000_i1030" o:spt="75" type="#_x0000_t75" style="height:372.55pt;width:392.65pt;" o:ole="t" filled="f" o:preferrelative="t" stroked="f" coordsize="21600,21600">
                  <v:path/>
                  <v:fill on="f" focussize="0,0"/>
                  <v:stroke on="f" joinstyle="miter"/>
                  <v:imagedata r:id="rId31" o:title=""/>
                  <o:lock v:ext="edit" aspectratio="t"/>
                  <w10:wrap type="none"/>
                  <w10:anchorlock/>
                </v:shape>
                <o:OLEObject Type="Embed" ProgID="Visio.Drawing.15" ShapeID="_x0000_i1030" DrawAspect="Content" ObjectID="_1468075730" r:id="rId30">
                  <o:LockedField>false</o:LockedField>
                </o:OLEObject>
              </w:object>
            </w:r>
          </w:p>
          <w:p>
            <w:pPr>
              <w:adjustRightInd w:val="0"/>
              <w:spacing w:line="360" w:lineRule="auto"/>
              <w:jc w:val="center"/>
              <w:rPr>
                <w:b/>
                <w:bCs/>
                <w:sz w:val="24"/>
              </w:rPr>
            </w:pPr>
            <w:r>
              <w:rPr>
                <w:rFonts w:hint="eastAsia"/>
                <w:b/>
                <w:bCs/>
                <w:sz w:val="24"/>
              </w:rPr>
              <w:t>图2-</w:t>
            </w:r>
            <w:r>
              <w:rPr>
                <w:b/>
                <w:bCs/>
                <w:sz w:val="24"/>
              </w:rPr>
              <w:t>6</w:t>
            </w:r>
            <w:r>
              <w:rPr>
                <w:rFonts w:hint="eastAsia"/>
                <w:b/>
                <w:bCs/>
                <w:sz w:val="24"/>
              </w:rPr>
              <w:t xml:space="preserve"> </w:t>
            </w:r>
            <w:r>
              <w:rPr>
                <w:b/>
                <w:bCs/>
                <w:sz w:val="24"/>
              </w:rPr>
              <w:t xml:space="preserve"> </w:t>
            </w:r>
            <w:r>
              <w:rPr>
                <w:rFonts w:hint="eastAsia"/>
                <w:b/>
                <w:bCs/>
                <w:sz w:val="24"/>
              </w:rPr>
              <w:t xml:space="preserve">现有项目水平衡 </w:t>
            </w:r>
            <w:r>
              <w:rPr>
                <w:b/>
                <w:bCs/>
                <w:sz w:val="24"/>
              </w:rPr>
              <w:t xml:space="preserve">   </w:t>
            </w:r>
            <w:r>
              <w:rPr>
                <w:rFonts w:hint="eastAsia"/>
                <w:b/>
                <w:bCs/>
                <w:sz w:val="24"/>
              </w:rPr>
              <w:t>单位：m</w:t>
            </w:r>
            <w:r>
              <w:rPr>
                <w:b/>
                <w:bCs/>
                <w:sz w:val="24"/>
                <w:vertAlign w:val="superscript"/>
              </w:rPr>
              <w:t>3</w:t>
            </w:r>
            <w:r>
              <w:rPr>
                <w:b/>
                <w:bCs/>
                <w:sz w:val="24"/>
              </w:rPr>
              <w:t>/</w:t>
            </w:r>
            <w:r>
              <w:rPr>
                <w:rFonts w:hint="eastAsia"/>
                <w:b/>
                <w:bCs/>
                <w:sz w:val="24"/>
              </w:rPr>
              <w:t>d</w:t>
            </w:r>
          </w:p>
          <w:p>
            <w:pPr>
              <w:adjustRightInd w:val="0"/>
              <w:spacing w:line="360" w:lineRule="auto"/>
              <w:ind w:firstLine="480" w:firstLineChars="200"/>
              <w:rPr>
                <w:sz w:val="24"/>
              </w:rPr>
            </w:pPr>
            <w:r>
              <w:rPr>
                <w:rFonts w:hint="eastAsia"/>
                <w:sz w:val="24"/>
              </w:rPr>
              <w:t>（2）中水处理站处理效果分析</w:t>
            </w:r>
          </w:p>
          <w:p>
            <w:pPr>
              <w:spacing w:line="360" w:lineRule="auto"/>
              <w:ind w:firstLine="480" w:firstLineChars="200"/>
              <w:rPr>
                <w:sz w:val="24"/>
              </w:rPr>
            </w:pPr>
            <w:r>
              <w:rPr>
                <w:rFonts w:hint="eastAsia"/>
                <w:sz w:val="24"/>
              </w:rPr>
              <w:t>现有项目生活废水处理站</w:t>
            </w:r>
            <w:r>
              <w:rPr>
                <w:sz w:val="24"/>
              </w:rPr>
              <w:t>污水处理工艺</w:t>
            </w:r>
            <w:r>
              <w:rPr>
                <w:rFonts w:hint="eastAsia"/>
                <w:sz w:val="24"/>
              </w:rPr>
              <w:t>如下：</w:t>
            </w:r>
          </w:p>
          <w:p>
            <w:pPr>
              <w:spacing w:line="360" w:lineRule="auto"/>
              <w:jc w:val="center"/>
              <w:rPr>
                <w:sz w:val="24"/>
              </w:rPr>
            </w:pPr>
            <w:r>
              <w:object>
                <v:shape id="_x0000_i1031" o:spt="75" type="#_x0000_t75" style="height:40.2pt;width:393.5pt;" o:ole="t" filled="f" o:preferrelative="t" stroked="f" coordsize="21600,21600">
                  <v:path/>
                  <v:fill on="f" focussize="0,0"/>
                  <v:stroke on="f" joinstyle="miter"/>
                  <v:imagedata r:id="rId33" o:title=""/>
                  <o:lock v:ext="edit" aspectratio="t"/>
                  <w10:wrap type="none"/>
                  <w10:anchorlock/>
                </v:shape>
                <o:OLEObject Type="Embed" ProgID="Visio.Drawing.15" ShapeID="_x0000_i1031" DrawAspect="Content" ObjectID="_1468075731" r:id="rId32">
                  <o:LockedField>false</o:LockedField>
                </o:OLEObject>
              </w:object>
            </w:r>
          </w:p>
          <w:p>
            <w:pPr>
              <w:spacing w:line="360" w:lineRule="auto"/>
              <w:jc w:val="center"/>
              <w:rPr>
                <w:sz w:val="24"/>
              </w:rPr>
            </w:pPr>
            <w:r>
              <w:rPr>
                <w:rFonts w:hint="eastAsia"/>
                <w:b/>
                <w:sz w:val="24"/>
              </w:rPr>
              <w:t>图</w:t>
            </w:r>
            <w:r>
              <w:rPr>
                <w:b/>
                <w:sz w:val="24"/>
              </w:rPr>
              <w:t>2</w:t>
            </w:r>
            <w:r>
              <w:rPr>
                <w:rFonts w:hint="eastAsia"/>
                <w:b/>
                <w:sz w:val="24"/>
              </w:rPr>
              <w:t>-</w:t>
            </w:r>
            <w:r>
              <w:rPr>
                <w:b/>
                <w:sz w:val="24"/>
              </w:rPr>
              <w:t>7</w:t>
            </w:r>
            <w:r>
              <w:rPr>
                <w:rFonts w:hint="eastAsia"/>
                <w:b/>
                <w:sz w:val="24"/>
              </w:rPr>
              <w:t xml:space="preserve">  现有项目中水处理站工艺流程图</w:t>
            </w:r>
          </w:p>
          <w:p>
            <w:pPr>
              <w:adjustRightInd w:val="0"/>
              <w:spacing w:line="360" w:lineRule="auto"/>
              <w:ind w:firstLine="480" w:firstLineChars="200"/>
              <w:rPr>
                <w:sz w:val="24"/>
              </w:rPr>
            </w:pPr>
            <w:r>
              <w:rPr>
                <w:rFonts w:hint="eastAsia"/>
                <w:sz w:val="24"/>
              </w:rPr>
              <w:t>根据云南健牛生物科技有限公司2021年3月19日对项目区污水处理站的出水水质情况监测结果，见下表。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rPr>
              <mc:AlternateContent>
                <mc:Choice Requires="wps">
                  <w:drawing>
                    <wp:anchor distT="0" distB="0" distL="114300" distR="114300" simplePos="0" relativeHeight="251662336" behindDoc="0" locked="0" layoutInCell="1" allowOverlap="1">
                      <wp:simplePos x="0" y="0"/>
                      <wp:positionH relativeFrom="column">
                        <wp:posOffset>8255</wp:posOffset>
                      </wp:positionH>
                      <wp:positionV relativeFrom="paragraph">
                        <wp:posOffset>293370</wp:posOffset>
                      </wp:positionV>
                      <wp:extent cx="1257300" cy="323850"/>
                      <wp:effectExtent l="0" t="0" r="19050" b="19050"/>
                      <wp:wrapNone/>
                      <wp:docPr id="10" name="直接连接符 10"/>
                      <wp:cNvGraphicFramePr/>
                      <a:graphic xmlns:a="http://schemas.openxmlformats.org/drawingml/2006/main">
                        <a:graphicData uri="http://schemas.microsoft.com/office/word/2010/wordprocessingShape">
                          <wps:wsp>
                            <wps:cNvCnPr/>
                            <wps:spPr>
                              <a:xfrm>
                                <a:off x="0" y="0"/>
                                <a:ext cx="125730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65pt;margin-top:23.1pt;height:25.5pt;width:99pt;z-index:251662336;mso-width-relative:page;mso-height-relative:page;" filled="f" stroked="t" coordsize="21600,21600" o:gfxdata="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LDZS9QAAAAH&#10;AQAADwAAAAAAAAABACAAAAAiAAAAZHJzL2Rvd25yZXYueG1sUEsBAhQAFAAAAAgAh07iQIkuCPzn&#10;AQAAuAMAAA4AAAAAAAAAAQAgAAAAIwEAAGRycy9lMm9Eb2MueG1sUEsFBgAAAAAGAAYAWQEAAHwF&#10;AAAAAA==&#10;">
                      <v:fill on="f" focussize="0,0"/>
                      <v:stroke weight="0.5pt" color="#000000 [3200]" miterlimit="8" joinstyle="miter"/>
                      <v:imagedata o:title=""/>
                      <o:lock v:ext="edit" aspectratio="f"/>
                    </v:line>
                  </w:pict>
                </mc:Fallback>
              </mc:AlternateContent>
            </w:r>
            <w:r>
              <w:rPr>
                <w:rFonts w:hint="eastAsia" w:cs="宋体"/>
                <w:b/>
                <w:bCs/>
                <w:kern w:val="0"/>
                <w:sz w:val="24"/>
                <w:szCs w:val="20"/>
                <w:lang w:bidi="ar"/>
              </w:rPr>
              <w:t>表2-22  污水处理站出水水质情况一览表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942"/>
              <w:gridCol w:w="942"/>
              <w:gridCol w:w="942"/>
              <w:gridCol w:w="849"/>
              <w:gridCol w:w="1787"/>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250" w:type="pct"/>
                  <w:vMerge w:val="restart"/>
                  <w:vAlign w:val="center"/>
                </w:tcPr>
                <w:p>
                  <w:pPr>
                    <w:adjustRightInd w:val="0"/>
                    <w:jc w:val="right"/>
                    <w:rPr>
                      <w:rFonts w:cs="宋体"/>
                      <w:b/>
                      <w:bCs/>
                      <w:lang w:bidi="ar"/>
                    </w:rPr>
                  </w:pPr>
                  <w:r>
                    <w:rPr>
                      <w:rFonts w:hint="eastAsia" w:cs="宋体"/>
                      <w:b/>
                      <w:bCs/>
                    </w:rPr>
                    <mc:AlternateContent>
                      <mc:Choice Requires="wps">
                        <w:drawing>
                          <wp:anchor distT="0" distB="0" distL="114300" distR="114300" simplePos="0" relativeHeight="251675648" behindDoc="0" locked="0" layoutInCell="1" allowOverlap="1">
                            <wp:simplePos x="0" y="0"/>
                            <wp:positionH relativeFrom="column">
                              <wp:posOffset>-64770</wp:posOffset>
                            </wp:positionH>
                            <wp:positionV relativeFrom="paragraph">
                              <wp:posOffset>-4445</wp:posOffset>
                            </wp:positionV>
                            <wp:extent cx="899795" cy="547370"/>
                            <wp:effectExtent l="0" t="0" r="33655" b="24130"/>
                            <wp:wrapNone/>
                            <wp:docPr id="11" name="直接连接符 11"/>
                            <wp:cNvGraphicFramePr/>
                            <a:graphic xmlns:a="http://schemas.openxmlformats.org/drawingml/2006/main">
                              <a:graphicData uri="http://schemas.microsoft.com/office/word/2010/wordprocessingShape">
                                <wps:wsp>
                                  <wps:cNvCnPr/>
                                  <wps:spPr>
                                    <a:xfrm>
                                      <a:off x="0" y="0"/>
                                      <a:ext cx="899795" cy="547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pt;margin-top:-0.35pt;height:43.1pt;width:70.85pt;z-index:251675648;mso-width-relative:page;mso-height-relative:page;" filled="f" stroked="t" coordsize="21600,21600" o:gfxdata="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eHxv&#10;1gAAAAgBAAAPAAAAAAAAAAEAIAAAACIAAABkcnMvZG93bnJldi54bWxQSwECFAAUAAAACACHTuJA&#10;w04MrOoBAAC3AwAADgAAAAAAAAABACAAAAAlAQAAZHJzL2Uyb0RvYy54bWxQSwUGAAAAAAYABgBZ&#10;AQAAgQUAAAAA&#10;">
                            <v:fill on="f" focussize="0,0"/>
                            <v:stroke weight="0.5pt" color="#000000 [3213]" miterlimit="8" joinstyle="miter"/>
                            <v:imagedata o:title=""/>
                            <o:lock v:ext="edit" aspectratio="f"/>
                          </v:line>
                        </w:pict>
                      </mc:Fallback>
                    </mc:AlternateContent>
                  </w:r>
                  <w:r>
                    <w:rPr>
                      <w:rFonts w:hint="eastAsia" w:cs="宋体"/>
                      <w:b/>
                      <w:bCs/>
                      <w:lang w:bidi="ar"/>
                    </w:rPr>
                    <w:t>检测项目</w:t>
                  </w:r>
                </w:p>
                <w:p>
                  <w:pPr>
                    <w:adjustRightInd w:val="0"/>
                    <w:jc w:val="center"/>
                    <w:rPr>
                      <w:rFonts w:cs="宋体"/>
                      <w:b/>
                      <w:bCs/>
                      <w:lang w:bidi="ar"/>
                    </w:rPr>
                  </w:pPr>
                  <w:r>
                    <w:rPr>
                      <w:rFonts w:hint="eastAsia" w:cs="宋体"/>
                      <w:b/>
                      <w:bCs/>
                      <w:lang w:bidi="ar"/>
                    </w:rPr>
                    <w:t>结果</w:t>
                  </w:r>
                </w:p>
                <w:p>
                  <w:pPr>
                    <w:adjustRightInd w:val="0"/>
                    <w:rPr>
                      <w:rFonts w:cs="宋体"/>
                      <w:b/>
                      <w:bCs/>
                      <w:lang w:bidi="ar"/>
                    </w:rPr>
                  </w:pPr>
                  <w:r>
                    <w:rPr>
                      <w:rFonts w:hint="eastAsia" w:cs="宋体"/>
                      <w:b/>
                      <w:bCs/>
                      <w:lang w:bidi="ar"/>
                    </w:rPr>
                    <w:t>采样地点</w:t>
                  </w:r>
                </w:p>
              </w:tc>
              <w:tc>
                <w:tcPr>
                  <w:tcW w:w="1695" w:type="pct"/>
                  <w:gridSpan w:val="3"/>
                  <w:vMerge w:val="restart"/>
                  <w:vAlign w:val="center"/>
                </w:tcPr>
                <w:p>
                  <w:pPr>
                    <w:adjustRightInd w:val="0"/>
                    <w:jc w:val="center"/>
                    <w:rPr>
                      <w:rFonts w:cs="宋体"/>
                      <w:b/>
                      <w:bCs/>
                      <w:lang w:bidi="ar"/>
                    </w:rPr>
                  </w:pPr>
                  <w:r>
                    <w:rPr>
                      <w:rFonts w:hint="eastAsia" w:cs="宋体"/>
                      <w:b/>
                      <w:bCs/>
                      <w:lang w:bidi="ar"/>
                    </w:rPr>
                    <w:t>污水处理站出水口</w:t>
                  </w:r>
                </w:p>
              </w:tc>
              <w:tc>
                <w:tcPr>
                  <w:tcW w:w="1580" w:type="pct"/>
                  <w:gridSpan w:val="2"/>
                  <w:vAlign w:val="center"/>
                </w:tcPr>
                <w:p>
                  <w:pPr>
                    <w:adjustRightInd w:val="0"/>
                    <w:jc w:val="center"/>
                    <w:rPr>
                      <w:rFonts w:cs="宋体"/>
                      <w:b/>
                      <w:bCs/>
                      <w:lang w:bidi="ar"/>
                    </w:rPr>
                  </w:pPr>
                  <w:r>
                    <w:rPr>
                      <w:rFonts w:hint="eastAsia" w:cs="宋体"/>
                      <w:b/>
                      <w:bCs/>
                      <w:lang w:bidi="ar"/>
                    </w:rPr>
                    <w:t>标准值</w:t>
                  </w:r>
                </w:p>
              </w:tc>
              <w:tc>
                <w:tcPr>
                  <w:tcW w:w="475" w:type="pct"/>
                  <w:vMerge w:val="restart"/>
                  <w:vAlign w:val="center"/>
                </w:tcPr>
                <w:p>
                  <w:pPr>
                    <w:adjustRightInd w:val="0"/>
                    <w:jc w:val="center"/>
                    <w:rPr>
                      <w:rFonts w:cs="宋体"/>
                      <w:b/>
                      <w:bCs/>
                      <w:lang w:bidi="ar"/>
                    </w:rPr>
                  </w:pPr>
                  <w:r>
                    <w:rPr>
                      <w:rFonts w:hint="eastAsia" w:cs="宋体"/>
                      <w:b/>
                      <w:bCs/>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250" w:type="pct"/>
                  <w:vMerge w:val="continue"/>
                  <w:vAlign w:val="center"/>
                </w:tcPr>
                <w:p>
                  <w:pPr>
                    <w:adjustRightInd w:val="0"/>
                    <w:jc w:val="right"/>
                    <w:rPr>
                      <w:rFonts w:cs="宋体"/>
                      <w:b/>
                      <w:bCs/>
                    </w:rPr>
                  </w:pPr>
                </w:p>
              </w:tc>
              <w:tc>
                <w:tcPr>
                  <w:tcW w:w="1695" w:type="pct"/>
                  <w:gridSpan w:val="3"/>
                  <w:vMerge w:val="continue"/>
                  <w:vAlign w:val="center"/>
                </w:tcPr>
                <w:p>
                  <w:pPr>
                    <w:adjustRightInd w:val="0"/>
                    <w:jc w:val="center"/>
                    <w:rPr>
                      <w:rFonts w:cs="宋体"/>
                      <w:b/>
                      <w:bCs/>
                      <w:lang w:bidi="ar"/>
                    </w:rPr>
                  </w:pPr>
                </w:p>
              </w:tc>
              <w:tc>
                <w:tcPr>
                  <w:tcW w:w="509" w:type="pct"/>
                  <w:vAlign w:val="center"/>
                </w:tcPr>
                <w:p>
                  <w:pPr>
                    <w:adjustRightInd w:val="0"/>
                    <w:jc w:val="center"/>
                    <w:rPr>
                      <w:rFonts w:cs="宋体"/>
                      <w:b/>
                      <w:bCs/>
                      <w:lang w:bidi="ar"/>
                    </w:rPr>
                  </w:pPr>
                  <w:r>
                    <w:rPr>
                      <w:rFonts w:hint="eastAsia" w:cs="宋体"/>
                      <w:b/>
                      <w:bCs/>
                      <w:lang w:bidi="ar"/>
                    </w:rPr>
                    <w:t>冲厕</w:t>
                  </w:r>
                </w:p>
              </w:tc>
              <w:tc>
                <w:tcPr>
                  <w:tcW w:w="1071" w:type="pct"/>
                  <w:vAlign w:val="center"/>
                </w:tcPr>
                <w:p>
                  <w:pPr>
                    <w:adjustRightInd w:val="0"/>
                    <w:jc w:val="center"/>
                    <w:rPr>
                      <w:rFonts w:cs="宋体"/>
                      <w:b/>
                      <w:bCs/>
                      <w:lang w:bidi="ar"/>
                    </w:rPr>
                  </w:pPr>
                  <w:r>
                    <w:rPr>
                      <w:rFonts w:hint="eastAsia" w:cs="宋体"/>
                      <w:b/>
                      <w:bCs/>
                      <w:lang w:bidi="ar"/>
                    </w:rPr>
                    <w:t>绿化、道路清扫</w:t>
                  </w:r>
                </w:p>
              </w:tc>
              <w:tc>
                <w:tcPr>
                  <w:tcW w:w="475" w:type="pct"/>
                  <w:vMerge w:val="continue"/>
                  <w:vAlign w:val="center"/>
                </w:tcPr>
                <w:p>
                  <w:pPr>
                    <w:adjustRightInd w:val="0"/>
                    <w:jc w:val="center"/>
                    <w:rPr>
                      <w:rFonts w:cs="宋体"/>
                      <w:b/>
                      <w:bCs/>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250" w:type="pct"/>
                  <w:vAlign w:val="center"/>
                </w:tcPr>
                <w:p>
                  <w:pPr>
                    <w:adjustRightInd w:val="0"/>
                    <w:jc w:val="center"/>
                    <w:rPr>
                      <w:rFonts w:cs="宋体"/>
                      <w:bCs/>
                      <w:lang w:bidi="ar"/>
                    </w:rPr>
                  </w:pPr>
                  <w:r>
                    <w:rPr>
                      <w:rFonts w:hint="eastAsia" w:cs="宋体"/>
                      <w:bCs/>
                      <w:lang w:bidi="ar"/>
                    </w:rPr>
                    <w:t>pH（无量纲）</w:t>
                  </w:r>
                </w:p>
              </w:tc>
              <w:tc>
                <w:tcPr>
                  <w:tcW w:w="565" w:type="pct"/>
                  <w:vAlign w:val="center"/>
                </w:tcPr>
                <w:p>
                  <w:pPr>
                    <w:adjustRightInd w:val="0"/>
                    <w:jc w:val="center"/>
                    <w:rPr>
                      <w:rFonts w:cs="宋体"/>
                      <w:bCs/>
                      <w:lang w:bidi="ar"/>
                    </w:rPr>
                  </w:pPr>
                  <w:r>
                    <w:rPr>
                      <w:rFonts w:hint="eastAsia" w:cs="宋体"/>
                      <w:bCs/>
                      <w:lang w:bidi="ar"/>
                    </w:rPr>
                    <w:t>8.05</w:t>
                  </w:r>
                </w:p>
              </w:tc>
              <w:tc>
                <w:tcPr>
                  <w:tcW w:w="565" w:type="pct"/>
                  <w:vAlign w:val="center"/>
                </w:tcPr>
                <w:p>
                  <w:pPr>
                    <w:adjustRightInd w:val="0"/>
                    <w:jc w:val="center"/>
                    <w:rPr>
                      <w:rFonts w:cs="宋体"/>
                      <w:bCs/>
                      <w:lang w:bidi="ar"/>
                    </w:rPr>
                  </w:pPr>
                  <w:r>
                    <w:rPr>
                      <w:rFonts w:hint="eastAsia" w:cs="宋体"/>
                      <w:bCs/>
                      <w:lang w:bidi="ar"/>
                    </w:rPr>
                    <w:t>8.07</w:t>
                  </w:r>
                </w:p>
              </w:tc>
              <w:tc>
                <w:tcPr>
                  <w:tcW w:w="565" w:type="pct"/>
                  <w:vAlign w:val="center"/>
                </w:tcPr>
                <w:p>
                  <w:pPr>
                    <w:adjustRightInd w:val="0"/>
                    <w:jc w:val="center"/>
                    <w:rPr>
                      <w:rFonts w:cs="宋体"/>
                      <w:bCs/>
                      <w:lang w:bidi="ar"/>
                    </w:rPr>
                  </w:pPr>
                  <w:r>
                    <w:rPr>
                      <w:rFonts w:hint="eastAsia" w:cs="宋体"/>
                      <w:bCs/>
                      <w:lang w:bidi="ar"/>
                    </w:rPr>
                    <w:t>8.11</w:t>
                  </w:r>
                </w:p>
              </w:tc>
              <w:tc>
                <w:tcPr>
                  <w:tcW w:w="509" w:type="pct"/>
                  <w:vAlign w:val="center"/>
                </w:tcPr>
                <w:p>
                  <w:pPr>
                    <w:adjustRightInd w:val="0"/>
                    <w:jc w:val="center"/>
                    <w:rPr>
                      <w:rFonts w:cs="宋体"/>
                      <w:bCs/>
                      <w:lang w:bidi="ar"/>
                    </w:rPr>
                  </w:pPr>
                  <w:r>
                    <w:rPr>
                      <w:rFonts w:hint="eastAsia" w:cs="宋体"/>
                      <w:bCs/>
                      <w:lang w:bidi="ar"/>
                    </w:rPr>
                    <w:t>6.0-9.0</w:t>
                  </w:r>
                </w:p>
              </w:tc>
              <w:tc>
                <w:tcPr>
                  <w:tcW w:w="1071" w:type="pct"/>
                  <w:vAlign w:val="center"/>
                </w:tcPr>
                <w:p>
                  <w:pPr>
                    <w:adjustRightInd w:val="0"/>
                    <w:jc w:val="center"/>
                    <w:rPr>
                      <w:rFonts w:cs="宋体"/>
                      <w:bCs/>
                      <w:lang w:bidi="ar"/>
                    </w:rPr>
                  </w:pPr>
                  <w:r>
                    <w:rPr>
                      <w:rFonts w:hint="eastAsia" w:cs="宋体"/>
                      <w:bCs/>
                      <w:lang w:bidi="ar"/>
                    </w:rPr>
                    <w:t>6.0-9.0</w:t>
                  </w:r>
                </w:p>
              </w:tc>
              <w:tc>
                <w:tcPr>
                  <w:tcW w:w="475" w:type="pct"/>
                  <w:vAlign w:val="center"/>
                </w:tcPr>
                <w:p>
                  <w:pPr>
                    <w:adjustRightInd w:val="0"/>
                    <w:jc w:val="center"/>
                    <w:rPr>
                      <w:rFonts w:cs="宋体"/>
                      <w:bCs/>
                      <w:lang w:bidi="ar"/>
                    </w:rPr>
                  </w:pPr>
                  <w:r>
                    <w:rPr>
                      <w:rFonts w:hint="eastAsia" w:cs="宋体"/>
                      <w:bCs/>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1250" w:type="pct"/>
                  <w:vAlign w:val="center"/>
                </w:tcPr>
                <w:p>
                  <w:pPr>
                    <w:adjustRightInd w:val="0"/>
                    <w:jc w:val="center"/>
                    <w:rPr>
                      <w:rFonts w:cs="宋体"/>
                      <w:bCs/>
                      <w:lang w:bidi="ar"/>
                    </w:rPr>
                  </w:pPr>
                  <w:r>
                    <w:rPr>
                      <w:rFonts w:hint="eastAsia" w:cs="宋体"/>
                      <w:bCs/>
                      <w:lang w:bidi="ar"/>
                    </w:rPr>
                    <w:t>色度（倍）</w:t>
                  </w:r>
                </w:p>
              </w:tc>
              <w:tc>
                <w:tcPr>
                  <w:tcW w:w="565" w:type="pct"/>
                  <w:vAlign w:val="center"/>
                </w:tcPr>
                <w:p>
                  <w:pPr>
                    <w:adjustRightInd w:val="0"/>
                    <w:jc w:val="center"/>
                    <w:rPr>
                      <w:rFonts w:cs="宋体"/>
                      <w:bCs/>
                      <w:lang w:bidi="ar"/>
                    </w:rPr>
                  </w:pPr>
                  <w:r>
                    <w:rPr>
                      <w:rFonts w:hint="eastAsia" w:cs="宋体"/>
                      <w:bCs/>
                      <w:lang w:bidi="ar"/>
                    </w:rPr>
                    <w:t>2</w:t>
                  </w:r>
                </w:p>
              </w:tc>
              <w:tc>
                <w:tcPr>
                  <w:tcW w:w="565" w:type="pct"/>
                  <w:vAlign w:val="center"/>
                </w:tcPr>
                <w:p>
                  <w:pPr>
                    <w:adjustRightInd w:val="0"/>
                    <w:jc w:val="center"/>
                    <w:rPr>
                      <w:rFonts w:cs="宋体"/>
                      <w:bCs/>
                      <w:lang w:bidi="ar"/>
                    </w:rPr>
                  </w:pPr>
                  <w:r>
                    <w:rPr>
                      <w:rFonts w:hint="eastAsia" w:cs="宋体"/>
                      <w:bCs/>
                      <w:lang w:bidi="ar"/>
                    </w:rPr>
                    <w:t>2</w:t>
                  </w:r>
                </w:p>
              </w:tc>
              <w:tc>
                <w:tcPr>
                  <w:tcW w:w="565" w:type="pct"/>
                  <w:vAlign w:val="center"/>
                </w:tcPr>
                <w:p>
                  <w:pPr>
                    <w:adjustRightInd w:val="0"/>
                    <w:jc w:val="center"/>
                    <w:rPr>
                      <w:rFonts w:cs="宋体"/>
                      <w:bCs/>
                      <w:lang w:bidi="ar"/>
                    </w:rPr>
                  </w:pPr>
                  <w:r>
                    <w:rPr>
                      <w:rFonts w:hint="eastAsia" w:cs="宋体"/>
                      <w:bCs/>
                      <w:lang w:bidi="ar"/>
                    </w:rPr>
                    <w:t>2</w:t>
                  </w:r>
                </w:p>
              </w:tc>
              <w:tc>
                <w:tcPr>
                  <w:tcW w:w="509" w:type="pct"/>
                  <w:vAlign w:val="center"/>
                </w:tcPr>
                <w:p>
                  <w:pPr>
                    <w:adjustRightInd w:val="0"/>
                    <w:jc w:val="center"/>
                    <w:rPr>
                      <w:rFonts w:cs="宋体"/>
                      <w:bCs/>
                      <w:lang w:bidi="ar"/>
                    </w:rPr>
                  </w:pPr>
                  <w:r>
                    <w:rPr>
                      <w:rFonts w:cs="宋体"/>
                      <w:bCs/>
                      <w:lang w:bidi="ar"/>
                    </w:rPr>
                    <w:t>15</w:t>
                  </w:r>
                </w:p>
              </w:tc>
              <w:tc>
                <w:tcPr>
                  <w:tcW w:w="1071" w:type="pct"/>
                  <w:vAlign w:val="center"/>
                </w:tcPr>
                <w:p>
                  <w:pPr>
                    <w:adjustRightInd w:val="0"/>
                    <w:jc w:val="center"/>
                    <w:rPr>
                      <w:rFonts w:cs="宋体"/>
                      <w:bCs/>
                      <w:lang w:bidi="ar"/>
                    </w:rPr>
                  </w:pPr>
                  <w:r>
                    <w:rPr>
                      <w:rFonts w:hint="eastAsia" w:cs="宋体"/>
                      <w:bCs/>
                      <w:lang w:bidi="ar"/>
                    </w:rPr>
                    <w:t>3</w:t>
                  </w:r>
                  <w:r>
                    <w:rPr>
                      <w:rFonts w:cs="宋体"/>
                      <w:bCs/>
                      <w:lang w:bidi="ar"/>
                    </w:rPr>
                    <w:t>0</w:t>
                  </w:r>
                </w:p>
              </w:tc>
              <w:tc>
                <w:tcPr>
                  <w:tcW w:w="475" w:type="pct"/>
                  <w:vAlign w:val="center"/>
                </w:tcPr>
                <w:p>
                  <w:pPr>
                    <w:adjustRightInd w:val="0"/>
                    <w:jc w:val="center"/>
                    <w:rPr>
                      <w:rFonts w:cs="宋体"/>
                      <w:bCs/>
                      <w:lang w:bidi="ar"/>
                    </w:rPr>
                  </w:pPr>
                  <w:r>
                    <w:rPr>
                      <w:rFonts w:hint="eastAsia" w:cs="宋体"/>
                      <w:bCs/>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250" w:type="pct"/>
                  <w:vAlign w:val="center"/>
                </w:tcPr>
                <w:p>
                  <w:pPr>
                    <w:adjustRightInd w:val="0"/>
                    <w:jc w:val="center"/>
                    <w:rPr>
                      <w:rFonts w:cs="宋体"/>
                      <w:bCs/>
                      <w:lang w:bidi="ar"/>
                    </w:rPr>
                  </w:pPr>
                  <w:r>
                    <w:rPr>
                      <w:rFonts w:hint="eastAsia" w:cs="宋体"/>
                      <w:bCs/>
                      <w:lang w:bidi="ar"/>
                    </w:rPr>
                    <w:t>悬浮物（mg/L）</w:t>
                  </w:r>
                </w:p>
              </w:tc>
              <w:tc>
                <w:tcPr>
                  <w:tcW w:w="565" w:type="pct"/>
                  <w:vAlign w:val="center"/>
                </w:tcPr>
                <w:p>
                  <w:pPr>
                    <w:adjustRightInd w:val="0"/>
                    <w:jc w:val="center"/>
                    <w:rPr>
                      <w:rFonts w:cs="宋体"/>
                      <w:bCs/>
                      <w:lang w:bidi="ar"/>
                    </w:rPr>
                  </w:pPr>
                  <w:r>
                    <w:rPr>
                      <w:rFonts w:hint="eastAsia" w:cs="宋体"/>
                      <w:bCs/>
                      <w:lang w:bidi="ar"/>
                    </w:rPr>
                    <w:t>4ND</w:t>
                  </w:r>
                </w:p>
              </w:tc>
              <w:tc>
                <w:tcPr>
                  <w:tcW w:w="565" w:type="pct"/>
                  <w:vAlign w:val="center"/>
                </w:tcPr>
                <w:p>
                  <w:pPr>
                    <w:adjustRightInd w:val="0"/>
                    <w:jc w:val="center"/>
                    <w:rPr>
                      <w:rFonts w:cs="宋体"/>
                      <w:bCs/>
                      <w:lang w:bidi="ar"/>
                    </w:rPr>
                  </w:pPr>
                  <w:r>
                    <w:rPr>
                      <w:rFonts w:hint="eastAsia" w:cs="宋体"/>
                      <w:bCs/>
                      <w:lang w:bidi="ar"/>
                    </w:rPr>
                    <w:t>7</w:t>
                  </w:r>
                </w:p>
              </w:tc>
              <w:tc>
                <w:tcPr>
                  <w:tcW w:w="565" w:type="pct"/>
                  <w:vAlign w:val="center"/>
                </w:tcPr>
                <w:p>
                  <w:pPr>
                    <w:adjustRightInd w:val="0"/>
                    <w:jc w:val="center"/>
                    <w:rPr>
                      <w:rFonts w:cs="宋体"/>
                      <w:bCs/>
                      <w:lang w:bidi="ar"/>
                    </w:rPr>
                  </w:pPr>
                  <w:r>
                    <w:rPr>
                      <w:rFonts w:hint="eastAsia" w:cs="宋体"/>
                      <w:bCs/>
                      <w:lang w:bidi="ar"/>
                    </w:rPr>
                    <w:t>6</w:t>
                  </w:r>
                </w:p>
              </w:tc>
              <w:tc>
                <w:tcPr>
                  <w:tcW w:w="509" w:type="pct"/>
                  <w:vAlign w:val="center"/>
                </w:tcPr>
                <w:p>
                  <w:pPr>
                    <w:adjustRightInd w:val="0"/>
                    <w:jc w:val="center"/>
                    <w:rPr>
                      <w:rFonts w:cs="宋体"/>
                      <w:bCs/>
                      <w:lang w:bidi="ar"/>
                    </w:rPr>
                  </w:pPr>
                  <w:r>
                    <w:rPr>
                      <w:rFonts w:hint="eastAsia" w:cs="宋体"/>
                      <w:bCs/>
                      <w:lang w:bidi="ar"/>
                    </w:rPr>
                    <w:t>/</w:t>
                  </w:r>
                </w:p>
              </w:tc>
              <w:tc>
                <w:tcPr>
                  <w:tcW w:w="1071" w:type="pct"/>
                  <w:vAlign w:val="center"/>
                </w:tcPr>
                <w:p>
                  <w:pPr>
                    <w:adjustRightInd w:val="0"/>
                    <w:jc w:val="center"/>
                    <w:rPr>
                      <w:rFonts w:cs="宋体"/>
                      <w:bCs/>
                      <w:lang w:bidi="ar"/>
                    </w:rPr>
                  </w:pPr>
                  <w:r>
                    <w:rPr>
                      <w:rFonts w:hint="eastAsia" w:cs="宋体"/>
                      <w:bCs/>
                      <w:lang w:bidi="ar"/>
                    </w:rPr>
                    <w:t>/</w:t>
                  </w:r>
                </w:p>
              </w:tc>
              <w:tc>
                <w:tcPr>
                  <w:tcW w:w="475" w:type="pct"/>
                  <w:vAlign w:val="center"/>
                </w:tcPr>
                <w:p>
                  <w:pPr>
                    <w:adjustRightInd w:val="0"/>
                    <w:jc w:val="center"/>
                    <w:rPr>
                      <w:rFonts w:cs="宋体"/>
                      <w:bCs/>
                      <w:lang w:bidi="ar"/>
                    </w:rPr>
                  </w:pPr>
                  <w:r>
                    <w:rPr>
                      <w:rFonts w:hint="eastAsia" w:cs="宋体"/>
                      <w:bCs/>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1250" w:type="pct"/>
                  <w:vAlign w:val="center"/>
                </w:tcPr>
                <w:p>
                  <w:pPr>
                    <w:adjustRightInd w:val="0"/>
                    <w:jc w:val="center"/>
                    <w:rPr>
                      <w:rFonts w:cs="宋体"/>
                      <w:bCs/>
                      <w:lang w:bidi="ar"/>
                    </w:rPr>
                  </w:pPr>
                  <w:r>
                    <w:rPr>
                      <w:rFonts w:hint="eastAsia" w:cs="宋体"/>
                      <w:bCs/>
                      <w:lang w:bidi="ar"/>
                    </w:rPr>
                    <w:t>化学需氧量（mg/L）</w:t>
                  </w:r>
                </w:p>
              </w:tc>
              <w:tc>
                <w:tcPr>
                  <w:tcW w:w="565" w:type="pct"/>
                  <w:vAlign w:val="center"/>
                </w:tcPr>
                <w:p>
                  <w:pPr>
                    <w:adjustRightInd w:val="0"/>
                    <w:jc w:val="center"/>
                    <w:rPr>
                      <w:rFonts w:cs="宋体"/>
                      <w:bCs/>
                      <w:lang w:bidi="ar"/>
                    </w:rPr>
                  </w:pPr>
                  <w:r>
                    <w:rPr>
                      <w:rFonts w:hint="eastAsia" w:cs="宋体"/>
                      <w:bCs/>
                      <w:lang w:bidi="ar"/>
                    </w:rPr>
                    <w:t>14</w:t>
                  </w:r>
                </w:p>
              </w:tc>
              <w:tc>
                <w:tcPr>
                  <w:tcW w:w="565" w:type="pct"/>
                  <w:vAlign w:val="center"/>
                </w:tcPr>
                <w:p>
                  <w:pPr>
                    <w:adjustRightInd w:val="0"/>
                    <w:jc w:val="center"/>
                    <w:rPr>
                      <w:rFonts w:cs="宋体"/>
                      <w:bCs/>
                      <w:lang w:bidi="ar"/>
                    </w:rPr>
                  </w:pPr>
                  <w:r>
                    <w:rPr>
                      <w:rFonts w:hint="eastAsia" w:cs="宋体"/>
                      <w:bCs/>
                      <w:lang w:bidi="ar"/>
                    </w:rPr>
                    <w:t>13</w:t>
                  </w:r>
                </w:p>
              </w:tc>
              <w:tc>
                <w:tcPr>
                  <w:tcW w:w="565" w:type="pct"/>
                  <w:vAlign w:val="center"/>
                </w:tcPr>
                <w:p>
                  <w:pPr>
                    <w:adjustRightInd w:val="0"/>
                    <w:jc w:val="center"/>
                    <w:rPr>
                      <w:rFonts w:cs="宋体"/>
                      <w:bCs/>
                      <w:lang w:bidi="ar"/>
                    </w:rPr>
                  </w:pPr>
                  <w:r>
                    <w:rPr>
                      <w:rFonts w:hint="eastAsia" w:cs="宋体"/>
                      <w:bCs/>
                      <w:lang w:bidi="ar"/>
                    </w:rPr>
                    <w:t>15</w:t>
                  </w:r>
                </w:p>
              </w:tc>
              <w:tc>
                <w:tcPr>
                  <w:tcW w:w="509" w:type="pct"/>
                  <w:vAlign w:val="center"/>
                </w:tcPr>
                <w:p>
                  <w:pPr>
                    <w:adjustRightInd w:val="0"/>
                    <w:jc w:val="center"/>
                    <w:rPr>
                      <w:rFonts w:cs="宋体"/>
                      <w:bCs/>
                      <w:lang w:bidi="ar"/>
                    </w:rPr>
                  </w:pPr>
                  <w:r>
                    <w:rPr>
                      <w:rFonts w:hint="eastAsia" w:cs="宋体"/>
                      <w:bCs/>
                      <w:lang w:bidi="ar"/>
                    </w:rPr>
                    <w:t>/</w:t>
                  </w:r>
                </w:p>
              </w:tc>
              <w:tc>
                <w:tcPr>
                  <w:tcW w:w="1071" w:type="pct"/>
                  <w:vAlign w:val="center"/>
                </w:tcPr>
                <w:p>
                  <w:pPr>
                    <w:adjustRightInd w:val="0"/>
                    <w:jc w:val="center"/>
                    <w:rPr>
                      <w:rFonts w:cs="宋体"/>
                      <w:bCs/>
                      <w:lang w:bidi="ar"/>
                    </w:rPr>
                  </w:pPr>
                  <w:r>
                    <w:rPr>
                      <w:rFonts w:hint="eastAsia" w:cs="宋体"/>
                      <w:bCs/>
                      <w:lang w:bidi="ar"/>
                    </w:rPr>
                    <w:t>/</w:t>
                  </w:r>
                </w:p>
              </w:tc>
              <w:tc>
                <w:tcPr>
                  <w:tcW w:w="475" w:type="pct"/>
                  <w:vAlign w:val="center"/>
                </w:tcPr>
                <w:p>
                  <w:pPr>
                    <w:adjustRightInd w:val="0"/>
                    <w:jc w:val="center"/>
                    <w:rPr>
                      <w:rFonts w:cs="宋体"/>
                      <w:bCs/>
                      <w:lang w:bidi="ar"/>
                    </w:rPr>
                  </w:pPr>
                  <w:r>
                    <w:rPr>
                      <w:rFonts w:hint="eastAsia" w:cs="宋体"/>
                      <w:bCs/>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250" w:type="pct"/>
                  <w:vAlign w:val="center"/>
                </w:tcPr>
                <w:p>
                  <w:pPr>
                    <w:adjustRightInd w:val="0"/>
                    <w:jc w:val="center"/>
                    <w:rPr>
                      <w:rFonts w:cs="宋体"/>
                      <w:bCs/>
                      <w:lang w:bidi="ar"/>
                    </w:rPr>
                  </w:pPr>
                  <w:r>
                    <w:rPr>
                      <w:rFonts w:hint="eastAsia" w:cs="宋体"/>
                      <w:bCs/>
                      <w:lang w:bidi="ar"/>
                    </w:rPr>
                    <w:t>五日生化需氧量（mg/L）</w:t>
                  </w:r>
                </w:p>
              </w:tc>
              <w:tc>
                <w:tcPr>
                  <w:tcW w:w="565" w:type="pct"/>
                  <w:vAlign w:val="center"/>
                </w:tcPr>
                <w:p>
                  <w:pPr>
                    <w:adjustRightInd w:val="0"/>
                    <w:jc w:val="center"/>
                    <w:rPr>
                      <w:rFonts w:cs="宋体"/>
                      <w:bCs/>
                      <w:lang w:bidi="ar"/>
                    </w:rPr>
                  </w:pPr>
                  <w:r>
                    <w:rPr>
                      <w:rFonts w:hint="eastAsia" w:cs="宋体"/>
                      <w:bCs/>
                      <w:lang w:bidi="ar"/>
                    </w:rPr>
                    <w:t>4.9</w:t>
                  </w:r>
                </w:p>
              </w:tc>
              <w:tc>
                <w:tcPr>
                  <w:tcW w:w="565" w:type="pct"/>
                  <w:vAlign w:val="center"/>
                </w:tcPr>
                <w:p>
                  <w:pPr>
                    <w:adjustRightInd w:val="0"/>
                    <w:jc w:val="center"/>
                    <w:rPr>
                      <w:rFonts w:cs="宋体"/>
                      <w:bCs/>
                      <w:lang w:bidi="ar"/>
                    </w:rPr>
                  </w:pPr>
                  <w:r>
                    <w:rPr>
                      <w:rFonts w:hint="eastAsia" w:cs="宋体"/>
                      <w:bCs/>
                      <w:lang w:bidi="ar"/>
                    </w:rPr>
                    <w:t>4.0</w:t>
                  </w:r>
                </w:p>
              </w:tc>
              <w:tc>
                <w:tcPr>
                  <w:tcW w:w="565" w:type="pct"/>
                  <w:vAlign w:val="center"/>
                </w:tcPr>
                <w:p>
                  <w:pPr>
                    <w:adjustRightInd w:val="0"/>
                    <w:jc w:val="center"/>
                    <w:rPr>
                      <w:rFonts w:cs="宋体"/>
                      <w:bCs/>
                      <w:lang w:bidi="ar"/>
                    </w:rPr>
                  </w:pPr>
                  <w:r>
                    <w:rPr>
                      <w:rFonts w:hint="eastAsia" w:cs="宋体"/>
                      <w:bCs/>
                      <w:lang w:bidi="ar"/>
                    </w:rPr>
                    <w:t>5.4</w:t>
                  </w:r>
                </w:p>
              </w:tc>
              <w:tc>
                <w:tcPr>
                  <w:tcW w:w="509" w:type="pct"/>
                  <w:vAlign w:val="center"/>
                </w:tcPr>
                <w:p>
                  <w:pPr>
                    <w:adjustRightInd w:val="0"/>
                    <w:jc w:val="center"/>
                    <w:rPr>
                      <w:rFonts w:cs="宋体"/>
                      <w:bCs/>
                      <w:lang w:bidi="ar"/>
                    </w:rPr>
                  </w:pPr>
                  <w:r>
                    <w:rPr>
                      <w:rFonts w:hint="eastAsia" w:cs="宋体"/>
                      <w:bCs/>
                      <w:lang w:bidi="ar"/>
                    </w:rPr>
                    <w:t>10</w:t>
                  </w:r>
                </w:p>
              </w:tc>
              <w:tc>
                <w:tcPr>
                  <w:tcW w:w="1071" w:type="pct"/>
                  <w:vAlign w:val="center"/>
                </w:tcPr>
                <w:p>
                  <w:pPr>
                    <w:adjustRightInd w:val="0"/>
                    <w:jc w:val="center"/>
                    <w:rPr>
                      <w:rFonts w:cs="宋体"/>
                      <w:bCs/>
                      <w:lang w:bidi="ar"/>
                    </w:rPr>
                  </w:pPr>
                  <w:r>
                    <w:rPr>
                      <w:rFonts w:hint="eastAsia" w:cs="宋体"/>
                      <w:bCs/>
                      <w:lang w:bidi="ar"/>
                    </w:rPr>
                    <w:t>1</w:t>
                  </w:r>
                  <w:r>
                    <w:rPr>
                      <w:rFonts w:cs="宋体"/>
                      <w:bCs/>
                      <w:lang w:bidi="ar"/>
                    </w:rPr>
                    <w:t>0</w:t>
                  </w:r>
                </w:p>
              </w:tc>
              <w:tc>
                <w:tcPr>
                  <w:tcW w:w="475" w:type="pct"/>
                  <w:vAlign w:val="center"/>
                </w:tcPr>
                <w:p>
                  <w:pPr>
                    <w:adjustRightInd w:val="0"/>
                    <w:jc w:val="center"/>
                    <w:rPr>
                      <w:rFonts w:cs="宋体"/>
                      <w:bCs/>
                      <w:lang w:bidi="ar"/>
                    </w:rPr>
                  </w:pPr>
                  <w:r>
                    <w:rPr>
                      <w:rFonts w:hint="eastAsia" w:cs="宋体"/>
                      <w:bCs/>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1250" w:type="pct"/>
                  <w:vAlign w:val="center"/>
                </w:tcPr>
                <w:p>
                  <w:pPr>
                    <w:adjustRightInd w:val="0"/>
                    <w:jc w:val="center"/>
                    <w:rPr>
                      <w:rFonts w:cs="宋体"/>
                      <w:bCs/>
                      <w:lang w:bidi="ar"/>
                    </w:rPr>
                  </w:pPr>
                  <w:r>
                    <w:rPr>
                      <w:rFonts w:hint="eastAsia" w:cs="宋体"/>
                      <w:bCs/>
                      <w:lang w:bidi="ar"/>
                    </w:rPr>
                    <w:t>氨氮（mg/L）</w:t>
                  </w:r>
                </w:p>
              </w:tc>
              <w:tc>
                <w:tcPr>
                  <w:tcW w:w="565" w:type="pct"/>
                  <w:vAlign w:val="center"/>
                </w:tcPr>
                <w:p>
                  <w:pPr>
                    <w:adjustRightInd w:val="0"/>
                    <w:jc w:val="center"/>
                    <w:rPr>
                      <w:rFonts w:cs="宋体"/>
                      <w:bCs/>
                      <w:lang w:bidi="ar"/>
                    </w:rPr>
                  </w:pPr>
                  <w:r>
                    <w:rPr>
                      <w:rFonts w:hint="eastAsia" w:cs="宋体"/>
                      <w:bCs/>
                      <w:lang w:bidi="ar"/>
                    </w:rPr>
                    <w:t>0.229</w:t>
                  </w:r>
                </w:p>
              </w:tc>
              <w:tc>
                <w:tcPr>
                  <w:tcW w:w="565" w:type="pct"/>
                  <w:vAlign w:val="center"/>
                </w:tcPr>
                <w:p>
                  <w:pPr>
                    <w:adjustRightInd w:val="0"/>
                    <w:jc w:val="center"/>
                    <w:rPr>
                      <w:rFonts w:cs="宋体"/>
                      <w:bCs/>
                      <w:lang w:bidi="ar"/>
                    </w:rPr>
                  </w:pPr>
                  <w:r>
                    <w:rPr>
                      <w:rFonts w:hint="eastAsia" w:cs="宋体"/>
                      <w:bCs/>
                      <w:lang w:bidi="ar"/>
                    </w:rPr>
                    <w:t>0.219</w:t>
                  </w:r>
                </w:p>
              </w:tc>
              <w:tc>
                <w:tcPr>
                  <w:tcW w:w="565" w:type="pct"/>
                  <w:vAlign w:val="center"/>
                </w:tcPr>
                <w:p>
                  <w:pPr>
                    <w:adjustRightInd w:val="0"/>
                    <w:jc w:val="center"/>
                    <w:rPr>
                      <w:rFonts w:cs="宋体"/>
                      <w:bCs/>
                      <w:lang w:bidi="ar"/>
                    </w:rPr>
                  </w:pPr>
                  <w:r>
                    <w:rPr>
                      <w:rFonts w:hint="eastAsia" w:cs="宋体"/>
                      <w:bCs/>
                      <w:lang w:bidi="ar"/>
                    </w:rPr>
                    <w:t>0.244</w:t>
                  </w:r>
                </w:p>
              </w:tc>
              <w:tc>
                <w:tcPr>
                  <w:tcW w:w="509" w:type="pct"/>
                  <w:vAlign w:val="center"/>
                </w:tcPr>
                <w:p>
                  <w:pPr>
                    <w:adjustRightInd w:val="0"/>
                    <w:jc w:val="center"/>
                    <w:rPr>
                      <w:rFonts w:cs="宋体"/>
                      <w:bCs/>
                      <w:lang w:bidi="ar"/>
                    </w:rPr>
                  </w:pPr>
                  <w:r>
                    <w:rPr>
                      <w:rFonts w:cs="宋体"/>
                      <w:bCs/>
                      <w:lang w:bidi="ar"/>
                    </w:rPr>
                    <w:t>5</w:t>
                  </w:r>
                </w:p>
              </w:tc>
              <w:tc>
                <w:tcPr>
                  <w:tcW w:w="1071" w:type="pct"/>
                  <w:vAlign w:val="center"/>
                </w:tcPr>
                <w:p>
                  <w:pPr>
                    <w:adjustRightInd w:val="0"/>
                    <w:jc w:val="center"/>
                    <w:rPr>
                      <w:rFonts w:cs="宋体"/>
                      <w:bCs/>
                      <w:lang w:bidi="ar"/>
                    </w:rPr>
                  </w:pPr>
                  <w:r>
                    <w:rPr>
                      <w:rFonts w:hint="eastAsia" w:cs="宋体"/>
                      <w:bCs/>
                      <w:lang w:bidi="ar"/>
                    </w:rPr>
                    <w:t>8</w:t>
                  </w:r>
                </w:p>
              </w:tc>
              <w:tc>
                <w:tcPr>
                  <w:tcW w:w="475" w:type="pct"/>
                  <w:vAlign w:val="center"/>
                </w:tcPr>
                <w:p>
                  <w:pPr>
                    <w:adjustRightInd w:val="0"/>
                    <w:jc w:val="center"/>
                    <w:rPr>
                      <w:rFonts w:cs="宋体"/>
                      <w:bCs/>
                      <w:lang w:bidi="ar"/>
                    </w:rPr>
                  </w:pPr>
                  <w:r>
                    <w:rPr>
                      <w:rFonts w:hint="eastAsia" w:cs="宋体"/>
                      <w:bCs/>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1250" w:type="pct"/>
                  <w:vAlign w:val="center"/>
                </w:tcPr>
                <w:p>
                  <w:pPr>
                    <w:adjustRightInd w:val="0"/>
                    <w:jc w:val="center"/>
                    <w:rPr>
                      <w:rFonts w:cs="宋体"/>
                      <w:bCs/>
                      <w:lang w:bidi="ar"/>
                    </w:rPr>
                  </w:pPr>
                  <w:r>
                    <w:rPr>
                      <w:rFonts w:hint="eastAsia" w:cs="宋体"/>
                      <w:bCs/>
                      <w:lang w:bidi="ar"/>
                    </w:rPr>
                    <w:t>总磷（mg/L）</w:t>
                  </w:r>
                </w:p>
              </w:tc>
              <w:tc>
                <w:tcPr>
                  <w:tcW w:w="565" w:type="pct"/>
                  <w:vAlign w:val="center"/>
                </w:tcPr>
                <w:p>
                  <w:pPr>
                    <w:adjustRightInd w:val="0"/>
                    <w:jc w:val="center"/>
                    <w:rPr>
                      <w:rFonts w:cs="宋体"/>
                      <w:bCs/>
                      <w:lang w:bidi="ar"/>
                    </w:rPr>
                  </w:pPr>
                  <w:r>
                    <w:rPr>
                      <w:rFonts w:hint="eastAsia" w:cs="宋体"/>
                      <w:bCs/>
                      <w:lang w:bidi="ar"/>
                    </w:rPr>
                    <w:t>0.13</w:t>
                  </w:r>
                </w:p>
              </w:tc>
              <w:tc>
                <w:tcPr>
                  <w:tcW w:w="565" w:type="pct"/>
                  <w:vAlign w:val="center"/>
                </w:tcPr>
                <w:p>
                  <w:pPr>
                    <w:adjustRightInd w:val="0"/>
                    <w:jc w:val="center"/>
                    <w:rPr>
                      <w:rFonts w:cs="宋体"/>
                      <w:bCs/>
                      <w:lang w:bidi="ar"/>
                    </w:rPr>
                  </w:pPr>
                  <w:r>
                    <w:rPr>
                      <w:rFonts w:hint="eastAsia" w:cs="宋体"/>
                      <w:bCs/>
                      <w:lang w:bidi="ar"/>
                    </w:rPr>
                    <w:t>0.14</w:t>
                  </w:r>
                </w:p>
              </w:tc>
              <w:tc>
                <w:tcPr>
                  <w:tcW w:w="565" w:type="pct"/>
                  <w:vAlign w:val="center"/>
                </w:tcPr>
                <w:p>
                  <w:pPr>
                    <w:adjustRightInd w:val="0"/>
                    <w:jc w:val="center"/>
                    <w:rPr>
                      <w:rFonts w:cs="宋体"/>
                      <w:bCs/>
                      <w:lang w:bidi="ar"/>
                    </w:rPr>
                  </w:pPr>
                  <w:r>
                    <w:rPr>
                      <w:rFonts w:hint="eastAsia" w:cs="宋体"/>
                      <w:bCs/>
                      <w:lang w:bidi="ar"/>
                    </w:rPr>
                    <w:t>0.12</w:t>
                  </w:r>
                </w:p>
              </w:tc>
              <w:tc>
                <w:tcPr>
                  <w:tcW w:w="509" w:type="pct"/>
                  <w:vAlign w:val="center"/>
                </w:tcPr>
                <w:p>
                  <w:pPr>
                    <w:adjustRightInd w:val="0"/>
                    <w:jc w:val="center"/>
                    <w:rPr>
                      <w:rFonts w:cs="宋体"/>
                      <w:bCs/>
                      <w:lang w:bidi="ar"/>
                    </w:rPr>
                  </w:pPr>
                  <w:r>
                    <w:rPr>
                      <w:rFonts w:hint="eastAsia" w:cs="宋体"/>
                      <w:bCs/>
                      <w:lang w:bidi="ar"/>
                    </w:rPr>
                    <w:t>/</w:t>
                  </w:r>
                </w:p>
              </w:tc>
              <w:tc>
                <w:tcPr>
                  <w:tcW w:w="1071" w:type="pct"/>
                  <w:vAlign w:val="center"/>
                </w:tcPr>
                <w:p>
                  <w:pPr>
                    <w:adjustRightInd w:val="0"/>
                    <w:jc w:val="center"/>
                    <w:rPr>
                      <w:rFonts w:cs="宋体"/>
                      <w:bCs/>
                      <w:lang w:bidi="ar"/>
                    </w:rPr>
                  </w:pPr>
                  <w:r>
                    <w:rPr>
                      <w:rFonts w:hint="eastAsia" w:cs="宋体"/>
                      <w:bCs/>
                      <w:lang w:bidi="ar"/>
                    </w:rPr>
                    <w:t>/</w:t>
                  </w:r>
                </w:p>
              </w:tc>
              <w:tc>
                <w:tcPr>
                  <w:tcW w:w="475" w:type="pct"/>
                  <w:vAlign w:val="center"/>
                </w:tcPr>
                <w:p>
                  <w:pPr>
                    <w:adjustRightInd w:val="0"/>
                    <w:jc w:val="center"/>
                    <w:rPr>
                      <w:rFonts w:cs="宋体"/>
                      <w:bCs/>
                      <w:lang w:bidi="ar"/>
                    </w:rPr>
                  </w:pPr>
                  <w:r>
                    <w:rPr>
                      <w:rFonts w:hint="eastAsia" w:cs="宋体"/>
                      <w:bCs/>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1250" w:type="pct"/>
                  <w:vAlign w:val="center"/>
                </w:tcPr>
                <w:p>
                  <w:pPr>
                    <w:adjustRightInd w:val="0"/>
                    <w:jc w:val="center"/>
                    <w:rPr>
                      <w:rFonts w:cs="宋体"/>
                      <w:bCs/>
                      <w:lang w:bidi="ar"/>
                    </w:rPr>
                  </w:pPr>
                  <w:r>
                    <w:rPr>
                      <w:rFonts w:hint="eastAsia" w:cs="宋体"/>
                      <w:bCs/>
                      <w:lang w:bidi="ar"/>
                    </w:rPr>
                    <w:t>总氮（mg/L）</w:t>
                  </w:r>
                </w:p>
              </w:tc>
              <w:tc>
                <w:tcPr>
                  <w:tcW w:w="565" w:type="pct"/>
                  <w:vAlign w:val="center"/>
                </w:tcPr>
                <w:p>
                  <w:pPr>
                    <w:adjustRightInd w:val="0"/>
                    <w:jc w:val="center"/>
                    <w:rPr>
                      <w:rFonts w:cs="宋体"/>
                      <w:bCs/>
                      <w:lang w:bidi="ar"/>
                    </w:rPr>
                  </w:pPr>
                  <w:r>
                    <w:rPr>
                      <w:rFonts w:hint="eastAsia" w:cs="宋体"/>
                      <w:bCs/>
                      <w:lang w:bidi="ar"/>
                    </w:rPr>
                    <w:t>0.40</w:t>
                  </w:r>
                </w:p>
              </w:tc>
              <w:tc>
                <w:tcPr>
                  <w:tcW w:w="565" w:type="pct"/>
                  <w:vAlign w:val="center"/>
                </w:tcPr>
                <w:p>
                  <w:pPr>
                    <w:adjustRightInd w:val="0"/>
                    <w:jc w:val="center"/>
                    <w:rPr>
                      <w:rFonts w:cs="宋体"/>
                      <w:bCs/>
                      <w:lang w:bidi="ar"/>
                    </w:rPr>
                  </w:pPr>
                  <w:r>
                    <w:rPr>
                      <w:rFonts w:hint="eastAsia" w:cs="宋体"/>
                      <w:bCs/>
                      <w:lang w:bidi="ar"/>
                    </w:rPr>
                    <w:t>0.38</w:t>
                  </w:r>
                </w:p>
              </w:tc>
              <w:tc>
                <w:tcPr>
                  <w:tcW w:w="565" w:type="pct"/>
                  <w:vAlign w:val="center"/>
                </w:tcPr>
                <w:p>
                  <w:pPr>
                    <w:adjustRightInd w:val="0"/>
                    <w:jc w:val="center"/>
                    <w:rPr>
                      <w:rFonts w:cs="宋体"/>
                      <w:bCs/>
                      <w:lang w:bidi="ar"/>
                    </w:rPr>
                  </w:pPr>
                  <w:r>
                    <w:rPr>
                      <w:rFonts w:hint="eastAsia" w:cs="宋体"/>
                      <w:bCs/>
                      <w:lang w:bidi="ar"/>
                    </w:rPr>
                    <w:t>0.43</w:t>
                  </w:r>
                </w:p>
              </w:tc>
              <w:tc>
                <w:tcPr>
                  <w:tcW w:w="509" w:type="pct"/>
                  <w:vAlign w:val="center"/>
                </w:tcPr>
                <w:p>
                  <w:pPr>
                    <w:adjustRightInd w:val="0"/>
                    <w:jc w:val="center"/>
                    <w:rPr>
                      <w:rFonts w:cs="宋体"/>
                      <w:bCs/>
                      <w:lang w:bidi="ar"/>
                    </w:rPr>
                  </w:pPr>
                  <w:r>
                    <w:rPr>
                      <w:rFonts w:hint="eastAsia" w:cs="宋体"/>
                      <w:bCs/>
                      <w:lang w:bidi="ar"/>
                    </w:rPr>
                    <w:t>/</w:t>
                  </w:r>
                </w:p>
              </w:tc>
              <w:tc>
                <w:tcPr>
                  <w:tcW w:w="1071" w:type="pct"/>
                  <w:vAlign w:val="center"/>
                </w:tcPr>
                <w:p>
                  <w:pPr>
                    <w:adjustRightInd w:val="0"/>
                    <w:jc w:val="center"/>
                    <w:rPr>
                      <w:rFonts w:cs="宋体"/>
                      <w:bCs/>
                      <w:lang w:bidi="ar"/>
                    </w:rPr>
                  </w:pPr>
                  <w:r>
                    <w:rPr>
                      <w:rFonts w:hint="eastAsia" w:cs="宋体"/>
                      <w:bCs/>
                      <w:lang w:bidi="ar"/>
                    </w:rPr>
                    <w:t>/</w:t>
                  </w:r>
                </w:p>
              </w:tc>
              <w:tc>
                <w:tcPr>
                  <w:tcW w:w="475" w:type="pct"/>
                  <w:vAlign w:val="center"/>
                </w:tcPr>
                <w:p>
                  <w:pPr>
                    <w:adjustRightInd w:val="0"/>
                    <w:jc w:val="center"/>
                    <w:rPr>
                      <w:rFonts w:cs="宋体"/>
                      <w:bCs/>
                      <w:lang w:bidi="ar"/>
                    </w:rPr>
                  </w:pPr>
                  <w:r>
                    <w:rPr>
                      <w:rFonts w:hint="eastAsia" w:cs="宋体"/>
                      <w:bCs/>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250" w:type="pct"/>
                  <w:vAlign w:val="center"/>
                </w:tcPr>
                <w:p>
                  <w:pPr>
                    <w:adjustRightInd w:val="0"/>
                    <w:jc w:val="center"/>
                    <w:rPr>
                      <w:rFonts w:cs="宋体"/>
                      <w:bCs/>
                      <w:lang w:bidi="ar"/>
                    </w:rPr>
                  </w:pPr>
                  <w:r>
                    <w:rPr>
                      <w:rFonts w:hint="eastAsia" w:cs="宋体"/>
                      <w:bCs/>
                      <w:lang w:bidi="ar"/>
                    </w:rPr>
                    <w:t>甲醛（mg/L）</w:t>
                  </w:r>
                </w:p>
              </w:tc>
              <w:tc>
                <w:tcPr>
                  <w:tcW w:w="565" w:type="pct"/>
                  <w:vAlign w:val="center"/>
                </w:tcPr>
                <w:p>
                  <w:pPr>
                    <w:adjustRightInd w:val="0"/>
                    <w:jc w:val="center"/>
                    <w:rPr>
                      <w:rFonts w:cs="宋体"/>
                      <w:bCs/>
                      <w:lang w:bidi="ar"/>
                    </w:rPr>
                  </w:pPr>
                  <w:r>
                    <w:rPr>
                      <w:rFonts w:hint="eastAsia" w:cs="宋体"/>
                      <w:bCs/>
                      <w:lang w:bidi="ar"/>
                    </w:rPr>
                    <w:t>0.05ND</w:t>
                  </w:r>
                </w:p>
              </w:tc>
              <w:tc>
                <w:tcPr>
                  <w:tcW w:w="565" w:type="pct"/>
                  <w:vAlign w:val="center"/>
                </w:tcPr>
                <w:p>
                  <w:pPr>
                    <w:adjustRightInd w:val="0"/>
                    <w:jc w:val="center"/>
                    <w:rPr>
                      <w:rFonts w:cs="宋体"/>
                      <w:bCs/>
                      <w:lang w:bidi="ar"/>
                    </w:rPr>
                  </w:pPr>
                  <w:r>
                    <w:rPr>
                      <w:rFonts w:hint="eastAsia" w:cs="宋体"/>
                      <w:bCs/>
                      <w:lang w:bidi="ar"/>
                    </w:rPr>
                    <w:t>0.05ND</w:t>
                  </w:r>
                </w:p>
              </w:tc>
              <w:tc>
                <w:tcPr>
                  <w:tcW w:w="565" w:type="pct"/>
                  <w:vAlign w:val="center"/>
                </w:tcPr>
                <w:p>
                  <w:pPr>
                    <w:adjustRightInd w:val="0"/>
                    <w:jc w:val="center"/>
                    <w:rPr>
                      <w:rFonts w:cs="宋体"/>
                      <w:bCs/>
                      <w:lang w:bidi="ar"/>
                    </w:rPr>
                  </w:pPr>
                  <w:r>
                    <w:rPr>
                      <w:rFonts w:hint="eastAsia" w:cs="宋体"/>
                      <w:bCs/>
                      <w:lang w:bidi="ar"/>
                    </w:rPr>
                    <w:t>0.05ND</w:t>
                  </w:r>
                </w:p>
              </w:tc>
              <w:tc>
                <w:tcPr>
                  <w:tcW w:w="509" w:type="pct"/>
                  <w:vAlign w:val="center"/>
                </w:tcPr>
                <w:p>
                  <w:pPr>
                    <w:adjustRightInd w:val="0"/>
                    <w:jc w:val="center"/>
                    <w:rPr>
                      <w:rFonts w:cs="宋体"/>
                      <w:bCs/>
                      <w:lang w:bidi="ar"/>
                    </w:rPr>
                  </w:pPr>
                  <w:r>
                    <w:rPr>
                      <w:rFonts w:hint="eastAsia" w:cs="宋体"/>
                      <w:bCs/>
                      <w:lang w:bidi="ar"/>
                    </w:rPr>
                    <w:t>/</w:t>
                  </w:r>
                </w:p>
              </w:tc>
              <w:tc>
                <w:tcPr>
                  <w:tcW w:w="1071" w:type="pct"/>
                  <w:vAlign w:val="center"/>
                </w:tcPr>
                <w:p>
                  <w:pPr>
                    <w:adjustRightInd w:val="0"/>
                    <w:jc w:val="center"/>
                    <w:rPr>
                      <w:rFonts w:cs="宋体"/>
                      <w:bCs/>
                      <w:lang w:bidi="ar"/>
                    </w:rPr>
                  </w:pPr>
                  <w:r>
                    <w:rPr>
                      <w:rFonts w:hint="eastAsia" w:cs="宋体"/>
                      <w:bCs/>
                      <w:lang w:bidi="ar"/>
                    </w:rPr>
                    <w:t>/</w:t>
                  </w:r>
                </w:p>
              </w:tc>
              <w:tc>
                <w:tcPr>
                  <w:tcW w:w="475" w:type="pct"/>
                  <w:vAlign w:val="center"/>
                </w:tcPr>
                <w:p>
                  <w:pPr>
                    <w:adjustRightInd w:val="0"/>
                    <w:jc w:val="center"/>
                    <w:rPr>
                      <w:rFonts w:cs="宋体"/>
                      <w:bCs/>
                      <w:lang w:bidi="ar"/>
                    </w:rPr>
                  </w:pPr>
                  <w:r>
                    <w:rPr>
                      <w:rFonts w:hint="eastAsia" w:cs="宋体"/>
                      <w:bCs/>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1250" w:type="pct"/>
                  <w:vAlign w:val="center"/>
                </w:tcPr>
                <w:p>
                  <w:pPr>
                    <w:adjustRightInd w:val="0"/>
                    <w:jc w:val="center"/>
                    <w:rPr>
                      <w:rFonts w:cs="宋体"/>
                      <w:bCs/>
                      <w:lang w:bidi="ar"/>
                    </w:rPr>
                  </w:pPr>
                  <w:r>
                    <w:rPr>
                      <w:rFonts w:hint="eastAsia" w:cs="宋体"/>
                      <w:bCs/>
                      <w:lang w:bidi="ar"/>
                    </w:rPr>
                    <w:t>备注</w:t>
                  </w:r>
                </w:p>
              </w:tc>
              <w:tc>
                <w:tcPr>
                  <w:tcW w:w="3274" w:type="pct"/>
                  <w:gridSpan w:val="5"/>
                  <w:vAlign w:val="center"/>
                </w:tcPr>
                <w:p>
                  <w:pPr>
                    <w:adjustRightInd w:val="0"/>
                    <w:jc w:val="center"/>
                    <w:rPr>
                      <w:rFonts w:cs="宋体"/>
                      <w:bCs/>
                      <w:lang w:bidi="ar"/>
                    </w:rPr>
                  </w:pPr>
                  <w:r>
                    <w:rPr>
                      <w:rFonts w:hint="eastAsia" w:cs="宋体"/>
                      <w:bCs/>
                      <w:lang w:bidi="ar"/>
                    </w:rPr>
                    <w:t>“检出限+ND”表示检测结果低于方法检出限</w:t>
                  </w:r>
                </w:p>
              </w:tc>
              <w:tc>
                <w:tcPr>
                  <w:tcW w:w="475" w:type="pct"/>
                  <w:vAlign w:val="center"/>
                </w:tcPr>
                <w:p>
                  <w:pPr>
                    <w:adjustRightInd w:val="0"/>
                    <w:jc w:val="center"/>
                    <w:rPr>
                      <w:rFonts w:cs="宋体"/>
                      <w:bCs/>
                      <w:lang w:bidi="ar"/>
                    </w:rPr>
                  </w:pPr>
                  <w:r>
                    <w:rPr>
                      <w:rFonts w:hint="eastAsia" w:cs="宋体"/>
                      <w:bCs/>
                      <w:lang w:bidi="ar"/>
                    </w:rPr>
                    <w:t>/</w:t>
                  </w:r>
                </w:p>
              </w:tc>
            </w:tr>
          </w:tbl>
          <w:p>
            <w:pPr>
              <w:widowControl/>
              <w:adjustRightInd w:val="0"/>
              <w:spacing w:before="120" w:beforeLines="50" w:line="360" w:lineRule="auto"/>
              <w:ind w:firstLine="480" w:firstLineChars="200"/>
              <w:rPr>
                <w:bCs/>
              </w:rPr>
            </w:pPr>
            <w:r>
              <w:rPr>
                <w:rFonts w:hint="eastAsia" w:cs="宋体"/>
                <w:kern w:val="0"/>
                <w:sz w:val="24"/>
                <w:lang w:bidi="ar"/>
              </w:rPr>
              <w:t>由上表可见，中水处理站处理后的中水水质能达到《城市污水再生利用 城市杂用水水质》（</w:t>
            </w:r>
            <w:r>
              <w:rPr>
                <w:kern w:val="0"/>
                <w:sz w:val="24"/>
                <w:lang w:bidi="ar"/>
              </w:rPr>
              <w:t>GB/T18920-2020</w:t>
            </w:r>
            <w:r>
              <w:rPr>
                <w:rFonts w:hint="eastAsia" w:cs="宋体"/>
                <w:kern w:val="0"/>
                <w:sz w:val="24"/>
                <w:lang w:bidi="ar"/>
              </w:rPr>
              <w:t>）中冲厕、绿化及道路清扫准，</w:t>
            </w:r>
            <w:r>
              <w:rPr>
                <w:rFonts w:hint="eastAsia" w:cs="宋体"/>
                <w:bCs/>
                <w:sz w:val="24"/>
                <w:lang w:bidi="ar"/>
              </w:rPr>
              <w:t>现有项目废水均得到合理有效的处置回用，现有项目废水均不外排。</w:t>
            </w:r>
          </w:p>
          <w:p>
            <w:pPr>
              <w:adjustRightInd w:val="0"/>
              <w:spacing w:line="360" w:lineRule="auto"/>
              <w:ind w:firstLine="482" w:firstLineChars="200"/>
              <w:rPr>
                <w:b/>
                <w:sz w:val="24"/>
                <w:szCs w:val="21"/>
              </w:rPr>
            </w:pPr>
            <w:r>
              <w:rPr>
                <w:rFonts w:hint="eastAsia"/>
                <w:b/>
                <w:sz w:val="24"/>
                <w:szCs w:val="21"/>
              </w:rPr>
              <w:t>3、噪声</w:t>
            </w:r>
          </w:p>
          <w:p>
            <w:pPr>
              <w:adjustRightInd w:val="0"/>
              <w:spacing w:line="360" w:lineRule="auto"/>
              <w:ind w:firstLine="480" w:firstLineChars="200"/>
              <w:rPr>
                <w:b/>
                <w:sz w:val="24"/>
              </w:rPr>
            </w:pPr>
            <w:r>
              <w:rPr>
                <w:rFonts w:hint="eastAsia"/>
                <w:sz w:val="24"/>
              </w:rPr>
              <w:t>2021年3月19日，云南健牛生物科技有限公司对厂界噪声进行监测，</w:t>
            </w:r>
            <w:r>
              <w:rPr>
                <w:rFonts w:hint="eastAsia" w:hAnsi="宋体"/>
                <w:sz w:val="24"/>
                <w:szCs w:val="22"/>
              </w:rPr>
              <w:t>监测期间厂区正常生产，噪声</w:t>
            </w:r>
            <w:r>
              <w:rPr>
                <w:rFonts w:hint="eastAsia"/>
                <w:sz w:val="24"/>
              </w:rPr>
              <w:t>监测结果见下表。</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2-</w:t>
            </w:r>
            <w:r>
              <w:rPr>
                <w:rFonts w:cs="宋体"/>
                <w:b/>
                <w:bCs/>
                <w:kern w:val="0"/>
                <w:sz w:val="24"/>
                <w:szCs w:val="20"/>
                <w:lang w:bidi="ar"/>
              </w:rPr>
              <w:t>2</w:t>
            </w:r>
            <w:r>
              <w:rPr>
                <w:rFonts w:hint="eastAsia" w:cs="宋体"/>
                <w:b/>
                <w:bCs/>
                <w:kern w:val="0"/>
                <w:sz w:val="24"/>
                <w:szCs w:val="20"/>
                <w:lang w:bidi="ar"/>
              </w:rPr>
              <w:t>3  厂界</w:t>
            </w:r>
            <w:r>
              <w:rPr>
                <w:rFonts w:cs="宋体"/>
                <w:b/>
                <w:bCs/>
                <w:kern w:val="0"/>
                <w:sz w:val="24"/>
                <w:szCs w:val="20"/>
                <w:lang w:bidi="ar"/>
              </w:rPr>
              <w:t>噪声</w:t>
            </w:r>
            <w:r>
              <w:rPr>
                <w:rFonts w:hint="eastAsia" w:cs="宋体"/>
                <w:b/>
                <w:bCs/>
                <w:kern w:val="0"/>
                <w:sz w:val="24"/>
                <w:szCs w:val="20"/>
                <w:lang w:bidi="ar"/>
              </w:rPr>
              <w:t>检测情况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1111"/>
              <w:gridCol w:w="1351"/>
              <w:gridCol w:w="1434"/>
              <w:gridCol w:w="1671"/>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836" w:type="pct"/>
                  <w:vMerge w:val="restart"/>
                  <w:vAlign w:val="center"/>
                </w:tcPr>
                <w:p>
                  <w:pPr>
                    <w:adjustRightInd w:val="0"/>
                    <w:jc w:val="center"/>
                    <w:rPr>
                      <w:b/>
                      <w:szCs w:val="21"/>
                    </w:rPr>
                  </w:pPr>
                  <w:r>
                    <w:rPr>
                      <w:rFonts w:hint="eastAsia"/>
                      <w:b/>
                      <w:szCs w:val="21"/>
                    </w:rPr>
                    <w:t>监测点位</w:t>
                  </w:r>
                </w:p>
              </w:tc>
              <w:tc>
                <w:tcPr>
                  <w:tcW w:w="3338" w:type="pct"/>
                  <w:gridSpan w:val="4"/>
                  <w:vAlign w:val="center"/>
                </w:tcPr>
                <w:p>
                  <w:pPr>
                    <w:adjustRightInd w:val="0"/>
                    <w:ind w:firstLine="422" w:firstLineChars="200"/>
                    <w:jc w:val="center"/>
                    <w:rPr>
                      <w:b/>
                      <w:szCs w:val="21"/>
                    </w:rPr>
                  </w:pPr>
                  <w:r>
                    <w:rPr>
                      <w:rFonts w:hint="eastAsia"/>
                      <w:b/>
                      <w:szCs w:val="21"/>
                    </w:rPr>
                    <w:t>检测结果</w:t>
                  </w:r>
                </w:p>
                <w:p>
                  <w:pPr>
                    <w:adjustRightInd w:val="0"/>
                    <w:ind w:firstLine="422" w:firstLineChars="200"/>
                    <w:jc w:val="center"/>
                    <w:rPr>
                      <w:b/>
                      <w:szCs w:val="21"/>
                    </w:rPr>
                  </w:pPr>
                  <w:r>
                    <w:rPr>
                      <w:rFonts w:hint="eastAsia"/>
                      <w:b/>
                      <w:szCs w:val="21"/>
                    </w:rPr>
                    <w:t>等效声级[</w:t>
                  </w:r>
                  <w:r>
                    <w:rPr>
                      <w:b/>
                      <w:szCs w:val="21"/>
                    </w:rPr>
                    <w:t>dB(A)</w:t>
                  </w:r>
                  <w:r>
                    <w:rPr>
                      <w:rFonts w:hint="eastAsia"/>
                      <w:b/>
                      <w:szCs w:val="21"/>
                    </w:rPr>
                    <w:t>]</w:t>
                  </w:r>
                </w:p>
              </w:tc>
              <w:tc>
                <w:tcPr>
                  <w:tcW w:w="826" w:type="pct"/>
                  <w:vMerge w:val="restart"/>
                  <w:vAlign w:val="center"/>
                </w:tcPr>
                <w:p>
                  <w:pPr>
                    <w:adjustRightInd w:val="0"/>
                    <w:jc w:val="center"/>
                    <w:rPr>
                      <w:b/>
                      <w:szCs w:val="21"/>
                    </w:rPr>
                  </w:pPr>
                  <w:r>
                    <w:rPr>
                      <w:rFonts w:hint="eastAsia"/>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836" w:type="pct"/>
                  <w:vMerge w:val="continue"/>
                  <w:vAlign w:val="center"/>
                </w:tcPr>
                <w:p>
                  <w:pPr>
                    <w:adjustRightInd w:val="0"/>
                    <w:jc w:val="center"/>
                    <w:rPr>
                      <w:b/>
                      <w:szCs w:val="21"/>
                    </w:rPr>
                  </w:pPr>
                </w:p>
              </w:tc>
              <w:tc>
                <w:tcPr>
                  <w:tcW w:w="666" w:type="pct"/>
                  <w:vAlign w:val="center"/>
                </w:tcPr>
                <w:p>
                  <w:pPr>
                    <w:adjustRightInd w:val="0"/>
                    <w:jc w:val="center"/>
                    <w:rPr>
                      <w:b/>
                      <w:szCs w:val="21"/>
                    </w:rPr>
                  </w:pPr>
                  <w:r>
                    <w:rPr>
                      <w:rFonts w:hint="eastAsia"/>
                      <w:b/>
                      <w:szCs w:val="21"/>
                    </w:rPr>
                    <w:t>昼间</w:t>
                  </w:r>
                </w:p>
              </w:tc>
              <w:tc>
                <w:tcPr>
                  <w:tcW w:w="810" w:type="pct"/>
                  <w:vAlign w:val="center"/>
                </w:tcPr>
                <w:p>
                  <w:pPr>
                    <w:adjustRightInd w:val="0"/>
                    <w:jc w:val="center"/>
                    <w:rPr>
                      <w:b/>
                      <w:szCs w:val="21"/>
                    </w:rPr>
                  </w:pPr>
                  <w:r>
                    <w:rPr>
                      <w:rFonts w:hint="eastAsia"/>
                      <w:b/>
                      <w:szCs w:val="21"/>
                    </w:rPr>
                    <w:t>标准值</w:t>
                  </w:r>
                </w:p>
              </w:tc>
              <w:tc>
                <w:tcPr>
                  <w:tcW w:w="860" w:type="pct"/>
                  <w:vAlign w:val="center"/>
                </w:tcPr>
                <w:p>
                  <w:pPr>
                    <w:adjustRightInd w:val="0"/>
                    <w:jc w:val="center"/>
                    <w:rPr>
                      <w:b/>
                      <w:szCs w:val="21"/>
                    </w:rPr>
                  </w:pPr>
                  <w:r>
                    <w:rPr>
                      <w:rFonts w:hint="eastAsia"/>
                      <w:b/>
                      <w:szCs w:val="21"/>
                    </w:rPr>
                    <w:t>夜间</w:t>
                  </w:r>
                </w:p>
              </w:tc>
              <w:tc>
                <w:tcPr>
                  <w:tcW w:w="1001" w:type="pct"/>
                  <w:vAlign w:val="center"/>
                </w:tcPr>
                <w:p>
                  <w:pPr>
                    <w:adjustRightInd w:val="0"/>
                    <w:jc w:val="center"/>
                    <w:rPr>
                      <w:b/>
                      <w:szCs w:val="21"/>
                    </w:rPr>
                  </w:pPr>
                  <w:r>
                    <w:rPr>
                      <w:rFonts w:hint="eastAsia"/>
                      <w:b/>
                      <w:szCs w:val="21"/>
                    </w:rPr>
                    <w:t>标准值</w:t>
                  </w:r>
                </w:p>
              </w:tc>
              <w:tc>
                <w:tcPr>
                  <w:tcW w:w="826" w:type="pct"/>
                  <w:vMerge w:val="continue"/>
                  <w:vAlign w:val="center"/>
                </w:tcPr>
                <w:p>
                  <w:pPr>
                    <w:adjustRightInd w:val="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836" w:type="pct"/>
                  <w:vAlign w:val="center"/>
                </w:tcPr>
                <w:p>
                  <w:pPr>
                    <w:adjustRightInd w:val="0"/>
                    <w:jc w:val="center"/>
                    <w:rPr>
                      <w:szCs w:val="21"/>
                    </w:rPr>
                  </w:pPr>
                  <w:r>
                    <w:rPr>
                      <w:rFonts w:hint="eastAsia"/>
                      <w:szCs w:val="21"/>
                    </w:rPr>
                    <w:t>厂界东</w:t>
                  </w:r>
                </w:p>
              </w:tc>
              <w:tc>
                <w:tcPr>
                  <w:tcW w:w="666" w:type="pct"/>
                  <w:vAlign w:val="center"/>
                </w:tcPr>
                <w:p>
                  <w:pPr>
                    <w:adjustRightInd w:val="0"/>
                    <w:jc w:val="center"/>
                    <w:rPr>
                      <w:szCs w:val="21"/>
                    </w:rPr>
                  </w:pPr>
                  <w:r>
                    <w:rPr>
                      <w:rFonts w:hint="eastAsia"/>
                      <w:szCs w:val="21"/>
                    </w:rPr>
                    <w:t>58</w:t>
                  </w:r>
                </w:p>
              </w:tc>
              <w:tc>
                <w:tcPr>
                  <w:tcW w:w="810" w:type="pct"/>
                  <w:vAlign w:val="center"/>
                </w:tcPr>
                <w:p>
                  <w:pPr>
                    <w:adjustRightInd w:val="0"/>
                    <w:jc w:val="center"/>
                    <w:rPr>
                      <w:szCs w:val="21"/>
                    </w:rPr>
                  </w:pPr>
                  <w:r>
                    <w:rPr>
                      <w:rFonts w:hint="eastAsia"/>
                      <w:szCs w:val="21"/>
                    </w:rPr>
                    <w:t>65</w:t>
                  </w:r>
                </w:p>
              </w:tc>
              <w:tc>
                <w:tcPr>
                  <w:tcW w:w="860" w:type="pct"/>
                  <w:vAlign w:val="center"/>
                </w:tcPr>
                <w:p>
                  <w:pPr>
                    <w:adjustRightInd w:val="0"/>
                    <w:jc w:val="center"/>
                    <w:rPr>
                      <w:szCs w:val="21"/>
                    </w:rPr>
                  </w:pPr>
                  <w:r>
                    <w:rPr>
                      <w:rFonts w:hint="eastAsia"/>
                      <w:szCs w:val="21"/>
                    </w:rPr>
                    <w:t>46</w:t>
                  </w:r>
                </w:p>
              </w:tc>
              <w:tc>
                <w:tcPr>
                  <w:tcW w:w="1001" w:type="pct"/>
                  <w:vAlign w:val="center"/>
                </w:tcPr>
                <w:p>
                  <w:pPr>
                    <w:adjustRightInd w:val="0"/>
                    <w:jc w:val="center"/>
                    <w:rPr>
                      <w:szCs w:val="21"/>
                    </w:rPr>
                  </w:pPr>
                  <w:r>
                    <w:rPr>
                      <w:rFonts w:hint="eastAsia"/>
                      <w:szCs w:val="21"/>
                    </w:rPr>
                    <w:t>55</w:t>
                  </w:r>
                </w:p>
              </w:tc>
              <w:tc>
                <w:tcPr>
                  <w:tcW w:w="826" w:type="pct"/>
                  <w:vAlign w:val="center"/>
                </w:tcPr>
                <w:p>
                  <w:pPr>
                    <w:adjustRightInd w:val="0"/>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836" w:type="pct"/>
                  <w:vAlign w:val="center"/>
                </w:tcPr>
                <w:p>
                  <w:pPr>
                    <w:adjustRightInd w:val="0"/>
                    <w:jc w:val="center"/>
                    <w:rPr>
                      <w:szCs w:val="21"/>
                    </w:rPr>
                  </w:pPr>
                  <w:r>
                    <w:rPr>
                      <w:rFonts w:hint="eastAsia"/>
                      <w:szCs w:val="21"/>
                    </w:rPr>
                    <w:t>厂界南</w:t>
                  </w:r>
                </w:p>
              </w:tc>
              <w:tc>
                <w:tcPr>
                  <w:tcW w:w="666" w:type="pct"/>
                  <w:vAlign w:val="center"/>
                </w:tcPr>
                <w:p>
                  <w:pPr>
                    <w:adjustRightInd w:val="0"/>
                    <w:jc w:val="center"/>
                    <w:rPr>
                      <w:szCs w:val="21"/>
                    </w:rPr>
                  </w:pPr>
                  <w:r>
                    <w:rPr>
                      <w:rFonts w:hint="eastAsia"/>
                      <w:szCs w:val="21"/>
                    </w:rPr>
                    <w:t>56</w:t>
                  </w:r>
                </w:p>
              </w:tc>
              <w:tc>
                <w:tcPr>
                  <w:tcW w:w="810" w:type="pct"/>
                  <w:vAlign w:val="center"/>
                </w:tcPr>
                <w:p>
                  <w:pPr>
                    <w:adjustRightInd w:val="0"/>
                    <w:jc w:val="center"/>
                    <w:rPr>
                      <w:szCs w:val="21"/>
                    </w:rPr>
                  </w:pPr>
                  <w:r>
                    <w:rPr>
                      <w:rFonts w:hint="eastAsia"/>
                      <w:szCs w:val="21"/>
                    </w:rPr>
                    <w:t>65</w:t>
                  </w:r>
                </w:p>
              </w:tc>
              <w:tc>
                <w:tcPr>
                  <w:tcW w:w="860" w:type="pct"/>
                  <w:vAlign w:val="center"/>
                </w:tcPr>
                <w:p>
                  <w:pPr>
                    <w:adjustRightInd w:val="0"/>
                    <w:jc w:val="center"/>
                    <w:rPr>
                      <w:szCs w:val="21"/>
                    </w:rPr>
                  </w:pPr>
                  <w:r>
                    <w:rPr>
                      <w:rFonts w:hint="eastAsia"/>
                      <w:szCs w:val="21"/>
                    </w:rPr>
                    <w:t>45</w:t>
                  </w:r>
                </w:p>
              </w:tc>
              <w:tc>
                <w:tcPr>
                  <w:tcW w:w="1001" w:type="pct"/>
                  <w:vAlign w:val="center"/>
                </w:tcPr>
                <w:p>
                  <w:pPr>
                    <w:adjustRightInd w:val="0"/>
                    <w:jc w:val="center"/>
                    <w:rPr>
                      <w:szCs w:val="21"/>
                    </w:rPr>
                  </w:pPr>
                  <w:r>
                    <w:rPr>
                      <w:rFonts w:hint="eastAsia"/>
                      <w:szCs w:val="21"/>
                    </w:rPr>
                    <w:t>55</w:t>
                  </w:r>
                </w:p>
              </w:tc>
              <w:tc>
                <w:tcPr>
                  <w:tcW w:w="826" w:type="pct"/>
                  <w:vAlign w:val="center"/>
                </w:tcPr>
                <w:p>
                  <w:pPr>
                    <w:adjustRightInd w:val="0"/>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836" w:type="pct"/>
                  <w:vAlign w:val="center"/>
                </w:tcPr>
                <w:p>
                  <w:pPr>
                    <w:adjustRightInd w:val="0"/>
                    <w:jc w:val="center"/>
                    <w:rPr>
                      <w:szCs w:val="21"/>
                    </w:rPr>
                  </w:pPr>
                  <w:r>
                    <w:rPr>
                      <w:rFonts w:hint="eastAsia"/>
                      <w:szCs w:val="21"/>
                    </w:rPr>
                    <w:t>厂界西</w:t>
                  </w:r>
                </w:p>
              </w:tc>
              <w:tc>
                <w:tcPr>
                  <w:tcW w:w="666" w:type="pct"/>
                  <w:vAlign w:val="center"/>
                </w:tcPr>
                <w:p>
                  <w:pPr>
                    <w:adjustRightInd w:val="0"/>
                    <w:jc w:val="center"/>
                    <w:rPr>
                      <w:szCs w:val="21"/>
                    </w:rPr>
                  </w:pPr>
                  <w:r>
                    <w:rPr>
                      <w:rFonts w:hint="eastAsia"/>
                      <w:szCs w:val="21"/>
                    </w:rPr>
                    <w:t>57</w:t>
                  </w:r>
                </w:p>
              </w:tc>
              <w:tc>
                <w:tcPr>
                  <w:tcW w:w="810" w:type="pct"/>
                  <w:vAlign w:val="center"/>
                </w:tcPr>
                <w:p>
                  <w:pPr>
                    <w:adjustRightInd w:val="0"/>
                    <w:jc w:val="center"/>
                    <w:rPr>
                      <w:szCs w:val="21"/>
                    </w:rPr>
                  </w:pPr>
                  <w:r>
                    <w:rPr>
                      <w:rFonts w:hint="eastAsia"/>
                      <w:szCs w:val="21"/>
                    </w:rPr>
                    <w:t>65</w:t>
                  </w:r>
                </w:p>
              </w:tc>
              <w:tc>
                <w:tcPr>
                  <w:tcW w:w="860" w:type="pct"/>
                  <w:vAlign w:val="center"/>
                </w:tcPr>
                <w:p>
                  <w:pPr>
                    <w:adjustRightInd w:val="0"/>
                    <w:jc w:val="center"/>
                    <w:rPr>
                      <w:szCs w:val="21"/>
                    </w:rPr>
                  </w:pPr>
                  <w:r>
                    <w:rPr>
                      <w:rFonts w:hint="eastAsia"/>
                      <w:szCs w:val="21"/>
                    </w:rPr>
                    <w:t>44</w:t>
                  </w:r>
                </w:p>
              </w:tc>
              <w:tc>
                <w:tcPr>
                  <w:tcW w:w="1001" w:type="pct"/>
                  <w:vAlign w:val="center"/>
                </w:tcPr>
                <w:p>
                  <w:pPr>
                    <w:adjustRightInd w:val="0"/>
                    <w:jc w:val="center"/>
                    <w:rPr>
                      <w:szCs w:val="21"/>
                    </w:rPr>
                  </w:pPr>
                  <w:r>
                    <w:rPr>
                      <w:rFonts w:hint="eastAsia"/>
                      <w:szCs w:val="21"/>
                    </w:rPr>
                    <w:t>55</w:t>
                  </w:r>
                </w:p>
              </w:tc>
              <w:tc>
                <w:tcPr>
                  <w:tcW w:w="826" w:type="pct"/>
                  <w:vAlign w:val="center"/>
                </w:tcPr>
                <w:p>
                  <w:pPr>
                    <w:adjustRightInd w:val="0"/>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836" w:type="pct"/>
                  <w:vAlign w:val="center"/>
                </w:tcPr>
                <w:p>
                  <w:pPr>
                    <w:adjustRightInd w:val="0"/>
                    <w:jc w:val="center"/>
                    <w:rPr>
                      <w:szCs w:val="21"/>
                    </w:rPr>
                  </w:pPr>
                  <w:r>
                    <w:rPr>
                      <w:rFonts w:hint="eastAsia"/>
                      <w:szCs w:val="21"/>
                    </w:rPr>
                    <w:t>厂界北</w:t>
                  </w:r>
                </w:p>
              </w:tc>
              <w:tc>
                <w:tcPr>
                  <w:tcW w:w="666" w:type="pct"/>
                  <w:vAlign w:val="center"/>
                </w:tcPr>
                <w:p>
                  <w:pPr>
                    <w:adjustRightInd w:val="0"/>
                    <w:jc w:val="center"/>
                    <w:rPr>
                      <w:szCs w:val="21"/>
                    </w:rPr>
                  </w:pPr>
                  <w:r>
                    <w:rPr>
                      <w:rFonts w:hint="eastAsia"/>
                      <w:szCs w:val="21"/>
                    </w:rPr>
                    <w:t>54</w:t>
                  </w:r>
                </w:p>
              </w:tc>
              <w:tc>
                <w:tcPr>
                  <w:tcW w:w="810" w:type="pct"/>
                  <w:vAlign w:val="center"/>
                </w:tcPr>
                <w:p>
                  <w:pPr>
                    <w:adjustRightInd w:val="0"/>
                    <w:jc w:val="center"/>
                    <w:rPr>
                      <w:szCs w:val="21"/>
                    </w:rPr>
                  </w:pPr>
                  <w:r>
                    <w:rPr>
                      <w:rFonts w:hint="eastAsia"/>
                      <w:szCs w:val="21"/>
                    </w:rPr>
                    <w:t>65</w:t>
                  </w:r>
                </w:p>
              </w:tc>
              <w:tc>
                <w:tcPr>
                  <w:tcW w:w="860" w:type="pct"/>
                  <w:vAlign w:val="center"/>
                </w:tcPr>
                <w:p>
                  <w:pPr>
                    <w:adjustRightInd w:val="0"/>
                    <w:jc w:val="center"/>
                    <w:rPr>
                      <w:szCs w:val="21"/>
                    </w:rPr>
                  </w:pPr>
                  <w:r>
                    <w:rPr>
                      <w:rFonts w:hint="eastAsia"/>
                      <w:szCs w:val="21"/>
                    </w:rPr>
                    <w:t>43</w:t>
                  </w:r>
                </w:p>
              </w:tc>
              <w:tc>
                <w:tcPr>
                  <w:tcW w:w="1001" w:type="pct"/>
                  <w:vAlign w:val="center"/>
                </w:tcPr>
                <w:p>
                  <w:pPr>
                    <w:adjustRightInd w:val="0"/>
                    <w:jc w:val="center"/>
                    <w:rPr>
                      <w:szCs w:val="21"/>
                    </w:rPr>
                  </w:pPr>
                  <w:r>
                    <w:rPr>
                      <w:rFonts w:hint="eastAsia"/>
                      <w:szCs w:val="21"/>
                    </w:rPr>
                    <w:t>55</w:t>
                  </w:r>
                </w:p>
              </w:tc>
              <w:tc>
                <w:tcPr>
                  <w:tcW w:w="826" w:type="pct"/>
                  <w:vAlign w:val="center"/>
                </w:tcPr>
                <w:p>
                  <w:pPr>
                    <w:adjustRightInd w:val="0"/>
                    <w:jc w:val="center"/>
                    <w:rPr>
                      <w:szCs w:val="21"/>
                    </w:rPr>
                  </w:pPr>
                  <w:r>
                    <w:rPr>
                      <w:rFonts w:hint="eastAsia"/>
                      <w:szCs w:val="21"/>
                    </w:rPr>
                    <w:t>达标</w:t>
                  </w:r>
                </w:p>
              </w:tc>
            </w:tr>
          </w:tbl>
          <w:p>
            <w:pPr>
              <w:adjustRightInd w:val="0"/>
              <w:spacing w:before="120" w:beforeLines="50" w:line="360" w:lineRule="auto"/>
              <w:ind w:firstLine="480" w:firstLineChars="200"/>
              <w:rPr>
                <w:bCs/>
                <w:sz w:val="24"/>
                <w:szCs w:val="21"/>
              </w:rPr>
            </w:pPr>
            <w:r>
              <w:rPr>
                <w:rFonts w:hint="eastAsia"/>
                <w:bCs/>
                <w:sz w:val="24"/>
                <w:szCs w:val="21"/>
              </w:rPr>
              <w:t>根据监测结果，厂界噪声能达到《工业企业厂界环境噪声排放标准》（GB12348-2008）3类标准。</w:t>
            </w:r>
          </w:p>
          <w:p>
            <w:pPr>
              <w:adjustRightInd w:val="0"/>
              <w:spacing w:line="360" w:lineRule="auto"/>
              <w:ind w:firstLine="482" w:firstLineChars="200"/>
              <w:rPr>
                <w:b/>
                <w:sz w:val="24"/>
                <w:szCs w:val="21"/>
              </w:rPr>
            </w:pPr>
            <w:r>
              <w:rPr>
                <w:rFonts w:hint="eastAsia"/>
                <w:b/>
                <w:sz w:val="24"/>
                <w:szCs w:val="21"/>
              </w:rPr>
              <w:t>4、固体废物</w:t>
            </w:r>
          </w:p>
          <w:p>
            <w:pPr>
              <w:adjustRightInd w:val="0"/>
              <w:spacing w:line="360" w:lineRule="auto"/>
              <w:ind w:firstLine="480" w:firstLineChars="200"/>
              <w:rPr>
                <w:sz w:val="24"/>
              </w:rPr>
            </w:pPr>
            <w:r>
              <w:rPr>
                <w:rFonts w:hint="eastAsia"/>
                <w:bCs/>
                <w:sz w:val="24"/>
              </w:rPr>
              <w:t>现有</w:t>
            </w:r>
            <w:r>
              <w:rPr>
                <w:bCs/>
                <w:sz w:val="24"/>
              </w:rPr>
              <w:t>项目固体废弃物可分为职工办公生活垃圾</w:t>
            </w:r>
            <w:r>
              <w:rPr>
                <w:rFonts w:hint="eastAsia"/>
                <w:bCs/>
                <w:sz w:val="24"/>
              </w:rPr>
              <w:t>、一般</w:t>
            </w:r>
            <w:r>
              <w:rPr>
                <w:bCs/>
                <w:sz w:val="24"/>
              </w:rPr>
              <w:t>工业固体废物</w:t>
            </w:r>
            <w:r>
              <w:rPr>
                <w:rFonts w:hint="eastAsia"/>
                <w:bCs/>
                <w:sz w:val="24"/>
              </w:rPr>
              <w:t>及危险废物</w:t>
            </w:r>
            <w:r>
              <w:rPr>
                <w:bCs/>
                <w:sz w:val="24"/>
              </w:rPr>
              <w:t>。</w:t>
            </w:r>
            <w:r>
              <w:rPr>
                <w:rFonts w:hint="eastAsia"/>
                <w:bCs/>
                <w:sz w:val="24"/>
              </w:rPr>
              <w:t>一般</w:t>
            </w:r>
            <w:r>
              <w:rPr>
                <w:bCs/>
                <w:sz w:val="24"/>
              </w:rPr>
              <w:t>工业固体废物</w:t>
            </w:r>
            <w:r>
              <w:rPr>
                <w:rFonts w:hint="eastAsia"/>
                <w:sz w:val="24"/>
              </w:rPr>
              <w:t>主要包括</w:t>
            </w:r>
            <w:r>
              <w:rPr>
                <w:rFonts w:hint="eastAsia"/>
                <w:bCs/>
                <w:sz w:val="24"/>
              </w:rPr>
              <w:t>刨花板</w:t>
            </w:r>
            <w:r>
              <w:rPr>
                <w:bCs/>
                <w:sz w:val="24"/>
              </w:rPr>
              <w:t>生产过程中产生的废木料，包括树皮</w:t>
            </w:r>
            <w:r>
              <w:rPr>
                <w:rFonts w:hint="eastAsia"/>
                <w:bCs/>
                <w:sz w:val="24"/>
              </w:rPr>
              <w:t>枝叶</w:t>
            </w:r>
            <w:r>
              <w:rPr>
                <w:bCs/>
                <w:sz w:val="24"/>
              </w:rPr>
              <w:t>、</w:t>
            </w:r>
            <w:r>
              <w:rPr>
                <w:rFonts w:hint="eastAsia"/>
                <w:bCs/>
                <w:sz w:val="24"/>
              </w:rPr>
              <w:t>含有砂石的刨花</w:t>
            </w:r>
            <w:r>
              <w:rPr>
                <w:bCs/>
                <w:sz w:val="24"/>
              </w:rPr>
              <w:t>等；</w:t>
            </w:r>
            <w:r>
              <w:rPr>
                <w:rFonts w:hint="eastAsia"/>
                <w:bCs/>
                <w:sz w:val="24"/>
              </w:rPr>
              <w:t>检验不合格产品；7t/h锅炉炉渣；铺装、纵横齐边及纵横锯边工序旋风除尘器、砂光旋风除尘器收集的除尘灰</w:t>
            </w:r>
            <w:r>
              <w:rPr>
                <w:bCs/>
                <w:sz w:val="24"/>
              </w:rPr>
              <w:t>；</w:t>
            </w:r>
            <w:r>
              <w:rPr>
                <w:rFonts w:hint="eastAsia"/>
                <w:bCs/>
                <w:sz w:val="24"/>
              </w:rPr>
              <w:t>中水处理站</w:t>
            </w:r>
            <w:r>
              <w:rPr>
                <w:bCs/>
                <w:sz w:val="24"/>
              </w:rPr>
              <w:t>产生的</w:t>
            </w:r>
            <w:r>
              <w:rPr>
                <w:rFonts w:hint="eastAsia"/>
                <w:bCs/>
                <w:sz w:val="24"/>
              </w:rPr>
              <w:t>污泥</w:t>
            </w:r>
            <w:r>
              <w:rPr>
                <w:bCs/>
                <w:sz w:val="24"/>
              </w:rPr>
              <w:t>；</w:t>
            </w:r>
            <w:r>
              <w:rPr>
                <w:rFonts w:hint="eastAsia"/>
                <w:bCs/>
                <w:sz w:val="24"/>
              </w:rPr>
              <w:t>危险废物主要包括</w:t>
            </w:r>
            <w:r>
              <w:rPr>
                <w:bCs/>
                <w:sz w:val="24"/>
              </w:rPr>
              <w:t>机械设备维修、维护过程中产生的一定量的废机油</w:t>
            </w:r>
            <w:r>
              <w:rPr>
                <w:rFonts w:hint="eastAsia"/>
                <w:bCs/>
                <w:sz w:val="24"/>
              </w:rPr>
              <w:t>、7t/h导热油锅炉定期更换的废导热油</w:t>
            </w:r>
            <w:r>
              <w:rPr>
                <w:bCs/>
                <w:sz w:val="24"/>
              </w:rPr>
              <w:t>。</w:t>
            </w:r>
            <w:r>
              <w:rPr>
                <w:rFonts w:hint="eastAsia"/>
                <w:bCs/>
                <w:sz w:val="24"/>
              </w:rPr>
              <w:t>根据建设单位统计情况，现有项目固废产生情况见下表。</w:t>
            </w:r>
          </w:p>
          <w:p>
            <w:pPr>
              <w:widowControl/>
              <w:adjustRightInd w:val="0"/>
              <w:spacing w:before="120" w:beforeLines="50" w:line="360" w:lineRule="auto"/>
              <w:jc w:val="center"/>
              <w:rPr>
                <w:rFonts w:cs="宋体"/>
                <w:b/>
                <w:bCs/>
                <w:kern w:val="0"/>
                <w:sz w:val="24"/>
                <w:szCs w:val="20"/>
                <w:lang w:bidi="ar"/>
              </w:rPr>
            </w:pPr>
          </w:p>
          <w:p>
            <w:pPr>
              <w:widowControl/>
              <w:adjustRightInd w:val="0"/>
              <w:spacing w:before="120" w:beforeLines="50" w:line="360" w:lineRule="auto"/>
              <w:jc w:val="center"/>
              <w:rPr>
                <w:rFonts w:cs="宋体"/>
                <w:b/>
                <w:bCs/>
                <w:kern w:val="0"/>
                <w:sz w:val="24"/>
                <w:szCs w:val="20"/>
                <w:lang w:bidi="ar"/>
              </w:rPr>
            </w:pPr>
            <w:r>
              <w:rPr>
                <w:rFonts w:hint="eastAsia" w:cs="宋体"/>
                <w:b/>
                <w:bCs/>
                <w:kern w:val="0"/>
                <w:sz w:val="24"/>
                <w:szCs w:val="20"/>
                <w:lang w:bidi="ar"/>
              </w:rPr>
              <w:t>表2-</w:t>
            </w:r>
            <w:r>
              <w:rPr>
                <w:rFonts w:cs="宋体"/>
                <w:b/>
                <w:bCs/>
                <w:kern w:val="0"/>
                <w:sz w:val="24"/>
                <w:szCs w:val="20"/>
                <w:lang w:bidi="ar"/>
              </w:rPr>
              <w:t>2</w:t>
            </w:r>
            <w:r>
              <w:rPr>
                <w:rFonts w:hint="eastAsia" w:cs="宋体"/>
                <w:b/>
                <w:bCs/>
                <w:kern w:val="0"/>
                <w:sz w:val="24"/>
                <w:szCs w:val="20"/>
                <w:lang w:bidi="ar"/>
              </w:rPr>
              <w:t>4  现有项目固体废物产生情况</w:t>
            </w:r>
          </w:p>
          <w:tbl>
            <w:tblPr>
              <w:tblStyle w:val="32"/>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29"/>
              <w:gridCol w:w="1287"/>
              <w:gridCol w:w="2036"/>
              <w:gridCol w:w="572"/>
              <w:gridCol w:w="689"/>
              <w:gridCol w:w="32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1" w:type="pct"/>
                  <w:vAlign w:val="center"/>
                </w:tcPr>
                <w:p>
                  <w:pPr>
                    <w:adjustRightInd w:val="0"/>
                    <w:jc w:val="center"/>
                    <w:rPr>
                      <w:b/>
                      <w:szCs w:val="21"/>
                    </w:rPr>
                  </w:pPr>
                  <w:r>
                    <w:rPr>
                      <w:b/>
                      <w:szCs w:val="21"/>
                    </w:rPr>
                    <w:t>序号</w:t>
                  </w:r>
                </w:p>
              </w:tc>
              <w:tc>
                <w:tcPr>
                  <w:tcW w:w="856" w:type="pct"/>
                  <w:vAlign w:val="center"/>
                </w:tcPr>
                <w:p>
                  <w:pPr>
                    <w:adjustRightInd w:val="0"/>
                    <w:jc w:val="center"/>
                    <w:rPr>
                      <w:b/>
                      <w:szCs w:val="21"/>
                    </w:rPr>
                  </w:pPr>
                  <w:r>
                    <w:rPr>
                      <w:b/>
                      <w:szCs w:val="21"/>
                    </w:rPr>
                    <w:t>名称</w:t>
                  </w:r>
                </w:p>
              </w:tc>
              <w:tc>
                <w:tcPr>
                  <w:tcW w:w="805" w:type="pct"/>
                  <w:tcBorders>
                    <w:left w:val="single" w:color="auto" w:sz="4" w:space="0"/>
                    <w:right w:val="single" w:color="auto" w:sz="4" w:space="0"/>
                  </w:tcBorders>
                  <w:vAlign w:val="center"/>
                </w:tcPr>
                <w:p>
                  <w:pPr>
                    <w:adjustRightInd w:val="0"/>
                    <w:jc w:val="center"/>
                    <w:rPr>
                      <w:b/>
                      <w:szCs w:val="21"/>
                    </w:rPr>
                  </w:pPr>
                  <w:r>
                    <w:rPr>
                      <w:b/>
                      <w:szCs w:val="21"/>
                    </w:rPr>
                    <w:t>危废编号</w:t>
                  </w:r>
                </w:p>
              </w:tc>
              <w:tc>
                <w:tcPr>
                  <w:tcW w:w="427" w:type="pct"/>
                  <w:tcBorders>
                    <w:left w:val="single" w:color="auto" w:sz="4" w:space="0"/>
                  </w:tcBorders>
                  <w:vAlign w:val="center"/>
                </w:tcPr>
                <w:p>
                  <w:pPr>
                    <w:adjustRightInd w:val="0"/>
                    <w:jc w:val="center"/>
                    <w:rPr>
                      <w:b/>
                      <w:szCs w:val="21"/>
                    </w:rPr>
                  </w:pPr>
                  <w:r>
                    <w:rPr>
                      <w:b/>
                      <w:szCs w:val="21"/>
                    </w:rPr>
                    <w:t>单位</w:t>
                  </w:r>
                </w:p>
              </w:tc>
              <w:tc>
                <w:tcPr>
                  <w:tcW w:w="485" w:type="pct"/>
                  <w:tcBorders>
                    <w:bottom w:val="single" w:color="auto" w:sz="4" w:space="0"/>
                  </w:tcBorders>
                  <w:vAlign w:val="center"/>
                </w:tcPr>
                <w:p>
                  <w:pPr>
                    <w:adjustRightInd w:val="0"/>
                    <w:jc w:val="center"/>
                    <w:rPr>
                      <w:b/>
                      <w:szCs w:val="21"/>
                    </w:rPr>
                  </w:pPr>
                  <w:r>
                    <w:rPr>
                      <w:b/>
                      <w:szCs w:val="21"/>
                    </w:rPr>
                    <w:t>产生量</w:t>
                  </w:r>
                </w:p>
              </w:tc>
              <w:tc>
                <w:tcPr>
                  <w:tcW w:w="2027" w:type="pct"/>
                  <w:tcBorders>
                    <w:bottom w:val="single" w:color="auto" w:sz="4" w:space="0"/>
                  </w:tcBorders>
                  <w:vAlign w:val="center"/>
                </w:tcPr>
                <w:p>
                  <w:pPr>
                    <w:adjustRightInd w:val="0"/>
                    <w:jc w:val="center"/>
                    <w:rPr>
                      <w:b/>
                      <w:szCs w:val="21"/>
                    </w:rPr>
                  </w:pPr>
                  <w:r>
                    <w:rPr>
                      <w:b/>
                      <w:szCs w:val="21"/>
                    </w:rPr>
                    <w:t>处理方式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1" w:type="pct"/>
                  <w:vAlign w:val="center"/>
                </w:tcPr>
                <w:p>
                  <w:pPr>
                    <w:adjustRightInd w:val="0"/>
                    <w:jc w:val="center"/>
                    <w:rPr>
                      <w:szCs w:val="21"/>
                    </w:rPr>
                  </w:pPr>
                  <w:r>
                    <w:rPr>
                      <w:rFonts w:hint="eastAsia"/>
                      <w:szCs w:val="21"/>
                    </w:rPr>
                    <w:t>1</w:t>
                  </w:r>
                </w:p>
              </w:tc>
              <w:tc>
                <w:tcPr>
                  <w:tcW w:w="856" w:type="pct"/>
                  <w:vAlign w:val="center"/>
                </w:tcPr>
                <w:p>
                  <w:pPr>
                    <w:adjustRightInd w:val="0"/>
                    <w:jc w:val="center"/>
                    <w:rPr>
                      <w:szCs w:val="21"/>
                    </w:rPr>
                  </w:pPr>
                  <w:r>
                    <w:rPr>
                      <w:rFonts w:hint="eastAsia"/>
                      <w:szCs w:val="21"/>
                    </w:rPr>
                    <w:t>炉渣</w:t>
                  </w:r>
                </w:p>
              </w:tc>
              <w:tc>
                <w:tcPr>
                  <w:tcW w:w="805" w:type="pct"/>
                  <w:vMerge w:val="restart"/>
                  <w:tcBorders>
                    <w:left w:val="single" w:color="auto" w:sz="4" w:space="0"/>
                    <w:right w:val="single" w:color="auto" w:sz="4" w:space="0"/>
                  </w:tcBorders>
                  <w:vAlign w:val="center"/>
                </w:tcPr>
                <w:p>
                  <w:pPr>
                    <w:adjustRightInd w:val="0"/>
                    <w:jc w:val="center"/>
                    <w:rPr>
                      <w:szCs w:val="21"/>
                    </w:rPr>
                  </w:pPr>
                  <w:r>
                    <w:rPr>
                      <w:rFonts w:hint="eastAsia"/>
                      <w:szCs w:val="21"/>
                    </w:rPr>
                    <w:t>——</w:t>
                  </w:r>
                </w:p>
              </w:tc>
              <w:tc>
                <w:tcPr>
                  <w:tcW w:w="427" w:type="pct"/>
                  <w:tcBorders>
                    <w:left w:val="single" w:color="auto" w:sz="4" w:space="0"/>
                  </w:tcBorders>
                  <w:vAlign w:val="center"/>
                </w:tcPr>
                <w:p>
                  <w:pPr>
                    <w:adjustRightInd w:val="0"/>
                    <w:jc w:val="center"/>
                    <w:rPr>
                      <w:szCs w:val="21"/>
                    </w:rPr>
                  </w:pPr>
                  <w:r>
                    <w:rPr>
                      <w:szCs w:val="21"/>
                    </w:rPr>
                    <w:t>t/a</w:t>
                  </w:r>
                </w:p>
              </w:tc>
              <w:tc>
                <w:tcPr>
                  <w:tcW w:w="485" w:type="pct"/>
                  <w:vAlign w:val="center"/>
                </w:tcPr>
                <w:p>
                  <w:pPr>
                    <w:adjustRightInd w:val="0"/>
                    <w:jc w:val="center"/>
                    <w:rPr>
                      <w:szCs w:val="21"/>
                    </w:rPr>
                  </w:pPr>
                  <w:r>
                    <w:rPr>
                      <w:szCs w:val="21"/>
                    </w:rPr>
                    <w:t>15.72</w:t>
                  </w:r>
                </w:p>
              </w:tc>
              <w:tc>
                <w:tcPr>
                  <w:tcW w:w="2027" w:type="pct"/>
                  <w:vAlign w:val="center"/>
                </w:tcPr>
                <w:p>
                  <w:pPr>
                    <w:adjustRightInd w:val="0"/>
                    <w:jc w:val="center"/>
                    <w:rPr>
                      <w:szCs w:val="21"/>
                    </w:rPr>
                  </w:pPr>
                  <w:r>
                    <w:rPr>
                      <w:rFonts w:hint="eastAsia"/>
                      <w:szCs w:val="21"/>
                    </w:rPr>
                    <w:t>委托环卫部门清运处置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1" w:type="pct"/>
                  <w:vAlign w:val="center"/>
                </w:tcPr>
                <w:p>
                  <w:pPr>
                    <w:adjustRightInd w:val="0"/>
                    <w:jc w:val="center"/>
                    <w:rPr>
                      <w:szCs w:val="21"/>
                    </w:rPr>
                  </w:pPr>
                  <w:r>
                    <w:rPr>
                      <w:rFonts w:hint="eastAsia"/>
                      <w:szCs w:val="21"/>
                    </w:rPr>
                    <w:t>2</w:t>
                  </w:r>
                </w:p>
              </w:tc>
              <w:tc>
                <w:tcPr>
                  <w:tcW w:w="856" w:type="pct"/>
                  <w:vAlign w:val="center"/>
                </w:tcPr>
                <w:p>
                  <w:pPr>
                    <w:adjustRightInd w:val="0"/>
                    <w:jc w:val="center"/>
                    <w:rPr>
                      <w:szCs w:val="21"/>
                    </w:rPr>
                  </w:pPr>
                  <w:r>
                    <w:rPr>
                      <w:rFonts w:hint="eastAsia"/>
                      <w:szCs w:val="21"/>
                    </w:rPr>
                    <w:t>树皮、枝叶</w:t>
                  </w:r>
                </w:p>
              </w:tc>
              <w:tc>
                <w:tcPr>
                  <w:tcW w:w="805" w:type="pct"/>
                  <w:vMerge w:val="continue"/>
                  <w:tcBorders>
                    <w:left w:val="single" w:color="auto" w:sz="4" w:space="0"/>
                    <w:right w:val="single" w:color="auto" w:sz="4" w:space="0"/>
                  </w:tcBorders>
                  <w:vAlign w:val="center"/>
                </w:tcPr>
                <w:p>
                  <w:pPr>
                    <w:adjustRightInd w:val="0"/>
                    <w:jc w:val="center"/>
                    <w:rPr>
                      <w:szCs w:val="21"/>
                    </w:rPr>
                  </w:pPr>
                </w:p>
              </w:tc>
              <w:tc>
                <w:tcPr>
                  <w:tcW w:w="427" w:type="pct"/>
                  <w:tcBorders>
                    <w:left w:val="single" w:color="auto" w:sz="4" w:space="0"/>
                  </w:tcBorders>
                  <w:vAlign w:val="center"/>
                </w:tcPr>
                <w:p>
                  <w:pPr>
                    <w:adjustRightInd w:val="0"/>
                    <w:jc w:val="center"/>
                    <w:rPr>
                      <w:szCs w:val="21"/>
                    </w:rPr>
                  </w:pPr>
                  <w:r>
                    <w:rPr>
                      <w:szCs w:val="21"/>
                    </w:rPr>
                    <w:t>t/a</w:t>
                  </w:r>
                </w:p>
              </w:tc>
              <w:tc>
                <w:tcPr>
                  <w:tcW w:w="485" w:type="pct"/>
                  <w:tcBorders>
                    <w:bottom w:val="single" w:color="auto" w:sz="4" w:space="0"/>
                  </w:tcBorders>
                  <w:vAlign w:val="center"/>
                </w:tcPr>
                <w:p>
                  <w:pPr>
                    <w:adjustRightInd w:val="0"/>
                    <w:jc w:val="center"/>
                    <w:rPr>
                      <w:szCs w:val="21"/>
                    </w:rPr>
                  </w:pPr>
                  <w:r>
                    <w:rPr>
                      <w:rFonts w:hint="eastAsia"/>
                      <w:szCs w:val="21"/>
                    </w:rPr>
                    <w:t>1200</w:t>
                  </w:r>
                </w:p>
              </w:tc>
              <w:tc>
                <w:tcPr>
                  <w:tcW w:w="2027" w:type="pct"/>
                  <w:vMerge w:val="restart"/>
                  <w:vAlign w:val="center"/>
                </w:tcPr>
                <w:p>
                  <w:pPr>
                    <w:adjustRightInd w:val="0"/>
                    <w:jc w:val="center"/>
                    <w:rPr>
                      <w:szCs w:val="21"/>
                    </w:rPr>
                  </w:pPr>
                  <w:r>
                    <w:rPr>
                      <w:rFonts w:hint="eastAsia"/>
                      <w:szCs w:val="21"/>
                    </w:rPr>
                    <w:t>用于热油炉作为燃料使用。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1" w:type="pct"/>
                  <w:vAlign w:val="center"/>
                </w:tcPr>
                <w:p>
                  <w:pPr>
                    <w:adjustRightInd w:val="0"/>
                    <w:jc w:val="center"/>
                    <w:rPr>
                      <w:szCs w:val="21"/>
                    </w:rPr>
                  </w:pPr>
                  <w:r>
                    <w:rPr>
                      <w:rFonts w:hint="eastAsia"/>
                      <w:szCs w:val="21"/>
                    </w:rPr>
                    <w:t>3</w:t>
                  </w:r>
                </w:p>
              </w:tc>
              <w:tc>
                <w:tcPr>
                  <w:tcW w:w="856" w:type="pct"/>
                  <w:vAlign w:val="center"/>
                </w:tcPr>
                <w:p>
                  <w:pPr>
                    <w:adjustRightInd w:val="0"/>
                    <w:jc w:val="center"/>
                    <w:rPr>
                      <w:szCs w:val="21"/>
                    </w:rPr>
                  </w:pPr>
                  <w:r>
                    <w:rPr>
                      <w:rFonts w:hint="eastAsia"/>
                      <w:szCs w:val="21"/>
                    </w:rPr>
                    <w:t>除尘器收集粉尘</w:t>
                  </w:r>
                </w:p>
              </w:tc>
              <w:tc>
                <w:tcPr>
                  <w:tcW w:w="805" w:type="pct"/>
                  <w:vMerge w:val="continue"/>
                  <w:tcBorders>
                    <w:left w:val="single" w:color="auto" w:sz="4" w:space="0"/>
                    <w:right w:val="single" w:color="auto" w:sz="4" w:space="0"/>
                  </w:tcBorders>
                  <w:vAlign w:val="center"/>
                </w:tcPr>
                <w:p>
                  <w:pPr>
                    <w:adjustRightInd w:val="0"/>
                    <w:jc w:val="center"/>
                    <w:rPr>
                      <w:szCs w:val="21"/>
                    </w:rPr>
                  </w:pPr>
                </w:p>
              </w:tc>
              <w:tc>
                <w:tcPr>
                  <w:tcW w:w="427" w:type="pct"/>
                  <w:tcBorders>
                    <w:left w:val="single" w:color="auto" w:sz="4" w:space="0"/>
                  </w:tcBorders>
                  <w:vAlign w:val="center"/>
                </w:tcPr>
                <w:p>
                  <w:pPr>
                    <w:adjustRightInd w:val="0"/>
                    <w:jc w:val="center"/>
                    <w:rPr>
                      <w:szCs w:val="21"/>
                    </w:rPr>
                  </w:pPr>
                  <w:r>
                    <w:rPr>
                      <w:szCs w:val="21"/>
                    </w:rPr>
                    <w:t>t/a</w:t>
                  </w:r>
                </w:p>
              </w:tc>
              <w:tc>
                <w:tcPr>
                  <w:tcW w:w="485" w:type="pct"/>
                  <w:tcBorders>
                    <w:bottom w:val="single" w:color="auto" w:sz="4" w:space="0"/>
                  </w:tcBorders>
                  <w:vAlign w:val="center"/>
                </w:tcPr>
                <w:p>
                  <w:pPr>
                    <w:adjustRightInd w:val="0"/>
                    <w:jc w:val="center"/>
                    <w:rPr>
                      <w:szCs w:val="21"/>
                    </w:rPr>
                  </w:pPr>
                  <w:r>
                    <w:rPr>
                      <w:rFonts w:hint="eastAsia"/>
                      <w:szCs w:val="21"/>
                    </w:rPr>
                    <w:t>600</w:t>
                  </w:r>
                </w:p>
              </w:tc>
              <w:tc>
                <w:tcPr>
                  <w:tcW w:w="2027" w:type="pct"/>
                  <w:vMerge w:val="continue"/>
                  <w:vAlign w:val="center"/>
                </w:tcPr>
                <w:p>
                  <w:pPr>
                    <w:adjustRightInd w:val="0"/>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1" w:type="pct"/>
                  <w:vAlign w:val="center"/>
                </w:tcPr>
                <w:p>
                  <w:pPr>
                    <w:adjustRightInd w:val="0"/>
                    <w:jc w:val="center"/>
                    <w:rPr>
                      <w:szCs w:val="21"/>
                    </w:rPr>
                  </w:pPr>
                  <w:r>
                    <w:rPr>
                      <w:rFonts w:hint="eastAsia"/>
                      <w:szCs w:val="21"/>
                    </w:rPr>
                    <w:t>4</w:t>
                  </w:r>
                </w:p>
              </w:tc>
              <w:tc>
                <w:tcPr>
                  <w:tcW w:w="856" w:type="pct"/>
                  <w:vAlign w:val="center"/>
                </w:tcPr>
                <w:p>
                  <w:pPr>
                    <w:adjustRightInd w:val="0"/>
                    <w:jc w:val="center"/>
                    <w:rPr>
                      <w:szCs w:val="21"/>
                    </w:rPr>
                  </w:pPr>
                  <w:r>
                    <w:rPr>
                      <w:rFonts w:hint="eastAsia"/>
                      <w:szCs w:val="21"/>
                    </w:rPr>
                    <w:t>含砂石刨花</w:t>
                  </w:r>
                </w:p>
              </w:tc>
              <w:tc>
                <w:tcPr>
                  <w:tcW w:w="805" w:type="pct"/>
                  <w:vMerge w:val="continue"/>
                  <w:tcBorders>
                    <w:left w:val="single" w:color="auto" w:sz="4" w:space="0"/>
                    <w:right w:val="single" w:color="auto" w:sz="4" w:space="0"/>
                  </w:tcBorders>
                  <w:vAlign w:val="center"/>
                </w:tcPr>
                <w:p>
                  <w:pPr>
                    <w:adjustRightInd w:val="0"/>
                    <w:jc w:val="center"/>
                    <w:rPr>
                      <w:szCs w:val="21"/>
                    </w:rPr>
                  </w:pPr>
                </w:p>
              </w:tc>
              <w:tc>
                <w:tcPr>
                  <w:tcW w:w="427" w:type="pct"/>
                  <w:tcBorders>
                    <w:left w:val="single" w:color="auto" w:sz="4" w:space="0"/>
                  </w:tcBorders>
                  <w:vAlign w:val="center"/>
                </w:tcPr>
                <w:p>
                  <w:pPr>
                    <w:adjustRightInd w:val="0"/>
                    <w:jc w:val="center"/>
                    <w:rPr>
                      <w:szCs w:val="21"/>
                    </w:rPr>
                  </w:pPr>
                  <w:r>
                    <w:rPr>
                      <w:szCs w:val="21"/>
                    </w:rPr>
                    <w:t>t/a</w:t>
                  </w:r>
                </w:p>
              </w:tc>
              <w:tc>
                <w:tcPr>
                  <w:tcW w:w="485" w:type="pct"/>
                  <w:tcBorders>
                    <w:bottom w:val="single" w:color="auto" w:sz="4" w:space="0"/>
                  </w:tcBorders>
                  <w:vAlign w:val="center"/>
                </w:tcPr>
                <w:p>
                  <w:pPr>
                    <w:adjustRightInd w:val="0"/>
                    <w:jc w:val="center"/>
                    <w:rPr>
                      <w:szCs w:val="21"/>
                    </w:rPr>
                  </w:pPr>
                  <w:r>
                    <w:rPr>
                      <w:rFonts w:hint="eastAsia"/>
                      <w:szCs w:val="21"/>
                    </w:rPr>
                    <w:t>4</w:t>
                  </w:r>
                </w:p>
              </w:tc>
              <w:tc>
                <w:tcPr>
                  <w:tcW w:w="2027" w:type="pct"/>
                  <w:vMerge w:val="continue"/>
                  <w:vAlign w:val="center"/>
                </w:tcPr>
                <w:p>
                  <w:pPr>
                    <w:adjustRightInd w:val="0"/>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401" w:type="pct"/>
                  <w:vAlign w:val="center"/>
                </w:tcPr>
                <w:p>
                  <w:pPr>
                    <w:adjustRightInd w:val="0"/>
                    <w:jc w:val="center"/>
                    <w:rPr>
                      <w:szCs w:val="21"/>
                    </w:rPr>
                  </w:pPr>
                  <w:r>
                    <w:rPr>
                      <w:szCs w:val="21"/>
                    </w:rPr>
                    <w:t>5</w:t>
                  </w:r>
                </w:p>
              </w:tc>
              <w:tc>
                <w:tcPr>
                  <w:tcW w:w="856" w:type="pct"/>
                  <w:vAlign w:val="center"/>
                </w:tcPr>
                <w:p>
                  <w:pPr>
                    <w:adjustRightInd w:val="0"/>
                    <w:jc w:val="center"/>
                    <w:rPr>
                      <w:szCs w:val="21"/>
                    </w:rPr>
                  </w:pPr>
                  <w:r>
                    <w:rPr>
                      <w:rFonts w:hint="eastAsia"/>
                      <w:szCs w:val="21"/>
                    </w:rPr>
                    <w:t>不合格产品</w:t>
                  </w:r>
                </w:p>
              </w:tc>
              <w:tc>
                <w:tcPr>
                  <w:tcW w:w="805" w:type="pct"/>
                  <w:vMerge w:val="continue"/>
                  <w:tcBorders>
                    <w:left w:val="single" w:color="auto" w:sz="4" w:space="0"/>
                    <w:right w:val="single" w:color="auto" w:sz="4" w:space="0"/>
                  </w:tcBorders>
                  <w:vAlign w:val="center"/>
                </w:tcPr>
                <w:p>
                  <w:pPr>
                    <w:adjustRightInd w:val="0"/>
                    <w:jc w:val="center"/>
                    <w:rPr>
                      <w:szCs w:val="21"/>
                    </w:rPr>
                  </w:pPr>
                </w:p>
              </w:tc>
              <w:tc>
                <w:tcPr>
                  <w:tcW w:w="427" w:type="pct"/>
                  <w:tcBorders>
                    <w:left w:val="single" w:color="auto" w:sz="4" w:space="0"/>
                  </w:tcBorders>
                  <w:vAlign w:val="center"/>
                </w:tcPr>
                <w:p>
                  <w:pPr>
                    <w:adjustRightInd w:val="0"/>
                    <w:jc w:val="center"/>
                    <w:rPr>
                      <w:szCs w:val="21"/>
                    </w:rPr>
                  </w:pPr>
                  <w:r>
                    <w:rPr>
                      <w:szCs w:val="21"/>
                    </w:rPr>
                    <w:t>t/a</w:t>
                  </w:r>
                </w:p>
              </w:tc>
              <w:tc>
                <w:tcPr>
                  <w:tcW w:w="485" w:type="pct"/>
                  <w:tcBorders>
                    <w:bottom w:val="single" w:color="auto" w:sz="4" w:space="0"/>
                  </w:tcBorders>
                  <w:vAlign w:val="center"/>
                </w:tcPr>
                <w:p>
                  <w:pPr>
                    <w:adjustRightInd w:val="0"/>
                    <w:jc w:val="center"/>
                    <w:rPr>
                      <w:szCs w:val="21"/>
                    </w:rPr>
                  </w:pPr>
                  <w:r>
                    <w:rPr>
                      <w:rFonts w:hint="eastAsia"/>
                      <w:szCs w:val="21"/>
                    </w:rPr>
                    <w:t>500</w:t>
                  </w:r>
                </w:p>
              </w:tc>
              <w:tc>
                <w:tcPr>
                  <w:tcW w:w="2027" w:type="pct"/>
                  <w:vAlign w:val="center"/>
                </w:tcPr>
                <w:p>
                  <w:pPr>
                    <w:adjustRightInd w:val="0"/>
                    <w:jc w:val="center"/>
                    <w:rPr>
                      <w:szCs w:val="21"/>
                    </w:rPr>
                  </w:pPr>
                  <w:r>
                    <w:rPr>
                      <w:rFonts w:hint="eastAsia" w:ascii="宋体" w:hAnsi="宋体"/>
                      <w:szCs w:val="21"/>
                    </w:rPr>
                    <w:t>成型较好的作为包装板材使用，其他的均运至热油炉站内作为燃料使用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1" w:type="pct"/>
                  <w:vAlign w:val="center"/>
                </w:tcPr>
                <w:p>
                  <w:pPr>
                    <w:adjustRightInd w:val="0"/>
                    <w:jc w:val="center"/>
                    <w:rPr>
                      <w:szCs w:val="21"/>
                    </w:rPr>
                  </w:pPr>
                  <w:r>
                    <w:rPr>
                      <w:rFonts w:hint="eastAsia"/>
                      <w:szCs w:val="21"/>
                    </w:rPr>
                    <w:t>6</w:t>
                  </w:r>
                </w:p>
              </w:tc>
              <w:tc>
                <w:tcPr>
                  <w:tcW w:w="856" w:type="pct"/>
                  <w:vAlign w:val="center"/>
                </w:tcPr>
                <w:p>
                  <w:pPr>
                    <w:adjustRightInd w:val="0"/>
                    <w:jc w:val="center"/>
                    <w:rPr>
                      <w:szCs w:val="21"/>
                    </w:rPr>
                  </w:pPr>
                  <w:r>
                    <w:rPr>
                      <w:rFonts w:hint="eastAsia"/>
                      <w:szCs w:val="21"/>
                    </w:rPr>
                    <w:t>中水处理站污泥</w:t>
                  </w:r>
                </w:p>
              </w:tc>
              <w:tc>
                <w:tcPr>
                  <w:tcW w:w="805" w:type="pct"/>
                  <w:vMerge w:val="continue"/>
                  <w:tcBorders>
                    <w:left w:val="single" w:color="auto" w:sz="4" w:space="0"/>
                    <w:right w:val="single" w:color="auto" w:sz="4" w:space="0"/>
                  </w:tcBorders>
                  <w:vAlign w:val="center"/>
                </w:tcPr>
                <w:p>
                  <w:pPr>
                    <w:adjustRightInd w:val="0"/>
                    <w:jc w:val="center"/>
                    <w:rPr>
                      <w:szCs w:val="21"/>
                    </w:rPr>
                  </w:pPr>
                </w:p>
              </w:tc>
              <w:tc>
                <w:tcPr>
                  <w:tcW w:w="427" w:type="pct"/>
                  <w:tcBorders>
                    <w:left w:val="single" w:color="auto" w:sz="4" w:space="0"/>
                  </w:tcBorders>
                  <w:vAlign w:val="center"/>
                </w:tcPr>
                <w:p>
                  <w:pPr>
                    <w:adjustRightInd w:val="0"/>
                    <w:jc w:val="center"/>
                    <w:rPr>
                      <w:szCs w:val="21"/>
                    </w:rPr>
                  </w:pPr>
                  <w:r>
                    <w:rPr>
                      <w:szCs w:val="21"/>
                    </w:rPr>
                    <w:t>t/a</w:t>
                  </w:r>
                </w:p>
              </w:tc>
              <w:tc>
                <w:tcPr>
                  <w:tcW w:w="485" w:type="pct"/>
                  <w:vAlign w:val="center"/>
                </w:tcPr>
                <w:p>
                  <w:pPr>
                    <w:adjustRightInd w:val="0"/>
                    <w:jc w:val="center"/>
                    <w:rPr>
                      <w:szCs w:val="21"/>
                    </w:rPr>
                  </w:pPr>
                  <w:r>
                    <w:rPr>
                      <w:rFonts w:hint="eastAsia"/>
                      <w:szCs w:val="21"/>
                    </w:rPr>
                    <w:t>1</w:t>
                  </w:r>
                </w:p>
              </w:tc>
              <w:tc>
                <w:tcPr>
                  <w:tcW w:w="2027" w:type="pct"/>
                  <w:vMerge w:val="restart"/>
                  <w:tcBorders>
                    <w:top w:val="single" w:color="auto" w:sz="4" w:space="0"/>
                  </w:tcBorders>
                  <w:vAlign w:val="center"/>
                </w:tcPr>
                <w:p>
                  <w:pPr>
                    <w:adjustRightInd w:val="0"/>
                    <w:jc w:val="center"/>
                    <w:rPr>
                      <w:szCs w:val="21"/>
                    </w:rPr>
                  </w:pPr>
                  <w:r>
                    <w:rPr>
                      <w:rFonts w:hint="eastAsia"/>
                      <w:szCs w:val="21"/>
                    </w:rPr>
                    <w:t>交由环卫部门处置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1" w:type="pct"/>
                  <w:vAlign w:val="center"/>
                </w:tcPr>
                <w:p>
                  <w:pPr>
                    <w:adjustRightInd w:val="0"/>
                    <w:jc w:val="center"/>
                    <w:rPr>
                      <w:szCs w:val="21"/>
                    </w:rPr>
                  </w:pPr>
                  <w:r>
                    <w:rPr>
                      <w:rFonts w:hint="eastAsia"/>
                      <w:szCs w:val="21"/>
                    </w:rPr>
                    <w:t>7</w:t>
                  </w:r>
                </w:p>
              </w:tc>
              <w:tc>
                <w:tcPr>
                  <w:tcW w:w="856" w:type="pct"/>
                  <w:vAlign w:val="center"/>
                </w:tcPr>
                <w:p>
                  <w:pPr>
                    <w:adjustRightInd w:val="0"/>
                    <w:jc w:val="center"/>
                    <w:rPr>
                      <w:szCs w:val="21"/>
                    </w:rPr>
                  </w:pPr>
                  <w:r>
                    <w:rPr>
                      <w:szCs w:val="21"/>
                    </w:rPr>
                    <w:t>生活垃圾</w:t>
                  </w:r>
                </w:p>
              </w:tc>
              <w:tc>
                <w:tcPr>
                  <w:tcW w:w="805" w:type="pct"/>
                  <w:vMerge w:val="continue"/>
                  <w:tcBorders>
                    <w:left w:val="single" w:color="auto" w:sz="4" w:space="0"/>
                    <w:right w:val="single" w:color="auto" w:sz="4" w:space="0"/>
                  </w:tcBorders>
                  <w:vAlign w:val="center"/>
                </w:tcPr>
                <w:p>
                  <w:pPr>
                    <w:adjustRightInd w:val="0"/>
                    <w:jc w:val="center"/>
                    <w:rPr>
                      <w:szCs w:val="21"/>
                    </w:rPr>
                  </w:pPr>
                </w:p>
              </w:tc>
              <w:tc>
                <w:tcPr>
                  <w:tcW w:w="427" w:type="pct"/>
                  <w:tcBorders>
                    <w:left w:val="single" w:color="auto" w:sz="4" w:space="0"/>
                  </w:tcBorders>
                  <w:vAlign w:val="center"/>
                </w:tcPr>
                <w:p>
                  <w:pPr>
                    <w:adjustRightInd w:val="0"/>
                    <w:jc w:val="center"/>
                    <w:rPr>
                      <w:szCs w:val="21"/>
                    </w:rPr>
                  </w:pPr>
                  <w:r>
                    <w:rPr>
                      <w:szCs w:val="21"/>
                    </w:rPr>
                    <w:t>t/a</w:t>
                  </w:r>
                </w:p>
              </w:tc>
              <w:tc>
                <w:tcPr>
                  <w:tcW w:w="485" w:type="pct"/>
                  <w:vAlign w:val="center"/>
                </w:tcPr>
                <w:p>
                  <w:pPr>
                    <w:adjustRightInd w:val="0"/>
                    <w:jc w:val="center"/>
                    <w:rPr>
                      <w:szCs w:val="21"/>
                    </w:rPr>
                  </w:pPr>
                  <w:r>
                    <w:rPr>
                      <w:rFonts w:hint="eastAsia"/>
                      <w:szCs w:val="21"/>
                    </w:rPr>
                    <w:t>7.5</w:t>
                  </w:r>
                </w:p>
              </w:tc>
              <w:tc>
                <w:tcPr>
                  <w:tcW w:w="2027" w:type="pct"/>
                  <w:vMerge w:val="continue"/>
                  <w:vAlign w:val="center"/>
                </w:tcPr>
                <w:p>
                  <w:pPr>
                    <w:adjustRightInd w:val="0"/>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1" w:type="pct"/>
                  <w:vAlign w:val="center"/>
                </w:tcPr>
                <w:p>
                  <w:pPr>
                    <w:adjustRightInd w:val="0"/>
                    <w:jc w:val="center"/>
                    <w:rPr>
                      <w:szCs w:val="21"/>
                    </w:rPr>
                  </w:pPr>
                  <w:r>
                    <w:rPr>
                      <w:rFonts w:hint="eastAsia"/>
                      <w:szCs w:val="21"/>
                    </w:rPr>
                    <w:t>8</w:t>
                  </w:r>
                </w:p>
              </w:tc>
              <w:tc>
                <w:tcPr>
                  <w:tcW w:w="856" w:type="pct"/>
                  <w:vAlign w:val="center"/>
                </w:tcPr>
                <w:p>
                  <w:pPr>
                    <w:adjustRightInd w:val="0"/>
                    <w:jc w:val="center"/>
                    <w:rPr>
                      <w:szCs w:val="21"/>
                    </w:rPr>
                  </w:pPr>
                  <w:r>
                    <w:rPr>
                      <w:rFonts w:hint="eastAsia"/>
                      <w:szCs w:val="21"/>
                    </w:rPr>
                    <w:t>废机油</w:t>
                  </w:r>
                </w:p>
              </w:tc>
              <w:tc>
                <w:tcPr>
                  <w:tcW w:w="805" w:type="pct"/>
                  <w:tcBorders>
                    <w:left w:val="single" w:color="auto" w:sz="4" w:space="0"/>
                    <w:right w:val="single" w:color="auto" w:sz="4" w:space="0"/>
                  </w:tcBorders>
                  <w:vAlign w:val="center"/>
                </w:tcPr>
                <w:p>
                  <w:pPr>
                    <w:adjustRightInd w:val="0"/>
                    <w:jc w:val="center"/>
                    <w:rPr>
                      <w:szCs w:val="21"/>
                    </w:rPr>
                  </w:pPr>
                  <w:r>
                    <w:rPr>
                      <w:szCs w:val="21"/>
                    </w:rPr>
                    <w:t>HW08</w:t>
                  </w:r>
                  <w:r>
                    <w:rPr>
                      <w:rFonts w:hint="eastAsia"/>
                      <w:szCs w:val="21"/>
                    </w:rPr>
                    <w:t>-9</w:t>
                  </w:r>
                  <w:r>
                    <w:rPr>
                      <w:szCs w:val="21"/>
                    </w:rPr>
                    <w:t>00-214-08</w:t>
                  </w:r>
                  <w:r>
                    <w:rPr>
                      <w:rFonts w:hint="eastAsia"/>
                      <w:szCs w:val="21"/>
                    </w:rPr>
                    <w:t>）</w:t>
                  </w:r>
                </w:p>
              </w:tc>
              <w:tc>
                <w:tcPr>
                  <w:tcW w:w="427" w:type="pct"/>
                  <w:tcBorders>
                    <w:left w:val="single" w:color="auto" w:sz="4" w:space="0"/>
                  </w:tcBorders>
                  <w:vAlign w:val="center"/>
                </w:tcPr>
                <w:p>
                  <w:pPr>
                    <w:adjustRightInd w:val="0"/>
                    <w:jc w:val="center"/>
                    <w:rPr>
                      <w:szCs w:val="21"/>
                    </w:rPr>
                  </w:pPr>
                  <w:r>
                    <w:rPr>
                      <w:szCs w:val="21"/>
                    </w:rPr>
                    <w:t>t/a</w:t>
                  </w:r>
                </w:p>
              </w:tc>
              <w:tc>
                <w:tcPr>
                  <w:tcW w:w="485" w:type="pct"/>
                  <w:vAlign w:val="center"/>
                </w:tcPr>
                <w:p>
                  <w:pPr>
                    <w:adjustRightInd w:val="0"/>
                    <w:jc w:val="center"/>
                    <w:rPr>
                      <w:szCs w:val="21"/>
                    </w:rPr>
                  </w:pPr>
                  <w:r>
                    <w:rPr>
                      <w:rFonts w:hint="eastAsia"/>
                      <w:szCs w:val="21"/>
                    </w:rPr>
                    <w:t>0.2</w:t>
                  </w:r>
                </w:p>
              </w:tc>
              <w:tc>
                <w:tcPr>
                  <w:tcW w:w="2027" w:type="pct"/>
                  <w:vMerge w:val="restart"/>
                  <w:vAlign w:val="center"/>
                </w:tcPr>
                <w:p>
                  <w:pPr>
                    <w:adjustRightInd w:val="0"/>
                    <w:jc w:val="center"/>
                    <w:rPr>
                      <w:szCs w:val="21"/>
                    </w:rPr>
                  </w:pPr>
                  <w:r>
                    <w:rPr>
                      <w:szCs w:val="21"/>
                    </w:rPr>
                    <w:t>定期收集交由</w:t>
                  </w:r>
                  <w:r>
                    <w:rPr>
                      <w:rFonts w:hint="eastAsia"/>
                      <w:szCs w:val="21"/>
                    </w:rPr>
                    <w:t>寻甸同磊再生资源回收有限公司</w:t>
                  </w:r>
                  <w:r>
                    <w:rPr>
                      <w:szCs w:val="21"/>
                    </w:rPr>
                    <w:t>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01" w:type="pct"/>
                  <w:vAlign w:val="center"/>
                </w:tcPr>
                <w:p>
                  <w:pPr>
                    <w:adjustRightInd w:val="0"/>
                    <w:jc w:val="center"/>
                    <w:rPr>
                      <w:szCs w:val="21"/>
                    </w:rPr>
                  </w:pPr>
                  <w:r>
                    <w:rPr>
                      <w:rFonts w:hint="eastAsia"/>
                      <w:szCs w:val="21"/>
                    </w:rPr>
                    <w:t>9</w:t>
                  </w:r>
                </w:p>
              </w:tc>
              <w:tc>
                <w:tcPr>
                  <w:tcW w:w="856" w:type="pct"/>
                  <w:vAlign w:val="center"/>
                </w:tcPr>
                <w:p>
                  <w:pPr>
                    <w:adjustRightInd w:val="0"/>
                    <w:jc w:val="center"/>
                    <w:rPr>
                      <w:szCs w:val="21"/>
                    </w:rPr>
                  </w:pPr>
                  <w:r>
                    <w:rPr>
                      <w:rFonts w:hint="eastAsia"/>
                      <w:szCs w:val="21"/>
                    </w:rPr>
                    <w:t>废导热油</w:t>
                  </w:r>
                </w:p>
              </w:tc>
              <w:tc>
                <w:tcPr>
                  <w:tcW w:w="805" w:type="pct"/>
                  <w:tcBorders>
                    <w:left w:val="single" w:color="auto" w:sz="4" w:space="0"/>
                    <w:right w:val="single" w:color="auto" w:sz="4" w:space="0"/>
                  </w:tcBorders>
                  <w:vAlign w:val="center"/>
                </w:tcPr>
                <w:p>
                  <w:pPr>
                    <w:adjustRightInd w:val="0"/>
                    <w:jc w:val="center"/>
                    <w:rPr>
                      <w:szCs w:val="21"/>
                    </w:rPr>
                  </w:pPr>
                  <w:r>
                    <w:rPr>
                      <w:szCs w:val="21"/>
                    </w:rPr>
                    <w:t>HW</w:t>
                  </w:r>
                  <w:r>
                    <w:rPr>
                      <w:rFonts w:hint="eastAsia"/>
                      <w:szCs w:val="21"/>
                    </w:rPr>
                    <w:t>08</w:t>
                  </w:r>
                  <w:r>
                    <w:rPr>
                      <w:szCs w:val="21"/>
                    </w:rPr>
                    <w:t>-</w:t>
                  </w:r>
                  <w:r>
                    <w:rPr>
                      <w:rFonts w:hint="eastAsia" w:cs="Arial"/>
                      <w:szCs w:val="21"/>
                      <w:shd w:val="clear" w:color="auto" w:fill="FFFFFF"/>
                    </w:rPr>
                    <w:t>900-24</w:t>
                  </w:r>
                  <w:r>
                    <w:rPr>
                      <w:rFonts w:cs="Arial"/>
                      <w:szCs w:val="21"/>
                      <w:shd w:val="clear" w:color="auto" w:fill="FFFFFF"/>
                    </w:rPr>
                    <w:t>9</w:t>
                  </w:r>
                  <w:r>
                    <w:rPr>
                      <w:rFonts w:hint="eastAsia" w:cs="Arial"/>
                      <w:szCs w:val="21"/>
                      <w:shd w:val="clear" w:color="auto" w:fill="FFFFFF"/>
                    </w:rPr>
                    <w:t>-08</w:t>
                  </w:r>
                </w:p>
              </w:tc>
              <w:tc>
                <w:tcPr>
                  <w:tcW w:w="427" w:type="pct"/>
                  <w:tcBorders>
                    <w:left w:val="single" w:color="auto" w:sz="4" w:space="0"/>
                  </w:tcBorders>
                  <w:vAlign w:val="center"/>
                </w:tcPr>
                <w:p>
                  <w:pPr>
                    <w:adjustRightInd w:val="0"/>
                    <w:jc w:val="center"/>
                    <w:rPr>
                      <w:szCs w:val="21"/>
                    </w:rPr>
                  </w:pPr>
                  <w:r>
                    <w:rPr>
                      <w:rFonts w:hint="eastAsia"/>
                      <w:szCs w:val="21"/>
                    </w:rPr>
                    <w:t>t</w:t>
                  </w:r>
                  <w:r>
                    <w:rPr>
                      <w:szCs w:val="21"/>
                    </w:rPr>
                    <w:t>/a</w:t>
                  </w:r>
                </w:p>
              </w:tc>
              <w:tc>
                <w:tcPr>
                  <w:tcW w:w="485" w:type="pct"/>
                  <w:vAlign w:val="center"/>
                </w:tcPr>
                <w:p>
                  <w:pPr>
                    <w:adjustRightInd w:val="0"/>
                    <w:jc w:val="center"/>
                    <w:rPr>
                      <w:szCs w:val="21"/>
                    </w:rPr>
                  </w:pPr>
                  <w:r>
                    <w:rPr>
                      <w:szCs w:val="21"/>
                    </w:rPr>
                    <w:t>1</w:t>
                  </w:r>
                </w:p>
              </w:tc>
              <w:tc>
                <w:tcPr>
                  <w:tcW w:w="2027" w:type="pct"/>
                  <w:vMerge w:val="continue"/>
                  <w:vAlign w:val="center"/>
                </w:tcPr>
                <w:p>
                  <w:pPr>
                    <w:adjustRightInd w:val="0"/>
                    <w:jc w:val="center"/>
                    <w:rPr>
                      <w:szCs w:val="21"/>
                    </w:rPr>
                  </w:pPr>
                </w:p>
              </w:tc>
            </w:tr>
          </w:tbl>
          <w:p>
            <w:pPr>
              <w:numPr>
                <w:ilvl w:val="0"/>
                <w:numId w:val="5"/>
              </w:numPr>
              <w:adjustRightInd w:val="0"/>
              <w:spacing w:before="120" w:beforeLines="50" w:line="360" w:lineRule="auto"/>
              <w:ind w:firstLine="482" w:firstLineChars="200"/>
              <w:jc w:val="left"/>
              <w:rPr>
                <w:b/>
                <w:bCs/>
                <w:sz w:val="24"/>
              </w:rPr>
            </w:pPr>
            <w:r>
              <w:rPr>
                <w:rFonts w:hint="eastAsia"/>
                <w:b/>
                <w:bCs/>
                <w:sz w:val="24"/>
              </w:rPr>
              <w:t>排污许可证执行情况</w:t>
            </w:r>
          </w:p>
          <w:p>
            <w:pPr>
              <w:widowControl/>
              <w:adjustRightInd w:val="0"/>
              <w:spacing w:line="360" w:lineRule="auto"/>
              <w:ind w:firstLine="480" w:firstLineChars="200"/>
              <w:rPr>
                <w:rFonts w:cs="宋体"/>
                <w:kern w:val="0"/>
                <w:sz w:val="24"/>
                <w:lang w:bidi="ar"/>
              </w:rPr>
            </w:pPr>
            <w:r>
              <w:rPr>
                <w:rFonts w:hint="eastAsia"/>
                <w:sz w:val="24"/>
                <w:szCs w:val="21"/>
              </w:rPr>
              <w:t>昆明市澳松人造板制造有限责任公司已申请排污许可证，编号为：91530129061590569B001V，</w:t>
            </w:r>
            <w:r>
              <w:rPr>
                <w:rFonts w:hint="eastAsia" w:cs="宋体"/>
                <w:kern w:val="0"/>
                <w:sz w:val="24"/>
                <w:lang w:bidi="ar"/>
              </w:rPr>
              <w:t>企业《排污许可证》共核准5个排气筒（</w:t>
            </w:r>
            <w:r>
              <w:rPr>
                <w:kern w:val="0"/>
                <w:sz w:val="24"/>
                <w:lang w:bidi="ar"/>
              </w:rPr>
              <w:t>DA00</w:t>
            </w:r>
            <w:r>
              <w:rPr>
                <w:rFonts w:hint="eastAsia"/>
                <w:kern w:val="0"/>
                <w:sz w:val="24"/>
                <w:lang w:bidi="ar"/>
              </w:rPr>
              <w:t>7、</w:t>
            </w:r>
            <w:r>
              <w:rPr>
                <w:kern w:val="0"/>
                <w:sz w:val="24"/>
                <w:lang w:bidi="ar"/>
              </w:rPr>
              <w:t>DA00</w:t>
            </w:r>
            <w:r>
              <w:rPr>
                <w:rFonts w:hint="eastAsia"/>
                <w:kern w:val="0"/>
                <w:sz w:val="24"/>
                <w:lang w:bidi="ar"/>
              </w:rPr>
              <w:t>8、</w:t>
            </w:r>
            <w:r>
              <w:rPr>
                <w:kern w:val="0"/>
                <w:sz w:val="24"/>
                <w:lang w:bidi="ar"/>
              </w:rPr>
              <w:t>DA00</w:t>
            </w:r>
            <w:r>
              <w:rPr>
                <w:rFonts w:hint="eastAsia"/>
                <w:kern w:val="0"/>
                <w:sz w:val="24"/>
                <w:lang w:bidi="ar"/>
              </w:rPr>
              <w:t>9、</w:t>
            </w:r>
            <w:r>
              <w:rPr>
                <w:kern w:val="0"/>
                <w:sz w:val="24"/>
                <w:lang w:bidi="ar"/>
              </w:rPr>
              <w:t>DA0</w:t>
            </w:r>
            <w:r>
              <w:rPr>
                <w:rFonts w:hint="eastAsia"/>
                <w:kern w:val="0"/>
                <w:sz w:val="24"/>
                <w:lang w:bidi="ar"/>
              </w:rPr>
              <w:t>10、</w:t>
            </w:r>
            <w:r>
              <w:rPr>
                <w:kern w:val="0"/>
                <w:sz w:val="24"/>
                <w:lang w:bidi="ar"/>
              </w:rPr>
              <w:t>DA0</w:t>
            </w:r>
            <w:r>
              <w:rPr>
                <w:rFonts w:hint="eastAsia"/>
                <w:kern w:val="0"/>
                <w:sz w:val="24"/>
                <w:lang w:bidi="ar"/>
              </w:rPr>
              <w:t>11</w:t>
            </w:r>
            <w:r>
              <w:rPr>
                <w:rFonts w:hint="eastAsia" w:cs="宋体"/>
                <w:kern w:val="0"/>
                <w:sz w:val="24"/>
                <w:lang w:bidi="ar"/>
              </w:rPr>
              <w:t>）。</w:t>
            </w:r>
          </w:p>
          <w:p>
            <w:pPr>
              <w:spacing w:line="360" w:lineRule="auto"/>
              <w:ind w:firstLine="482"/>
              <w:rPr>
                <w:sz w:val="24"/>
              </w:rPr>
            </w:pPr>
            <w:r>
              <w:rPr>
                <w:rFonts w:hint="eastAsia"/>
                <w:sz w:val="24"/>
                <w:szCs w:val="21"/>
              </w:rPr>
              <w:t>昆明市澳松人造板制造有限责任公司已</w:t>
            </w:r>
            <w:r>
              <w:rPr>
                <w:rFonts w:hint="eastAsia"/>
                <w:sz w:val="24"/>
              </w:rPr>
              <w:t>根据《</w:t>
            </w:r>
            <w:r>
              <w:rPr>
                <w:rFonts w:hint="eastAsia"/>
                <w:sz w:val="24"/>
                <w:szCs w:val="21"/>
              </w:rPr>
              <w:t>排污许可证申请与核发技术规范 人造板工业</w:t>
            </w:r>
            <w:r>
              <w:rPr>
                <w:rFonts w:hint="eastAsia"/>
                <w:sz w:val="24"/>
              </w:rPr>
              <w:t>》（</w:t>
            </w:r>
            <w:r>
              <w:rPr>
                <w:sz w:val="24"/>
              </w:rPr>
              <w:t>HJ 1032-2019</w:t>
            </w:r>
            <w:r>
              <w:rPr>
                <w:rFonts w:hint="eastAsia"/>
                <w:sz w:val="24"/>
              </w:rPr>
              <w:t>）要求制定了自行监测方案，并委托了具有环境监测资质的单位根据自行监测方案要求开展自行监测，制定管理台账，编写执行报告。公司自行监测结果、电子版管理台账及季报、年报均已及时上传至全国排污许可证管理信息平台，已按排污许可证要求执行。</w:t>
            </w:r>
          </w:p>
          <w:p>
            <w:pPr>
              <w:spacing w:line="360" w:lineRule="auto"/>
              <w:ind w:firstLine="482"/>
              <w:rPr>
                <w:sz w:val="24"/>
              </w:rPr>
            </w:pPr>
            <w:r>
              <w:rPr>
                <w:rFonts w:hint="eastAsia"/>
                <w:sz w:val="24"/>
              </w:rPr>
              <w:t>排污许可执行情况查询结果如下图：</w:t>
            </w:r>
          </w:p>
          <w:p>
            <w:pPr>
              <w:spacing w:line="360" w:lineRule="auto"/>
              <w:ind w:firstLine="482"/>
              <w:rPr>
                <w:sz w:val="24"/>
                <w:highlight w:val="yellow"/>
              </w:rPr>
            </w:pPr>
          </w:p>
          <w:p>
            <w:pPr>
              <w:spacing w:line="360" w:lineRule="auto"/>
              <w:ind w:firstLine="482"/>
              <w:rPr>
                <w:sz w:val="24"/>
                <w:highlight w:val="yellow"/>
              </w:rPr>
            </w:pPr>
          </w:p>
          <w:p>
            <w:pPr>
              <w:spacing w:line="360" w:lineRule="auto"/>
              <w:ind w:firstLine="482"/>
              <w:rPr>
                <w:sz w:val="24"/>
                <w:highlight w:val="yellow"/>
              </w:rPr>
            </w:pPr>
          </w:p>
          <w:p>
            <w:pPr>
              <w:spacing w:line="360" w:lineRule="auto"/>
              <w:ind w:firstLine="482"/>
              <w:rPr>
                <w:sz w:val="24"/>
                <w:highlight w:val="yellow"/>
              </w:rPr>
            </w:pPr>
          </w:p>
          <w:p>
            <w:pPr>
              <w:spacing w:line="360" w:lineRule="auto"/>
              <w:ind w:firstLine="482"/>
              <w:rPr>
                <w:sz w:val="24"/>
                <w:highlight w:val="yellow"/>
              </w:rPr>
            </w:pPr>
          </w:p>
          <w:p>
            <w:pPr>
              <w:spacing w:line="360" w:lineRule="auto"/>
              <w:ind w:firstLine="482"/>
              <w:rPr>
                <w:sz w:val="24"/>
                <w:highlight w:val="yellow"/>
              </w:rPr>
            </w:pPr>
          </w:p>
          <w:p>
            <w:pPr>
              <w:spacing w:line="360" w:lineRule="auto"/>
              <w:ind w:firstLine="482"/>
              <w:rPr>
                <w:sz w:val="24"/>
                <w:highlight w:val="yellow"/>
              </w:rPr>
            </w:pPr>
          </w:p>
          <w:p>
            <w:pPr>
              <w:spacing w:line="360" w:lineRule="auto"/>
              <w:ind w:firstLine="482"/>
              <w:rPr>
                <w:sz w:val="24"/>
                <w:highlight w:val="yellow"/>
              </w:rPr>
            </w:pPr>
          </w:p>
          <w:p>
            <w:pPr>
              <w:spacing w:before="120" w:beforeLines="50" w:line="360" w:lineRule="auto"/>
            </w:pPr>
            <w:r>
              <w:drawing>
                <wp:inline distT="0" distB="0" distL="0" distR="0">
                  <wp:extent cx="4997450" cy="2493645"/>
                  <wp:effectExtent l="0" t="0" r="0" b="1905"/>
                  <wp:docPr id="384708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8961" name="图片 1"/>
                          <pic:cNvPicPr>
                            <a:picLocks noChangeAspect="1"/>
                          </pic:cNvPicPr>
                        </pic:nvPicPr>
                        <pic:blipFill>
                          <a:blip r:embed="rId34"/>
                          <a:stretch>
                            <a:fillRect/>
                          </a:stretch>
                        </pic:blipFill>
                        <pic:spPr>
                          <a:xfrm>
                            <a:off x="0" y="0"/>
                            <a:ext cx="4997450" cy="2493645"/>
                          </a:xfrm>
                          <a:prstGeom prst="rect">
                            <a:avLst/>
                          </a:prstGeom>
                        </pic:spPr>
                      </pic:pic>
                    </a:graphicData>
                  </a:graphic>
                </wp:inline>
              </w:drawing>
            </w:r>
          </w:p>
          <w:p>
            <w:pPr>
              <w:adjustRightInd w:val="0"/>
              <w:spacing w:line="360" w:lineRule="auto"/>
              <w:jc w:val="center"/>
              <w:rPr>
                <w:b/>
                <w:bCs/>
                <w:sz w:val="24"/>
              </w:rPr>
            </w:pPr>
            <w:r>
              <w:rPr>
                <w:rFonts w:hint="eastAsia"/>
                <w:b/>
                <w:bCs/>
                <w:sz w:val="24"/>
              </w:rPr>
              <w:t>图2</w:t>
            </w:r>
            <w:r>
              <w:rPr>
                <w:b/>
                <w:bCs/>
                <w:sz w:val="24"/>
              </w:rPr>
              <w:t xml:space="preserve">-8  </w:t>
            </w:r>
            <w:r>
              <w:rPr>
                <w:rFonts w:hint="eastAsia"/>
                <w:b/>
                <w:bCs/>
                <w:sz w:val="24"/>
              </w:rPr>
              <w:t>排污许可执行情况查询结果</w:t>
            </w:r>
          </w:p>
          <w:p>
            <w:pPr>
              <w:adjustRightInd w:val="0"/>
              <w:spacing w:line="360" w:lineRule="auto"/>
              <w:ind w:firstLine="482" w:firstLineChars="200"/>
              <w:jc w:val="left"/>
              <w:rPr>
                <w:b/>
                <w:bCs/>
                <w:sz w:val="24"/>
              </w:rPr>
            </w:pPr>
            <w:r>
              <w:rPr>
                <w:rFonts w:hint="eastAsia"/>
                <w:b/>
                <w:bCs/>
                <w:sz w:val="24"/>
              </w:rPr>
              <w:t>四、环境风险事故管理情况</w:t>
            </w:r>
          </w:p>
          <w:p>
            <w:pPr>
              <w:adjustRightInd w:val="0"/>
              <w:spacing w:line="360" w:lineRule="auto"/>
              <w:ind w:firstLine="480" w:firstLineChars="200"/>
              <w:rPr>
                <w:sz w:val="24"/>
              </w:rPr>
            </w:pPr>
            <w:r>
              <w:rPr>
                <w:rFonts w:hint="eastAsia"/>
                <w:sz w:val="24"/>
                <w:szCs w:val="21"/>
              </w:rPr>
              <w:t>昆明市澳松人造板制造有限责任公司已</w:t>
            </w:r>
            <w:r>
              <w:rPr>
                <w:rFonts w:hint="eastAsia"/>
                <w:sz w:val="24"/>
              </w:rPr>
              <w:t>制定了《</w:t>
            </w:r>
            <w:r>
              <w:rPr>
                <w:rFonts w:hint="eastAsia"/>
                <w:sz w:val="24"/>
                <w:szCs w:val="21"/>
              </w:rPr>
              <w:t>昆明市澳松人造板制造有限责任公司</w:t>
            </w:r>
            <w:r>
              <w:rPr>
                <w:rFonts w:hint="eastAsia"/>
                <w:sz w:val="24"/>
              </w:rPr>
              <w:t>突发环境事件应急预案》，明确了应急救援指挥机构及其职责，制定应急响应程序及应急技术方案，定期对员工进行安全培训。根据调查，未进行预案演练。</w:t>
            </w:r>
          </w:p>
          <w:p>
            <w:pPr>
              <w:adjustRightInd w:val="0"/>
              <w:spacing w:line="360" w:lineRule="auto"/>
              <w:ind w:firstLine="480" w:firstLineChars="200"/>
              <w:rPr>
                <w:sz w:val="24"/>
              </w:rPr>
            </w:pPr>
            <w:r>
              <w:rPr>
                <w:rFonts w:hint="eastAsia"/>
                <w:sz w:val="24"/>
              </w:rPr>
              <w:t>应急预案于2</w:t>
            </w:r>
            <w:r>
              <w:rPr>
                <w:sz w:val="24"/>
              </w:rPr>
              <w:t>019</w:t>
            </w:r>
            <w:r>
              <w:rPr>
                <w:rFonts w:hint="eastAsia"/>
                <w:sz w:val="24"/>
              </w:rPr>
              <w:t>年8月</w:t>
            </w:r>
            <w:r>
              <w:rPr>
                <w:sz w:val="24"/>
              </w:rPr>
              <w:t>8</w:t>
            </w:r>
            <w:r>
              <w:rPr>
                <w:rFonts w:hint="eastAsia"/>
                <w:sz w:val="24"/>
              </w:rPr>
              <w:t>日经昆明市生态环境局寻甸分局备案，备案编号为：5</w:t>
            </w:r>
            <w:r>
              <w:rPr>
                <w:sz w:val="24"/>
              </w:rPr>
              <w:t>3012920190016M</w:t>
            </w:r>
            <w:r>
              <w:rPr>
                <w:rFonts w:hint="eastAsia"/>
                <w:sz w:val="24"/>
              </w:rPr>
              <w:t>。</w:t>
            </w:r>
          </w:p>
          <w:p>
            <w:pPr>
              <w:adjustRightInd w:val="0"/>
              <w:spacing w:line="360" w:lineRule="auto"/>
              <w:ind w:firstLine="482" w:firstLineChars="200"/>
              <w:jc w:val="left"/>
              <w:rPr>
                <w:b/>
                <w:bCs/>
                <w:sz w:val="24"/>
              </w:rPr>
            </w:pPr>
            <w:r>
              <w:rPr>
                <w:rFonts w:hint="eastAsia"/>
                <w:b/>
                <w:bCs/>
                <w:sz w:val="24"/>
              </w:rPr>
              <w:t>五、与本项目有关的原有环境污染问题</w:t>
            </w:r>
          </w:p>
          <w:p>
            <w:pPr>
              <w:spacing w:line="360" w:lineRule="auto"/>
              <w:ind w:firstLine="480" w:firstLineChars="200"/>
              <w:rPr>
                <w:bCs/>
                <w:sz w:val="24"/>
              </w:rPr>
            </w:pPr>
            <w:r>
              <w:rPr>
                <w:rFonts w:hint="eastAsia" w:ascii="宋体" w:hAnsi="宋体" w:cs="宋体"/>
                <w:kern w:val="0"/>
                <w:sz w:val="24"/>
                <w:lang w:bidi="ar"/>
              </w:rPr>
              <w:t>根据原环评报告、竣工环境保护验收报告及排污许可证查阅情况，以及现场踏勘</w:t>
            </w:r>
            <w:r>
              <w:rPr>
                <w:rFonts w:hint="eastAsia"/>
                <w:bCs/>
                <w:sz w:val="24"/>
              </w:rPr>
              <w:t>，与本项目有关的原有环境问题为：</w:t>
            </w:r>
          </w:p>
          <w:p>
            <w:pPr>
              <w:widowControl/>
              <w:adjustRightInd w:val="0"/>
              <w:spacing w:line="360" w:lineRule="auto"/>
              <w:ind w:firstLine="480" w:firstLineChars="200"/>
              <w:rPr>
                <w:bCs/>
                <w:sz w:val="24"/>
                <w:szCs w:val="21"/>
              </w:rPr>
            </w:pPr>
            <w:r>
              <w:rPr>
                <w:rFonts w:hint="eastAsia"/>
                <w:bCs/>
                <w:sz w:val="24"/>
                <w:szCs w:val="21"/>
              </w:rPr>
              <w:t>（1）现有项目</w:t>
            </w:r>
            <w:r>
              <w:rPr>
                <w:rFonts w:hint="eastAsia"/>
                <w:sz w:val="24"/>
              </w:rPr>
              <w:t>筛选工序废气、打磨工序废气通过风机负压输送至“旋风除尘器”处理后呈无组织形式排放，不满足</w:t>
            </w:r>
            <w:r>
              <w:rPr>
                <w:kern w:val="0"/>
                <w:sz w:val="24"/>
                <w:lang w:bidi="ar"/>
              </w:rPr>
              <w:t>《排污许可证申请与核发技术规范 人造板工业（HJ1032-2019）》</w:t>
            </w:r>
            <w:r>
              <w:rPr>
                <w:rFonts w:hint="eastAsia"/>
                <w:kern w:val="0"/>
                <w:sz w:val="24"/>
                <w:lang w:bidi="ar"/>
              </w:rPr>
              <w:t>表6中“风送除尘系统若为负压输送，纳入有组织排放一般排放口管理”的要求；</w:t>
            </w:r>
          </w:p>
          <w:p>
            <w:pPr>
              <w:widowControl/>
              <w:adjustRightInd w:val="0"/>
              <w:spacing w:line="360" w:lineRule="auto"/>
              <w:ind w:firstLine="480" w:firstLineChars="200"/>
              <w:rPr>
                <w:bCs/>
                <w:sz w:val="24"/>
                <w:szCs w:val="21"/>
              </w:rPr>
            </w:pPr>
            <w:r>
              <w:rPr>
                <w:rFonts w:hint="eastAsia"/>
                <w:bCs/>
                <w:sz w:val="24"/>
                <w:szCs w:val="21"/>
              </w:rPr>
              <w:t>（2）</w:t>
            </w:r>
            <w:r>
              <w:rPr>
                <w:rFonts w:hint="eastAsia" w:cs="宋体"/>
                <w:kern w:val="0"/>
                <w:sz w:val="24"/>
                <w:lang w:bidi="ar"/>
              </w:rPr>
              <w:t>7t/h导热油锅炉烟气处理仅采用“多管旋风除尘器”处理，除尘效果不佳，容易出现外排废气超标排放及黑烟；</w:t>
            </w:r>
          </w:p>
          <w:p>
            <w:pPr>
              <w:widowControl/>
              <w:adjustRightInd w:val="0"/>
              <w:spacing w:line="360" w:lineRule="auto"/>
              <w:ind w:firstLine="480" w:firstLineChars="200"/>
              <w:rPr>
                <w:bCs/>
                <w:sz w:val="24"/>
                <w:szCs w:val="21"/>
              </w:rPr>
            </w:pPr>
            <w:r>
              <w:rPr>
                <w:rFonts w:hint="eastAsia"/>
                <w:bCs/>
                <w:sz w:val="24"/>
                <w:szCs w:val="21"/>
              </w:rPr>
              <w:t>（3）</w:t>
            </w:r>
            <w:r>
              <w:rPr>
                <w:rFonts w:hint="eastAsia"/>
                <w:sz w:val="24"/>
                <w:szCs w:val="21"/>
              </w:rPr>
              <w:t>热压、凉板环节产生的有机废气由集气罩收集后未经处理直接排放；</w:t>
            </w:r>
          </w:p>
          <w:p>
            <w:pPr>
              <w:adjustRightInd w:val="0"/>
              <w:spacing w:line="360" w:lineRule="auto"/>
              <w:ind w:firstLine="480" w:firstLineChars="200"/>
              <w:rPr>
                <w:bCs/>
                <w:sz w:val="24"/>
                <w:szCs w:val="21"/>
              </w:rPr>
            </w:pPr>
            <w:r>
              <w:rPr>
                <w:rFonts w:hint="eastAsia"/>
                <w:bCs/>
                <w:sz w:val="24"/>
                <w:szCs w:val="21"/>
              </w:rPr>
              <w:t>（</w:t>
            </w:r>
            <w:r>
              <w:rPr>
                <w:bCs/>
                <w:sz w:val="24"/>
                <w:szCs w:val="21"/>
              </w:rPr>
              <w:t>4</w:t>
            </w:r>
            <w:r>
              <w:rPr>
                <w:rFonts w:hint="eastAsia"/>
                <w:bCs/>
                <w:sz w:val="24"/>
                <w:szCs w:val="21"/>
              </w:rPr>
              <w:t>）炉渣未规范堆存至一般固废暂存区，存在乱堆现象，雨天容易引起淋漓水，大风天易引起扬尘；</w:t>
            </w:r>
          </w:p>
          <w:p>
            <w:pPr>
              <w:widowControl/>
              <w:adjustRightInd w:val="0"/>
              <w:spacing w:line="360" w:lineRule="auto"/>
              <w:ind w:firstLine="480" w:firstLineChars="200"/>
              <w:rPr>
                <w:bCs/>
                <w:sz w:val="24"/>
                <w:szCs w:val="21"/>
              </w:rPr>
            </w:pPr>
            <w:r>
              <w:rPr>
                <w:rFonts w:hint="eastAsia"/>
                <w:bCs/>
                <w:sz w:val="24"/>
                <w:szCs w:val="21"/>
              </w:rPr>
              <w:t>（</w:t>
            </w:r>
            <w:r>
              <w:rPr>
                <w:bCs/>
                <w:sz w:val="24"/>
                <w:szCs w:val="21"/>
              </w:rPr>
              <w:t>5</w:t>
            </w:r>
            <w:r>
              <w:rPr>
                <w:rFonts w:hint="eastAsia"/>
                <w:bCs/>
                <w:sz w:val="24"/>
                <w:szCs w:val="21"/>
              </w:rPr>
              <w:t>）项目刨花干燥工段排气筒未规范设置采样监测平台；</w:t>
            </w:r>
          </w:p>
          <w:p>
            <w:pPr>
              <w:widowControl/>
              <w:adjustRightInd w:val="0"/>
              <w:spacing w:line="360" w:lineRule="auto"/>
              <w:ind w:firstLine="480" w:firstLineChars="200"/>
              <w:rPr>
                <w:bCs/>
                <w:sz w:val="24"/>
                <w:szCs w:val="21"/>
              </w:rPr>
            </w:pPr>
            <w:r>
              <w:rPr>
                <w:rFonts w:hint="eastAsia"/>
                <w:bCs/>
                <w:sz w:val="24"/>
                <w:szCs w:val="21"/>
              </w:rPr>
              <w:t>（6）应急预案管理不符合《突发环境事件应急预案管理暂行办法》中要求的至少每年演练一次及环境应急预案每三年至少修订一次</w:t>
            </w:r>
            <w:r>
              <w:rPr>
                <w:rFonts w:hint="eastAsia"/>
                <w:sz w:val="24"/>
                <w:szCs w:val="21"/>
              </w:rPr>
              <w:t>。</w:t>
            </w:r>
          </w:p>
          <w:p>
            <w:pPr>
              <w:widowControl/>
              <w:adjustRightInd w:val="0"/>
              <w:spacing w:line="360" w:lineRule="auto"/>
              <w:ind w:firstLine="480" w:firstLineChars="200"/>
              <w:rPr>
                <w:bCs/>
                <w:sz w:val="24"/>
                <w:szCs w:val="21"/>
              </w:rPr>
            </w:pPr>
            <w:r>
              <w:rPr>
                <w:rFonts w:hint="eastAsia"/>
                <w:bCs/>
                <w:sz w:val="24"/>
                <w:szCs w:val="21"/>
              </w:rPr>
              <w:t>（</w:t>
            </w:r>
            <w:r>
              <w:rPr>
                <w:bCs/>
                <w:sz w:val="24"/>
                <w:szCs w:val="21"/>
              </w:rPr>
              <w:t>7</w:t>
            </w:r>
            <w:r>
              <w:rPr>
                <w:rFonts w:hint="eastAsia"/>
                <w:bCs/>
                <w:sz w:val="24"/>
                <w:szCs w:val="21"/>
              </w:rPr>
              <w:t>）</w:t>
            </w:r>
            <w:r>
              <w:rPr>
                <w:rFonts w:hint="eastAsia"/>
                <w:sz w:val="24"/>
                <w:szCs w:val="21"/>
              </w:rPr>
              <w:t>危险暂存间标识标牌不符合</w:t>
            </w:r>
            <w:r>
              <w:rPr>
                <w:sz w:val="24"/>
                <w:szCs w:val="21"/>
              </w:rPr>
              <w:t>《危险废物贮存污染控制标准》（GB18596-20</w:t>
            </w:r>
            <w:r>
              <w:rPr>
                <w:rFonts w:hint="eastAsia"/>
                <w:sz w:val="24"/>
                <w:szCs w:val="21"/>
              </w:rPr>
              <w:t>23</w:t>
            </w:r>
            <w:r>
              <w:rPr>
                <w:sz w:val="24"/>
                <w:szCs w:val="21"/>
              </w:rPr>
              <w:t>）</w:t>
            </w:r>
            <w:r>
              <w:rPr>
                <w:rFonts w:hint="eastAsia"/>
                <w:sz w:val="24"/>
                <w:szCs w:val="21"/>
              </w:rPr>
              <w:t>要求</w:t>
            </w:r>
            <w:r>
              <w:rPr>
                <w:rFonts w:hint="eastAsia"/>
                <w:bCs/>
                <w:sz w:val="24"/>
                <w:szCs w:val="21"/>
              </w:rPr>
              <w:t>。</w:t>
            </w:r>
          </w:p>
          <w:p>
            <w:pPr>
              <w:adjustRightInd w:val="0"/>
              <w:spacing w:line="360" w:lineRule="auto"/>
              <w:ind w:firstLine="482" w:firstLineChars="200"/>
              <w:rPr>
                <w:bCs/>
                <w:sz w:val="24"/>
                <w:szCs w:val="21"/>
              </w:rPr>
            </w:pPr>
            <w:r>
              <w:rPr>
                <w:rFonts w:hint="eastAsia"/>
                <w:b/>
                <w:sz w:val="24"/>
                <w:szCs w:val="21"/>
              </w:rPr>
              <w:t>五、“以新带老”及整改措施</w:t>
            </w:r>
          </w:p>
          <w:p>
            <w:pPr>
              <w:adjustRightInd w:val="0"/>
              <w:spacing w:line="360" w:lineRule="auto"/>
              <w:ind w:firstLine="480" w:firstLineChars="200"/>
              <w:rPr>
                <w:bCs/>
                <w:sz w:val="24"/>
                <w:szCs w:val="21"/>
              </w:rPr>
            </w:pPr>
            <w:r>
              <w:rPr>
                <w:rFonts w:hint="eastAsia"/>
                <w:bCs/>
                <w:sz w:val="24"/>
                <w:szCs w:val="21"/>
              </w:rPr>
              <w:t>1、针对现有项目</w:t>
            </w:r>
            <w:r>
              <w:rPr>
                <w:rFonts w:hint="eastAsia"/>
                <w:sz w:val="24"/>
              </w:rPr>
              <w:t>筛选工序废气、打磨工序废气处理，本次技改在旋风除尘器处理后增加布袋除尘器（风机位于旋风除尘器与布袋除尘器之间），筛选工序及打磨工序产生的废气首先通过风机经负压输送至旋风除尘器处理后，再通过风机正压输送至布袋除尘器处理后呈无组织排放</w:t>
            </w:r>
            <w:r>
              <w:rPr>
                <w:rFonts w:hint="eastAsia"/>
                <w:bCs/>
                <w:sz w:val="24"/>
                <w:szCs w:val="21"/>
              </w:rPr>
              <w:t>；</w:t>
            </w:r>
          </w:p>
          <w:p>
            <w:pPr>
              <w:adjustRightInd w:val="0"/>
              <w:spacing w:line="360" w:lineRule="auto"/>
              <w:ind w:firstLine="480" w:firstLineChars="200"/>
              <w:rPr>
                <w:bCs/>
                <w:sz w:val="24"/>
                <w:szCs w:val="21"/>
              </w:rPr>
            </w:pPr>
            <w:r>
              <w:rPr>
                <w:rFonts w:hint="eastAsia"/>
                <w:bCs/>
                <w:sz w:val="24"/>
                <w:szCs w:val="21"/>
              </w:rPr>
              <w:t>2、7</w:t>
            </w:r>
            <w:r>
              <w:rPr>
                <w:bCs/>
                <w:sz w:val="24"/>
                <w:szCs w:val="21"/>
              </w:rPr>
              <w:t>t/h</w:t>
            </w:r>
            <w:r>
              <w:rPr>
                <w:rFonts w:hint="eastAsia" w:cs="宋体"/>
                <w:kern w:val="0"/>
                <w:sz w:val="24"/>
                <w:lang w:bidi="ar"/>
              </w:rPr>
              <w:t>导热油锅炉烟气处理在“多管旋风除尘器”后增加水膜除尘系统；</w:t>
            </w:r>
            <w:r>
              <w:rPr>
                <w:bCs/>
                <w:sz w:val="24"/>
                <w:szCs w:val="21"/>
              </w:rPr>
              <w:t xml:space="preserve"> </w:t>
            </w:r>
          </w:p>
          <w:p>
            <w:pPr>
              <w:adjustRightInd w:val="0"/>
              <w:spacing w:line="360" w:lineRule="auto"/>
              <w:ind w:firstLine="480" w:firstLineChars="200"/>
              <w:rPr>
                <w:bCs/>
                <w:sz w:val="24"/>
                <w:szCs w:val="21"/>
              </w:rPr>
            </w:pPr>
            <w:r>
              <w:rPr>
                <w:bCs/>
                <w:sz w:val="24"/>
                <w:szCs w:val="21"/>
              </w:rPr>
              <w:t>3</w:t>
            </w:r>
            <w:r>
              <w:rPr>
                <w:rFonts w:hint="eastAsia"/>
                <w:bCs/>
                <w:sz w:val="24"/>
                <w:szCs w:val="21"/>
              </w:rPr>
              <w:t>、对热压凉板工段新增1套活性炭柜吸附处理有机废气；</w:t>
            </w:r>
          </w:p>
          <w:p>
            <w:pPr>
              <w:adjustRightInd w:val="0"/>
              <w:spacing w:line="360" w:lineRule="auto"/>
              <w:ind w:firstLine="480" w:firstLineChars="200"/>
              <w:rPr>
                <w:bCs/>
                <w:sz w:val="24"/>
                <w:szCs w:val="21"/>
              </w:rPr>
            </w:pPr>
            <w:r>
              <w:rPr>
                <w:rFonts w:hint="eastAsia"/>
                <w:bCs/>
                <w:sz w:val="24"/>
                <w:szCs w:val="21"/>
              </w:rPr>
              <w:t>4、炉渣规范堆存至一般固废暂存区内，及时进行清运处置；</w:t>
            </w:r>
          </w:p>
          <w:p>
            <w:pPr>
              <w:adjustRightInd w:val="0"/>
              <w:spacing w:line="360" w:lineRule="auto"/>
              <w:ind w:firstLine="480" w:firstLineChars="200"/>
              <w:rPr>
                <w:bCs/>
                <w:sz w:val="24"/>
                <w:szCs w:val="21"/>
              </w:rPr>
            </w:pPr>
            <w:r>
              <w:rPr>
                <w:bCs/>
                <w:sz w:val="24"/>
                <w:szCs w:val="21"/>
              </w:rPr>
              <w:t>5</w:t>
            </w:r>
            <w:r>
              <w:rPr>
                <w:rFonts w:hint="eastAsia"/>
                <w:bCs/>
                <w:sz w:val="24"/>
                <w:szCs w:val="21"/>
              </w:rPr>
              <w:t>、规范设置刨花干燥工段排气筒采样监测平台；</w:t>
            </w:r>
          </w:p>
          <w:p>
            <w:pPr>
              <w:adjustRightInd w:val="0"/>
              <w:spacing w:line="360" w:lineRule="auto"/>
              <w:ind w:firstLine="480" w:firstLineChars="200"/>
              <w:rPr>
                <w:kern w:val="0"/>
                <w:sz w:val="24"/>
                <w:lang w:bidi="ar"/>
              </w:rPr>
            </w:pPr>
            <w:r>
              <w:rPr>
                <w:bCs/>
                <w:sz w:val="24"/>
                <w:szCs w:val="21"/>
              </w:rPr>
              <w:t>6</w:t>
            </w:r>
            <w:r>
              <w:rPr>
                <w:rFonts w:hint="eastAsia"/>
                <w:bCs/>
                <w:sz w:val="24"/>
                <w:szCs w:val="21"/>
              </w:rPr>
              <w:t>、及时更新修订应急预案，并按要求至少每年演练一次，并记录演练过程</w:t>
            </w:r>
            <w:r>
              <w:rPr>
                <w:kern w:val="0"/>
                <w:sz w:val="24"/>
                <w:lang w:bidi="ar"/>
              </w:rPr>
              <w:t>。</w:t>
            </w:r>
          </w:p>
          <w:p>
            <w:pPr>
              <w:adjustRightInd w:val="0"/>
              <w:spacing w:line="360" w:lineRule="auto"/>
              <w:ind w:firstLine="480" w:firstLineChars="200"/>
              <w:rPr>
                <w:bCs/>
                <w:sz w:val="24"/>
                <w:szCs w:val="21"/>
              </w:rPr>
            </w:pPr>
            <w:r>
              <w:rPr>
                <w:rFonts w:hint="eastAsia"/>
                <w:kern w:val="0"/>
                <w:sz w:val="24"/>
                <w:lang w:bidi="ar"/>
              </w:rPr>
              <w:t>7、及时按</w:t>
            </w:r>
            <w:r>
              <w:rPr>
                <w:sz w:val="24"/>
                <w:szCs w:val="21"/>
              </w:rPr>
              <w:t>《危险废物贮存污染控制标准》（GB18596-20</w:t>
            </w:r>
            <w:r>
              <w:rPr>
                <w:rFonts w:hint="eastAsia"/>
                <w:sz w:val="24"/>
                <w:szCs w:val="21"/>
              </w:rPr>
              <w:t>23</w:t>
            </w:r>
            <w:r>
              <w:rPr>
                <w:sz w:val="24"/>
                <w:szCs w:val="21"/>
              </w:rPr>
              <w:t>）</w:t>
            </w:r>
            <w:r>
              <w:rPr>
                <w:rFonts w:hint="eastAsia"/>
                <w:sz w:val="24"/>
                <w:szCs w:val="21"/>
              </w:rPr>
              <w:t>的要求</w:t>
            </w:r>
            <w:r>
              <w:rPr>
                <w:rFonts w:hint="eastAsia"/>
                <w:kern w:val="0"/>
                <w:sz w:val="24"/>
                <w:lang w:bidi="ar"/>
              </w:rPr>
              <w:t>更新危险废物暂存间标识标牌。</w:t>
            </w: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p>
            <w:pPr>
              <w:adjustRightInd w:val="0"/>
              <w:spacing w:line="360" w:lineRule="auto"/>
              <w:rPr>
                <w:bCs/>
                <w:sz w:val="24"/>
                <w:szCs w:val="21"/>
              </w:rPr>
            </w:pPr>
          </w:p>
        </w:tc>
      </w:tr>
    </w:tbl>
    <w:p>
      <w:pPr>
        <w:pStyle w:val="28"/>
        <w:jc w:val="center"/>
        <w:rPr>
          <w:rFonts w:ascii="黑体" w:hAnsi="黑体" w:eastAsia="黑体"/>
          <w:snapToGrid w:val="0"/>
          <w:sz w:val="36"/>
          <w:szCs w:val="36"/>
        </w:rPr>
        <w:sectPr>
          <w:footerReference r:id="rId7" w:type="default"/>
          <w:pgSz w:w="11906" w:h="16838"/>
          <w:pgMar w:top="1701" w:right="1531" w:bottom="1701" w:left="1531" w:header="851" w:footer="851" w:gutter="0"/>
          <w:cols w:space="720" w:num="1"/>
          <w:docGrid w:linePitch="312" w:charSpace="0"/>
        </w:sectPr>
      </w:pPr>
    </w:p>
    <w:p>
      <w:pPr>
        <w:pStyle w:val="28"/>
        <w:tabs>
          <w:tab w:val="left" w:pos="851"/>
        </w:tabs>
        <w:ind w:left="141" w:hanging="141" w:hangingChars="47"/>
        <w:jc w:val="center"/>
        <w:outlineLvl w:val="0"/>
        <w:rPr>
          <w:rFonts w:ascii="黑体" w:hAnsi="黑体" w:eastAsia="黑体"/>
          <w:snapToGrid w:val="0"/>
          <w:sz w:val="30"/>
          <w:szCs w:val="30"/>
        </w:rPr>
      </w:pPr>
      <w:bookmarkStart w:id="11" w:name="_Toc140937503"/>
      <w:r>
        <w:rPr>
          <w:rFonts w:hint="eastAsia" w:ascii="黑体" w:hAnsi="黑体" w:eastAsia="黑体"/>
          <w:snapToGrid w:val="0"/>
          <w:sz w:val="30"/>
          <w:szCs w:val="30"/>
        </w:rPr>
        <w:t>三、区域环境质量现状、环境保护目标及评价标准</w:t>
      </w:r>
      <w:bookmarkEnd w:id="11"/>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710"/>
        <w:gridCol w:w="82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396" w:type="pct"/>
            <w:vAlign w:val="center"/>
          </w:tcPr>
          <w:p>
            <w:pPr>
              <w:pStyle w:val="50"/>
              <w:jc w:val="center"/>
            </w:pPr>
            <w:r>
              <w:rPr>
                <w:rFonts w:hint="eastAsia"/>
                <w:b/>
                <w:bCs/>
              </w:rPr>
              <w:t>区域环境质量现状</w:t>
            </w:r>
          </w:p>
        </w:tc>
        <w:tc>
          <w:tcPr>
            <w:tcW w:w="4603" w:type="pct"/>
            <w:vAlign w:val="center"/>
          </w:tcPr>
          <w:p>
            <w:pPr>
              <w:adjustRightInd w:val="0"/>
              <w:spacing w:before="120" w:beforeLines="50" w:line="360" w:lineRule="auto"/>
              <w:ind w:firstLine="458" w:firstLineChars="200"/>
              <w:rPr>
                <w:b/>
                <w:bCs/>
                <w:spacing w:val="-6"/>
                <w:sz w:val="24"/>
                <w:szCs w:val="21"/>
              </w:rPr>
            </w:pPr>
            <w:r>
              <w:rPr>
                <w:b/>
                <w:bCs/>
                <w:spacing w:val="-6"/>
                <w:sz w:val="24"/>
                <w:szCs w:val="21"/>
              </w:rPr>
              <w:t>1、环境空气质量现状</w:t>
            </w:r>
          </w:p>
          <w:p>
            <w:pPr>
              <w:adjustRightInd w:val="0"/>
              <w:spacing w:line="360" w:lineRule="auto"/>
              <w:ind w:firstLine="482" w:firstLineChars="200"/>
              <w:rPr>
                <w:b/>
                <w:bCs/>
                <w:sz w:val="24"/>
                <w:szCs w:val="21"/>
              </w:rPr>
            </w:pPr>
            <w:r>
              <w:rPr>
                <w:rFonts w:hint="eastAsia"/>
                <w:b/>
                <w:bCs/>
                <w:sz w:val="24"/>
                <w:szCs w:val="21"/>
              </w:rPr>
              <w:t>（1）达标区判定</w:t>
            </w:r>
          </w:p>
          <w:p>
            <w:pPr>
              <w:adjustRightInd w:val="0"/>
              <w:spacing w:line="360" w:lineRule="auto"/>
              <w:ind w:firstLine="480" w:firstLineChars="200"/>
              <w:rPr>
                <w:sz w:val="24"/>
                <w:szCs w:val="21"/>
              </w:rPr>
            </w:pPr>
            <w:r>
              <w:rPr>
                <w:rFonts w:hint="eastAsia"/>
                <w:sz w:val="24"/>
              </w:rPr>
              <w:t>本项目位于寻甸特色产业园区羊街片区，</w:t>
            </w:r>
            <w:r>
              <w:rPr>
                <w:sz w:val="24"/>
                <w:szCs w:val="21"/>
              </w:rPr>
              <w:t>区域属于环境空气质量功能区划为二类区，执行《环境空气质量标准》（GB3095</w:t>
            </w:r>
            <w:r>
              <w:rPr>
                <w:rFonts w:hint="eastAsia"/>
                <w:sz w:val="24"/>
                <w:szCs w:val="21"/>
              </w:rPr>
              <w:t>-</w:t>
            </w:r>
            <w:r>
              <w:rPr>
                <w:sz w:val="24"/>
                <w:szCs w:val="21"/>
              </w:rPr>
              <w:t>2012）中二级标准。</w:t>
            </w:r>
          </w:p>
          <w:p>
            <w:pPr>
              <w:widowControl/>
              <w:adjustRightInd w:val="0"/>
              <w:spacing w:line="360" w:lineRule="auto"/>
              <w:ind w:firstLine="480" w:firstLineChars="200"/>
              <w:rPr>
                <w:sz w:val="24"/>
                <w:shd w:val="clear" w:color="auto" w:fill="FFFFFF"/>
              </w:rPr>
            </w:pPr>
            <w:r>
              <w:rPr>
                <w:sz w:val="24"/>
                <w:lang w:val="zh-CN"/>
              </w:rPr>
              <w:t>根据《</w:t>
            </w:r>
            <w:r>
              <w:rPr>
                <w:sz w:val="24"/>
              </w:rPr>
              <w:t>2022年度昆明市生态环境状况公报</w:t>
            </w:r>
            <w:r>
              <w:rPr>
                <w:sz w:val="24"/>
                <w:lang w:val="zh-CN"/>
              </w:rPr>
              <w:t>》</w:t>
            </w:r>
            <w:r>
              <w:rPr>
                <w:sz w:val="24"/>
              </w:rPr>
              <w:t>可知</w:t>
            </w:r>
            <w:r>
              <w:rPr>
                <w:sz w:val="24"/>
                <w:lang w:val="zh-CN"/>
              </w:rPr>
              <w:t>，</w:t>
            </w:r>
            <w:r>
              <w:rPr>
                <w:sz w:val="24"/>
              </w:rPr>
              <w:t>昆明市</w:t>
            </w:r>
            <w:r>
              <w:rPr>
                <w:sz w:val="24"/>
                <w:lang w:val="zh-CN"/>
              </w:rPr>
              <w:t>各县（市）区环境空气质量总体保持良好。</w:t>
            </w:r>
            <w:r>
              <w:rPr>
                <w:rFonts w:hint="eastAsia"/>
                <w:sz w:val="24"/>
                <w:lang w:val="zh-CN"/>
              </w:rPr>
              <w:t>与2021年相比，安宁市、禄劝县、石林县、嵩明县、富民县、宜良县、寻甸县环境空气综合污染指数有所下降，东川区环境空气综合污染指数有所上升。2022年寻甸县环境空气质量均能达到《环境空气质量标准》（GB3095-2012）表1中二级标准要求，项目所在区域为环境空气质量达标区。</w:t>
            </w:r>
          </w:p>
          <w:p>
            <w:pPr>
              <w:adjustRightInd w:val="0"/>
              <w:spacing w:line="360" w:lineRule="auto"/>
              <w:ind w:firstLine="482" w:firstLineChars="200"/>
              <w:rPr>
                <w:b/>
                <w:bCs/>
                <w:sz w:val="24"/>
                <w:szCs w:val="21"/>
              </w:rPr>
            </w:pPr>
            <w:r>
              <w:rPr>
                <w:rFonts w:hint="eastAsia"/>
                <w:b/>
                <w:bCs/>
                <w:sz w:val="24"/>
                <w:szCs w:val="21"/>
              </w:rPr>
              <w:t>（2）特征污染物环境质量现状</w:t>
            </w:r>
          </w:p>
          <w:p>
            <w:pPr>
              <w:autoSpaceDE w:val="0"/>
              <w:autoSpaceDN w:val="0"/>
              <w:adjustRightInd w:val="0"/>
              <w:spacing w:line="360" w:lineRule="auto"/>
              <w:ind w:firstLine="480" w:firstLineChars="200"/>
              <w:rPr>
                <w:sz w:val="24"/>
                <w:highlight w:val="green"/>
              </w:rPr>
            </w:pPr>
            <w:r>
              <w:rPr>
                <w:sz w:val="24"/>
                <w:szCs w:val="21"/>
              </w:rPr>
              <w:t>本项目</w:t>
            </w:r>
            <w:r>
              <w:rPr>
                <w:rFonts w:hint="eastAsia"/>
                <w:sz w:val="24"/>
                <w:szCs w:val="21"/>
              </w:rPr>
              <w:t>为现有年产5万m</w:t>
            </w:r>
            <w:r>
              <w:rPr>
                <w:rFonts w:hint="eastAsia"/>
                <w:sz w:val="24"/>
                <w:szCs w:val="21"/>
                <w:vertAlign w:val="superscript"/>
              </w:rPr>
              <w:t>3</w:t>
            </w:r>
            <w:r>
              <w:rPr>
                <w:rFonts w:hint="eastAsia"/>
                <w:sz w:val="24"/>
                <w:szCs w:val="21"/>
              </w:rPr>
              <w:t>木质刨花板制造项目技改，</w:t>
            </w:r>
            <w:r>
              <w:rPr>
                <w:sz w:val="24"/>
              </w:rPr>
              <w:t>主要针对现有</w:t>
            </w:r>
            <w:r>
              <w:rPr>
                <w:rFonts w:hint="eastAsia"/>
                <w:sz w:val="24"/>
              </w:rPr>
              <w:t>项目配套</w:t>
            </w:r>
            <w:r>
              <w:rPr>
                <w:sz w:val="24"/>
              </w:rPr>
              <w:t>供热工程</w:t>
            </w:r>
            <w:r>
              <w:rPr>
                <w:rFonts w:hint="eastAsia"/>
                <w:sz w:val="24"/>
              </w:rPr>
              <w:t>和</w:t>
            </w:r>
            <w:r>
              <w:rPr>
                <w:sz w:val="24"/>
              </w:rPr>
              <w:t>环保工程</w:t>
            </w:r>
            <w:r>
              <w:rPr>
                <w:rFonts w:hint="eastAsia"/>
                <w:sz w:val="24"/>
              </w:rPr>
              <w:t>进行技改</w:t>
            </w:r>
            <w:r>
              <w:rPr>
                <w:sz w:val="24"/>
              </w:rPr>
              <w:t>，</w:t>
            </w:r>
            <w:r>
              <w:rPr>
                <w:rFonts w:hint="eastAsia"/>
                <w:sz w:val="24"/>
              </w:rPr>
              <w:t>现有项目</w:t>
            </w:r>
            <w:r>
              <w:rPr>
                <w:rFonts w:hint="eastAsia" w:cs="宋体"/>
                <w:kern w:val="0"/>
                <w:sz w:val="24"/>
                <w:szCs w:val="21"/>
              </w:rPr>
              <w:t>主体工程原辅材料、生产工艺及污染物种类、产品及规模等均未发生变化。</w:t>
            </w:r>
            <w:r>
              <w:rPr>
                <w:rFonts w:hint="eastAsia" w:cs="宋体"/>
                <w:kern w:val="0"/>
                <w:sz w:val="24"/>
                <w:szCs w:val="21"/>
                <w:highlight w:val="green"/>
              </w:rPr>
              <w:t>本项目供热工程技改新增1台5</w:t>
            </w:r>
            <w:r>
              <w:rPr>
                <w:rFonts w:cs="宋体"/>
                <w:kern w:val="0"/>
                <w:sz w:val="24"/>
                <w:szCs w:val="21"/>
                <w:highlight w:val="green"/>
              </w:rPr>
              <w:t>t/h</w:t>
            </w:r>
            <w:r>
              <w:rPr>
                <w:rFonts w:hint="eastAsia" w:cs="宋体"/>
                <w:kern w:val="0"/>
                <w:sz w:val="24"/>
                <w:szCs w:val="21"/>
                <w:highlight w:val="green"/>
              </w:rPr>
              <w:t>导热油锅炉，排放污染物为烟尘（颗粒物）、SO</w:t>
            </w:r>
            <w:r>
              <w:rPr>
                <w:rFonts w:hint="eastAsia" w:cs="宋体"/>
                <w:kern w:val="0"/>
                <w:sz w:val="24"/>
                <w:szCs w:val="21"/>
                <w:highlight w:val="green"/>
                <w:vertAlign w:val="subscript"/>
              </w:rPr>
              <w:t>2</w:t>
            </w:r>
            <w:r>
              <w:rPr>
                <w:rFonts w:hint="eastAsia" w:cs="宋体"/>
                <w:kern w:val="0"/>
                <w:sz w:val="24"/>
                <w:szCs w:val="21"/>
                <w:highlight w:val="green"/>
              </w:rPr>
              <w:t>、NOx；</w:t>
            </w:r>
            <w:r>
              <w:rPr>
                <w:rFonts w:hint="eastAsia"/>
                <w:sz w:val="24"/>
                <w:highlight w:val="green"/>
              </w:rPr>
              <w:t>环保工程技改新增环保设施本身不产生污染物，仅对现有工序污染物进行削减。因此本项目涉及</w:t>
            </w:r>
            <w:r>
              <w:rPr>
                <w:sz w:val="24"/>
                <w:highlight w:val="green"/>
              </w:rPr>
              <w:t>大气环境特征因子为</w:t>
            </w:r>
            <w:r>
              <w:rPr>
                <w:rFonts w:hint="eastAsia"/>
                <w:sz w:val="24"/>
                <w:highlight w:val="green"/>
              </w:rPr>
              <w:t>TSP、NO</w:t>
            </w:r>
            <w:r>
              <w:rPr>
                <w:sz w:val="24"/>
                <w:highlight w:val="green"/>
                <w:vertAlign w:val="subscript"/>
              </w:rPr>
              <w:t>X</w:t>
            </w:r>
            <w:r>
              <w:rPr>
                <w:sz w:val="24"/>
                <w:highlight w:val="green"/>
              </w:rPr>
              <w:t>。</w:t>
            </w:r>
          </w:p>
          <w:p>
            <w:pPr>
              <w:pStyle w:val="110"/>
              <w:rPr>
                <w:rFonts w:cs="Times New Roman"/>
                <w:szCs w:val="24"/>
              </w:rPr>
            </w:pPr>
            <w:r>
              <w:rPr>
                <w:rFonts w:cs="Times New Roman"/>
                <w:szCs w:val="24"/>
              </w:rPr>
              <w:t>TSP环境空气质量现状评价</w:t>
            </w:r>
            <w:r>
              <w:rPr>
                <w:rFonts w:cs="Times New Roman"/>
                <w:kern w:val="0"/>
                <w:szCs w:val="24"/>
                <w:lang w:val="zh-CN"/>
              </w:rPr>
              <w:t>引用</w:t>
            </w:r>
            <w:r>
              <w:rPr>
                <w:rFonts w:hint="eastAsia" w:cs="Times New Roman"/>
                <w:kern w:val="0"/>
                <w:szCs w:val="24"/>
                <w:lang w:val="zh-CN"/>
              </w:rPr>
              <w:t>云南鼎祺检测有限公司于2</w:t>
            </w:r>
            <w:r>
              <w:rPr>
                <w:rFonts w:cs="Times New Roman"/>
                <w:kern w:val="0"/>
                <w:szCs w:val="24"/>
                <w:lang w:val="zh-CN"/>
              </w:rPr>
              <w:t>022</w:t>
            </w:r>
            <w:r>
              <w:rPr>
                <w:rFonts w:hint="eastAsia" w:cs="Times New Roman"/>
                <w:kern w:val="0"/>
                <w:szCs w:val="24"/>
                <w:lang w:val="zh-CN"/>
              </w:rPr>
              <w:t>年8月1</w:t>
            </w:r>
            <w:r>
              <w:rPr>
                <w:rFonts w:cs="Times New Roman"/>
                <w:kern w:val="0"/>
                <w:szCs w:val="24"/>
                <w:lang w:val="zh-CN"/>
              </w:rPr>
              <w:t>7</w:t>
            </w:r>
            <w:r>
              <w:rPr>
                <w:rFonts w:hint="eastAsia" w:cs="Times New Roman"/>
                <w:kern w:val="0"/>
                <w:szCs w:val="24"/>
                <w:lang w:val="zh-CN"/>
              </w:rPr>
              <w:t>日至2</w:t>
            </w:r>
            <w:r>
              <w:rPr>
                <w:rFonts w:cs="Times New Roman"/>
                <w:kern w:val="0"/>
                <w:szCs w:val="24"/>
                <w:lang w:val="zh-CN"/>
              </w:rPr>
              <w:t>022</w:t>
            </w:r>
            <w:r>
              <w:rPr>
                <w:rFonts w:hint="eastAsia" w:cs="Times New Roman"/>
                <w:kern w:val="0"/>
                <w:szCs w:val="24"/>
                <w:lang w:val="zh-CN"/>
              </w:rPr>
              <w:t>年8月2</w:t>
            </w:r>
            <w:r>
              <w:rPr>
                <w:rFonts w:cs="Times New Roman"/>
                <w:kern w:val="0"/>
                <w:szCs w:val="24"/>
                <w:lang w:val="zh-CN"/>
              </w:rPr>
              <w:t>3</w:t>
            </w:r>
            <w:r>
              <w:rPr>
                <w:rFonts w:hint="eastAsia" w:cs="Times New Roman"/>
                <w:kern w:val="0"/>
                <w:szCs w:val="24"/>
                <w:lang w:val="zh-CN"/>
              </w:rPr>
              <w:t>日对云南塑发科技有限公司新建改性塑料生产建设项目1#项目区内及2#下风向清水沟村两个监测点位的环境质量现状监测数据（检测报告详见附件</w:t>
            </w:r>
            <w:r>
              <w:rPr>
                <w:rFonts w:cs="Times New Roman"/>
                <w:kern w:val="0"/>
                <w:szCs w:val="24"/>
                <w:lang w:val="zh-CN"/>
              </w:rPr>
              <w:t>22</w:t>
            </w:r>
            <w:r>
              <w:rPr>
                <w:rFonts w:hint="eastAsia" w:cs="Times New Roman"/>
                <w:kern w:val="0"/>
                <w:szCs w:val="24"/>
                <w:lang w:val="zh-CN"/>
              </w:rPr>
              <w:t>），云南塑发科技有限公司新建改性塑料生产建设项目</w:t>
            </w:r>
            <w:r>
              <w:rPr>
                <w:rFonts w:cs="Times New Roman"/>
                <w:szCs w:val="24"/>
              </w:rPr>
              <w:t>位于</w:t>
            </w:r>
            <w:r>
              <w:rPr>
                <w:rFonts w:hint="eastAsia" w:cs="Times New Roman"/>
                <w:szCs w:val="24"/>
              </w:rPr>
              <w:t>本</w:t>
            </w:r>
            <w:r>
              <w:rPr>
                <w:rFonts w:cs="Times New Roman"/>
                <w:szCs w:val="24"/>
              </w:rPr>
              <w:t>项目</w:t>
            </w:r>
            <w:r>
              <w:rPr>
                <w:rFonts w:hint="eastAsia" w:cs="Times New Roman"/>
                <w:szCs w:val="24"/>
              </w:rPr>
              <w:t>厂界西北</w:t>
            </w:r>
            <w:r>
              <w:rPr>
                <w:rFonts w:cs="Times New Roman"/>
                <w:szCs w:val="24"/>
              </w:rPr>
              <w:t>侧1175m，引用</w:t>
            </w:r>
            <w:r>
              <w:rPr>
                <w:rFonts w:hint="eastAsia" w:cs="Times New Roman"/>
                <w:szCs w:val="24"/>
              </w:rPr>
              <w:t>监测点1#</w:t>
            </w:r>
            <w:r>
              <w:rPr>
                <w:rFonts w:cs="Times New Roman"/>
                <w:szCs w:val="24"/>
              </w:rPr>
              <w:t>项目内</w:t>
            </w:r>
            <w:r>
              <w:rPr>
                <w:rFonts w:hint="eastAsia" w:cs="Times New Roman"/>
                <w:szCs w:val="24"/>
              </w:rPr>
              <w:t>内</w:t>
            </w:r>
            <w:r>
              <w:rPr>
                <w:rFonts w:cs="Times New Roman"/>
                <w:szCs w:val="24"/>
              </w:rPr>
              <w:t>与</w:t>
            </w:r>
            <w:r>
              <w:rPr>
                <w:rFonts w:hint="eastAsia" w:cs="Times New Roman"/>
                <w:szCs w:val="24"/>
              </w:rPr>
              <w:t>本</w:t>
            </w:r>
            <w:r>
              <w:rPr>
                <w:rFonts w:cs="Times New Roman"/>
                <w:szCs w:val="24"/>
              </w:rPr>
              <w:t>项目</w:t>
            </w:r>
            <w:r>
              <w:rPr>
                <w:rFonts w:hint="eastAsia" w:cs="Times New Roman"/>
                <w:szCs w:val="24"/>
              </w:rPr>
              <w:t>厂界</w:t>
            </w:r>
            <w:r>
              <w:rPr>
                <w:rFonts w:cs="Times New Roman"/>
                <w:szCs w:val="24"/>
              </w:rPr>
              <w:t>相距约1260m</w:t>
            </w:r>
            <w:r>
              <w:rPr>
                <w:rFonts w:hint="eastAsia" w:cs="Times New Roman"/>
                <w:szCs w:val="24"/>
              </w:rPr>
              <w:t>；</w:t>
            </w:r>
            <w:r>
              <w:rPr>
                <w:rFonts w:cs="Times New Roman"/>
                <w:szCs w:val="24"/>
              </w:rPr>
              <w:t>引用监测点</w:t>
            </w:r>
            <w:r>
              <w:rPr>
                <w:rFonts w:hint="eastAsia" w:cs="Times New Roman"/>
                <w:szCs w:val="24"/>
              </w:rPr>
              <w:t>2#</w:t>
            </w:r>
            <w:r>
              <w:rPr>
                <w:rFonts w:hint="eastAsia" w:cs="Times New Roman"/>
                <w:kern w:val="0"/>
                <w:szCs w:val="24"/>
                <w:lang w:val="zh-CN"/>
              </w:rPr>
              <w:t>下风向清水沟村</w:t>
            </w:r>
            <w:r>
              <w:rPr>
                <w:rFonts w:cs="Times New Roman"/>
                <w:szCs w:val="24"/>
              </w:rPr>
              <w:t>，与</w:t>
            </w:r>
            <w:r>
              <w:rPr>
                <w:rFonts w:hint="eastAsia" w:cs="Times New Roman"/>
                <w:szCs w:val="24"/>
              </w:rPr>
              <w:t>本</w:t>
            </w:r>
            <w:r>
              <w:rPr>
                <w:rFonts w:cs="Times New Roman"/>
                <w:szCs w:val="24"/>
              </w:rPr>
              <w:t>项目相距约2045m。</w:t>
            </w:r>
          </w:p>
          <w:p>
            <w:pPr>
              <w:pStyle w:val="110"/>
              <w:rPr>
                <w:rFonts w:cs="Times New Roman"/>
                <w:szCs w:val="24"/>
              </w:rPr>
            </w:pPr>
            <w:r>
              <w:rPr>
                <w:rFonts w:cs="Times New Roman"/>
                <w:szCs w:val="24"/>
              </w:rPr>
              <w:t>NOx环境空气质量现状评价</w:t>
            </w:r>
            <w:r>
              <w:rPr>
                <w:rFonts w:cs="Times New Roman"/>
                <w:kern w:val="0"/>
                <w:szCs w:val="24"/>
                <w:lang w:val="zh-CN"/>
              </w:rPr>
              <w:t>引用</w:t>
            </w:r>
            <w:r>
              <w:rPr>
                <w:rFonts w:hint="eastAsia" w:cs="Times New Roman"/>
                <w:kern w:val="0"/>
                <w:szCs w:val="24"/>
                <w:lang w:val="zh-CN"/>
              </w:rPr>
              <w:t>云南鼎祺检测有限公司于2</w:t>
            </w:r>
            <w:r>
              <w:rPr>
                <w:rFonts w:cs="Times New Roman"/>
                <w:kern w:val="0"/>
                <w:szCs w:val="24"/>
                <w:lang w:val="zh-CN"/>
              </w:rPr>
              <w:t>022</w:t>
            </w:r>
            <w:r>
              <w:rPr>
                <w:rFonts w:hint="eastAsia" w:cs="Times New Roman"/>
                <w:kern w:val="0"/>
                <w:szCs w:val="24"/>
                <w:lang w:val="zh-CN"/>
              </w:rPr>
              <w:t>年8月</w:t>
            </w:r>
            <w:r>
              <w:rPr>
                <w:rFonts w:cs="Times New Roman"/>
                <w:kern w:val="0"/>
                <w:szCs w:val="24"/>
                <w:lang w:val="zh-CN"/>
              </w:rPr>
              <w:t>1</w:t>
            </w:r>
            <w:r>
              <w:rPr>
                <w:rFonts w:hint="eastAsia" w:cs="Times New Roman"/>
                <w:kern w:val="0"/>
                <w:szCs w:val="24"/>
                <w:lang w:val="zh-CN"/>
              </w:rPr>
              <w:t>日至2</w:t>
            </w:r>
            <w:r>
              <w:rPr>
                <w:rFonts w:cs="Times New Roman"/>
                <w:kern w:val="0"/>
                <w:szCs w:val="24"/>
                <w:lang w:val="zh-CN"/>
              </w:rPr>
              <w:t>022</w:t>
            </w:r>
            <w:r>
              <w:rPr>
                <w:rFonts w:hint="eastAsia" w:cs="Times New Roman"/>
                <w:kern w:val="0"/>
                <w:szCs w:val="24"/>
                <w:lang w:val="zh-CN"/>
              </w:rPr>
              <w:t>年8月</w:t>
            </w:r>
            <w:r>
              <w:rPr>
                <w:rFonts w:cs="Times New Roman"/>
                <w:kern w:val="0"/>
                <w:szCs w:val="24"/>
                <w:lang w:val="zh-CN"/>
              </w:rPr>
              <w:t>3</w:t>
            </w:r>
            <w:r>
              <w:rPr>
                <w:rFonts w:hint="eastAsia" w:cs="Times New Roman"/>
                <w:kern w:val="0"/>
                <w:szCs w:val="24"/>
                <w:lang w:val="zh-CN"/>
              </w:rPr>
              <w:t>日对寻甸恒浩金属结构有限公司年产1</w:t>
            </w:r>
            <w:r>
              <w:rPr>
                <w:rFonts w:cs="Times New Roman"/>
                <w:kern w:val="0"/>
                <w:szCs w:val="24"/>
                <w:lang w:val="zh-CN"/>
              </w:rPr>
              <w:t>500</w:t>
            </w:r>
            <w:r>
              <w:rPr>
                <w:rFonts w:hint="eastAsia" w:cs="Times New Roman"/>
                <w:kern w:val="0"/>
                <w:szCs w:val="24"/>
                <w:lang w:val="zh-CN"/>
              </w:rPr>
              <w:t>吨金属制品项目厂界上风向1#环境质量现状监测数据（检测报告详见附件</w:t>
            </w:r>
            <w:r>
              <w:rPr>
                <w:rFonts w:cs="Times New Roman"/>
                <w:kern w:val="0"/>
                <w:szCs w:val="24"/>
                <w:lang w:val="zh-CN"/>
              </w:rPr>
              <w:t>23</w:t>
            </w:r>
            <w:r>
              <w:rPr>
                <w:rFonts w:hint="eastAsia" w:cs="Times New Roman"/>
                <w:kern w:val="0"/>
                <w:szCs w:val="24"/>
                <w:lang w:val="zh-CN"/>
              </w:rPr>
              <w:t>），寻甸恒浩金属结构有限公司年产1</w:t>
            </w:r>
            <w:r>
              <w:rPr>
                <w:rFonts w:cs="Times New Roman"/>
                <w:kern w:val="0"/>
                <w:szCs w:val="24"/>
                <w:lang w:val="zh-CN"/>
              </w:rPr>
              <w:t>500</w:t>
            </w:r>
            <w:r>
              <w:rPr>
                <w:rFonts w:hint="eastAsia" w:cs="Times New Roman"/>
                <w:kern w:val="0"/>
                <w:szCs w:val="24"/>
                <w:lang w:val="zh-CN"/>
              </w:rPr>
              <w:t>吨金属制品项目</w:t>
            </w:r>
            <w:r>
              <w:rPr>
                <w:rFonts w:cs="Times New Roman"/>
                <w:szCs w:val="24"/>
              </w:rPr>
              <w:t>位于</w:t>
            </w:r>
            <w:r>
              <w:rPr>
                <w:rFonts w:hint="eastAsia" w:cs="Times New Roman"/>
                <w:szCs w:val="24"/>
              </w:rPr>
              <w:t>本</w:t>
            </w:r>
            <w:r>
              <w:rPr>
                <w:rFonts w:cs="Times New Roman"/>
                <w:szCs w:val="24"/>
              </w:rPr>
              <w:t>项目</w:t>
            </w:r>
            <w:r>
              <w:rPr>
                <w:rFonts w:hint="eastAsia" w:cs="Times New Roman"/>
                <w:szCs w:val="24"/>
              </w:rPr>
              <w:t>厂界西北</w:t>
            </w:r>
            <w:r>
              <w:rPr>
                <w:rFonts w:cs="Times New Roman"/>
                <w:szCs w:val="24"/>
              </w:rPr>
              <w:t>侧1190m，引用</w:t>
            </w:r>
            <w:r>
              <w:rPr>
                <w:rFonts w:hint="eastAsia" w:cs="Times New Roman"/>
                <w:szCs w:val="24"/>
              </w:rPr>
              <w:t>监测点1#</w:t>
            </w:r>
            <w:r>
              <w:rPr>
                <w:rFonts w:cs="Times New Roman"/>
                <w:szCs w:val="24"/>
              </w:rPr>
              <w:t>与</w:t>
            </w:r>
            <w:r>
              <w:rPr>
                <w:rFonts w:hint="eastAsia" w:cs="Times New Roman"/>
                <w:szCs w:val="24"/>
              </w:rPr>
              <w:t>本</w:t>
            </w:r>
            <w:r>
              <w:rPr>
                <w:rFonts w:cs="Times New Roman"/>
                <w:szCs w:val="24"/>
              </w:rPr>
              <w:t>项目</w:t>
            </w:r>
            <w:r>
              <w:rPr>
                <w:rFonts w:hint="eastAsia" w:cs="Times New Roman"/>
                <w:szCs w:val="24"/>
              </w:rPr>
              <w:t>厂界</w:t>
            </w:r>
            <w:r>
              <w:rPr>
                <w:rFonts w:cs="Times New Roman"/>
                <w:szCs w:val="24"/>
              </w:rPr>
              <w:t>相距约1191m。</w:t>
            </w:r>
          </w:p>
          <w:p>
            <w:pPr>
              <w:pStyle w:val="110"/>
              <w:rPr>
                <w:rFonts w:cs="Times New Roman"/>
                <w:szCs w:val="24"/>
              </w:rPr>
            </w:pPr>
            <w:r>
              <w:rPr>
                <w:rFonts w:cs="Times New Roman"/>
                <w:szCs w:val="24"/>
              </w:rPr>
              <w:t>本项目引用的TSP、NOx现状监测点</w:t>
            </w:r>
            <w:r>
              <w:rPr>
                <w:rFonts w:cs="Times New Roman"/>
                <w:szCs w:val="24"/>
                <w:lang w:val="zh-CN"/>
              </w:rPr>
              <w:t>具备类比条件，数据在</w:t>
            </w:r>
            <w:r>
              <w:rPr>
                <w:rFonts w:hint="eastAsia" w:cs="Times New Roman"/>
                <w:szCs w:val="24"/>
                <w:lang w:val="zh-CN"/>
              </w:rPr>
              <w:t>编制指南</w:t>
            </w:r>
            <w:r>
              <w:rPr>
                <w:rFonts w:cs="Times New Roman"/>
                <w:szCs w:val="24"/>
                <w:lang w:val="zh-CN"/>
              </w:rPr>
              <w:t>要求的</w:t>
            </w:r>
            <w:r>
              <w:rPr>
                <w:rFonts w:hint="eastAsia" w:cs="Times New Roman"/>
                <w:szCs w:val="24"/>
                <w:lang w:val="zh-CN"/>
              </w:rPr>
              <w:t>“建设项目周边5千米范围内</w:t>
            </w:r>
            <w:r>
              <w:rPr>
                <w:rFonts w:cs="Times New Roman"/>
                <w:szCs w:val="24"/>
                <w:lang w:val="zh-CN"/>
              </w:rPr>
              <w:t>近</w:t>
            </w:r>
            <w:r>
              <w:rPr>
                <w:rFonts w:hint="eastAsia" w:cs="Times New Roman"/>
                <w:szCs w:val="24"/>
                <w:lang w:val="zh-CN"/>
              </w:rPr>
              <w:t>3</w:t>
            </w:r>
            <w:r>
              <w:rPr>
                <w:rFonts w:cs="Times New Roman"/>
                <w:szCs w:val="24"/>
                <w:lang w:val="zh-CN"/>
              </w:rPr>
              <w:t>年</w:t>
            </w:r>
            <w:r>
              <w:rPr>
                <w:rFonts w:hint="eastAsia" w:cs="Times New Roman"/>
                <w:szCs w:val="24"/>
                <w:lang w:val="zh-CN"/>
              </w:rPr>
              <w:t>的现有监测数据”</w:t>
            </w:r>
            <w:r>
              <w:rPr>
                <w:rFonts w:cs="Times New Roman"/>
                <w:szCs w:val="24"/>
                <w:lang w:val="zh-CN"/>
              </w:rPr>
              <w:t>时限内，属于有效数据，故本项目</w:t>
            </w:r>
            <w:r>
              <w:rPr>
                <w:rFonts w:cs="Times New Roman"/>
                <w:szCs w:val="24"/>
              </w:rPr>
              <w:t>TSP、NOx</w:t>
            </w:r>
            <w:r>
              <w:rPr>
                <w:rFonts w:cs="Times New Roman"/>
                <w:szCs w:val="24"/>
                <w:lang w:val="zh-CN"/>
              </w:rPr>
              <w:t>质量现状评价引用</w:t>
            </w:r>
            <w:r>
              <w:rPr>
                <w:rFonts w:cs="Times New Roman"/>
                <w:szCs w:val="24"/>
              </w:rPr>
              <w:t>的数据具有时效性和代表性</w:t>
            </w:r>
            <w:r>
              <w:rPr>
                <w:rFonts w:hint="eastAsia" w:cs="Times New Roman"/>
                <w:szCs w:val="24"/>
              </w:rPr>
              <w:t>。</w:t>
            </w:r>
          </w:p>
          <w:p>
            <w:pPr>
              <w:pStyle w:val="110"/>
              <w:rPr>
                <w:rFonts w:cs="Times New Roman"/>
                <w:szCs w:val="18"/>
              </w:rPr>
            </w:pPr>
            <w:r>
              <w:rPr>
                <w:rFonts w:hint="eastAsia" w:cs="Times New Roman"/>
                <w:szCs w:val="18"/>
              </w:rPr>
              <w:t>引用监测点位与本项目厂界位置关系见下图3-</w:t>
            </w:r>
            <w:r>
              <w:rPr>
                <w:rFonts w:cs="Times New Roman"/>
                <w:szCs w:val="18"/>
              </w:rPr>
              <w:t>1</w:t>
            </w:r>
            <w:r>
              <w:rPr>
                <w:rFonts w:hint="eastAsia" w:cs="Times New Roman"/>
                <w:szCs w:val="18"/>
              </w:rPr>
              <w:t>，</w:t>
            </w:r>
            <w:r>
              <w:rPr>
                <w:rFonts w:cs="Times New Roman"/>
                <w:szCs w:val="24"/>
              </w:rPr>
              <w:t>引用项目监测点位布设见表</w:t>
            </w:r>
            <w:r>
              <w:rPr>
                <w:rFonts w:hint="eastAsia" w:cs="Times New Roman"/>
                <w:szCs w:val="24"/>
              </w:rPr>
              <w:t>3</w:t>
            </w:r>
            <w:r>
              <w:rPr>
                <w:rFonts w:cs="Times New Roman"/>
                <w:szCs w:val="24"/>
              </w:rPr>
              <w:t>-1</w:t>
            </w:r>
            <w:r>
              <w:rPr>
                <w:rFonts w:hint="eastAsia" w:cs="Times New Roman"/>
                <w:szCs w:val="24"/>
              </w:rPr>
              <w:t>，</w:t>
            </w:r>
            <w:r>
              <w:rPr>
                <w:rFonts w:cs="Times New Roman"/>
                <w:szCs w:val="24"/>
              </w:rPr>
              <w:t>TSP、NOx</w:t>
            </w:r>
            <w:r>
              <w:rPr>
                <w:rFonts w:cs="Times New Roman"/>
                <w:szCs w:val="18"/>
              </w:rPr>
              <w:t>质量现状引用监测结果见表</w:t>
            </w:r>
            <w:r>
              <w:rPr>
                <w:rFonts w:hint="eastAsia" w:cs="Times New Roman"/>
                <w:szCs w:val="18"/>
              </w:rPr>
              <w:t>3</w:t>
            </w:r>
            <w:r>
              <w:rPr>
                <w:rFonts w:cs="Times New Roman"/>
                <w:szCs w:val="18"/>
              </w:rPr>
              <w:t>-2</w:t>
            </w:r>
            <w:r>
              <w:rPr>
                <w:rFonts w:hint="eastAsia" w:cs="Times New Roman"/>
                <w:szCs w:val="18"/>
              </w:rPr>
              <w:t>、3-</w:t>
            </w:r>
            <w:r>
              <w:rPr>
                <w:rFonts w:cs="Times New Roman"/>
                <w:szCs w:val="18"/>
              </w:rPr>
              <w:t>3。</w:t>
            </w:r>
          </w:p>
          <w:p>
            <w:pPr>
              <w:pStyle w:val="110"/>
              <w:ind w:firstLine="0" w:firstLineChars="0"/>
              <w:jc w:val="center"/>
              <w:rPr>
                <w:rFonts w:cs="Times New Roman"/>
                <w:b/>
                <w:szCs w:val="18"/>
                <w:highlight w:val="yellow"/>
              </w:rPr>
            </w:pPr>
            <w:r>
              <w:rPr>
                <w:rFonts w:hint="eastAsia" w:cs="Times New Roman"/>
                <w:szCs w:val="18"/>
              </w:rPr>
              <mc:AlternateContent>
                <mc:Choice Requires="wps">
                  <w:drawing>
                    <wp:anchor distT="0" distB="0" distL="114300" distR="114300" simplePos="0" relativeHeight="251666432" behindDoc="0" locked="0" layoutInCell="1" allowOverlap="1">
                      <wp:simplePos x="0" y="0"/>
                      <wp:positionH relativeFrom="column">
                        <wp:posOffset>3222625</wp:posOffset>
                      </wp:positionH>
                      <wp:positionV relativeFrom="paragraph">
                        <wp:posOffset>2341245</wp:posOffset>
                      </wp:positionV>
                      <wp:extent cx="1186815" cy="580390"/>
                      <wp:effectExtent l="1276350" t="438150" r="13335" b="10160"/>
                      <wp:wrapNone/>
                      <wp:docPr id="17" name="圆角矩形标注 17"/>
                      <wp:cNvGraphicFramePr/>
                      <a:graphic xmlns:a="http://schemas.openxmlformats.org/drawingml/2006/main">
                        <a:graphicData uri="http://schemas.microsoft.com/office/word/2010/wordprocessingShape">
                          <wps:wsp>
                            <wps:cNvSpPr/>
                            <wps:spPr>
                              <a:xfrm>
                                <a:off x="4679868" y="4918611"/>
                                <a:ext cx="1186815" cy="580390"/>
                              </a:xfrm>
                              <a:prstGeom prst="wedgeRoundRectCallout">
                                <a:avLst>
                                  <a:gd name="adj1" fmla="val -154417"/>
                                  <a:gd name="adj2" fmla="val -121144"/>
                                  <a:gd name="adj3" fmla="val 16667"/>
                                </a:avLst>
                              </a:prstGeom>
                              <a:solidFill>
                                <a:srgbClr val="E44CCE"/>
                              </a:solidFill>
                              <a:ln>
                                <a:solidFill>
                                  <a:srgbClr val="E44CCE"/>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bCs/>
                                      <w:sz w:val="18"/>
                                      <w:szCs w:val="18"/>
                                      <w:lang w:val="zh-CN"/>
                                    </w:rPr>
                                    <w:t>新建改性塑料生产建设项目</w:t>
                                  </w:r>
                                  <w:r>
                                    <w:rPr>
                                      <w:bCs/>
                                      <w:sz w:val="18"/>
                                      <w:szCs w:val="18"/>
                                    </w:rPr>
                                    <w:t>1</w:t>
                                  </w:r>
                                  <w:r>
                                    <w:rPr>
                                      <w:rFonts w:hint="eastAsia"/>
                                      <w:bCs/>
                                      <w:sz w:val="18"/>
                                      <w:szCs w:val="18"/>
                                    </w:rPr>
                                    <w:t>#</w:t>
                                  </w:r>
                                  <w:r>
                                    <w:rPr>
                                      <w:bCs/>
                                      <w:sz w:val="18"/>
                                      <w:szCs w:val="18"/>
                                      <w:lang w:val="zh-CN"/>
                                    </w:rPr>
                                    <w:t>项目</w:t>
                                  </w:r>
                                  <w:r>
                                    <w:rPr>
                                      <w:rFonts w:hint="eastAsia"/>
                                      <w:bCs/>
                                      <w:sz w:val="18"/>
                                      <w:szCs w:val="18"/>
                                    </w:rPr>
                                    <w:t>区</w:t>
                                  </w:r>
                                  <w:r>
                                    <w:rPr>
                                      <w:bCs/>
                                      <w:sz w:val="18"/>
                                      <w:szCs w:val="18"/>
                                    </w:rPr>
                                    <w:t>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3.75pt;margin-top:184.35pt;height:45.7pt;width:93.45pt;z-index:251666432;v-text-anchor:middle;mso-width-relative:page;mso-height-relative:page;" fillcolor="#E44CCE" filled="t" stroked="t" coordsize="21600,21600" o:gfxdata="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V0POrNoAAAALAQAADwAAAAAAAAABACAAAAAiAAAAZHJzL2Rvd25yZXYueG1sUEsB&#10;AhQAFAAAAAgAh07iQFQASK3XAgAAowUAAA4AAAAAAAAAAQAgAAAAKQEAAGRycy9lMm9Eb2MueG1s&#10;UEsFBgAAAAAGAAYAWQEAAHIGAAAAAA==&#10;" adj="-22554,-15367,14400">
                      <v:fill on="t" focussize="0,0"/>
                      <v:stroke weight="1pt" color="#E44CCE [3204]" miterlimit="8" joinstyle="miter"/>
                      <v:imagedata o:title=""/>
                      <o:lock v:ext="edit" aspectratio="f"/>
                      <v:textbox>
                        <w:txbxContent>
                          <w:p>
                            <w:pPr>
                              <w:jc w:val="center"/>
                              <w:rPr>
                                <w:sz w:val="18"/>
                                <w:szCs w:val="18"/>
                              </w:rPr>
                            </w:pPr>
                            <w:r>
                              <w:rPr>
                                <w:rFonts w:hint="eastAsia"/>
                                <w:bCs/>
                                <w:sz w:val="18"/>
                                <w:szCs w:val="18"/>
                                <w:lang w:val="zh-CN"/>
                              </w:rPr>
                              <w:t>新建改性塑料生产建设项目</w:t>
                            </w:r>
                            <w:r>
                              <w:rPr>
                                <w:bCs/>
                                <w:sz w:val="18"/>
                                <w:szCs w:val="18"/>
                              </w:rPr>
                              <w:t>1</w:t>
                            </w:r>
                            <w:r>
                              <w:rPr>
                                <w:rFonts w:hint="eastAsia"/>
                                <w:bCs/>
                                <w:sz w:val="18"/>
                                <w:szCs w:val="18"/>
                              </w:rPr>
                              <w:t>#</w:t>
                            </w:r>
                            <w:r>
                              <w:rPr>
                                <w:bCs/>
                                <w:sz w:val="18"/>
                                <w:szCs w:val="18"/>
                                <w:lang w:val="zh-CN"/>
                              </w:rPr>
                              <w:t>项目</w:t>
                            </w:r>
                            <w:r>
                              <w:rPr>
                                <w:rFonts w:hint="eastAsia"/>
                                <w:bCs/>
                                <w:sz w:val="18"/>
                                <w:szCs w:val="18"/>
                              </w:rPr>
                              <w:t>区</w:t>
                            </w:r>
                            <w:r>
                              <w:rPr>
                                <w:bCs/>
                                <w:sz w:val="18"/>
                                <w:szCs w:val="18"/>
                              </w:rPr>
                              <w:t>内</w:t>
                            </w:r>
                          </w:p>
                        </w:txbxContent>
                      </v:textbox>
                    </v:shape>
                  </w:pict>
                </mc:Fallback>
              </mc:AlternateContent>
            </w:r>
            <w:r>
              <w:rPr>
                <w:rFonts w:hint="eastAsia" w:cs="Times New Roman"/>
                <w:szCs w:val="18"/>
              </w:rPr>
              <mc:AlternateContent>
                <mc:Choice Requires="wps">
                  <w:drawing>
                    <wp:anchor distT="0" distB="0" distL="114300" distR="114300" simplePos="0" relativeHeight="251668480" behindDoc="0" locked="0" layoutInCell="1" allowOverlap="1">
                      <wp:simplePos x="0" y="0"/>
                      <wp:positionH relativeFrom="column">
                        <wp:posOffset>494665</wp:posOffset>
                      </wp:positionH>
                      <wp:positionV relativeFrom="paragraph">
                        <wp:posOffset>2793365</wp:posOffset>
                      </wp:positionV>
                      <wp:extent cx="1158240" cy="429895"/>
                      <wp:effectExtent l="0" t="704850" r="213360" b="27305"/>
                      <wp:wrapNone/>
                      <wp:docPr id="20" name="矩形标注 20"/>
                      <wp:cNvGraphicFramePr/>
                      <a:graphic xmlns:a="http://schemas.openxmlformats.org/drawingml/2006/main">
                        <a:graphicData uri="http://schemas.microsoft.com/office/word/2010/wordprocessingShape">
                          <wps:wsp>
                            <wps:cNvSpPr/>
                            <wps:spPr>
                              <a:xfrm>
                                <a:off x="1952625" y="5372100"/>
                                <a:ext cx="1158240" cy="429895"/>
                              </a:xfrm>
                              <a:prstGeom prst="wedgeRectCallout">
                                <a:avLst>
                                  <a:gd name="adj1" fmla="val 62460"/>
                                  <a:gd name="adj2" fmla="val -20309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年产1500吨金属制品项目上风向1</w:t>
                                  </w:r>
                                  <w:r>
                                    <w:rPr>
                                      <w:color w:val="000000" w:themeColor="text1"/>
                                      <w:sz w:val="18"/>
                                      <w:szCs w:val="18"/>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8.95pt;margin-top:219.95pt;height:33.85pt;width:91.2pt;z-index:251668480;v-text-anchor:middle;mso-width-relative:page;mso-height-relative:page;" fillcolor="#FFFF00" filled="t" stroked="t" coordsize="21600,21600" o:gfxdata="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JGizW2gAAAAoBAAAPAAAAAAAAAAEA&#10;IAAAACIAAABkcnMvZG93bnJldi54bWxQSwECFAAUAAAACACHTuJAobUuXrgCAAByBQAADgAAAAAA&#10;AAABACAAAAApAQAAZHJzL2Uyb0RvYy54bWxQSwUGAAAAAAYABgBZAQAAUwYAAAAA&#10;" adj="24291,-33067">
                      <v:fill on="t" focussize="0,0"/>
                      <v:stroke weight="1pt" color="#FFFF00 [3204]" miterlimit="8" joinstyle="miter"/>
                      <v:imagedata o:title=""/>
                      <o:lock v:ext="edit" aspectratio="f"/>
                      <v:textbo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年产1500吨金属制品项目上风向1</w:t>
                            </w:r>
                            <w:r>
                              <w:rPr>
                                <w:color w:val="000000" w:themeColor="text1"/>
                                <w:sz w:val="18"/>
                                <w:szCs w:val="18"/>
                                <w14:textFill>
                                  <w14:solidFill>
                                    <w14:schemeClr w14:val="tx1"/>
                                  </w14:solidFill>
                                </w14:textFill>
                              </w:rPr>
                              <w:t>#</w:t>
                            </w:r>
                          </w:p>
                        </w:txbxContent>
                      </v:textbox>
                    </v:shape>
                  </w:pict>
                </mc:Fallback>
              </mc:AlternateContent>
            </w:r>
            <w:r>
              <w:rPr>
                <w:rFonts w:hint="eastAsia" w:cs="Times New Roman"/>
                <w:szCs w:val="18"/>
              </w:rPr>
              <mc:AlternateContent>
                <mc:Choice Requires="wps">
                  <w:drawing>
                    <wp:anchor distT="0" distB="0" distL="114300" distR="114300" simplePos="0" relativeHeight="251669504" behindDoc="0" locked="0" layoutInCell="1" allowOverlap="1">
                      <wp:simplePos x="0" y="0"/>
                      <wp:positionH relativeFrom="column">
                        <wp:posOffset>1832610</wp:posOffset>
                      </wp:positionH>
                      <wp:positionV relativeFrom="paragraph">
                        <wp:posOffset>2146935</wp:posOffset>
                      </wp:positionV>
                      <wp:extent cx="758825" cy="1791335"/>
                      <wp:effectExtent l="38100" t="38100" r="60325" b="56515"/>
                      <wp:wrapNone/>
                      <wp:docPr id="21" name="直接箭头连接符 21"/>
                      <wp:cNvGraphicFramePr/>
                      <a:graphic xmlns:a="http://schemas.openxmlformats.org/drawingml/2006/main">
                        <a:graphicData uri="http://schemas.microsoft.com/office/word/2010/wordprocessingShape">
                          <wps:wsp>
                            <wps:cNvCnPr/>
                            <wps:spPr>
                              <a:xfrm flipH="1" flipV="1">
                                <a:off x="0" y="0"/>
                                <a:ext cx="758825" cy="1791335"/>
                              </a:xfrm>
                              <a:prstGeom prst="straightConnector1">
                                <a:avLst/>
                              </a:prstGeom>
                              <a:ln w="127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44.3pt;margin-top:169.05pt;height:141.05pt;width:59.75pt;z-index:251669504;mso-width-relative:page;mso-height-relative:page;" filled="f" stroked="t" coordsize="21600,21600" o:gfxdata="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7KWYdwAAAALAQAADwAAAAAAAAABACAAAAAiAAAAZHJzL2Rvd25yZXYueG1sUEsBAhQAFAAAAAgA&#10;h07iQHXnPDohAgAAGQQAAA4AAAAAAAAAAQAgAAAAKwEAAGRycy9lMm9Eb2MueG1sUEsFBgAAAAAG&#10;AAYAWQEAAL4FAAAAAA==&#10;">
                      <v:fill on="f" focussize="0,0"/>
                      <v:stroke weight="1pt" color="#FFFF00 [3204]" miterlimit="8" joinstyle="miter" startarrow="block" endarrow="block"/>
                      <v:imagedata o:title=""/>
                      <o:lock v:ext="edit" aspectratio="f"/>
                    </v:shape>
                  </w:pict>
                </mc:Fallback>
              </mc:AlternateContent>
            </w:r>
            <w:r>
              <w:rPr>
                <w:rFonts w:hint="eastAsia" w:cs="Times New Roman"/>
                <w:szCs w:val="18"/>
              </w:rPr>
              <mc:AlternateContent>
                <mc:Choice Requires="wps">
                  <w:drawing>
                    <wp:anchor distT="0" distB="0" distL="114300" distR="114300" simplePos="0" relativeHeight="251670528" behindDoc="0" locked="0" layoutInCell="1" allowOverlap="1">
                      <wp:simplePos x="0" y="0"/>
                      <wp:positionH relativeFrom="column">
                        <wp:posOffset>1956435</wp:posOffset>
                      </wp:positionH>
                      <wp:positionV relativeFrom="paragraph">
                        <wp:posOffset>1957070</wp:posOffset>
                      </wp:positionV>
                      <wp:extent cx="662305" cy="1969135"/>
                      <wp:effectExtent l="38100" t="38100" r="61595" b="50165"/>
                      <wp:wrapNone/>
                      <wp:docPr id="22" name="直接箭头连接符 22"/>
                      <wp:cNvGraphicFramePr/>
                      <a:graphic xmlns:a="http://schemas.openxmlformats.org/drawingml/2006/main">
                        <a:graphicData uri="http://schemas.microsoft.com/office/word/2010/wordprocessingShape">
                          <wps:wsp>
                            <wps:cNvCnPr/>
                            <wps:spPr>
                              <a:xfrm flipH="1" flipV="1">
                                <a:off x="0" y="0"/>
                                <a:ext cx="662305" cy="1969135"/>
                              </a:xfrm>
                              <a:prstGeom prst="straightConnector1">
                                <a:avLst/>
                              </a:prstGeom>
                              <a:ln w="12700">
                                <a:solidFill>
                                  <a:srgbClr val="FF00FF"/>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4.05pt;margin-top:154.1pt;height:155.05pt;width:52.15pt;z-index:251670528;mso-width-relative:page;mso-height-relative:page;" filled="f" stroked="t" coordsize="21600,21600" o:gfxdata="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zvys2AAAAAsBAAAPAAAAAAAAAAEAIAAAACIAAABkcnMvZG93bnJldi54bWxQSwECFAAUAAAACACH&#10;TuJA8EQ35CQCAAAZBAAADgAAAAAAAAABACAAAAAnAQAAZHJzL2Uyb0RvYy54bWxQSwUGAAAAAAYA&#10;BgBZAQAAvQUAAAAA&#10;">
                      <v:fill on="f" focussize="0,0"/>
                      <v:stroke weight="1pt" color="#FF00FF [3204]" miterlimit="8" joinstyle="miter" startarrow="block" endarrow="block"/>
                      <v:imagedata o:title=""/>
                      <o:lock v:ext="edit" aspectratio="f"/>
                    </v:shape>
                  </w:pict>
                </mc:Fallback>
              </mc:AlternateContent>
            </w:r>
            <w:r>
              <w:rPr>
                <w:rFonts w:hint="eastAsia" w:cs="Times New Roman"/>
                <w:szCs w:val="18"/>
              </w:rPr>
              <mc:AlternateContent>
                <mc:Choice Requires="wps">
                  <w:drawing>
                    <wp:anchor distT="0" distB="0" distL="114300" distR="114300" simplePos="0" relativeHeight="251667456" behindDoc="0" locked="0" layoutInCell="1" allowOverlap="1">
                      <wp:simplePos x="0" y="0"/>
                      <wp:positionH relativeFrom="column">
                        <wp:posOffset>2998470</wp:posOffset>
                      </wp:positionH>
                      <wp:positionV relativeFrom="paragraph">
                        <wp:posOffset>1151890</wp:posOffset>
                      </wp:positionV>
                      <wp:extent cx="726440" cy="429260"/>
                      <wp:effectExtent l="514350" t="495300" r="16510" b="27940"/>
                      <wp:wrapNone/>
                      <wp:docPr id="19" name="圆角矩形标注 19"/>
                      <wp:cNvGraphicFramePr/>
                      <a:graphic xmlns:a="http://schemas.openxmlformats.org/drawingml/2006/main">
                        <a:graphicData uri="http://schemas.microsoft.com/office/word/2010/wordprocessingShape">
                          <wps:wsp>
                            <wps:cNvSpPr/>
                            <wps:spPr>
                              <a:xfrm>
                                <a:off x="0" y="0"/>
                                <a:ext cx="726440" cy="429260"/>
                              </a:xfrm>
                              <a:prstGeom prst="wedgeRoundRectCallout">
                                <a:avLst>
                                  <a:gd name="adj1" fmla="val -115164"/>
                                  <a:gd name="adj2" fmla="val -153000"/>
                                  <a:gd name="adj3" fmla="val 16667"/>
                                </a:avLst>
                              </a:prstGeom>
                              <a:solidFill>
                                <a:srgbClr val="E44CCE"/>
                              </a:solidFill>
                              <a:ln>
                                <a:solidFill>
                                  <a:srgbClr val="E44CCE"/>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bCs/>
                                      <w:sz w:val="18"/>
                                      <w:szCs w:val="18"/>
                                    </w:rPr>
                                    <w:t>清水沟</w:t>
                                  </w:r>
                                  <w:r>
                                    <w:rPr>
                                      <w:bCs/>
                                      <w:sz w:val="18"/>
                                      <w:szCs w:val="18"/>
                                    </w:rPr>
                                    <w:t>村（</w:t>
                                  </w:r>
                                  <w:r>
                                    <w:rPr>
                                      <w:rFonts w:hint="eastAsia"/>
                                      <w:bCs/>
                                      <w:sz w:val="18"/>
                                      <w:szCs w:val="18"/>
                                    </w:rPr>
                                    <w:t>2#</w:t>
                                  </w:r>
                                  <w:r>
                                    <w:rPr>
                                      <w:bCs/>
                                      <w:sz w:val="18"/>
                                      <w:szCs w:val="18"/>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6.1pt;margin-top:90.7pt;height:33.8pt;width:57.2pt;z-index:251667456;v-text-anchor:middle;mso-width-relative:page;mso-height-relative:page;" fillcolor="#E44CCE" filled="t" stroked="t" coordsize="21600,21600" o:gfxdata="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McL7O9kA&#10;AAALAQAADwAAAAAAAAABACAAAAAiAAAAZHJzL2Rvd25yZXYueG1sUEsBAhQAFAAAAAgAh07iQHaP&#10;KPzJAgAAlgUAAA4AAAAAAAAAAQAgAAAAKAEAAGRycy9lMm9Eb2MueG1sUEsFBgAAAAAGAAYAWQEA&#10;AGMGAAAAAA==&#10;" adj="-14075,-22248,14400">
                      <v:fill on="t" focussize="0,0"/>
                      <v:stroke weight="1pt" color="#E44CCE [3204]" miterlimit="8" joinstyle="miter"/>
                      <v:imagedata o:title=""/>
                      <o:lock v:ext="edit" aspectratio="f"/>
                      <v:textbox>
                        <w:txbxContent>
                          <w:p>
                            <w:pPr>
                              <w:jc w:val="center"/>
                              <w:rPr>
                                <w:sz w:val="18"/>
                                <w:szCs w:val="18"/>
                              </w:rPr>
                            </w:pPr>
                            <w:r>
                              <w:rPr>
                                <w:rFonts w:hint="eastAsia"/>
                                <w:bCs/>
                                <w:sz w:val="18"/>
                                <w:szCs w:val="18"/>
                              </w:rPr>
                              <w:t>清水沟</w:t>
                            </w:r>
                            <w:r>
                              <w:rPr>
                                <w:bCs/>
                                <w:sz w:val="18"/>
                                <w:szCs w:val="18"/>
                              </w:rPr>
                              <w:t>村（</w:t>
                            </w:r>
                            <w:r>
                              <w:rPr>
                                <w:rFonts w:hint="eastAsia"/>
                                <w:bCs/>
                                <w:sz w:val="18"/>
                                <w:szCs w:val="18"/>
                              </w:rPr>
                              <w:t>2#</w:t>
                            </w:r>
                            <w:r>
                              <w:rPr>
                                <w:bCs/>
                                <w:sz w:val="18"/>
                                <w:szCs w:val="18"/>
                              </w:rPr>
                              <w:t>）</w:t>
                            </w:r>
                          </w:p>
                        </w:txbxContent>
                      </v:textbox>
                    </v:shape>
                  </w:pict>
                </mc:Fallback>
              </mc:AlternateContent>
            </w:r>
            <w:r>
              <w:rPr>
                <w:rFonts w:hint="eastAsia" w:cs="Times New Roman"/>
                <w:szCs w:val="18"/>
              </w:rPr>
              <mc:AlternateContent>
                <mc:Choice Requires="wps">
                  <w:drawing>
                    <wp:anchor distT="0" distB="0" distL="114300" distR="114300" simplePos="0" relativeHeight="251671552" behindDoc="0" locked="0" layoutInCell="1" allowOverlap="1">
                      <wp:simplePos x="0" y="0"/>
                      <wp:positionH relativeFrom="column">
                        <wp:posOffset>2511425</wp:posOffset>
                      </wp:positionH>
                      <wp:positionV relativeFrom="paragraph">
                        <wp:posOffset>739140</wp:posOffset>
                      </wp:positionV>
                      <wp:extent cx="118110" cy="3184525"/>
                      <wp:effectExtent l="76200" t="38100" r="72390" b="53975"/>
                      <wp:wrapNone/>
                      <wp:docPr id="23" name="直接箭头连接符 23"/>
                      <wp:cNvGraphicFramePr/>
                      <a:graphic xmlns:a="http://schemas.openxmlformats.org/drawingml/2006/main">
                        <a:graphicData uri="http://schemas.microsoft.com/office/word/2010/wordprocessingShape">
                          <wps:wsp>
                            <wps:cNvCnPr/>
                            <wps:spPr>
                              <a:xfrm flipH="1" flipV="1">
                                <a:off x="0" y="0"/>
                                <a:ext cx="118110" cy="3184525"/>
                              </a:xfrm>
                              <a:prstGeom prst="straightConnector1">
                                <a:avLst/>
                              </a:prstGeom>
                              <a:ln w="12700">
                                <a:solidFill>
                                  <a:srgbClr val="FF00FF"/>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97.75pt;margin-top:58.2pt;height:250.75pt;width:9.3pt;z-index:251671552;mso-width-relative:page;mso-height-relative:page;" filled="f" stroked="t" coordsize="21600,21600" o:gfxdata="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0Kp&#10;rdgAAAALAQAADwAAAAAAAAABACAAAAAiAAAAZHJzL2Rvd25yZXYueG1sUEsBAhQAFAAAAAgAh07i&#10;QOpNfK0iAgAAGQQAAA4AAAAAAAAAAQAgAAAAJwEAAGRycy9lMm9Eb2MueG1sUEsFBgAAAAAGAAYA&#10;WQEAALsFAAAAAA==&#10;">
                      <v:fill on="f" focussize="0,0"/>
                      <v:stroke weight="1pt" color="#FF00FF [3204]" miterlimit="8" joinstyle="miter" startarrow="block" endarrow="block"/>
                      <v:imagedata o:title=""/>
                      <o:lock v:ext="edit" aspectratio="f"/>
                    </v:shape>
                  </w:pict>
                </mc:Fallback>
              </mc:AlternateContent>
            </w:r>
            <w:r>
              <w:rPr>
                <w:rFonts w:hint="eastAsia" w:cs="Times New Roman"/>
                <w:szCs w:val="18"/>
              </w:rPr>
              <mc:AlternateContent>
                <mc:Choice Requires="wps">
                  <w:drawing>
                    <wp:anchor distT="0" distB="0" distL="114300" distR="114300" simplePos="0" relativeHeight="251674624" behindDoc="0" locked="0" layoutInCell="1" allowOverlap="1">
                      <wp:simplePos x="0" y="0"/>
                      <wp:positionH relativeFrom="column">
                        <wp:posOffset>2564765</wp:posOffset>
                      </wp:positionH>
                      <wp:positionV relativeFrom="paragraph">
                        <wp:posOffset>1630680</wp:posOffset>
                      </wp:positionV>
                      <wp:extent cx="789305" cy="32639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89305" cy="326390"/>
                              </a:xfrm>
                              <a:prstGeom prst="rect">
                                <a:avLst/>
                              </a:prstGeom>
                              <a:noFill/>
                              <a:ln w="6350">
                                <a:noFill/>
                              </a:ln>
                            </wps:spPr>
                            <wps:txbx>
                              <w:txbxContent>
                                <w:p>
                                  <w:pPr>
                                    <w:rPr>
                                      <w:b/>
                                      <w:color w:val="FF00FF"/>
                                    </w:rPr>
                                  </w:pPr>
                                  <w:r>
                                    <w:rPr>
                                      <w:rFonts w:hint="eastAsia"/>
                                      <w:b/>
                                      <w:color w:val="FF00FF"/>
                                    </w:rPr>
                                    <w:t>2045</w:t>
                                  </w:r>
                                  <w:r>
                                    <w:rPr>
                                      <w:b/>
                                      <w:color w:val="FF00FF"/>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95pt;margin-top:128.4pt;height:25.7pt;width:62.15pt;z-index:251674624;mso-width-relative:page;mso-height-relative:page;" filled="f" stroked="f" coordsize="21600,21600" o:gfxdata="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9xIo2wAAAAsBAAAPAAAAAAAAAAEAIAAAACIA&#10;AABkcnMvZG93bnJldi54bWxQSwECFAAUAAAACACHTuJAFoN8HD8CAABnBAAADgAAAAAAAAABACAA&#10;AAAqAQAAZHJzL2Uyb0RvYy54bWxQSwUGAAAAAAYABgBZAQAA2wUAAAAA&#10;">
                      <v:fill on="f" focussize="0,0"/>
                      <v:stroke on="f" weight="0.5pt"/>
                      <v:imagedata o:title=""/>
                      <o:lock v:ext="edit" aspectratio="f"/>
                      <v:textbox>
                        <w:txbxContent>
                          <w:p>
                            <w:pPr>
                              <w:rPr>
                                <w:b/>
                                <w:color w:val="FF00FF"/>
                              </w:rPr>
                            </w:pPr>
                            <w:r>
                              <w:rPr>
                                <w:rFonts w:hint="eastAsia"/>
                                <w:b/>
                                <w:color w:val="FF00FF"/>
                              </w:rPr>
                              <w:t>2045</w:t>
                            </w:r>
                            <w:r>
                              <w:rPr>
                                <w:b/>
                                <w:color w:val="FF00FF"/>
                              </w:rPr>
                              <w:t>m</w:t>
                            </w:r>
                          </w:p>
                        </w:txbxContent>
                      </v:textbox>
                    </v:shape>
                  </w:pict>
                </mc:Fallback>
              </mc:AlternateContent>
            </w:r>
            <w:r>
              <w:rPr>
                <w:rFonts w:hint="eastAsia" w:cs="Times New Roman"/>
                <w:szCs w:val="18"/>
              </w:rPr>
              <mc:AlternateContent>
                <mc:Choice Requires="wps">
                  <w:drawing>
                    <wp:anchor distT="0" distB="0" distL="114300" distR="114300" simplePos="0" relativeHeight="251673600" behindDoc="0" locked="0" layoutInCell="1" allowOverlap="1">
                      <wp:simplePos x="0" y="0"/>
                      <wp:positionH relativeFrom="column">
                        <wp:posOffset>2060575</wp:posOffset>
                      </wp:positionH>
                      <wp:positionV relativeFrom="paragraph">
                        <wp:posOffset>2331085</wp:posOffset>
                      </wp:positionV>
                      <wp:extent cx="593725" cy="25527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93725" cy="255270"/>
                              </a:xfrm>
                              <a:prstGeom prst="rect">
                                <a:avLst/>
                              </a:prstGeom>
                              <a:noFill/>
                              <a:ln w="6350">
                                <a:noFill/>
                              </a:ln>
                            </wps:spPr>
                            <wps:txbx>
                              <w:txbxContent>
                                <w:p>
                                  <w:pPr>
                                    <w:rPr>
                                      <w:b/>
                                      <w:color w:val="FF00FF"/>
                                    </w:rPr>
                                  </w:pPr>
                                  <w:r>
                                    <w:rPr>
                                      <w:rFonts w:hint="eastAsia"/>
                                      <w:b/>
                                      <w:color w:val="FF00FF"/>
                                    </w:rPr>
                                    <w:t>1260</w:t>
                                  </w:r>
                                  <w:r>
                                    <w:rPr>
                                      <w:b/>
                                      <w:color w:val="FF00FF"/>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25pt;margin-top:183.55pt;height:20.1pt;width:46.75pt;z-index:251673600;mso-width-relative:page;mso-height-relative:page;" filled="f" stroked="f" coordsize="21600,21600" o:gfxdata="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1F0ytsAAAALAQAADwAAAAAAAAABACAAAAAiAAAA&#10;ZHJzL2Rvd25yZXYueG1sUEsBAhQAFAAAAAgAh07iQGpxi2c9AgAAZwQAAA4AAAAAAAAAAQAgAAAA&#10;KgEAAGRycy9lMm9Eb2MueG1sUEsFBgAAAAAGAAYAWQEAANkFAAAAAA==&#10;">
                      <v:fill on="f" focussize="0,0"/>
                      <v:stroke on="f" weight="0.5pt"/>
                      <v:imagedata o:title=""/>
                      <o:lock v:ext="edit" aspectratio="f"/>
                      <v:textbox>
                        <w:txbxContent>
                          <w:p>
                            <w:pPr>
                              <w:rPr>
                                <w:b/>
                                <w:color w:val="FF00FF"/>
                              </w:rPr>
                            </w:pPr>
                            <w:r>
                              <w:rPr>
                                <w:rFonts w:hint="eastAsia"/>
                                <w:b/>
                                <w:color w:val="FF00FF"/>
                              </w:rPr>
                              <w:t>1260</w:t>
                            </w:r>
                            <w:r>
                              <w:rPr>
                                <w:b/>
                                <w:color w:val="FF00FF"/>
                              </w:rPr>
                              <w:t>m</w:t>
                            </w:r>
                          </w:p>
                        </w:txbxContent>
                      </v:textbox>
                    </v:shape>
                  </w:pict>
                </mc:Fallback>
              </mc:AlternateContent>
            </w:r>
            <w:r>
              <w:rPr>
                <w:rFonts w:hint="eastAsia" w:cs="Times New Roman"/>
                <w:szCs w:val="18"/>
              </w:rPr>
              <mc:AlternateContent>
                <mc:Choice Requires="wps">
                  <w:drawing>
                    <wp:anchor distT="0" distB="0" distL="114300" distR="114300" simplePos="0" relativeHeight="251672576" behindDoc="0" locked="0" layoutInCell="1" allowOverlap="1">
                      <wp:simplePos x="0" y="0"/>
                      <wp:positionH relativeFrom="column">
                        <wp:posOffset>1737360</wp:posOffset>
                      </wp:positionH>
                      <wp:positionV relativeFrom="paragraph">
                        <wp:posOffset>2933700</wp:posOffset>
                      </wp:positionV>
                      <wp:extent cx="723900" cy="358140"/>
                      <wp:effectExtent l="0" t="0" r="0" b="3810"/>
                      <wp:wrapNone/>
                      <wp:docPr id="24" name="文本框 24"/>
                      <wp:cNvGraphicFramePr/>
                      <a:graphic xmlns:a="http://schemas.openxmlformats.org/drawingml/2006/main">
                        <a:graphicData uri="http://schemas.microsoft.com/office/word/2010/wordprocessingShape">
                          <wps:wsp>
                            <wps:cNvSpPr txBox="1"/>
                            <wps:spPr>
                              <a:xfrm>
                                <a:off x="0" y="0"/>
                                <a:ext cx="723900" cy="358140"/>
                              </a:xfrm>
                              <a:prstGeom prst="rect">
                                <a:avLst/>
                              </a:prstGeom>
                              <a:noFill/>
                              <a:ln w="6350">
                                <a:noFill/>
                              </a:ln>
                            </wps:spPr>
                            <wps:txbx>
                              <w:txbxContent>
                                <w:p>
                                  <w:pPr>
                                    <w:rPr>
                                      <w:b/>
                                      <w:color w:val="FFFF00"/>
                                    </w:rPr>
                                  </w:pPr>
                                  <w:r>
                                    <w:rPr>
                                      <w:rFonts w:hint="eastAsia"/>
                                      <w:b/>
                                      <w:color w:val="FFFF00"/>
                                    </w:rPr>
                                    <w:t>1191m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8pt;margin-top:231pt;height:28.2pt;width:57pt;z-index:251672576;mso-width-relative:page;mso-height-relative:page;" filled="f" stroked="f" coordsize="21600,21600" o:gfxdata="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HmH6zcAAAACwEAAA8AAAAAAAAAAQAgAAAAIgAA&#10;AGRycy9kb3ducmV2LnhtbFBLAQIUABQAAAAIAIdO4kAPLLtSPQIAAGcEAAAOAAAAAAAAAAEAIAAA&#10;ACsBAABkcnMvZTJvRG9jLnhtbFBLBQYAAAAABgAGAFkBAADaBQAAAAA=&#10;">
                      <v:fill on="f" focussize="0,0"/>
                      <v:stroke on="f" weight="0.5pt"/>
                      <v:imagedata o:title=""/>
                      <o:lock v:ext="edit" aspectratio="f"/>
                      <v:textbox>
                        <w:txbxContent>
                          <w:p>
                            <w:pPr>
                              <w:rPr>
                                <w:b/>
                                <w:color w:val="FFFF00"/>
                              </w:rPr>
                            </w:pPr>
                            <w:r>
                              <w:rPr>
                                <w:rFonts w:hint="eastAsia"/>
                                <w:b/>
                                <w:color w:val="FFFF00"/>
                              </w:rPr>
                              <w:t>1191m</w:t>
                            </w:r>
                          </w:p>
                        </w:txbxContent>
                      </v:textbox>
                    </v:shape>
                  </w:pict>
                </mc:Fallback>
              </mc:AlternateContent>
            </w:r>
            <w:r>
              <w:rPr>
                <w:rFonts w:hint="eastAsia" w:cs="Times New Roman"/>
                <w:szCs w:val="18"/>
              </w:rPr>
              <mc:AlternateContent>
                <mc:Choice Requires="wps">
                  <w:drawing>
                    <wp:anchor distT="0" distB="0" distL="114300" distR="114300" simplePos="0" relativeHeight="251665408" behindDoc="0" locked="0" layoutInCell="1" allowOverlap="1">
                      <wp:simplePos x="0" y="0"/>
                      <wp:positionH relativeFrom="column">
                        <wp:posOffset>3129280</wp:posOffset>
                      </wp:positionH>
                      <wp:positionV relativeFrom="paragraph">
                        <wp:posOffset>3371215</wp:posOffset>
                      </wp:positionV>
                      <wp:extent cx="909955" cy="283845"/>
                      <wp:effectExtent l="457200" t="0" r="23495" b="516255"/>
                      <wp:wrapNone/>
                      <wp:docPr id="14" name="圆角矩形标注 14"/>
                      <wp:cNvGraphicFramePr/>
                      <a:graphic xmlns:a="http://schemas.openxmlformats.org/drawingml/2006/main">
                        <a:graphicData uri="http://schemas.microsoft.com/office/word/2010/wordprocessingShape">
                          <wps:wsp>
                            <wps:cNvSpPr/>
                            <wps:spPr>
                              <a:xfrm>
                                <a:off x="0" y="0"/>
                                <a:ext cx="909955" cy="283845"/>
                              </a:xfrm>
                              <a:prstGeom prst="wedgeRoundRectCallout">
                                <a:avLst>
                                  <a:gd name="adj1" fmla="val -96302"/>
                                  <a:gd name="adj2" fmla="val 210170"/>
                                  <a:gd name="adj3" fmla="val 1666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rPr>
                                      <w:b/>
                                    </w:rPr>
                                  </w:pPr>
                                  <w:r>
                                    <w:rPr>
                                      <w:rFonts w:hint="eastAsia"/>
                                      <w:b/>
                                    </w:rPr>
                                    <w:t>本项目</w:t>
                                  </w:r>
                                  <w:r>
                                    <w:rPr>
                                      <w:b/>
                                    </w:rPr>
                                    <w:t>厂界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6.4pt;margin-top:265.45pt;height:22.35pt;width:71.65pt;z-index:251665408;v-text-anchor:middle;mso-width-relative:page;mso-height-relative:page;" fillcolor="#FF0000" filled="t" stroked="t" coordsize="21600,21600" o:gfxdata="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FbSsP1gAAAAsBAAAP&#10;AAAAAAAAAAEAIAAAACIAAABkcnMvZG93bnJldi54bWxQSwECFAAUAAAACACHTuJAJKe/h8UCAACU&#10;BQAADgAAAAAAAAABACAAAAAlAQAAZHJzL2Uyb0RvYy54bWxQSwUGAAAAAAYABgBZAQAAXAYAAAAA&#10;" adj="-10001,56197,14400">
                      <v:fill on="t" focussize="0,0"/>
                      <v:stroke weight="1pt" color="#FF0000 [3204]" miterlimit="8" joinstyle="miter"/>
                      <v:imagedata o:title=""/>
                      <o:lock v:ext="edit" aspectratio="f"/>
                      <v:textbox>
                        <w:txbxContent>
                          <w:p>
                            <w:pPr>
                              <w:snapToGrid w:val="0"/>
                              <w:rPr>
                                <w:b/>
                              </w:rPr>
                            </w:pPr>
                            <w:r>
                              <w:rPr>
                                <w:rFonts w:hint="eastAsia"/>
                                <w:b/>
                              </w:rPr>
                              <w:t>本项目</w:t>
                            </w:r>
                            <w:r>
                              <w:rPr>
                                <w:b/>
                              </w:rPr>
                              <w:t>厂界</w:t>
                            </w:r>
                          </w:p>
                        </w:txbxContent>
                      </v:textbox>
                    </v:shape>
                  </w:pict>
                </mc:Fallback>
              </mc:AlternateContent>
            </w:r>
            <w:r>
              <w:rPr>
                <w:rFonts w:hint="eastAsia" w:cs="Times New Roman"/>
                <w:szCs w:val="18"/>
              </w:rPr>
              <mc:AlternateContent>
                <mc:Choice Requires="wps">
                  <w:drawing>
                    <wp:anchor distT="0" distB="0" distL="114300" distR="114300" simplePos="0" relativeHeight="251664384" behindDoc="0" locked="0" layoutInCell="1" allowOverlap="1">
                      <wp:simplePos x="0" y="0"/>
                      <wp:positionH relativeFrom="column">
                        <wp:posOffset>4620260</wp:posOffset>
                      </wp:positionH>
                      <wp:positionV relativeFrom="paragraph">
                        <wp:posOffset>12700</wp:posOffset>
                      </wp:positionV>
                      <wp:extent cx="544195" cy="596900"/>
                      <wp:effectExtent l="0" t="0" r="27305" b="12700"/>
                      <wp:wrapNone/>
                      <wp:docPr id="12" name="文本框 12"/>
                      <wp:cNvGraphicFramePr/>
                      <a:graphic xmlns:a="http://schemas.openxmlformats.org/drawingml/2006/main">
                        <a:graphicData uri="http://schemas.microsoft.com/office/word/2010/wordprocessingShape">
                          <wps:wsp>
                            <wps:cNvSpPr txBox="1"/>
                            <wps:spPr>
                              <a:xfrm>
                                <a:off x="0" y="0"/>
                                <a:ext cx="544195" cy="596900"/>
                              </a:xfrm>
                              <a:prstGeom prst="rect">
                                <a:avLst/>
                              </a:prstGeom>
                              <a:solidFill>
                                <a:schemeClr val="lt1"/>
                              </a:solidFill>
                              <a:ln w="6350">
                                <a:solidFill>
                                  <a:prstClr val="black"/>
                                </a:solidFill>
                              </a:ln>
                            </wps:spPr>
                            <wps:txbx>
                              <w:txbxContent>
                                <w:p>
                                  <w:r>
                                    <w:drawing>
                                      <wp:inline distT="0" distB="0" distL="0" distR="0">
                                        <wp:extent cx="372110" cy="514985"/>
                                        <wp:effectExtent l="0" t="0" r="8890" b="0"/>
                                        <wp:docPr id="1147057006" name="图片 114705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57006" name="图片 114705700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72110" cy="514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8pt;margin-top:1pt;height:47pt;width:42.85pt;z-index:251664384;mso-width-relative:page;mso-height-relative:page;" fillcolor="#FFFFFF [3201]" filled="t" stroked="t" coordsize="21600,21600" o:gfxdata="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NQUde1QAA&#10;AAgBAAAPAAAAAAAAAAEAIAAAACIAAABkcnMvZG93bnJldi54bWxQSwECFAAUAAAACACHTuJAEfzJ&#10;mFoCAAC4BAAADgAAAAAAAAABACAAAAAkAQAAZHJzL2Uyb0RvYy54bWxQSwUGAAAAAAYABgBZAQAA&#10;8AUAAAAA&#10;">
                      <v:fill on="t" focussize="0,0"/>
                      <v:stroke weight="0.5pt" color="#000000" joinstyle="round"/>
                      <v:imagedata o:title=""/>
                      <o:lock v:ext="edit" aspectratio="f"/>
                      <v:textbox>
                        <w:txbxContent>
                          <w:p>
                            <w:r>
                              <w:drawing>
                                <wp:inline distT="0" distB="0" distL="0" distR="0">
                                  <wp:extent cx="372110" cy="514985"/>
                                  <wp:effectExtent l="0" t="0" r="8890" b="0"/>
                                  <wp:docPr id="1147057006" name="图片 114705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57006" name="图片 114705700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72110" cy="514985"/>
                                          </a:xfrm>
                                          <a:prstGeom prst="rect">
                                            <a:avLst/>
                                          </a:prstGeom>
                                        </pic:spPr>
                                      </pic:pic>
                                    </a:graphicData>
                                  </a:graphic>
                                </wp:inline>
                              </w:drawing>
                            </w:r>
                          </w:p>
                        </w:txbxContent>
                      </v:textbox>
                    </v:shape>
                  </w:pict>
                </mc:Fallback>
              </mc:AlternateContent>
            </w:r>
            <w:r>
              <w:rPr>
                <w:rFonts w:hint="eastAsia" w:cs="Times New Roman"/>
                <w:b/>
                <w:szCs w:val="18"/>
              </w:rPr>
              <w:drawing>
                <wp:inline distT="0" distB="0" distL="0" distR="0">
                  <wp:extent cx="5149850" cy="472249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72101" cy="4742896"/>
                          </a:xfrm>
                          <a:prstGeom prst="rect">
                            <a:avLst/>
                          </a:prstGeom>
                        </pic:spPr>
                      </pic:pic>
                    </a:graphicData>
                  </a:graphic>
                </wp:inline>
              </w:drawing>
            </w:r>
          </w:p>
          <w:p>
            <w:pPr>
              <w:pStyle w:val="110"/>
              <w:ind w:firstLine="0" w:firstLineChars="0"/>
              <w:jc w:val="center"/>
              <w:rPr>
                <w:rFonts w:cs="Times New Roman"/>
                <w:b/>
                <w:sz w:val="21"/>
                <w:szCs w:val="21"/>
              </w:rPr>
            </w:pPr>
            <w:r>
              <w:rPr>
                <w:rFonts w:hint="eastAsia" w:cs="Times New Roman"/>
                <w:b/>
                <w:szCs w:val="18"/>
              </w:rPr>
              <w:t>图3-</w:t>
            </w:r>
            <w:r>
              <w:rPr>
                <w:rFonts w:cs="Times New Roman"/>
                <w:b/>
                <w:szCs w:val="18"/>
              </w:rPr>
              <w:t xml:space="preserve">1  </w:t>
            </w:r>
            <w:r>
              <w:rPr>
                <w:rFonts w:hint="eastAsia" w:cs="Times New Roman"/>
                <w:b/>
                <w:szCs w:val="18"/>
              </w:rPr>
              <w:t>引用监测点位与本项目位置关系图</w:t>
            </w:r>
          </w:p>
          <w:p>
            <w:pPr>
              <w:spacing w:line="360" w:lineRule="auto"/>
              <w:jc w:val="center"/>
              <w:rPr>
                <w:b/>
                <w:sz w:val="24"/>
              </w:rPr>
            </w:pPr>
            <w:r>
              <w:rPr>
                <w:b/>
                <w:sz w:val="24"/>
              </w:rPr>
              <w:t>表</w:t>
            </w:r>
            <w:r>
              <w:rPr>
                <w:rFonts w:hint="eastAsia"/>
                <w:b/>
                <w:sz w:val="24"/>
              </w:rPr>
              <w:t>3</w:t>
            </w:r>
            <w:r>
              <w:rPr>
                <w:b/>
                <w:sz w:val="24"/>
              </w:rPr>
              <w:t xml:space="preserve">-1  </w:t>
            </w:r>
            <w:r>
              <w:rPr>
                <w:rFonts w:hint="eastAsia"/>
                <w:b/>
                <w:sz w:val="24"/>
              </w:rPr>
              <w:t>引用</w:t>
            </w:r>
            <w:r>
              <w:rPr>
                <w:b/>
                <w:sz w:val="24"/>
              </w:rPr>
              <w:t>TSP、NOx监测点位基本信息</w:t>
            </w:r>
          </w:p>
          <w:tbl>
            <w:tblPr>
              <w:tblStyle w:val="32"/>
              <w:tblW w:w="495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584"/>
              <w:gridCol w:w="1426"/>
              <w:gridCol w:w="1368"/>
              <w:gridCol w:w="717"/>
              <w:gridCol w:w="1398"/>
              <w:gridCol w:w="783"/>
              <w:gridCol w:w="7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jc w:val="center"/>
              </w:trPr>
              <w:tc>
                <w:tcPr>
                  <w:tcW w:w="984" w:type="pct"/>
                  <w:vMerge w:val="restart"/>
                  <w:tcBorders>
                    <w:tl2br w:val="nil"/>
                    <w:tr2bl w:val="nil"/>
                  </w:tcBorders>
                  <w:vAlign w:val="center"/>
                </w:tcPr>
                <w:p>
                  <w:pPr>
                    <w:adjustRightInd w:val="0"/>
                    <w:jc w:val="center"/>
                    <w:rPr>
                      <w:b/>
                      <w:szCs w:val="21"/>
                    </w:rPr>
                  </w:pPr>
                  <w:r>
                    <w:rPr>
                      <w:b/>
                      <w:szCs w:val="21"/>
                    </w:rPr>
                    <w:t>监测点名称</w:t>
                  </w:r>
                </w:p>
              </w:tc>
              <w:tc>
                <w:tcPr>
                  <w:tcW w:w="1734" w:type="pct"/>
                  <w:gridSpan w:val="2"/>
                  <w:tcBorders>
                    <w:tl2br w:val="nil"/>
                    <w:tr2bl w:val="nil"/>
                  </w:tcBorders>
                  <w:vAlign w:val="center"/>
                </w:tcPr>
                <w:p>
                  <w:pPr>
                    <w:adjustRightInd w:val="0"/>
                    <w:jc w:val="center"/>
                    <w:rPr>
                      <w:b/>
                      <w:szCs w:val="21"/>
                    </w:rPr>
                  </w:pPr>
                  <w:r>
                    <w:rPr>
                      <w:b/>
                      <w:szCs w:val="21"/>
                    </w:rPr>
                    <w:t>监测点位坐标</w:t>
                  </w:r>
                </w:p>
              </w:tc>
              <w:tc>
                <w:tcPr>
                  <w:tcW w:w="445" w:type="pct"/>
                  <w:vMerge w:val="restart"/>
                  <w:tcBorders>
                    <w:tl2br w:val="nil"/>
                    <w:tr2bl w:val="nil"/>
                  </w:tcBorders>
                  <w:vAlign w:val="center"/>
                </w:tcPr>
                <w:p>
                  <w:pPr>
                    <w:adjustRightInd w:val="0"/>
                    <w:jc w:val="center"/>
                    <w:rPr>
                      <w:b/>
                      <w:szCs w:val="21"/>
                    </w:rPr>
                  </w:pPr>
                  <w:r>
                    <w:rPr>
                      <w:b/>
                      <w:szCs w:val="21"/>
                    </w:rPr>
                    <w:t>监测因子</w:t>
                  </w:r>
                </w:p>
              </w:tc>
              <w:tc>
                <w:tcPr>
                  <w:tcW w:w="868" w:type="pct"/>
                  <w:vMerge w:val="restart"/>
                  <w:tcBorders>
                    <w:tl2br w:val="nil"/>
                    <w:tr2bl w:val="nil"/>
                  </w:tcBorders>
                  <w:vAlign w:val="center"/>
                </w:tcPr>
                <w:p>
                  <w:pPr>
                    <w:adjustRightInd w:val="0"/>
                    <w:jc w:val="center"/>
                    <w:rPr>
                      <w:b/>
                      <w:szCs w:val="21"/>
                    </w:rPr>
                  </w:pPr>
                  <w:r>
                    <w:rPr>
                      <w:b/>
                      <w:szCs w:val="21"/>
                    </w:rPr>
                    <w:t>监测时段</w:t>
                  </w:r>
                </w:p>
              </w:tc>
              <w:tc>
                <w:tcPr>
                  <w:tcW w:w="486" w:type="pct"/>
                  <w:vMerge w:val="restart"/>
                  <w:tcBorders>
                    <w:tl2br w:val="nil"/>
                    <w:tr2bl w:val="nil"/>
                  </w:tcBorders>
                  <w:vAlign w:val="center"/>
                </w:tcPr>
                <w:p>
                  <w:pPr>
                    <w:adjustRightInd w:val="0"/>
                    <w:jc w:val="center"/>
                    <w:rPr>
                      <w:b/>
                      <w:szCs w:val="21"/>
                    </w:rPr>
                  </w:pPr>
                  <w:r>
                    <w:rPr>
                      <w:b/>
                      <w:szCs w:val="21"/>
                    </w:rPr>
                    <w:t>相对厂址方位</w:t>
                  </w:r>
                </w:p>
              </w:tc>
              <w:tc>
                <w:tcPr>
                  <w:tcW w:w="483" w:type="pct"/>
                  <w:vMerge w:val="restart"/>
                  <w:tcBorders>
                    <w:tl2br w:val="nil"/>
                    <w:tr2bl w:val="nil"/>
                  </w:tcBorders>
                  <w:vAlign w:val="center"/>
                </w:tcPr>
                <w:p>
                  <w:pPr>
                    <w:adjustRightInd w:val="0"/>
                    <w:jc w:val="center"/>
                    <w:rPr>
                      <w:b/>
                      <w:szCs w:val="21"/>
                    </w:rPr>
                  </w:pPr>
                  <w:r>
                    <w:rPr>
                      <w:b/>
                      <w:szCs w:val="21"/>
                    </w:rPr>
                    <w:t>相对厂界距离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jc w:val="center"/>
              </w:trPr>
              <w:tc>
                <w:tcPr>
                  <w:tcW w:w="984" w:type="pct"/>
                  <w:vMerge w:val="continue"/>
                  <w:tcBorders>
                    <w:tl2br w:val="nil"/>
                    <w:tr2bl w:val="nil"/>
                  </w:tcBorders>
                  <w:shd w:val="clear" w:color="auto" w:fill="auto"/>
                  <w:vAlign w:val="center"/>
                </w:tcPr>
                <w:p>
                  <w:pPr>
                    <w:adjustRightInd w:val="0"/>
                    <w:jc w:val="center"/>
                    <w:rPr>
                      <w:b/>
                      <w:szCs w:val="21"/>
                    </w:rPr>
                  </w:pPr>
                </w:p>
              </w:tc>
              <w:tc>
                <w:tcPr>
                  <w:tcW w:w="885" w:type="pct"/>
                  <w:tcBorders>
                    <w:tl2br w:val="nil"/>
                    <w:tr2bl w:val="nil"/>
                  </w:tcBorders>
                  <w:shd w:val="clear" w:color="auto" w:fill="auto"/>
                  <w:vAlign w:val="center"/>
                </w:tcPr>
                <w:p>
                  <w:pPr>
                    <w:adjustRightInd w:val="0"/>
                    <w:jc w:val="center"/>
                    <w:rPr>
                      <w:b/>
                      <w:szCs w:val="21"/>
                    </w:rPr>
                  </w:pPr>
                  <w:r>
                    <w:rPr>
                      <w:b/>
                      <w:szCs w:val="21"/>
                    </w:rPr>
                    <w:t>E</w:t>
                  </w:r>
                </w:p>
              </w:tc>
              <w:tc>
                <w:tcPr>
                  <w:tcW w:w="848" w:type="pct"/>
                  <w:tcBorders>
                    <w:tl2br w:val="nil"/>
                    <w:tr2bl w:val="nil"/>
                  </w:tcBorders>
                  <w:shd w:val="clear" w:color="auto" w:fill="auto"/>
                  <w:vAlign w:val="center"/>
                </w:tcPr>
                <w:p>
                  <w:pPr>
                    <w:adjustRightInd w:val="0"/>
                    <w:jc w:val="center"/>
                    <w:rPr>
                      <w:b/>
                      <w:szCs w:val="21"/>
                    </w:rPr>
                  </w:pPr>
                  <w:r>
                    <w:rPr>
                      <w:b/>
                      <w:szCs w:val="21"/>
                    </w:rPr>
                    <w:t>N</w:t>
                  </w:r>
                </w:p>
              </w:tc>
              <w:tc>
                <w:tcPr>
                  <w:tcW w:w="445" w:type="pct"/>
                  <w:vMerge w:val="continue"/>
                  <w:tcBorders>
                    <w:tl2br w:val="nil"/>
                    <w:tr2bl w:val="nil"/>
                  </w:tcBorders>
                  <w:shd w:val="clear" w:color="auto" w:fill="auto"/>
                  <w:vAlign w:val="center"/>
                </w:tcPr>
                <w:p>
                  <w:pPr>
                    <w:adjustRightInd w:val="0"/>
                    <w:jc w:val="center"/>
                    <w:rPr>
                      <w:b/>
                      <w:szCs w:val="21"/>
                    </w:rPr>
                  </w:pPr>
                </w:p>
              </w:tc>
              <w:tc>
                <w:tcPr>
                  <w:tcW w:w="868" w:type="pct"/>
                  <w:vMerge w:val="continue"/>
                  <w:tcBorders>
                    <w:tl2br w:val="nil"/>
                    <w:tr2bl w:val="nil"/>
                  </w:tcBorders>
                  <w:shd w:val="clear" w:color="auto" w:fill="auto"/>
                  <w:vAlign w:val="center"/>
                </w:tcPr>
                <w:p>
                  <w:pPr>
                    <w:adjustRightInd w:val="0"/>
                    <w:jc w:val="center"/>
                    <w:rPr>
                      <w:b/>
                      <w:szCs w:val="21"/>
                    </w:rPr>
                  </w:pPr>
                </w:p>
              </w:tc>
              <w:tc>
                <w:tcPr>
                  <w:tcW w:w="486" w:type="pct"/>
                  <w:vMerge w:val="continue"/>
                  <w:tcBorders>
                    <w:tl2br w:val="nil"/>
                    <w:tr2bl w:val="nil"/>
                  </w:tcBorders>
                  <w:shd w:val="clear" w:color="000000" w:fill="FFFFFF"/>
                  <w:vAlign w:val="center"/>
                </w:tcPr>
                <w:p>
                  <w:pPr>
                    <w:adjustRightInd w:val="0"/>
                    <w:jc w:val="center"/>
                    <w:rPr>
                      <w:b/>
                      <w:szCs w:val="21"/>
                    </w:rPr>
                  </w:pPr>
                </w:p>
              </w:tc>
              <w:tc>
                <w:tcPr>
                  <w:tcW w:w="483" w:type="pct"/>
                  <w:vMerge w:val="continue"/>
                  <w:tcBorders>
                    <w:tl2br w:val="nil"/>
                    <w:tr2bl w:val="nil"/>
                  </w:tcBorders>
                  <w:vAlign w:val="center"/>
                </w:tcPr>
                <w:p>
                  <w:pPr>
                    <w:adjustRightInd w:val="0"/>
                    <w:jc w:val="center"/>
                    <w:rPr>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jc w:val="center"/>
              </w:trPr>
              <w:tc>
                <w:tcPr>
                  <w:tcW w:w="984" w:type="pct"/>
                  <w:tcBorders>
                    <w:tl2br w:val="nil"/>
                    <w:tr2bl w:val="nil"/>
                  </w:tcBorders>
                  <w:vAlign w:val="center"/>
                </w:tcPr>
                <w:p>
                  <w:pPr>
                    <w:adjustRightInd w:val="0"/>
                    <w:jc w:val="center"/>
                    <w:rPr>
                      <w:szCs w:val="21"/>
                    </w:rPr>
                  </w:pPr>
                  <w:r>
                    <w:rPr>
                      <w:rFonts w:hint="eastAsia"/>
                      <w:kern w:val="0"/>
                      <w:lang w:val="zh-CN"/>
                    </w:rPr>
                    <w:t>云南塑发科技有限公司新建改性塑料生产建设项目项目区</w:t>
                  </w:r>
                  <w:r>
                    <w:rPr>
                      <w:bCs/>
                      <w:szCs w:val="21"/>
                    </w:rPr>
                    <w:t>（1</w:t>
                  </w:r>
                  <w:r>
                    <w:rPr>
                      <w:rFonts w:hint="eastAsia"/>
                      <w:bCs/>
                      <w:szCs w:val="21"/>
                    </w:rPr>
                    <w:t>#</w:t>
                  </w:r>
                  <w:r>
                    <w:rPr>
                      <w:bCs/>
                      <w:szCs w:val="21"/>
                    </w:rPr>
                    <w:t>）</w:t>
                  </w:r>
                </w:p>
              </w:tc>
              <w:tc>
                <w:tcPr>
                  <w:tcW w:w="885" w:type="pct"/>
                  <w:tcBorders>
                    <w:tl2br w:val="nil"/>
                    <w:tr2bl w:val="nil"/>
                  </w:tcBorders>
                  <w:vAlign w:val="center"/>
                </w:tcPr>
                <w:p>
                  <w:pPr>
                    <w:adjustRightInd w:val="0"/>
                    <w:jc w:val="center"/>
                    <w:rPr>
                      <w:szCs w:val="21"/>
                    </w:rPr>
                  </w:pPr>
                  <w:r>
                    <w:t>103.15184712</w:t>
                  </w:r>
                </w:p>
              </w:tc>
              <w:tc>
                <w:tcPr>
                  <w:tcW w:w="848" w:type="pct"/>
                  <w:tcBorders>
                    <w:tl2br w:val="nil"/>
                    <w:tr2bl w:val="nil"/>
                  </w:tcBorders>
                  <w:vAlign w:val="center"/>
                </w:tcPr>
                <w:p>
                  <w:pPr>
                    <w:adjustRightInd w:val="0"/>
                    <w:jc w:val="center"/>
                    <w:rPr>
                      <w:szCs w:val="21"/>
                    </w:rPr>
                  </w:pPr>
                  <w:r>
                    <w:t>25.47646201</w:t>
                  </w:r>
                </w:p>
              </w:tc>
              <w:tc>
                <w:tcPr>
                  <w:tcW w:w="445" w:type="pct"/>
                  <w:vMerge w:val="restart"/>
                  <w:tcBorders>
                    <w:tl2br w:val="nil"/>
                    <w:tr2bl w:val="nil"/>
                  </w:tcBorders>
                  <w:vAlign w:val="center"/>
                </w:tcPr>
                <w:p>
                  <w:pPr>
                    <w:adjustRightInd w:val="0"/>
                    <w:jc w:val="center"/>
                    <w:rPr>
                      <w:szCs w:val="21"/>
                    </w:rPr>
                  </w:pPr>
                  <w:r>
                    <w:rPr>
                      <w:szCs w:val="21"/>
                    </w:rPr>
                    <w:t>TSP</w:t>
                  </w:r>
                </w:p>
              </w:tc>
              <w:tc>
                <w:tcPr>
                  <w:tcW w:w="868" w:type="pct"/>
                  <w:vMerge w:val="restart"/>
                  <w:tcBorders>
                    <w:tl2br w:val="nil"/>
                    <w:tr2bl w:val="nil"/>
                  </w:tcBorders>
                  <w:vAlign w:val="center"/>
                </w:tcPr>
                <w:p>
                  <w:pPr>
                    <w:adjustRightInd w:val="0"/>
                    <w:jc w:val="center"/>
                    <w:rPr>
                      <w:szCs w:val="21"/>
                    </w:rPr>
                  </w:pPr>
                  <w:r>
                    <w:rPr>
                      <w:szCs w:val="21"/>
                    </w:rPr>
                    <w:t>2022.8.17</w:t>
                  </w:r>
                  <w:r>
                    <w:rPr>
                      <w:rFonts w:hint="eastAsia"/>
                      <w:szCs w:val="21"/>
                    </w:rPr>
                    <w:t>~</w:t>
                  </w:r>
                  <w:r>
                    <w:rPr>
                      <w:szCs w:val="21"/>
                    </w:rPr>
                    <w:t>8.23</w:t>
                  </w:r>
                </w:p>
              </w:tc>
              <w:tc>
                <w:tcPr>
                  <w:tcW w:w="486" w:type="pct"/>
                  <w:tcBorders>
                    <w:tl2br w:val="nil"/>
                    <w:tr2bl w:val="nil"/>
                  </w:tcBorders>
                  <w:vAlign w:val="center"/>
                </w:tcPr>
                <w:p>
                  <w:pPr>
                    <w:adjustRightInd w:val="0"/>
                    <w:jc w:val="center"/>
                    <w:rPr>
                      <w:szCs w:val="21"/>
                    </w:rPr>
                  </w:pPr>
                  <w:r>
                    <w:rPr>
                      <w:rFonts w:hint="eastAsia"/>
                      <w:szCs w:val="21"/>
                    </w:rPr>
                    <w:t>西北侧</w:t>
                  </w:r>
                </w:p>
              </w:tc>
              <w:tc>
                <w:tcPr>
                  <w:tcW w:w="483" w:type="pct"/>
                  <w:tcBorders>
                    <w:tl2br w:val="nil"/>
                    <w:tr2bl w:val="nil"/>
                  </w:tcBorders>
                  <w:vAlign w:val="center"/>
                </w:tcPr>
                <w:p>
                  <w:pPr>
                    <w:adjustRightInd w:val="0"/>
                    <w:jc w:val="center"/>
                    <w:rPr>
                      <w:szCs w:val="21"/>
                    </w:rPr>
                  </w:pPr>
                  <w:r>
                    <w:rPr>
                      <w:szCs w:val="21"/>
                    </w:rPr>
                    <w:t>1260m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jc w:val="center"/>
              </w:trPr>
              <w:tc>
                <w:tcPr>
                  <w:tcW w:w="984" w:type="pct"/>
                  <w:tcBorders>
                    <w:tl2br w:val="nil"/>
                    <w:tr2bl w:val="nil"/>
                  </w:tcBorders>
                  <w:vAlign w:val="center"/>
                </w:tcPr>
                <w:p>
                  <w:pPr>
                    <w:adjustRightInd w:val="0"/>
                    <w:jc w:val="center"/>
                    <w:rPr>
                      <w:szCs w:val="21"/>
                    </w:rPr>
                  </w:pPr>
                  <w:r>
                    <w:rPr>
                      <w:rFonts w:hint="eastAsia"/>
                      <w:bCs/>
                      <w:szCs w:val="21"/>
                    </w:rPr>
                    <w:t>清水沟村</w:t>
                  </w:r>
                  <w:r>
                    <w:rPr>
                      <w:bCs/>
                      <w:szCs w:val="21"/>
                    </w:rPr>
                    <w:t>（</w:t>
                  </w:r>
                  <w:r>
                    <w:rPr>
                      <w:rFonts w:hint="eastAsia"/>
                      <w:bCs/>
                      <w:szCs w:val="21"/>
                    </w:rPr>
                    <w:t>2#</w:t>
                  </w:r>
                  <w:r>
                    <w:rPr>
                      <w:bCs/>
                      <w:szCs w:val="21"/>
                    </w:rPr>
                    <w:t>）</w:t>
                  </w:r>
                </w:p>
              </w:tc>
              <w:tc>
                <w:tcPr>
                  <w:tcW w:w="885" w:type="pct"/>
                  <w:tcBorders>
                    <w:tl2br w:val="nil"/>
                    <w:tr2bl w:val="nil"/>
                  </w:tcBorders>
                  <w:vAlign w:val="center"/>
                </w:tcPr>
                <w:p>
                  <w:pPr>
                    <w:adjustRightInd w:val="0"/>
                    <w:jc w:val="center"/>
                    <w:rPr>
                      <w:szCs w:val="21"/>
                    </w:rPr>
                  </w:pPr>
                  <w:r>
                    <w:t>103.15553784</w:t>
                  </w:r>
                </w:p>
              </w:tc>
              <w:tc>
                <w:tcPr>
                  <w:tcW w:w="848" w:type="pct"/>
                  <w:tcBorders>
                    <w:tl2br w:val="nil"/>
                    <w:tr2bl w:val="nil"/>
                  </w:tcBorders>
                  <w:vAlign w:val="center"/>
                </w:tcPr>
                <w:p>
                  <w:pPr>
                    <w:adjustRightInd w:val="0"/>
                    <w:jc w:val="center"/>
                    <w:rPr>
                      <w:szCs w:val="21"/>
                    </w:rPr>
                  </w:pPr>
                  <w:r>
                    <w:t>25.48401653</w:t>
                  </w:r>
                </w:p>
              </w:tc>
              <w:tc>
                <w:tcPr>
                  <w:tcW w:w="445" w:type="pct"/>
                  <w:vMerge w:val="continue"/>
                  <w:tcBorders>
                    <w:tl2br w:val="nil"/>
                    <w:tr2bl w:val="nil"/>
                  </w:tcBorders>
                  <w:vAlign w:val="center"/>
                </w:tcPr>
                <w:p>
                  <w:pPr>
                    <w:adjustRightInd w:val="0"/>
                    <w:jc w:val="center"/>
                    <w:rPr>
                      <w:szCs w:val="21"/>
                    </w:rPr>
                  </w:pPr>
                </w:p>
              </w:tc>
              <w:tc>
                <w:tcPr>
                  <w:tcW w:w="868" w:type="pct"/>
                  <w:vMerge w:val="continue"/>
                  <w:tcBorders>
                    <w:tl2br w:val="nil"/>
                    <w:tr2bl w:val="nil"/>
                  </w:tcBorders>
                  <w:vAlign w:val="center"/>
                </w:tcPr>
                <w:p>
                  <w:pPr>
                    <w:adjustRightInd w:val="0"/>
                    <w:jc w:val="center"/>
                    <w:rPr>
                      <w:szCs w:val="21"/>
                    </w:rPr>
                  </w:pPr>
                </w:p>
              </w:tc>
              <w:tc>
                <w:tcPr>
                  <w:tcW w:w="486" w:type="pct"/>
                  <w:tcBorders>
                    <w:tl2br w:val="nil"/>
                    <w:tr2bl w:val="nil"/>
                  </w:tcBorders>
                  <w:vAlign w:val="center"/>
                </w:tcPr>
                <w:p>
                  <w:pPr>
                    <w:adjustRightInd w:val="0"/>
                    <w:jc w:val="center"/>
                    <w:rPr>
                      <w:szCs w:val="21"/>
                    </w:rPr>
                  </w:pPr>
                  <w:r>
                    <w:rPr>
                      <w:rFonts w:hint="eastAsia"/>
                      <w:szCs w:val="21"/>
                    </w:rPr>
                    <w:t>北侧</w:t>
                  </w:r>
                </w:p>
              </w:tc>
              <w:tc>
                <w:tcPr>
                  <w:tcW w:w="483" w:type="pct"/>
                  <w:tcBorders>
                    <w:tl2br w:val="nil"/>
                    <w:tr2bl w:val="nil"/>
                  </w:tcBorders>
                  <w:vAlign w:val="center"/>
                </w:tcPr>
                <w:p>
                  <w:pPr>
                    <w:adjustRightInd w:val="0"/>
                    <w:jc w:val="center"/>
                    <w:rPr>
                      <w:szCs w:val="21"/>
                    </w:rPr>
                  </w:pPr>
                  <w:r>
                    <w:rPr>
                      <w:szCs w:val="21"/>
                    </w:rPr>
                    <w:t>2045m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jc w:val="center"/>
              </w:trPr>
              <w:tc>
                <w:tcPr>
                  <w:tcW w:w="984" w:type="pct"/>
                  <w:tcBorders>
                    <w:tl2br w:val="nil"/>
                    <w:tr2bl w:val="nil"/>
                  </w:tcBorders>
                  <w:vAlign w:val="center"/>
                </w:tcPr>
                <w:p>
                  <w:pPr>
                    <w:adjustRightInd w:val="0"/>
                    <w:jc w:val="center"/>
                    <w:rPr>
                      <w:bCs/>
                      <w:szCs w:val="21"/>
                    </w:rPr>
                  </w:pPr>
                  <w:r>
                    <w:rPr>
                      <w:rFonts w:hint="eastAsia"/>
                      <w:bCs/>
                      <w:szCs w:val="21"/>
                    </w:rPr>
                    <w:t>寻甸恒浩金属结构有限公司年产1500吨金属制品项目厂界上风向1#</w:t>
                  </w:r>
                </w:p>
              </w:tc>
              <w:tc>
                <w:tcPr>
                  <w:tcW w:w="885" w:type="pct"/>
                  <w:tcBorders>
                    <w:tl2br w:val="nil"/>
                    <w:tr2bl w:val="nil"/>
                  </w:tcBorders>
                  <w:vAlign w:val="center"/>
                </w:tcPr>
                <w:p>
                  <w:pPr>
                    <w:adjustRightInd w:val="0"/>
                    <w:jc w:val="center"/>
                  </w:pPr>
                  <w:r>
                    <w:t>103.15104246</w:t>
                  </w:r>
                </w:p>
              </w:tc>
              <w:tc>
                <w:tcPr>
                  <w:tcW w:w="848" w:type="pct"/>
                  <w:tcBorders>
                    <w:tl2br w:val="nil"/>
                    <w:tr2bl w:val="nil"/>
                  </w:tcBorders>
                  <w:vAlign w:val="center"/>
                </w:tcPr>
                <w:p>
                  <w:pPr>
                    <w:adjustRightInd w:val="0"/>
                    <w:jc w:val="center"/>
                  </w:pPr>
                  <w:r>
                    <w:t>25.47540627</w:t>
                  </w:r>
                </w:p>
              </w:tc>
              <w:tc>
                <w:tcPr>
                  <w:tcW w:w="445" w:type="pct"/>
                  <w:tcBorders>
                    <w:tl2br w:val="nil"/>
                    <w:tr2bl w:val="nil"/>
                  </w:tcBorders>
                  <w:vAlign w:val="center"/>
                </w:tcPr>
                <w:p>
                  <w:pPr>
                    <w:adjustRightInd w:val="0"/>
                    <w:jc w:val="center"/>
                    <w:rPr>
                      <w:szCs w:val="21"/>
                    </w:rPr>
                  </w:pPr>
                  <w:r>
                    <w:rPr>
                      <w:rFonts w:hint="eastAsia"/>
                      <w:szCs w:val="21"/>
                    </w:rPr>
                    <w:t>N</w:t>
                  </w:r>
                  <w:r>
                    <w:rPr>
                      <w:szCs w:val="21"/>
                    </w:rPr>
                    <w:t>O</w:t>
                  </w:r>
                  <w:r>
                    <w:rPr>
                      <w:szCs w:val="21"/>
                      <w:vertAlign w:val="subscript"/>
                    </w:rPr>
                    <w:t>X</w:t>
                  </w:r>
                </w:p>
              </w:tc>
              <w:tc>
                <w:tcPr>
                  <w:tcW w:w="868" w:type="pct"/>
                  <w:tcBorders>
                    <w:tl2br w:val="nil"/>
                    <w:tr2bl w:val="nil"/>
                  </w:tcBorders>
                  <w:vAlign w:val="center"/>
                </w:tcPr>
                <w:p>
                  <w:pPr>
                    <w:adjustRightInd w:val="0"/>
                    <w:jc w:val="center"/>
                    <w:rPr>
                      <w:szCs w:val="21"/>
                    </w:rPr>
                  </w:pPr>
                  <w:r>
                    <w:rPr>
                      <w:szCs w:val="21"/>
                    </w:rPr>
                    <w:t>2022.8.1</w:t>
                  </w:r>
                  <w:r>
                    <w:rPr>
                      <w:rFonts w:hint="eastAsia"/>
                      <w:szCs w:val="21"/>
                    </w:rPr>
                    <w:t>~</w:t>
                  </w:r>
                  <w:r>
                    <w:rPr>
                      <w:szCs w:val="21"/>
                    </w:rPr>
                    <w:t>8.3</w:t>
                  </w:r>
                </w:p>
              </w:tc>
              <w:tc>
                <w:tcPr>
                  <w:tcW w:w="486" w:type="pct"/>
                  <w:tcBorders>
                    <w:tl2br w:val="nil"/>
                    <w:tr2bl w:val="nil"/>
                  </w:tcBorders>
                  <w:vAlign w:val="center"/>
                </w:tcPr>
                <w:p>
                  <w:pPr>
                    <w:adjustRightInd w:val="0"/>
                    <w:jc w:val="center"/>
                    <w:rPr>
                      <w:szCs w:val="21"/>
                    </w:rPr>
                  </w:pPr>
                  <w:r>
                    <w:rPr>
                      <w:rFonts w:hint="eastAsia"/>
                      <w:szCs w:val="21"/>
                    </w:rPr>
                    <w:t>西北侧</w:t>
                  </w:r>
                </w:p>
              </w:tc>
              <w:tc>
                <w:tcPr>
                  <w:tcW w:w="483" w:type="pct"/>
                  <w:tcBorders>
                    <w:tl2br w:val="nil"/>
                    <w:tr2bl w:val="nil"/>
                  </w:tcBorders>
                  <w:vAlign w:val="center"/>
                </w:tcPr>
                <w:p>
                  <w:pPr>
                    <w:adjustRightInd w:val="0"/>
                    <w:jc w:val="center"/>
                    <w:rPr>
                      <w:szCs w:val="21"/>
                    </w:rPr>
                  </w:pPr>
                  <w:r>
                    <w:rPr>
                      <w:rFonts w:hint="eastAsia"/>
                      <w:szCs w:val="21"/>
                    </w:rPr>
                    <w:t>1</w:t>
                  </w:r>
                  <w:r>
                    <w:rPr>
                      <w:szCs w:val="21"/>
                    </w:rPr>
                    <w:t>191m</w:t>
                  </w:r>
                </w:p>
              </w:tc>
            </w:tr>
          </w:tbl>
          <w:p>
            <w:pPr>
              <w:spacing w:before="120" w:beforeLines="50" w:line="360" w:lineRule="auto"/>
              <w:jc w:val="center"/>
              <w:rPr>
                <w:b/>
                <w:sz w:val="24"/>
              </w:rPr>
            </w:pPr>
            <w:r>
              <w:rPr>
                <w:b/>
                <w:sz w:val="24"/>
              </w:rPr>
              <w:t>表</w:t>
            </w:r>
            <w:r>
              <w:rPr>
                <w:rFonts w:hint="eastAsia"/>
                <w:b/>
                <w:sz w:val="24"/>
              </w:rPr>
              <w:t>3</w:t>
            </w:r>
            <w:r>
              <w:rPr>
                <w:b/>
                <w:sz w:val="24"/>
              </w:rPr>
              <w:t xml:space="preserve">-2  </w:t>
            </w:r>
            <w:r>
              <w:rPr>
                <w:rFonts w:hint="eastAsia"/>
                <w:b/>
                <w:sz w:val="24"/>
              </w:rPr>
              <w:t>云南塑发科技有限公司新建改性塑料生产建设项目项目区及清水沟村</w:t>
            </w:r>
            <w:r>
              <w:rPr>
                <w:b/>
                <w:sz w:val="24"/>
              </w:rPr>
              <w:t>TSP</w:t>
            </w:r>
            <w:r>
              <w:rPr>
                <w:rFonts w:hint="eastAsia"/>
                <w:b/>
                <w:sz w:val="24"/>
              </w:rPr>
              <w:t>现状检测</w:t>
            </w:r>
            <w:r>
              <w:rPr>
                <w:b/>
                <w:sz w:val="24"/>
              </w:rPr>
              <w:t>结果</w:t>
            </w:r>
            <w:r>
              <w:rPr>
                <w:rFonts w:hint="eastAsia"/>
                <w:b/>
                <w:sz w:val="24"/>
              </w:rPr>
              <w:t xml:space="preserve"> </w:t>
            </w:r>
            <w:r>
              <w:rPr>
                <w:b/>
                <w:sz w:val="24"/>
              </w:rPr>
              <w:t xml:space="preserve"> 单位：</w:t>
            </w:r>
            <w:r>
              <w:rPr>
                <w:rFonts w:hint="eastAsia"/>
                <w:b/>
                <w:sz w:val="24"/>
              </w:rPr>
              <w:t>u</w:t>
            </w:r>
            <w:r>
              <w:rPr>
                <w:b/>
                <w:sz w:val="24"/>
              </w:rPr>
              <w:t>g/m</w:t>
            </w:r>
            <w:r>
              <w:rPr>
                <w:b/>
                <w:sz w:val="24"/>
                <w:vertAlign w:val="superscript"/>
              </w:rPr>
              <w:t>3</w:t>
            </w:r>
          </w:p>
          <w:tbl>
            <w:tblPr>
              <w:tblStyle w:val="32"/>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57" w:type="dxa"/>
                <w:bottom w:w="0" w:type="dxa"/>
                <w:right w:w="57" w:type="dxa"/>
              </w:tblCellMar>
            </w:tblPr>
            <w:tblGrid>
              <w:gridCol w:w="2121"/>
              <w:gridCol w:w="2713"/>
              <w:gridCol w:w="329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jc w:val="center"/>
              </w:trPr>
              <w:tc>
                <w:tcPr>
                  <w:tcW w:w="1304" w:type="pct"/>
                  <w:tcBorders>
                    <w:tl2br w:val="nil"/>
                    <w:tr2bl w:val="nil"/>
                  </w:tcBorders>
                  <w:vAlign w:val="center"/>
                </w:tcPr>
                <w:p>
                  <w:pPr>
                    <w:adjustRightInd w:val="0"/>
                    <w:jc w:val="center"/>
                    <w:rPr>
                      <w:b/>
                      <w:bCs/>
                      <w:szCs w:val="21"/>
                    </w:rPr>
                  </w:pPr>
                  <w:r>
                    <w:rPr>
                      <w:b/>
                      <w:bCs/>
                      <w:szCs w:val="21"/>
                    </w:rPr>
                    <w:t>检测点位</w:t>
                  </w:r>
                </w:p>
              </w:tc>
              <w:tc>
                <w:tcPr>
                  <w:tcW w:w="1669" w:type="pct"/>
                  <w:tcBorders>
                    <w:tl2br w:val="nil"/>
                    <w:tr2bl w:val="nil"/>
                  </w:tcBorders>
                  <w:vAlign w:val="center"/>
                </w:tcPr>
                <w:p>
                  <w:pPr>
                    <w:adjustRightInd w:val="0"/>
                    <w:jc w:val="center"/>
                    <w:rPr>
                      <w:b/>
                      <w:bCs/>
                      <w:szCs w:val="21"/>
                    </w:rPr>
                  </w:pPr>
                  <w:r>
                    <w:rPr>
                      <w:b/>
                      <w:bCs/>
                      <w:szCs w:val="21"/>
                    </w:rPr>
                    <w:t>采样日期</w:t>
                  </w:r>
                </w:p>
              </w:tc>
              <w:tc>
                <w:tcPr>
                  <w:tcW w:w="2027" w:type="pct"/>
                  <w:tcBorders>
                    <w:tl2br w:val="nil"/>
                    <w:tr2bl w:val="nil"/>
                  </w:tcBorders>
                  <w:vAlign w:val="center"/>
                </w:tcPr>
                <w:p>
                  <w:pPr>
                    <w:adjustRightInd w:val="0"/>
                    <w:jc w:val="center"/>
                    <w:rPr>
                      <w:b/>
                      <w:bCs/>
                      <w:szCs w:val="21"/>
                    </w:rPr>
                  </w:pPr>
                  <w:r>
                    <w:rPr>
                      <w:b/>
                      <w:bCs/>
                      <w:szCs w:val="21"/>
                    </w:rPr>
                    <w:t>TSP</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42" w:hRule="atLeast"/>
                <w:jc w:val="center"/>
              </w:trPr>
              <w:tc>
                <w:tcPr>
                  <w:tcW w:w="1304" w:type="pct"/>
                  <w:vMerge w:val="restart"/>
                  <w:tcBorders>
                    <w:tl2br w:val="nil"/>
                    <w:tr2bl w:val="nil"/>
                  </w:tcBorders>
                  <w:vAlign w:val="center"/>
                </w:tcPr>
                <w:p>
                  <w:pPr>
                    <w:adjustRightInd w:val="0"/>
                    <w:jc w:val="center"/>
                    <w:rPr>
                      <w:szCs w:val="21"/>
                    </w:rPr>
                  </w:pPr>
                  <w:r>
                    <w:rPr>
                      <w:bCs/>
                      <w:szCs w:val="21"/>
                      <w:lang w:val="zh-CN"/>
                    </w:rPr>
                    <w:t>项目</w:t>
                  </w:r>
                  <w:r>
                    <w:rPr>
                      <w:rFonts w:hint="eastAsia"/>
                      <w:bCs/>
                      <w:szCs w:val="21"/>
                      <w:lang w:val="zh-CN"/>
                    </w:rPr>
                    <w:t>区</w:t>
                  </w:r>
                  <w:r>
                    <w:rPr>
                      <w:bCs/>
                      <w:szCs w:val="21"/>
                    </w:rPr>
                    <w:t>内（1</w:t>
                  </w:r>
                  <w:r>
                    <w:rPr>
                      <w:rFonts w:hint="eastAsia"/>
                      <w:bCs/>
                      <w:szCs w:val="21"/>
                    </w:rPr>
                    <w:t>#</w:t>
                  </w:r>
                  <w:r>
                    <w:rPr>
                      <w:bCs/>
                      <w:szCs w:val="21"/>
                    </w:rPr>
                    <w:t>）</w:t>
                  </w: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17</w:t>
                  </w:r>
                </w:p>
              </w:tc>
              <w:tc>
                <w:tcPr>
                  <w:tcW w:w="2027" w:type="pct"/>
                  <w:tcBorders>
                    <w:tl2br w:val="nil"/>
                    <w:tr2bl w:val="nil"/>
                  </w:tcBorders>
                  <w:vAlign w:val="center"/>
                </w:tcPr>
                <w:p>
                  <w:pPr>
                    <w:adjustRightInd w:val="0"/>
                    <w:jc w:val="center"/>
                    <w:rPr>
                      <w:szCs w:val="21"/>
                    </w:rPr>
                  </w:pPr>
                  <w:r>
                    <w:rPr>
                      <w:rFonts w:hint="eastAsia"/>
                      <w:szCs w:val="21"/>
                    </w:rPr>
                    <w:t>1</w:t>
                  </w:r>
                  <w:r>
                    <w:rPr>
                      <w:szCs w:val="21"/>
                    </w:rPr>
                    <w:t>09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75"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18</w:t>
                  </w:r>
                </w:p>
              </w:tc>
              <w:tc>
                <w:tcPr>
                  <w:tcW w:w="2027" w:type="pct"/>
                  <w:tcBorders>
                    <w:tl2br w:val="nil"/>
                    <w:tr2bl w:val="nil"/>
                  </w:tcBorders>
                  <w:vAlign w:val="center"/>
                </w:tcPr>
                <w:p>
                  <w:pPr>
                    <w:adjustRightInd w:val="0"/>
                    <w:jc w:val="center"/>
                    <w:rPr>
                      <w:szCs w:val="21"/>
                    </w:rPr>
                  </w:pPr>
                  <w:r>
                    <w:rPr>
                      <w:rFonts w:hint="eastAsia"/>
                      <w:szCs w:val="21"/>
                    </w:rPr>
                    <w:t>1</w:t>
                  </w:r>
                  <w:r>
                    <w:rPr>
                      <w:szCs w:val="21"/>
                    </w:rPr>
                    <w:t>16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66"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19</w:t>
                  </w:r>
                </w:p>
              </w:tc>
              <w:tc>
                <w:tcPr>
                  <w:tcW w:w="2027" w:type="pct"/>
                  <w:tcBorders>
                    <w:tl2br w:val="nil"/>
                    <w:tr2bl w:val="nil"/>
                  </w:tcBorders>
                  <w:vAlign w:val="center"/>
                </w:tcPr>
                <w:p>
                  <w:pPr>
                    <w:adjustRightInd w:val="0"/>
                    <w:jc w:val="center"/>
                    <w:rPr>
                      <w:szCs w:val="21"/>
                    </w:rPr>
                  </w:pPr>
                  <w:r>
                    <w:rPr>
                      <w:rFonts w:hint="eastAsia"/>
                      <w:szCs w:val="21"/>
                    </w:rPr>
                    <w:t>1</w:t>
                  </w:r>
                  <w:r>
                    <w:rPr>
                      <w:szCs w:val="21"/>
                    </w:rPr>
                    <w:t>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20</w:t>
                  </w:r>
                </w:p>
              </w:tc>
              <w:tc>
                <w:tcPr>
                  <w:tcW w:w="2027" w:type="pct"/>
                  <w:tcBorders>
                    <w:tl2br w:val="nil"/>
                    <w:tr2bl w:val="nil"/>
                  </w:tcBorders>
                  <w:vAlign w:val="center"/>
                </w:tcPr>
                <w:p>
                  <w:pPr>
                    <w:adjustRightInd w:val="0"/>
                    <w:jc w:val="center"/>
                    <w:rPr>
                      <w:szCs w:val="21"/>
                    </w:rPr>
                  </w:pPr>
                  <w:r>
                    <w:rPr>
                      <w:rFonts w:hint="eastAsia"/>
                      <w:szCs w:val="21"/>
                    </w:rPr>
                    <w:t>1</w:t>
                  </w:r>
                  <w:r>
                    <w:rPr>
                      <w:szCs w:val="21"/>
                    </w:rPr>
                    <w:t>04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124"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21</w:t>
                  </w:r>
                </w:p>
              </w:tc>
              <w:tc>
                <w:tcPr>
                  <w:tcW w:w="2027" w:type="pct"/>
                  <w:tcBorders>
                    <w:tl2br w:val="nil"/>
                    <w:tr2bl w:val="nil"/>
                  </w:tcBorders>
                  <w:vAlign w:val="center"/>
                </w:tcPr>
                <w:p>
                  <w:pPr>
                    <w:adjustRightInd w:val="0"/>
                    <w:jc w:val="center"/>
                    <w:rPr>
                      <w:szCs w:val="21"/>
                    </w:rPr>
                  </w:pPr>
                  <w:r>
                    <w:rPr>
                      <w:rFonts w:hint="eastAsia"/>
                      <w:szCs w:val="21"/>
                    </w:rPr>
                    <w:t>1</w:t>
                  </w:r>
                  <w:r>
                    <w:rPr>
                      <w:szCs w:val="21"/>
                    </w:rPr>
                    <w:t>08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63"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22</w:t>
                  </w:r>
                </w:p>
              </w:tc>
              <w:tc>
                <w:tcPr>
                  <w:tcW w:w="2027" w:type="pct"/>
                  <w:tcBorders>
                    <w:tl2br w:val="nil"/>
                    <w:tr2bl w:val="nil"/>
                  </w:tcBorders>
                  <w:vAlign w:val="center"/>
                </w:tcPr>
                <w:p>
                  <w:pPr>
                    <w:adjustRightInd w:val="0"/>
                    <w:jc w:val="center"/>
                    <w:rPr>
                      <w:szCs w:val="21"/>
                    </w:rPr>
                  </w:pPr>
                  <w:r>
                    <w:rPr>
                      <w:rFonts w:hint="eastAsia"/>
                      <w:szCs w:val="21"/>
                    </w:rPr>
                    <w:t>9</w:t>
                  </w:r>
                  <w:r>
                    <w:rPr>
                      <w:szCs w:val="21"/>
                    </w:rPr>
                    <w:t>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23</w:t>
                  </w:r>
                </w:p>
              </w:tc>
              <w:tc>
                <w:tcPr>
                  <w:tcW w:w="2027" w:type="pct"/>
                  <w:tcBorders>
                    <w:tl2br w:val="nil"/>
                    <w:tr2bl w:val="nil"/>
                  </w:tcBorders>
                  <w:vAlign w:val="center"/>
                </w:tcPr>
                <w:p>
                  <w:pPr>
                    <w:adjustRightInd w:val="0"/>
                    <w:jc w:val="center"/>
                    <w:rPr>
                      <w:szCs w:val="21"/>
                    </w:rPr>
                  </w:pPr>
                  <w:r>
                    <w:rPr>
                      <w:rFonts w:hint="eastAsia"/>
                      <w:szCs w:val="21"/>
                    </w:rPr>
                    <w:t>1</w:t>
                  </w:r>
                  <w:r>
                    <w:rPr>
                      <w:szCs w:val="21"/>
                    </w:rPr>
                    <w:t>04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304" w:type="pct"/>
                  <w:vMerge w:val="restart"/>
                  <w:tcBorders>
                    <w:tl2br w:val="nil"/>
                    <w:tr2bl w:val="nil"/>
                  </w:tcBorders>
                  <w:vAlign w:val="center"/>
                </w:tcPr>
                <w:p>
                  <w:pPr>
                    <w:adjustRightInd w:val="0"/>
                    <w:jc w:val="center"/>
                    <w:rPr>
                      <w:szCs w:val="21"/>
                    </w:rPr>
                  </w:pPr>
                  <w:r>
                    <w:rPr>
                      <w:rFonts w:hint="eastAsia"/>
                      <w:szCs w:val="21"/>
                    </w:rPr>
                    <w:t>清水沟村（2#）</w:t>
                  </w: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17</w:t>
                  </w:r>
                </w:p>
              </w:tc>
              <w:tc>
                <w:tcPr>
                  <w:tcW w:w="2027" w:type="pct"/>
                  <w:tcBorders>
                    <w:tl2br w:val="nil"/>
                    <w:tr2bl w:val="nil"/>
                  </w:tcBorders>
                  <w:vAlign w:val="center"/>
                </w:tcPr>
                <w:p>
                  <w:pPr>
                    <w:adjustRightInd w:val="0"/>
                    <w:jc w:val="center"/>
                    <w:rPr>
                      <w:szCs w:val="21"/>
                    </w:rPr>
                  </w:pPr>
                  <w:r>
                    <w:rPr>
                      <w:rFonts w:hint="eastAsia"/>
                      <w:szCs w:val="21"/>
                    </w:rPr>
                    <w:t>1</w:t>
                  </w:r>
                  <w:r>
                    <w:rPr>
                      <w:szCs w:val="21"/>
                    </w:rPr>
                    <w:t>18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18</w:t>
                  </w:r>
                </w:p>
              </w:tc>
              <w:tc>
                <w:tcPr>
                  <w:tcW w:w="2027" w:type="pct"/>
                  <w:tcBorders>
                    <w:tl2br w:val="nil"/>
                    <w:tr2bl w:val="nil"/>
                  </w:tcBorders>
                  <w:vAlign w:val="center"/>
                </w:tcPr>
                <w:p>
                  <w:pPr>
                    <w:adjustRightInd w:val="0"/>
                    <w:jc w:val="center"/>
                    <w:rPr>
                      <w:szCs w:val="21"/>
                    </w:rPr>
                  </w:pPr>
                  <w:r>
                    <w:rPr>
                      <w:rFonts w:hint="eastAsia"/>
                      <w:szCs w:val="21"/>
                    </w:rPr>
                    <w:t>1</w:t>
                  </w:r>
                  <w:r>
                    <w:rPr>
                      <w:szCs w:val="21"/>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19</w:t>
                  </w:r>
                </w:p>
              </w:tc>
              <w:tc>
                <w:tcPr>
                  <w:tcW w:w="2027" w:type="pct"/>
                  <w:tcBorders>
                    <w:tl2br w:val="nil"/>
                    <w:tr2bl w:val="nil"/>
                  </w:tcBorders>
                  <w:vAlign w:val="center"/>
                </w:tcPr>
                <w:p>
                  <w:pPr>
                    <w:adjustRightInd w:val="0"/>
                    <w:jc w:val="center"/>
                    <w:rPr>
                      <w:szCs w:val="21"/>
                    </w:rPr>
                  </w:pPr>
                  <w:r>
                    <w:rPr>
                      <w:rFonts w:hint="eastAsia"/>
                      <w:szCs w:val="21"/>
                    </w:rPr>
                    <w:t>1</w:t>
                  </w:r>
                  <w:r>
                    <w:rPr>
                      <w:szCs w:val="21"/>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20</w:t>
                  </w:r>
                </w:p>
              </w:tc>
              <w:tc>
                <w:tcPr>
                  <w:tcW w:w="2027" w:type="pct"/>
                  <w:tcBorders>
                    <w:tl2br w:val="nil"/>
                    <w:tr2bl w:val="nil"/>
                  </w:tcBorders>
                  <w:vAlign w:val="center"/>
                </w:tcPr>
                <w:p>
                  <w:pPr>
                    <w:adjustRightInd w:val="0"/>
                    <w:jc w:val="center"/>
                    <w:rPr>
                      <w:szCs w:val="21"/>
                    </w:rPr>
                  </w:pPr>
                  <w:r>
                    <w:rPr>
                      <w:rFonts w:hint="eastAsia"/>
                      <w:szCs w:val="21"/>
                    </w:rPr>
                    <w:t>1</w:t>
                  </w:r>
                  <w:r>
                    <w:rPr>
                      <w:szCs w:val="21"/>
                    </w:rPr>
                    <w:t>16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21</w:t>
                  </w:r>
                </w:p>
              </w:tc>
              <w:tc>
                <w:tcPr>
                  <w:tcW w:w="2027" w:type="pct"/>
                  <w:tcBorders>
                    <w:tl2br w:val="nil"/>
                    <w:tr2bl w:val="nil"/>
                  </w:tcBorders>
                  <w:vAlign w:val="center"/>
                </w:tcPr>
                <w:p>
                  <w:pPr>
                    <w:adjustRightInd w:val="0"/>
                    <w:jc w:val="center"/>
                    <w:rPr>
                      <w:szCs w:val="21"/>
                    </w:rPr>
                  </w:pPr>
                  <w:r>
                    <w:rPr>
                      <w:rFonts w:hint="eastAsia"/>
                      <w:szCs w:val="21"/>
                    </w:rPr>
                    <w:t>1</w:t>
                  </w:r>
                  <w:r>
                    <w:rPr>
                      <w:szCs w:val="21"/>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22</w:t>
                  </w:r>
                </w:p>
              </w:tc>
              <w:tc>
                <w:tcPr>
                  <w:tcW w:w="2027" w:type="pct"/>
                  <w:tcBorders>
                    <w:tl2br w:val="nil"/>
                    <w:tr2bl w:val="nil"/>
                  </w:tcBorders>
                  <w:vAlign w:val="center"/>
                </w:tcPr>
                <w:p>
                  <w:pPr>
                    <w:adjustRightInd w:val="0"/>
                    <w:jc w:val="center"/>
                    <w:rPr>
                      <w:szCs w:val="21"/>
                    </w:rPr>
                  </w:pPr>
                  <w:r>
                    <w:rPr>
                      <w:rFonts w:hint="eastAsia"/>
                      <w:szCs w:val="21"/>
                    </w:rPr>
                    <w:t>1</w:t>
                  </w:r>
                  <w:r>
                    <w:rPr>
                      <w:szCs w:val="21"/>
                    </w:rPr>
                    <w:t>18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304" w:type="pct"/>
                  <w:vMerge w:val="continue"/>
                  <w:tcBorders>
                    <w:tl2br w:val="nil"/>
                    <w:tr2bl w:val="nil"/>
                  </w:tcBorders>
                  <w:vAlign w:val="center"/>
                </w:tcPr>
                <w:p>
                  <w:pPr>
                    <w:adjustRightInd w:val="0"/>
                    <w:jc w:val="center"/>
                    <w:rPr>
                      <w:szCs w:val="21"/>
                    </w:rPr>
                  </w:pPr>
                </w:p>
              </w:tc>
              <w:tc>
                <w:tcPr>
                  <w:tcW w:w="1669" w:type="pc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23</w:t>
                  </w:r>
                </w:p>
              </w:tc>
              <w:tc>
                <w:tcPr>
                  <w:tcW w:w="2027" w:type="pct"/>
                  <w:tcBorders>
                    <w:tl2br w:val="nil"/>
                    <w:tr2bl w:val="nil"/>
                  </w:tcBorders>
                  <w:vAlign w:val="center"/>
                </w:tcPr>
                <w:p>
                  <w:pPr>
                    <w:adjustRightInd w:val="0"/>
                    <w:jc w:val="center"/>
                    <w:rPr>
                      <w:szCs w:val="21"/>
                    </w:rPr>
                  </w:pPr>
                  <w:r>
                    <w:rPr>
                      <w:rFonts w:hint="eastAsia"/>
                      <w:szCs w:val="21"/>
                    </w:rPr>
                    <w:t>1</w:t>
                  </w:r>
                  <w:r>
                    <w:rPr>
                      <w:szCs w:val="21"/>
                    </w:rPr>
                    <w:t>17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jc w:val="center"/>
              </w:trPr>
              <w:tc>
                <w:tcPr>
                  <w:tcW w:w="2973" w:type="pct"/>
                  <w:gridSpan w:val="2"/>
                  <w:tcBorders>
                    <w:tl2br w:val="nil"/>
                    <w:tr2bl w:val="nil"/>
                  </w:tcBorders>
                  <w:vAlign w:val="center"/>
                </w:tcPr>
                <w:p>
                  <w:pPr>
                    <w:adjustRightInd w:val="0"/>
                    <w:jc w:val="center"/>
                    <w:rPr>
                      <w:szCs w:val="21"/>
                    </w:rPr>
                  </w:pPr>
                  <w:r>
                    <w:rPr>
                      <w:szCs w:val="21"/>
                    </w:rPr>
                    <w:t>标准值</w:t>
                  </w:r>
                </w:p>
              </w:tc>
              <w:tc>
                <w:tcPr>
                  <w:tcW w:w="2027" w:type="pct"/>
                  <w:tcBorders>
                    <w:tl2br w:val="nil"/>
                    <w:tr2bl w:val="nil"/>
                  </w:tcBorders>
                  <w:vAlign w:val="center"/>
                </w:tcPr>
                <w:p>
                  <w:pPr>
                    <w:adjustRightInd w:val="0"/>
                    <w:jc w:val="center"/>
                    <w:rPr>
                      <w:szCs w:val="21"/>
                    </w:rPr>
                  </w:pPr>
                  <w:r>
                    <w:rPr>
                      <w:szCs w:val="21"/>
                    </w:rPr>
                    <w:t>3</w:t>
                  </w:r>
                  <w:r>
                    <w:rPr>
                      <w:rFonts w:hint="eastAsia"/>
                      <w:szCs w:val="21"/>
                    </w:rPr>
                    <w:t>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jc w:val="center"/>
              </w:trPr>
              <w:tc>
                <w:tcPr>
                  <w:tcW w:w="2973" w:type="pct"/>
                  <w:gridSpan w:val="2"/>
                  <w:tcBorders>
                    <w:tl2br w:val="nil"/>
                    <w:tr2bl w:val="nil"/>
                  </w:tcBorders>
                  <w:vAlign w:val="center"/>
                </w:tcPr>
                <w:p>
                  <w:pPr>
                    <w:adjustRightInd w:val="0"/>
                    <w:jc w:val="center"/>
                    <w:rPr>
                      <w:szCs w:val="21"/>
                    </w:rPr>
                  </w:pPr>
                  <w:r>
                    <w:rPr>
                      <w:szCs w:val="21"/>
                    </w:rPr>
                    <w:t>达标情况</w:t>
                  </w:r>
                </w:p>
              </w:tc>
              <w:tc>
                <w:tcPr>
                  <w:tcW w:w="2027" w:type="pct"/>
                  <w:tcBorders>
                    <w:tl2br w:val="nil"/>
                    <w:tr2bl w:val="nil"/>
                  </w:tcBorders>
                  <w:vAlign w:val="center"/>
                </w:tcPr>
                <w:p>
                  <w:pPr>
                    <w:adjustRightInd w:val="0"/>
                    <w:jc w:val="center"/>
                    <w:rPr>
                      <w:szCs w:val="21"/>
                    </w:rPr>
                  </w:pPr>
                  <w:r>
                    <w:rPr>
                      <w:szCs w:val="21"/>
                    </w:rPr>
                    <w:t>达标</w:t>
                  </w:r>
                </w:p>
              </w:tc>
            </w:tr>
          </w:tbl>
          <w:p>
            <w:pPr>
              <w:spacing w:before="120" w:beforeLines="50" w:line="360" w:lineRule="auto"/>
              <w:jc w:val="center"/>
              <w:rPr>
                <w:b/>
                <w:sz w:val="24"/>
              </w:rPr>
            </w:pPr>
            <w:r>
              <w:rPr>
                <w:b/>
                <w:sz w:val="24"/>
              </w:rPr>
              <w:t>表</w:t>
            </w:r>
            <w:r>
              <w:rPr>
                <w:rFonts w:hint="eastAsia"/>
                <w:b/>
                <w:sz w:val="24"/>
              </w:rPr>
              <w:t>3</w:t>
            </w:r>
            <w:r>
              <w:rPr>
                <w:b/>
                <w:sz w:val="24"/>
              </w:rPr>
              <w:t>-3</w:t>
            </w:r>
            <w:r>
              <w:rPr>
                <w:rFonts w:hint="eastAsia"/>
                <w:b/>
                <w:sz w:val="24"/>
              </w:rPr>
              <w:t xml:space="preserve"> </w:t>
            </w:r>
            <w:r>
              <w:rPr>
                <w:b/>
                <w:sz w:val="24"/>
              </w:rPr>
              <w:t xml:space="preserve"> </w:t>
            </w:r>
            <w:r>
              <w:rPr>
                <w:rFonts w:hint="eastAsia"/>
                <w:b/>
                <w:sz w:val="24"/>
              </w:rPr>
              <w:t>寻甸恒浩金属结构有限公司年产1500吨金属制品项目厂界上风向1#</w:t>
            </w:r>
            <w:r>
              <w:rPr>
                <w:b/>
                <w:sz w:val="24"/>
              </w:rPr>
              <w:t>NO</w:t>
            </w:r>
            <w:r>
              <w:rPr>
                <w:b/>
                <w:sz w:val="24"/>
                <w:vertAlign w:val="subscript"/>
              </w:rPr>
              <w:t>x</w:t>
            </w:r>
            <w:r>
              <w:rPr>
                <w:rFonts w:hint="eastAsia"/>
                <w:b/>
                <w:sz w:val="24"/>
              </w:rPr>
              <w:t>现状检测</w:t>
            </w:r>
            <w:r>
              <w:rPr>
                <w:b/>
                <w:sz w:val="24"/>
              </w:rPr>
              <w:t>结果  单位：</w:t>
            </w:r>
            <w:r>
              <w:rPr>
                <w:rFonts w:hint="eastAsia"/>
                <w:b/>
                <w:sz w:val="24"/>
              </w:rPr>
              <w:t>u</w:t>
            </w:r>
            <w:r>
              <w:rPr>
                <w:b/>
                <w:sz w:val="24"/>
              </w:rPr>
              <w:t>g/m</w:t>
            </w:r>
            <w:r>
              <w:rPr>
                <w:b/>
                <w:sz w:val="24"/>
                <w:vertAlign w:val="superscript"/>
              </w:rPr>
              <w:t>3</w:t>
            </w:r>
          </w:p>
          <w:tbl>
            <w:tblPr>
              <w:tblStyle w:val="32"/>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707"/>
              <w:gridCol w:w="2835"/>
              <w:gridCol w:w="258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tcBorders>
                    <w:tl2br w:val="nil"/>
                    <w:tr2bl w:val="nil"/>
                  </w:tcBorders>
                  <w:vAlign w:val="center"/>
                </w:tcPr>
                <w:p>
                  <w:pPr>
                    <w:adjustRightInd w:val="0"/>
                    <w:jc w:val="center"/>
                    <w:rPr>
                      <w:b/>
                      <w:bCs/>
                      <w:szCs w:val="21"/>
                    </w:rPr>
                  </w:pPr>
                  <w:r>
                    <w:rPr>
                      <w:b/>
                      <w:bCs/>
                      <w:szCs w:val="21"/>
                    </w:rPr>
                    <w:t>检测点位</w:t>
                  </w:r>
                </w:p>
              </w:tc>
              <w:tc>
                <w:tcPr>
                  <w:tcW w:w="1744" w:type="pct"/>
                  <w:tcBorders>
                    <w:tl2br w:val="nil"/>
                    <w:tr2bl w:val="nil"/>
                  </w:tcBorders>
                  <w:vAlign w:val="center"/>
                </w:tcPr>
                <w:p>
                  <w:pPr>
                    <w:adjustRightInd w:val="0"/>
                    <w:jc w:val="center"/>
                    <w:rPr>
                      <w:b/>
                      <w:bCs/>
                      <w:szCs w:val="21"/>
                    </w:rPr>
                  </w:pPr>
                  <w:r>
                    <w:rPr>
                      <w:b/>
                      <w:bCs/>
                      <w:szCs w:val="21"/>
                    </w:rPr>
                    <w:t>采样日期</w:t>
                  </w:r>
                </w:p>
              </w:tc>
              <w:tc>
                <w:tcPr>
                  <w:tcW w:w="1591" w:type="pct"/>
                  <w:tcBorders>
                    <w:tl2br w:val="nil"/>
                    <w:tr2bl w:val="nil"/>
                  </w:tcBorders>
                  <w:vAlign w:val="center"/>
                </w:tcPr>
                <w:p>
                  <w:pPr>
                    <w:adjustRightInd w:val="0"/>
                    <w:jc w:val="center"/>
                    <w:rPr>
                      <w:b/>
                      <w:bCs/>
                      <w:szCs w:val="21"/>
                    </w:rPr>
                  </w:pPr>
                  <w:r>
                    <w:rPr>
                      <w:rFonts w:hint="eastAsia"/>
                      <w:b/>
                      <w:bCs/>
                      <w:szCs w:val="21"/>
                    </w:rPr>
                    <w:t>NOx</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65" w:type="pct"/>
                  <w:vMerge w:val="restart"/>
                  <w:tcBorders>
                    <w:tl2br w:val="nil"/>
                    <w:tr2bl w:val="nil"/>
                  </w:tcBorders>
                  <w:vAlign w:val="center"/>
                </w:tcPr>
                <w:p>
                  <w:pPr>
                    <w:adjustRightInd w:val="0"/>
                    <w:jc w:val="center"/>
                    <w:rPr>
                      <w:szCs w:val="21"/>
                    </w:rPr>
                  </w:pPr>
                  <w:r>
                    <w:rPr>
                      <w:rFonts w:hint="eastAsia"/>
                      <w:b/>
                      <w:sz w:val="24"/>
                    </w:rPr>
                    <w:t>厂界上风向1#</w:t>
                  </w:r>
                </w:p>
              </w:tc>
              <w:tc>
                <w:tcPr>
                  <w:tcW w:w="1744" w:type="pct"/>
                  <w:vMerge w:val="restar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1</w:t>
                  </w:r>
                </w:p>
              </w:tc>
              <w:tc>
                <w:tcPr>
                  <w:tcW w:w="1591" w:type="pct"/>
                  <w:tcBorders>
                    <w:tl2br w:val="nil"/>
                    <w:tr2bl w:val="nil"/>
                  </w:tcBorders>
                  <w:vAlign w:val="center"/>
                </w:tcPr>
                <w:p>
                  <w:pPr>
                    <w:tabs>
                      <w:tab w:val="right" w:pos="8906"/>
                    </w:tabs>
                    <w:adjustRightInd w:val="0"/>
                    <w:jc w:val="center"/>
                    <w:rPr>
                      <w:szCs w:val="21"/>
                    </w:rPr>
                  </w:pPr>
                  <w:r>
                    <w:rPr>
                      <w:rFonts w:hint="eastAsia"/>
                      <w:szCs w:val="21"/>
                    </w:rPr>
                    <w:t>5</w:t>
                  </w:r>
                  <w:r>
                    <w:rPr>
                      <w:szCs w:val="21"/>
                    </w:rPr>
                    <w:t>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65" w:type="pct"/>
                  <w:vMerge w:val="continue"/>
                  <w:tcBorders>
                    <w:tl2br w:val="nil"/>
                    <w:tr2bl w:val="nil"/>
                  </w:tcBorders>
                  <w:vAlign w:val="center"/>
                </w:tcPr>
                <w:p>
                  <w:pPr>
                    <w:adjustRightInd w:val="0"/>
                    <w:jc w:val="center"/>
                    <w:rPr>
                      <w:b/>
                      <w:sz w:val="24"/>
                    </w:rPr>
                  </w:pPr>
                </w:p>
              </w:tc>
              <w:tc>
                <w:tcPr>
                  <w:tcW w:w="1744" w:type="pct"/>
                  <w:vMerge w:val="continue"/>
                  <w:tcBorders>
                    <w:tl2br w:val="nil"/>
                    <w:tr2bl w:val="nil"/>
                  </w:tcBorders>
                  <w:vAlign w:val="center"/>
                </w:tcPr>
                <w:p>
                  <w:pPr>
                    <w:adjustRightInd w:val="0"/>
                    <w:jc w:val="center"/>
                    <w:rPr>
                      <w:szCs w:val="21"/>
                    </w:rPr>
                  </w:pPr>
                </w:p>
              </w:tc>
              <w:tc>
                <w:tcPr>
                  <w:tcW w:w="1591" w:type="pct"/>
                  <w:tcBorders>
                    <w:tl2br w:val="nil"/>
                    <w:tr2bl w:val="nil"/>
                  </w:tcBorders>
                  <w:vAlign w:val="center"/>
                </w:tcPr>
                <w:p>
                  <w:pPr>
                    <w:tabs>
                      <w:tab w:val="right" w:pos="8906"/>
                    </w:tabs>
                    <w:adjustRightInd w:val="0"/>
                    <w:jc w:val="center"/>
                    <w:rPr>
                      <w:szCs w:val="21"/>
                    </w:rPr>
                  </w:pPr>
                  <w:r>
                    <w:rPr>
                      <w:rFonts w:hint="eastAsia"/>
                      <w:szCs w:val="21"/>
                    </w:rPr>
                    <w:t>5</w:t>
                  </w:r>
                  <w:r>
                    <w:rPr>
                      <w:szCs w:val="21"/>
                    </w:rPr>
                    <w:t>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65" w:type="pct"/>
                  <w:vMerge w:val="continue"/>
                  <w:tcBorders>
                    <w:tl2br w:val="nil"/>
                    <w:tr2bl w:val="nil"/>
                  </w:tcBorders>
                  <w:vAlign w:val="center"/>
                </w:tcPr>
                <w:p>
                  <w:pPr>
                    <w:adjustRightInd w:val="0"/>
                    <w:jc w:val="center"/>
                    <w:rPr>
                      <w:b/>
                      <w:sz w:val="24"/>
                    </w:rPr>
                  </w:pPr>
                </w:p>
              </w:tc>
              <w:tc>
                <w:tcPr>
                  <w:tcW w:w="1744" w:type="pct"/>
                  <w:vMerge w:val="continue"/>
                  <w:tcBorders>
                    <w:tl2br w:val="nil"/>
                    <w:tr2bl w:val="nil"/>
                  </w:tcBorders>
                  <w:vAlign w:val="center"/>
                </w:tcPr>
                <w:p>
                  <w:pPr>
                    <w:adjustRightInd w:val="0"/>
                    <w:jc w:val="center"/>
                    <w:rPr>
                      <w:szCs w:val="21"/>
                    </w:rPr>
                  </w:pPr>
                </w:p>
              </w:tc>
              <w:tc>
                <w:tcPr>
                  <w:tcW w:w="1591" w:type="pct"/>
                  <w:tcBorders>
                    <w:tl2br w:val="nil"/>
                    <w:tr2bl w:val="nil"/>
                  </w:tcBorders>
                  <w:vAlign w:val="center"/>
                </w:tcPr>
                <w:p>
                  <w:pPr>
                    <w:tabs>
                      <w:tab w:val="right" w:pos="8906"/>
                    </w:tabs>
                    <w:adjustRightInd w:val="0"/>
                    <w:jc w:val="center"/>
                    <w:rPr>
                      <w:szCs w:val="21"/>
                    </w:rPr>
                  </w:pPr>
                  <w:r>
                    <w:rPr>
                      <w:rFonts w:hint="eastAsia"/>
                      <w:szCs w:val="21"/>
                    </w:rPr>
                    <w:t>5</w:t>
                  </w:r>
                  <w:r>
                    <w:rPr>
                      <w:szCs w:val="21"/>
                    </w:rPr>
                    <w:t>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65" w:type="pct"/>
                  <w:vMerge w:val="continue"/>
                  <w:tcBorders>
                    <w:tl2br w:val="nil"/>
                    <w:tr2bl w:val="nil"/>
                  </w:tcBorders>
                  <w:vAlign w:val="center"/>
                </w:tcPr>
                <w:p>
                  <w:pPr>
                    <w:adjustRightInd w:val="0"/>
                    <w:jc w:val="center"/>
                    <w:rPr>
                      <w:b/>
                      <w:sz w:val="24"/>
                    </w:rPr>
                  </w:pPr>
                </w:p>
              </w:tc>
              <w:tc>
                <w:tcPr>
                  <w:tcW w:w="1744" w:type="pct"/>
                  <w:vMerge w:val="continue"/>
                  <w:tcBorders>
                    <w:tl2br w:val="nil"/>
                    <w:tr2bl w:val="nil"/>
                  </w:tcBorders>
                  <w:vAlign w:val="center"/>
                </w:tcPr>
                <w:p>
                  <w:pPr>
                    <w:adjustRightInd w:val="0"/>
                    <w:jc w:val="center"/>
                    <w:rPr>
                      <w:szCs w:val="21"/>
                    </w:rPr>
                  </w:pPr>
                </w:p>
              </w:tc>
              <w:tc>
                <w:tcPr>
                  <w:tcW w:w="1591" w:type="pct"/>
                  <w:tcBorders>
                    <w:tl2br w:val="nil"/>
                    <w:tr2bl w:val="nil"/>
                  </w:tcBorders>
                  <w:vAlign w:val="center"/>
                </w:tcPr>
                <w:p>
                  <w:pPr>
                    <w:tabs>
                      <w:tab w:val="right" w:pos="8906"/>
                    </w:tabs>
                    <w:adjustRightInd w:val="0"/>
                    <w:jc w:val="center"/>
                    <w:rPr>
                      <w:szCs w:val="21"/>
                    </w:rPr>
                  </w:pPr>
                  <w:r>
                    <w:rPr>
                      <w:rFonts w:hint="eastAsia"/>
                      <w:szCs w:val="21"/>
                    </w:rPr>
                    <w:t>6</w:t>
                  </w:r>
                  <w:r>
                    <w:rPr>
                      <w:szCs w:val="21"/>
                    </w:rPr>
                    <w:t>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65" w:type="pct"/>
                  <w:vMerge w:val="continue"/>
                  <w:tcBorders>
                    <w:tl2br w:val="nil"/>
                    <w:tr2bl w:val="nil"/>
                  </w:tcBorders>
                  <w:vAlign w:val="center"/>
                </w:tcPr>
                <w:p>
                  <w:pPr>
                    <w:adjustRightInd w:val="0"/>
                    <w:jc w:val="center"/>
                    <w:rPr>
                      <w:szCs w:val="21"/>
                    </w:rPr>
                  </w:pPr>
                </w:p>
              </w:tc>
              <w:tc>
                <w:tcPr>
                  <w:tcW w:w="1744" w:type="pct"/>
                  <w:vMerge w:val="restart"/>
                  <w:tcBorders>
                    <w:tl2br w:val="nil"/>
                    <w:tr2bl w:val="nil"/>
                  </w:tcBorders>
                  <w:vAlign w:val="center"/>
                </w:tcPr>
                <w:p>
                  <w:pPr>
                    <w:adjustRightInd w:val="0"/>
                    <w:jc w:val="center"/>
                    <w:rPr>
                      <w:szCs w:val="21"/>
                    </w:rPr>
                  </w:pPr>
                  <w:r>
                    <w:rPr>
                      <w:szCs w:val="21"/>
                    </w:rPr>
                    <w:t>2022</w:t>
                  </w:r>
                  <w:r>
                    <w:rPr>
                      <w:rFonts w:hint="eastAsia"/>
                      <w:szCs w:val="21"/>
                    </w:rPr>
                    <w:t>-</w:t>
                  </w:r>
                  <w:r>
                    <w:rPr>
                      <w:szCs w:val="21"/>
                    </w:rPr>
                    <w:t>8</w:t>
                  </w:r>
                  <w:r>
                    <w:rPr>
                      <w:rFonts w:hint="eastAsia"/>
                      <w:szCs w:val="21"/>
                    </w:rPr>
                    <w:t>-</w:t>
                  </w:r>
                  <w:r>
                    <w:rPr>
                      <w:szCs w:val="21"/>
                    </w:rPr>
                    <w:t>2</w:t>
                  </w:r>
                </w:p>
              </w:tc>
              <w:tc>
                <w:tcPr>
                  <w:tcW w:w="1591" w:type="pct"/>
                  <w:tcBorders>
                    <w:tl2br w:val="nil"/>
                    <w:tr2bl w:val="nil"/>
                  </w:tcBorders>
                  <w:vAlign w:val="center"/>
                </w:tcPr>
                <w:p>
                  <w:pPr>
                    <w:tabs>
                      <w:tab w:val="right" w:pos="8906"/>
                    </w:tabs>
                    <w:adjustRightInd w:val="0"/>
                    <w:jc w:val="center"/>
                    <w:rPr>
                      <w:szCs w:val="21"/>
                    </w:rPr>
                  </w:pPr>
                  <w:r>
                    <w:rPr>
                      <w:rFonts w:hint="eastAsia"/>
                      <w:szCs w:val="21"/>
                    </w:rPr>
                    <w:t>8</w:t>
                  </w:r>
                  <w:r>
                    <w:rPr>
                      <w:szCs w:val="21"/>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65" w:type="pct"/>
                  <w:vMerge w:val="continue"/>
                  <w:tcBorders>
                    <w:tl2br w:val="nil"/>
                    <w:tr2bl w:val="nil"/>
                  </w:tcBorders>
                  <w:vAlign w:val="center"/>
                </w:tcPr>
                <w:p>
                  <w:pPr>
                    <w:adjustRightInd w:val="0"/>
                    <w:jc w:val="center"/>
                    <w:rPr>
                      <w:szCs w:val="21"/>
                    </w:rPr>
                  </w:pPr>
                </w:p>
              </w:tc>
              <w:tc>
                <w:tcPr>
                  <w:tcW w:w="1744" w:type="pct"/>
                  <w:vMerge w:val="continue"/>
                  <w:tcBorders>
                    <w:tl2br w:val="nil"/>
                    <w:tr2bl w:val="nil"/>
                  </w:tcBorders>
                  <w:vAlign w:val="center"/>
                </w:tcPr>
                <w:p>
                  <w:pPr>
                    <w:adjustRightInd w:val="0"/>
                    <w:jc w:val="center"/>
                    <w:rPr>
                      <w:szCs w:val="21"/>
                    </w:rPr>
                  </w:pPr>
                </w:p>
              </w:tc>
              <w:tc>
                <w:tcPr>
                  <w:tcW w:w="1591" w:type="pct"/>
                  <w:tcBorders>
                    <w:tl2br w:val="nil"/>
                    <w:tr2bl w:val="nil"/>
                  </w:tcBorders>
                  <w:vAlign w:val="center"/>
                </w:tcPr>
                <w:p>
                  <w:pPr>
                    <w:tabs>
                      <w:tab w:val="right" w:pos="8906"/>
                    </w:tabs>
                    <w:adjustRightInd w:val="0"/>
                    <w:jc w:val="center"/>
                    <w:rPr>
                      <w:szCs w:val="21"/>
                    </w:rPr>
                  </w:pPr>
                  <w:r>
                    <w:rPr>
                      <w:rFonts w:hint="eastAsia"/>
                      <w:szCs w:val="21"/>
                    </w:rPr>
                    <w:t>8</w:t>
                  </w:r>
                  <w:r>
                    <w:rPr>
                      <w:szCs w:val="21"/>
                    </w:rPr>
                    <w:t>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65" w:type="pct"/>
                  <w:vMerge w:val="continue"/>
                  <w:tcBorders>
                    <w:tl2br w:val="nil"/>
                    <w:tr2bl w:val="nil"/>
                  </w:tcBorders>
                  <w:vAlign w:val="center"/>
                </w:tcPr>
                <w:p>
                  <w:pPr>
                    <w:adjustRightInd w:val="0"/>
                    <w:jc w:val="center"/>
                    <w:rPr>
                      <w:szCs w:val="21"/>
                    </w:rPr>
                  </w:pPr>
                </w:p>
              </w:tc>
              <w:tc>
                <w:tcPr>
                  <w:tcW w:w="1744" w:type="pct"/>
                  <w:vMerge w:val="continue"/>
                  <w:tcBorders>
                    <w:tl2br w:val="nil"/>
                    <w:tr2bl w:val="nil"/>
                  </w:tcBorders>
                  <w:vAlign w:val="center"/>
                </w:tcPr>
                <w:p>
                  <w:pPr>
                    <w:adjustRightInd w:val="0"/>
                    <w:jc w:val="center"/>
                    <w:rPr>
                      <w:szCs w:val="21"/>
                    </w:rPr>
                  </w:pPr>
                </w:p>
              </w:tc>
              <w:tc>
                <w:tcPr>
                  <w:tcW w:w="1591" w:type="pct"/>
                  <w:tcBorders>
                    <w:tl2br w:val="nil"/>
                    <w:tr2bl w:val="nil"/>
                  </w:tcBorders>
                  <w:vAlign w:val="center"/>
                </w:tcPr>
                <w:p>
                  <w:pPr>
                    <w:tabs>
                      <w:tab w:val="right" w:pos="8906"/>
                    </w:tabs>
                    <w:adjustRightInd w:val="0"/>
                    <w:jc w:val="center"/>
                    <w:rPr>
                      <w:szCs w:val="21"/>
                    </w:rPr>
                  </w:pPr>
                  <w:r>
                    <w:rPr>
                      <w:rFonts w:hint="eastAsia"/>
                      <w:szCs w:val="21"/>
                    </w:rPr>
                    <w:t>8</w:t>
                  </w:r>
                  <w:r>
                    <w:rPr>
                      <w:szCs w:val="21"/>
                    </w:rPr>
                    <w:t>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65" w:type="pct"/>
                  <w:vMerge w:val="continue"/>
                  <w:tcBorders>
                    <w:tl2br w:val="nil"/>
                    <w:tr2bl w:val="nil"/>
                  </w:tcBorders>
                  <w:vAlign w:val="center"/>
                </w:tcPr>
                <w:p>
                  <w:pPr>
                    <w:adjustRightInd w:val="0"/>
                    <w:jc w:val="center"/>
                    <w:rPr>
                      <w:szCs w:val="21"/>
                    </w:rPr>
                  </w:pPr>
                </w:p>
              </w:tc>
              <w:tc>
                <w:tcPr>
                  <w:tcW w:w="1744" w:type="pct"/>
                  <w:vMerge w:val="continue"/>
                  <w:tcBorders>
                    <w:tl2br w:val="nil"/>
                    <w:tr2bl w:val="nil"/>
                  </w:tcBorders>
                  <w:vAlign w:val="center"/>
                </w:tcPr>
                <w:p>
                  <w:pPr>
                    <w:adjustRightInd w:val="0"/>
                    <w:jc w:val="center"/>
                    <w:rPr>
                      <w:szCs w:val="21"/>
                    </w:rPr>
                  </w:pPr>
                </w:p>
              </w:tc>
              <w:tc>
                <w:tcPr>
                  <w:tcW w:w="1591" w:type="pct"/>
                  <w:tcBorders>
                    <w:tl2br w:val="nil"/>
                    <w:tr2bl w:val="nil"/>
                  </w:tcBorders>
                  <w:vAlign w:val="center"/>
                </w:tcPr>
                <w:p>
                  <w:pPr>
                    <w:tabs>
                      <w:tab w:val="right" w:pos="8906"/>
                    </w:tabs>
                    <w:adjustRightInd w:val="0"/>
                    <w:jc w:val="center"/>
                    <w:rPr>
                      <w:szCs w:val="21"/>
                    </w:rPr>
                  </w:pPr>
                  <w:r>
                    <w:rPr>
                      <w:rFonts w:hint="eastAsia"/>
                      <w:szCs w:val="21"/>
                    </w:rPr>
                    <w:t>8</w:t>
                  </w:r>
                  <w:r>
                    <w:rPr>
                      <w:szCs w:val="21"/>
                    </w:rPr>
                    <w:t>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65" w:type="pct"/>
                  <w:vMerge w:val="continue"/>
                  <w:tcBorders>
                    <w:tl2br w:val="nil"/>
                    <w:tr2bl w:val="nil"/>
                  </w:tcBorders>
                  <w:vAlign w:val="center"/>
                </w:tcPr>
                <w:p>
                  <w:pPr>
                    <w:adjustRightInd w:val="0"/>
                    <w:jc w:val="center"/>
                    <w:rPr>
                      <w:szCs w:val="21"/>
                    </w:rPr>
                  </w:pPr>
                </w:p>
              </w:tc>
              <w:tc>
                <w:tcPr>
                  <w:tcW w:w="1744" w:type="pct"/>
                  <w:vMerge w:val="restart"/>
                  <w:tcBorders>
                    <w:tl2br w:val="nil"/>
                    <w:tr2bl w:val="nil"/>
                  </w:tcBorders>
                  <w:vAlign w:val="center"/>
                </w:tcPr>
                <w:p>
                  <w:pPr>
                    <w:adjustRightInd w:val="0"/>
                    <w:jc w:val="center"/>
                    <w:rPr>
                      <w:szCs w:val="21"/>
                    </w:rPr>
                  </w:pPr>
                  <w:r>
                    <w:rPr>
                      <w:rFonts w:hint="eastAsia"/>
                      <w:szCs w:val="21"/>
                    </w:rPr>
                    <w:t>2</w:t>
                  </w:r>
                  <w:r>
                    <w:rPr>
                      <w:szCs w:val="21"/>
                    </w:rPr>
                    <w:t>022</w:t>
                  </w:r>
                  <w:r>
                    <w:rPr>
                      <w:rFonts w:hint="eastAsia"/>
                      <w:szCs w:val="21"/>
                    </w:rPr>
                    <w:t>-</w:t>
                  </w:r>
                  <w:r>
                    <w:rPr>
                      <w:szCs w:val="21"/>
                    </w:rPr>
                    <w:t>8</w:t>
                  </w:r>
                  <w:r>
                    <w:rPr>
                      <w:rFonts w:hint="eastAsia"/>
                      <w:szCs w:val="21"/>
                    </w:rPr>
                    <w:t>-</w:t>
                  </w:r>
                  <w:r>
                    <w:rPr>
                      <w:szCs w:val="21"/>
                    </w:rPr>
                    <w:t>3</w:t>
                  </w:r>
                </w:p>
              </w:tc>
              <w:tc>
                <w:tcPr>
                  <w:tcW w:w="1591" w:type="pct"/>
                  <w:tcBorders>
                    <w:tl2br w:val="nil"/>
                    <w:tr2bl w:val="nil"/>
                  </w:tcBorders>
                  <w:vAlign w:val="center"/>
                </w:tcPr>
                <w:p>
                  <w:pPr>
                    <w:tabs>
                      <w:tab w:val="right" w:pos="8906"/>
                    </w:tabs>
                    <w:adjustRightInd w:val="0"/>
                    <w:jc w:val="center"/>
                    <w:rPr>
                      <w:szCs w:val="21"/>
                    </w:rPr>
                  </w:pPr>
                  <w:r>
                    <w:rPr>
                      <w:rFonts w:hint="eastAsia"/>
                      <w:szCs w:val="21"/>
                    </w:rPr>
                    <w:t>6</w:t>
                  </w:r>
                  <w:r>
                    <w:rPr>
                      <w:szCs w:val="21"/>
                    </w:rPr>
                    <w:t>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65" w:type="pct"/>
                  <w:vMerge w:val="continue"/>
                  <w:tcBorders>
                    <w:tl2br w:val="nil"/>
                    <w:tr2bl w:val="nil"/>
                  </w:tcBorders>
                  <w:vAlign w:val="center"/>
                </w:tcPr>
                <w:p>
                  <w:pPr>
                    <w:adjustRightInd w:val="0"/>
                    <w:jc w:val="center"/>
                    <w:rPr>
                      <w:szCs w:val="21"/>
                    </w:rPr>
                  </w:pPr>
                </w:p>
              </w:tc>
              <w:tc>
                <w:tcPr>
                  <w:tcW w:w="1744" w:type="pct"/>
                  <w:vMerge w:val="continue"/>
                  <w:tcBorders>
                    <w:tl2br w:val="nil"/>
                    <w:tr2bl w:val="nil"/>
                  </w:tcBorders>
                  <w:vAlign w:val="center"/>
                </w:tcPr>
                <w:p>
                  <w:pPr>
                    <w:adjustRightInd w:val="0"/>
                    <w:jc w:val="center"/>
                    <w:rPr>
                      <w:szCs w:val="21"/>
                    </w:rPr>
                  </w:pPr>
                </w:p>
              </w:tc>
              <w:tc>
                <w:tcPr>
                  <w:tcW w:w="1591" w:type="pct"/>
                  <w:tcBorders>
                    <w:tl2br w:val="nil"/>
                    <w:tr2bl w:val="nil"/>
                  </w:tcBorders>
                  <w:vAlign w:val="center"/>
                </w:tcPr>
                <w:p>
                  <w:pPr>
                    <w:tabs>
                      <w:tab w:val="right" w:pos="8906"/>
                    </w:tabs>
                    <w:adjustRightInd w:val="0"/>
                    <w:jc w:val="center"/>
                    <w:rPr>
                      <w:szCs w:val="21"/>
                    </w:rPr>
                  </w:pPr>
                  <w:r>
                    <w:rPr>
                      <w:rFonts w:hint="eastAsia"/>
                      <w:szCs w:val="21"/>
                    </w:rPr>
                    <w:t>8</w:t>
                  </w:r>
                  <w:r>
                    <w:rPr>
                      <w:szCs w:val="21"/>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65" w:type="pct"/>
                  <w:vMerge w:val="continue"/>
                  <w:tcBorders>
                    <w:tl2br w:val="nil"/>
                    <w:tr2bl w:val="nil"/>
                  </w:tcBorders>
                  <w:vAlign w:val="center"/>
                </w:tcPr>
                <w:p>
                  <w:pPr>
                    <w:adjustRightInd w:val="0"/>
                    <w:jc w:val="center"/>
                    <w:rPr>
                      <w:szCs w:val="21"/>
                    </w:rPr>
                  </w:pPr>
                </w:p>
              </w:tc>
              <w:tc>
                <w:tcPr>
                  <w:tcW w:w="1744" w:type="pct"/>
                  <w:vMerge w:val="continue"/>
                  <w:tcBorders>
                    <w:tl2br w:val="nil"/>
                    <w:tr2bl w:val="nil"/>
                  </w:tcBorders>
                  <w:vAlign w:val="center"/>
                </w:tcPr>
                <w:p>
                  <w:pPr>
                    <w:adjustRightInd w:val="0"/>
                    <w:jc w:val="center"/>
                    <w:rPr>
                      <w:szCs w:val="21"/>
                    </w:rPr>
                  </w:pPr>
                </w:p>
              </w:tc>
              <w:tc>
                <w:tcPr>
                  <w:tcW w:w="1591" w:type="pct"/>
                  <w:tcBorders>
                    <w:tl2br w:val="nil"/>
                    <w:tr2bl w:val="nil"/>
                  </w:tcBorders>
                  <w:vAlign w:val="center"/>
                </w:tcPr>
                <w:p>
                  <w:pPr>
                    <w:tabs>
                      <w:tab w:val="right" w:pos="8906"/>
                    </w:tabs>
                    <w:adjustRightInd w:val="0"/>
                    <w:jc w:val="center"/>
                    <w:rPr>
                      <w:szCs w:val="21"/>
                    </w:rPr>
                  </w:pPr>
                  <w:r>
                    <w:rPr>
                      <w:rFonts w:hint="eastAsia"/>
                      <w:szCs w:val="21"/>
                    </w:rPr>
                    <w:t>7</w:t>
                  </w:r>
                  <w:r>
                    <w:rPr>
                      <w:szCs w:val="21"/>
                    </w:rPr>
                    <w:t>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65" w:type="pct"/>
                  <w:vMerge w:val="continue"/>
                  <w:tcBorders>
                    <w:tl2br w:val="nil"/>
                    <w:tr2bl w:val="nil"/>
                  </w:tcBorders>
                  <w:vAlign w:val="center"/>
                </w:tcPr>
                <w:p>
                  <w:pPr>
                    <w:adjustRightInd w:val="0"/>
                    <w:jc w:val="center"/>
                    <w:rPr>
                      <w:szCs w:val="21"/>
                    </w:rPr>
                  </w:pPr>
                </w:p>
              </w:tc>
              <w:tc>
                <w:tcPr>
                  <w:tcW w:w="1744" w:type="pct"/>
                  <w:vMerge w:val="continue"/>
                  <w:tcBorders>
                    <w:tl2br w:val="nil"/>
                    <w:tr2bl w:val="nil"/>
                  </w:tcBorders>
                  <w:vAlign w:val="center"/>
                </w:tcPr>
                <w:p>
                  <w:pPr>
                    <w:adjustRightInd w:val="0"/>
                    <w:jc w:val="center"/>
                    <w:rPr>
                      <w:szCs w:val="21"/>
                    </w:rPr>
                  </w:pPr>
                </w:p>
              </w:tc>
              <w:tc>
                <w:tcPr>
                  <w:tcW w:w="1591" w:type="pct"/>
                  <w:tcBorders>
                    <w:tl2br w:val="nil"/>
                    <w:tr2bl w:val="nil"/>
                  </w:tcBorders>
                  <w:vAlign w:val="center"/>
                </w:tcPr>
                <w:p>
                  <w:pPr>
                    <w:tabs>
                      <w:tab w:val="right" w:pos="8906"/>
                    </w:tabs>
                    <w:adjustRightInd w:val="0"/>
                    <w:jc w:val="center"/>
                    <w:rPr>
                      <w:szCs w:val="21"/>
                    </w:rPr>
                  </w:pPr>
                  <w:r>
                    <w:rPr>
                      <w:rFonts w:hint="eastAsia"/>
                      <w:szCs w:val="21"/>
                    </w:rPr>
                    <w:t>7</w:t>
                  </w:r>
                  <w:r>
                    <w:rPr>
                      <w:szCs w:val="21"/>
                    </w:rPr>
                    <w:t>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409" w:type="pct"/>
                  <w:gridSpan w:val="2"/>
                  <w:tcBorders>
                    <w:tl2br w:val="nil"/>
                    <w:tr2bl w:val="nil"/>
                  </w:tcBorders>
                  <w:vAlign w:val="center"/>
                </w:tcPr>
                <w:p>
                  <w:pPr>
                    <w:adjustRightInd w:val="0"/>
                    <w:jc w:val="center"/>
                    <w:rPr>
                      <w:szCs w:val="21"/>
                    </w:rPr>
                  </w:pPr>
                  <w:r>
                    <w:rPr>
                      <w:szCs w:val="21"/>
                    </w:rPr>
                    <w:t>标准值</w:t>
                  </w:r>
                </w:p>
              </w:tc>
              <w:tc>
                <w:tcPr>
                  <w:tcW w:w="1591" w:type="pct"/>
                  <w:tcBorders>
                    <w:tl2br w:val="nil"/>
                    <w:tr2bl w:val="nil"/>
                  </w:tcBorders>
                  <w:vAlign w:val="center"/>
                </w:tcPr>
                <w:p>
                  <w:pPr>
                    <w:adjustRightInd w:val="0"/>
                    <w:jc w:val="center"/>
                    <w:rPr>
                      <w:szCs w:val="21"/>
                    </w:rPr>
                  </w:pPr>
                  <w:r>
                    <w:rPr>
                      <w:szCs w:val="21"/>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409" w:type="pct"/>
                  <w:gridSpan w:val="2"/>
                  <w:tcBorders>
                    <w:tl2br w:val="nil"/>
                    <w:tr2bl w:val="nil"/>
                  </w:tcBorders>
                  <w:vAlign w:val="center"/>
                </w:tcPr>
                <w:p>
                  <w:pPr>
                    <w:adjustRightInd w:val="0"/>
                    <w:jc w:val="center"/>
                    <w:rPr>
                      <w:szCs w:val="21"/>
                    </w:rPr>
                  </w:pPr>
                  <w:r>
                    <w:rPr>
                      <w:szCs w:val="21"/>
                    </w:rPr>
                    <w:t>达标情况</w:t>
                  </w:r>
                </w:p>
              </w:tc>
              <w:tc>
                <w:tcPr>
                  <w:tcW w:w="1591" w:type="pct"/>
                  <w:tcBorders>
                    <w:tl2br w:val="nil"/>
                    <w:tr2bl w:val="nil"/>
                  </w:tcBorders>
                  <w:vAlign w:val="center"/>
                </w:tcPr>
                <w:p>
                  <w:pPr>
                    <w:adjustRightInd w:val="0"/>
                    <w:jc w:val="center"/>
                    <w:rPr>
                      <w:szCs w:val="21"/>
                    </w:rPr>
                  </w:pPr>
                  <w:r>
                    <w:rPr>
                      <w:szCs w:val="21"/>
                    </w:rPr>
                    <w:t>达标</w:t>
                  </w:r>
                </w:p>
              </w:tc>
            </w:tr>
          </w:tbl>
          <w:p>
            <w:pPr>
              <w:widowControl/>
              <w:adjustRightInd w:val="0"/>
              <w:spacing w:before="120" w:beforeLines="50" w:line="360" w:lineRule="auto"/>
              <w:ind w:firstLine="480" w:firstLineChars="200"/>
              <w:rPr>
                <w:sz w:val="24"/>
              </w:rPr>
            </w:pPr>
            <w:r>
              <w:rPr>
                <w:kern w:val="0"/>
                <w:sz w:val="24"/>
              </w:rPr>
              <w:t>根据引用监测结果可知，引用</w:t>
            </w:r>
            <w:r>
              <w:rPr>
                <w:rFonts w:hint="eastAsia"/>
                <w:kern w:val="0"/>
                <w:sz w:val="24"/>
              </w:rPr>
              <w:t>监测点位</w:t>
            </w:r>
            <w:r>
              <w:rPr>
                <w:kern w:val="0"/>
                <w:sz w:val="24"/>
              </w:rPr>
              <w:t>TSP日均值浓度</w:t>
            </w:r>
            <w:r>
              <w:rPr>
                <w:rFonts w:hint="eastAsia"/>
                <w:kern w:val="0"/>
                <w:sz w:val="24"/>
              </w:rPr>
              <w:t>、</w:t>
            </w:r>
            <w:r>
              <w:rPr>
                <w:kern w:val="0"/>
                <w:sz w:val="24"/>
              </w:rPr>
              <w:t>NO</w:t>
            </w:r>
            <w:r>
              <w:rPr>
                <w:kern w:val="0"/>
                <w:sz w:val="24"/>
                <w:vertAlign w:val="subscript"/>
              </w:rPr>
              <w:t>X</w:t>
            </w:r>
            <w:r>
              <w:rPr>
                <w:rFonts w:hint="eastAsia"/>
                <w:kern w:val="0"/>
                <w:sz w:val="24"/>
              </w:rPr>
              <w:t>小时浓度</w:t>
            </w:r>
            <w:r>
              <w:rPr>
                <w:kern w:val="0"/>
                <w:sz w:val="24"/>
              </w:rPr>
              <w:t>能够达到《环境空气质量标准》（GB3095-2012）二级评价标准要求</w:t>
            </w:r>
            <w:r>
              <w:rPr>
                <w:rFonts w:hint="eastAsia"/>
                <w:sz w:val="24"/>
              </w:rPr>
              <w:t>。</w:t>
            </w:r>
          </w:p>
          <w:p>
            <w:pPr>
              <w:widowControl/>
              <w:adjustRightInd w:val="0"/>
              <w:spacing w:line="360" w:lineRule="auto"/>
              <w:ind w:firstLine="480" w:firstLineChars="200"/>
              <w:rPr>
                <w:rFonts w:cs="宋体"/>
                <w:kern w:val="0"/>
                <w:lang w:bidi="ar"/>
              </w:rPr>
            </w:pPr>
            <w:r>
              <w:rPr>
                <w:kern w:val="0"/>
                <w:sz w:val="24"/>
              </w:rPr>
              <w:t>项目区环境空气质量满足功能区要求</w:t>
            </w:r>
            <w:r>
              <w:rPr>
                <w:rFonts w:hint="eastAsia"/>
                <w:b/>
                <w:szCs w:val="21"/>
              </w:rPr>
              <w:t>。</w:t>
            </w:r>
          </w:p>
          <w:p>
            <w:pPr>
              <w:adjustRightInd w:val="0"/>
              <w:spacing w:line="360" w:lineRule="auto"/>
              <w:ind w:firstLine="482" w:firstLineChars="200"/>
              <w:rPr>
                <w:b/>
                <w:bCs/>
                <w:sz w:val="24"/>
                <w:szCs w:val="21"/>
              </w:rPr>
            </w:pPr>
            <w:r>
              <w:rPr>
                <w:rFonts w:hint="eastAsia"/>
                <w:b/>
                <w:bCs/>
                <w:sz w:val="24"/>
                <w:szCs w:val="21"/>
              </w:rPr>
              <w:t>2、地表水环境质量现状</w:t>
            </w:r>
          </w:p>
          <w:p>
            <w:pPr>
              <w:widowControl/>
              <w:spacing w:line="360" w:lineRule="auto"/>
              <w:ind w:firstLine="480" w:firstLineChars="200"/>
              <w:rPr>
                <w:kern w:val="0"/>
                <w:sz w:val="24"/>
                <w:lang w:val="zh-CN"/>
              </w:rPr>
            </w:pPr>
            <w:r>
              <w:rPr>
                <w:rFonts w:hint="eastAsia" w:cs="宋体"/>
                <w:kern w:val="0"/>
                <w:sz w:val="24"/>
                <w:lang w:bidi="ar"/>
              </w:rPr>
              <w:t>本项目周边的地表水体为北侧</w:t>
            </w:r>
            <w:r>
              <w:rPr>
                <w:kern w:val="0"/>
                <w:sz w:val="24"/>
                <w:lang w:bidi="ar"/>
              </w:rPr>
              <w:t>2100m</w:t>
            </w:r>
            <w:r>
              <w:rPr>
                <w:rFonts w:hint="eastAsia" w:cs="宋体"/>
                <w:kern w:val="0"/>
                <w:sz w:val="24"/>
                <w:lang w:bidi="ar"/>
              </w:rPr>
              <w:t>的丰乐小河，丰乐小河汇入果马河（羊街河）。根据云南省水利厅</w:t>
            </w:r>
            <w:r>
              <w:rPr>
                <w:kern w:val="0"/>
                <w:sz w:val="24"/>
                <w:lang w:bidi="ar"/>
              </w:rPr>
              <w:t>2014</w:t>
            </w:r>
            <w:r>
              <w:rPr>
                <w:rFonts w:hint="eastAsia" w:cs="宋体"/>
                <w:kern w:val="0"/>
                <w:sz w:val="24"/>
                <w:lang w:bidi="ar"/>
              </w:rPr>
              <w:t>年</w:t>
            </w:r>
            <w:r>
              <w:rPr>
                <w:kern w:val="0"/>
                <w:sz w:val="24"/>
                <w:lang w:bidi="ar"/>
              </w:rPr>
              <w:t>5</w:t>
            </w:r>
            <w:r>
              <w:rPr>
                <w:rFonts w:hint="eastAsia" w:cs="宋体"/>
                <w:kern w:val="0"/>
                <w:sz w:val="24"/>
                <w:lang w:bidi="ar"/>
              </w:rPr>
              <w:t>月发布的《云南省水功能区划》（</w:t>
            </w:r>
            <w:r>
              <w:rPr>
                <w:kern w:val="0"/>
                <w:sz w:val="24"/>
                <w:lang w:bidi="ar"/>
              </w:rPr>
              <w:t>2014</w:t>
            </w:r>
            <w:r>
              <w:rPr>
                <w:rFonts w:hint="eastAsia" w:cs="宋体"/>
                <w:kern w:val="0"/>
                <w:sz w:val="24"/>
                <w:lang w:bidi="ar"/>
              </w:rPr>
              <w:t>年修订），牛栏江（寻甸县河源</w:t>
            </w:r>
            <w:r>
              <w:rPr>
                <w:kern w:val="0"/>
                <w:sz w:val="24"/>
                <w:lang w:bidi="ar"/>
              </w:rPr>
              <w:t>—</w:t>
            </w:r>
            <w:r>
              <w:rPr>
                <w:rFonts w:hint="eastAsia"/>
                <w:kern w:val="0"/>
                <w:sz w:val="24"/>
                <w:lang w:bidi="ar"/>
              </w:rPr>
              <w:t>沾益区</w:t>
            </w:r>
            <w:r>
              <w:rPr>
                <w:rFonts w:hint="eastAsia" w:cs="宋体"/>
                <w:kern w:val="0"/>
                <w:sz w:val="24"/>
                <w:lang w:bidi="ar"/>
              </w:rPr>
              <w:t>德泽水库坝址）水功能区划为牛栏江</w:t>
            </w:r>
            <w:r>
              <w:rPr>
                <w:kern w:val="0"/>
                <w:sz w:val="24"/>
                <w:lang w:bidi="ar"/>
              </w:rPr>
              <w:t>-</w:t>
            </w:r>
            <w:r>
              <w:rPr>
                <w:rFonts w:hint="eastAsia" w:cs="宋体"/>
                <w:kern w:val="0"/>
                <w:sz w:val="24"/>
                <w:lang w:bidi="ar"/>
              </w:rPr>
              <w:t>滇池补水水源保护区。现状水质为</w:t>
            </w:r>
            <w:r>
              <w:rPr>
                <w:kern w:val="0"/>
                <w:sz w:val="24"/>
                <w:lang w:bidi="ar"/>
              </w:rPr>
              <w:t>Ⅲ</w:t>
            </w:r>
            <w:r>
              <w:rPr>
                <w:rFonts w:hint="eastAsia" w:cs="宋体"/>
                <w:kern w:val="0"/>
                <w:sz w:val="24"/>
                <w:lang w:bidi="ar"/>
              </w:rPr>
              <w:t>类～</w:t>
            </w:r>
            <w:r>
              <w:rPr>
                <w:kern w:val="0"/>
                <w:sz w:val="24"/>
                <w:lang w:bidi="ar"/>
              </w:rPr>
              <w:t>Ⅴ</w:t>
            </w:r>
            <w:r>
              <w:rPr>
                <w:rFonts w:hint="eastAsia" w:cs="宋体"/>
                <w:kern w:val="0"/>
                <w:sz w:val="24"/>
                <w:lang w:bidi="ar"/>
              </w:rPr>
              <w:t>类，</w:t>
            </w:r>
            <w:r>
              <w:rPr>
                <w:kern w:val="0"/>
                <w:sz w:val="24"/>
                <w:lang w:bidi="ar"/>
              </w:rPr>
              <w:t>2030</w:t>
            </w:r>
            <w:r>
              <w:rPr>
                <w:rFonts w:hint="eastAsia" w:cs="宋体"/>
                <w:kern w:val="0"/>
                <w:sz w:val="24"/>
                <w:lang w:bidi="ar"/>
              </w:rPr>
              <w:t>年水质目标为</w:t>
            </w:r>
            <w:r>
              <w:rPr>
                <w:kern w:val="0"/>
                <w:sz w:val="24"/>
                <w:lang w:bidi="ar"/>
              </w:rPr>
              <w:t>III</w:t>
            </w:r>
            <w:r>
              <w:rPr>
                <w:rFonts w:hint="eastAsia" w:cs="宋体"/>
                <w:kern w:val="0"/>
                <w:sz w:val="24"/>
                <w:lang w:bidi="ar"/>
              </w:rPr>
              <w:t>类，羊街河（果马河）位于牛栏江</w:t>
            </w:r>
            <w:r>
              <w:rPr>
                <w:kern w:val="0"/>
                <w:sz w:val="24"/>
                <w:lang w:bidi="ar"/>
              </w:rPr>
              <w:t>-</w:t>
            </w:r>
            <w:r>
              <w:rPr>
                <w:rFonts w:hint="eastAsia" w:cs="宋体"/>
                <w:kern w:val="0"/>
                <w:sz w:val="24"/>
                <w:lang w:bidi="ar"/>
              </w:rPr>
              <w:t>滇池补水水源保护区，寻甸县河源</w:t>
            </w:r>
            <w:r>
              <w:rPr>
                <w:kern w:val="0"/>
                <w:sz w:val="24"/>
                <w:lang w:bidi="ar"/>
              </w:rPr>
              <w:t>—</w:t>
            </w:r>
            <w:r>
              <w:rPr>
                <w:rFonts w:hint="eastAsia"/>
                <w:kern w:val="0"/>
                <w:sz w:val="24"/>
                <w:lang w:bidi="ar"/>
              </w:rPr>
              <w:t>沾益区</w:t>
            </w:r>
            <w:r>
              <w:rPr>
                <w:rFonts w:hint="eastAsia" w:cs="宋体"/>
                <w:kern w:val="0"/>
                <w:sz w:val="24"/>
                <w:lang w:bidi="ar"/>
              </w:rPr>
              <w:t>德泽水库坝址段，功能类别为</w:t>
            </w:r>
            <w:r>
              <w:rPr>
                <w:kern w:val="0"/>
                <w:sz w:val="24"/>
                <w:lang w:bidi="ar"/>
              </w:rPr>
              <w:t>III</w:t>
            </w:r>
            <w:r>
              <w:rPr>
                <w:rFonts w:hint="eastAsia" w:cs="宋体"/>
                <w:kern w:val="0"/>
                <w:sz w:val="24"/>
                <w:lang w:bidi="ar"/>
              </w:rPr>
              <w:t>类水，丰乐小河、果马河（羊街河）执行《地表水环境质量标准》（</w:t>
            </w:r>
            <w:r>
              <w:rPr>
                <w:kern w:val="0"/>
                <w:sz w:val="24"/>
                <w:lang w:bidi="ar"/>
              </w:rPr>
              <w:t>GB3838-2002</w:t>
            </w:r>
            <w:r>
              <w:rPr>
                <w:rFonts w:hint="eastAsia" w:cs="宋体"/>
                <w:kern w:val="0"/>
                <w:sz w:val="24"/>
                <w:lang w:bidi="ar"/>
              </w:rPr>
              <w:t>）</w:t>
            </w:r>
            <w:r>
              <w:rPr>
                <w:kern w:val="0"/>
                <w:sz w:val="24"/>
                <w:lang w:bidi="ar"/>
              </w:rPr>
              <w:t>III</w:t>
            </w:r>
            <w:r>
              <w:rPr>
                <w:rFonts w:hint="eastAsia" w:cs="宋体"/>
                <w:kern w:val="0"/>
                <w:sz w:val="24"/>
                <w:lang w:bidi="ar"/>
              </w:rPr>
              <w:t>类水体标准</w:t>
            </w:r>
            <w:r>
              <w:rPr>
                <w:kern w:val="0"/>
                <w:sz w:val="24"/>
                <w:lang w:val="zh-CN"/>
              </w:rPr>
              <w:t>。</w:t>
            </w:r>
          </w:p>
          <w:p>
            <w:pPr>
              <w:widowControl/>
              <w:spacing w:line="360" w:lineRule="auto"/>
              <w:ind w:firstLine="480" w:firstLineChars="200"/>
              <w:rPr>
                <w:sz w:val="24"/>
              </w:rPr>
            </w:pPr>
            <w:r>
              <w:rPr>
                <w:sz w:val="24"/>
              </w:rPr>
              <w:t>根据寻甸县人民政府发布的</w:t>
            </w:r>
            <w:r>
              <w:rPr>
                <w:rFonts w:hint="eastAsia"/>
                <w:sz w:val="24"/>
              </w:rPr>
              <w:t>“</w:t>
            </w:r>
            <w:r>
              <w:rPr>
                <w:sz w:val="24"/>
              </w:rPr>
              <w:t>2023年6月寻甸县水环境质量监测月报</w:t>
            </w:r>
            <w:r>
              <w:rPr>
                <w:rFonts w:hint="eastAsia"/>
                <w:sz w:val="24"/>
              </w:rPr>
              <w:t>”</w:t>
            </w:r>
            <w:r>
              <w:rPr>
                <w:sz w:val="24"/>
              </w:rPr>
              <w:t>，寻甸县环境监测站2023年6月6日对羊街河（果马河）李家坝断面的水质监测结果为Ⅴ类，总磷超标1.00倍，高锰酸盐指数超标1.00倍，化学需氧量超标0.80倍。羊街河（果马河）李家坝断面位于项目所在断面下游，位于项目西南侧4.8km处。故项目区域地表水羊街河（果马河）不能满足GB3838-2002《地表水环境质量标准》III类标准要求</w:t>
            </w:r>
            <w:r>
              <w:rPr>
                <w:sz w:val="24"/>
                <w:szCs w:val="22"/>
              </w:rPr>
              <w:t>。根据调查，超标原因可能是由于接纳了沿途居民生活污水、农业面源废水以及沿途路面的初期雨水造成的。</w:t>
            </w:r>
          </w:p>
          <w:p>
            <w:pPr>
              <w:adjustRightInd w:val="0"/>
              <w:spacing w:line="360" w:lineRule="auto"/>
              <w:ind w:firstLine="482" w:firstLineChars="200"/>
              <w:rPr>
                <w:b/>
                <w:bCs/>
                <w:sz w:val="24"/>
                <w:szCs w:val="21"/>
              </w:rPr>
            </w:pPr>
            <w:r>
              <w:rPr>
                <w:rFonts w:hint="eastAsia"/>
                <w:b/>
                <w:bCs/>
                <w:sz w:val="24"/>
                <w:szCs w:val="21"/>
              </w:rPr>
              <w:t>3、声环境质量现状</w:t>
            </w:r>
          </w:p>
          <w:p>
            <w:pPr>
              <w:adjustRightInd w:val="0"/>
              <w:spacing w:line="360" w:lineRule="auto"/>
              <w:ind w:firstLine="480" w:firstLineChars="200"/>
              <w:rPr>
                <w:sz w:val="24"/>
                <w:szCs w:val="21"/>
              </w:rPr>
            </w:pPr>
            <w:r>
              <w:rPr>
                <w:sz w:val="24"/>
                <w:szCs w:val="21"/>
              </w:rPr>
              <w:t>建设项目场址位于</w:t>
            </w:r>
            <w:r>
              <w:rPr>
                <w:rFonts w:hint="eastAsia"/>
                <w:sz w:val="24"/>
                <w:szCs w:val="21"/>
              </w:rPr>
              <w:t>寻甸特色产业园区羊街片区</w:t>
            </w:r>
            <w:r>
              <w:rPr>
                <w:sz w:val="24"/>
                <w:szCs w:val="21"/>
              </w:rPr>
              <w:t>，</w:t>
            </w:r>
            <w:r>
              <w:rPr>
                <w:rFonts w:hint="eastAsia"/>
                <w:sz w:val="24"/>
                <w:szCs w:val="21"/>
              </w:rPr>
              <w:t>属于规划的工业区，项目所在区域</w:t>
            </w:r>
            <w:r>
              <w:rPr>
                <w:sz w:val="24"/>
                <w:szCs w:val="21"/>
              </w:rPr>
              <w:t>执行《声环境质量标准》（GB3096-2008）</w:t>
            </w:r>
            <w:r>
              <w:rPr>
                <w:rFonts w:hint="eastAsia"/>
                <w:sz w:val="24"/>
                <w:szCs w:val="21"/>
              </w:rPr>
              <w:t>3</w:t>
            </w:r>
            <w:r>
              <w:rPr>
                <w:sz w:val="24"/>
                <w:szCs w:val="21"/>
              </w:rPr>
              <w:t>类区标准。</w:t>
            </w:r>
          </w:p>
          <w:p>
            <w:pPr>
              <w:adjustRightInd w:val="0"/>
              <w:spacing w:line="360" w:lineRule="auto"/>
              <w:ind w:firstLine="480" w:firstLineChars="200"/>
              <w:rPr>
                <w:b/>
                <w:sz w:val="24"/>
              </w:rPr>
            </w:pPr>
            <w:r>
              <w:rPr>
                <w:sz w:val="24"/>
              </w:rPr>
              <w:t>根据调查资料和现场踏勘，项目区周边200m范围主要为</w:t>
            </w:r>
            <w:r>
              <w:rPr>
                <w:rFonts w:hint="eastAsia"/>
                <w:sz w:val="24"/>
              </w:rPr>
              <w:t>工业企业</w:t>
            </w:r>
            <w:r>
              <w:rPr>
                <w:sz w:val="24"/>
              </w:rPr>
              <w:t>，</w:t>
            </w:r>
            <w:r>
              <w:rPr>
                <w:rFonts w:hint="eastAsia"/>
                <w:sz w:val="24"/>
              </w:rPr>
              <w:t>根据建设项目环境影响报告表编制技术指南（污染影响类），本项目厂界外50米范围内不存在声环境保护目标，不用开展声环境质量现状监测</w:t>
            </w:r>
            <w:r>
              <w:rPr>
                <w:kern w:val="0"/>
                <w:sz w:val="24"/>
              </w:rPr>
              <w:t>。</w:t>
            </w:r>
            <w:r>
              <w:rPr>
                <w:bCs/>
                <w:sz w:val="24"/>
              </w:rPr>
              <w:t>根据《2022年度昆明市生态环境状况公报》：</w:t>
            </w:r>
            <w:r>
              <w:rPr>
                <w:rFonts w:hint="eastAsia"/>
                <w:bCs/>
                <w:sz w:val="24"/>
              </w:rPr>
              <w:t>2</w:t>
            </w:r>
            <w:r>
              <w:rPr>
                <w:bCs/>
                <w:sz w:val="24"/>
              </w:rPr>
              <w:t>022</w:t>
            </w:r>
            <w:r>
              <w:rPr>
                <w:rFonts w:hint="eastAsia"/>
                <w:bCs/>
                <w:sz w:val="24"/>
              </w:rPr>
              <w:t>年寻甸县昼间区域环境噪声平均等效声级为4</w:t>
            </w:r>
            <w:r>
              <w:rPr>
                <w:bCs/>
                <w:sz w:val="24"/>
              </w:rPr>
              <w:t>8.6</w:t>
            </w:r>
            <w:r>
              <w:rPr>
                <w:rFonts w:hint="eastAsia"/>
                <w:bCs/>
                <w:sz w:val="24"/>
              </w:rPr>
              <w:t>分贝。根据区域环境噪声质量划分等级进行评价，总体水平为一级（好）。另外，</w:t>
            </w:r>
            <w:r>
              <w:rPr>
                <w:rFonts w:hint="eastAsia" w:cs="宋体"/>
                <w:kern w:val="0"/>
                <w:sz w:val="24"/>
                <w:lang w:bidi="ar"/>
              </w:rPr>
              <w:t>根据</w:t>
            </w:r>
            <w:r>
              <w:rPr>
                <w:rFonts w:hint="eastAsia"/>
                <w:sz w:val="24"/>
              </w:rPr>
              <w:t>云南健牛环境监测有限公司</w:t>
            </w:r>
            <w:r>
              <w:rPr>
                <w:kern w:val="0"/>
                <w:sz w:val="24"/>
                <w:lang w:bidi="ar"/>
              </w:rPr>
              <w:t>202</w:t>
            </w:r>
            <w:r>
              <w:rPr>
                <w:rFonts w:hint="eastAsia"/>
                <w:kern w:val="0"/>
                <w:sz w:val="24"/>
                <w:lang w:bidi="ar"/>
              </w:rPr>
              <w:t>2</w:t>
            </w:r>
            <w:r>
              <w:rPr>
                <w:rFonts w:hint="eastAsia" w:cs="宋体"/>
                <w:kern w:val="0"/>
                <w:sz w:val="24"/>
                <w:lang w:bidi="ar"/>
              </w:rPr>
              <w:t>年</w:t>
            </w:r>
            <w:r>
              <w:rPr>
                <w:rFonts w:hint="eastAsia"/>
                <w:kern w:val="0"/>
                <w:sz w:val="24"/>
                <w:lang w:bidi="ar"/>
              </w:rPr>
              <w:t>10</w:t>
            </w:r>
            <w:r>
              <w:rPr>
                <w:rFonts w:hint="eastAsia" w:cs="宋体"/>
                <w:kern w:val="0"/>
                <w:sz w:val="24"/>
                <w:lang w:bidi="ar"/>
              </w:rPr>
              <w:t>月30日出具的《自行检测报告》（</w:t>
            </w:r>
            <w:r>
              <w:rPr>
                <w:rFonts w:hint="eastAsia"/>
                <w:kern w:val="0"/>
                <w:sz w:val="24"/>
                <w:lang w:bidi="ar"/>
              </w:rPr>
              <w:t>YNJN检字[2022]-10077号</w:t>
            </w:r>
            <w:r>
              <w:rPr>
                <w:rFonts w:hint="eastAsia" w:cs="宋体"/>
                <w:kern w:val="0"/>
                <w:sz w:val="24"/>
                <w:lang w:bidi="ar"/>
              </w:rPr>
              <w:t>）中</w:t>
            </w:r>
            <w:r>
              <w:rPr>
                <w:rFonts w:hint="eastAsia"/>
                <w:sz w:val="24"/>
              </w:rPr>
              <w:t>2022年10月24日对厂界噪声监测</w:t>
            </w:r>
            <w:r>
              <w:rPr>
                <w:rFonts w:hint="eastAsia" w:cs="宋体"/>
                <w:kern w:val="0"/>
                <w:sz w:val="24"/>
                <w:lang w:bidi="ar"/>
              </w:rPr>
              <w:t>数据</w:t>
            </w:r>
            <w:r>
              <w:rPr>
                <w:rFonts w:hint="eastAsia"/>
                <w:sz w:val="24"/>
              </w:rPr>
              <w:t>，监测结果见下表：</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表3</w:t>
            </w:r>
            <w:r>
              <w:rPr>
                <w:rFonts w:hint="eastAsia" w:cs="宋体"/>
                <w:b/>
                <w:bCs/>
                <w:kern w:val="0"/>
                <w:sz w:val="24"/>
                <w:szCs w:val="20"/>
                <w:lang w:bidi="ar"/>
              </w:rPr>
              <w:t>-</w:t>
            </w:r>
            <w:r>
              <w:rPr>
                <w:rFonts w:cs="宋体"/>
                <w:b/>
                <w:bCs/>
                <w:kern w:val="0"/>
                <w:sz w:val="24"/>
                <w:szCs w:val="20"/>
                <w:lang w:bidi="ar"/>
              </w:rPr>
              <w:t>4</w:t>
            </w:r>
            <w:r>
              <w:rPr>
                <w:rFonts w:hint="eastAsia" w:cs="宋体"/>
                <w:b/>
                <w:bCs/>
                <w:kern w:val="0"/>
                <w:sz w:val="24"/>
                <w:szCs w:val="20"/>
                <w:lang w:bidi="ar"/>
              </w:rPr>
              <w:t xml:space="preserve">  厂界</w:t>
            </w:r>
            <w:r>
              <w:rPr>
                <w:rFonts w:cs="宋体"/>
                <w:b/>
                <w:bCs/>
                <w:kern w:val="0"/>
                <w:sz w:val="24"/>
                <w:szCs w:val="20"/>
                <w:lang w:bidi="ar"/>
              </w:rPr>
              <w:t>噪声</w:t>
            </w:r>
            <w:r>
              <w:rPr>
                <w:rFonts w:hint="eastAsia" w:cs="宋体"/>
                <w:b/>
                <w:bCs/>
                <w:kern w:val="0"/>
                <w:sz w:val="24"/>
                <w:szCs w:val="20"/>
                <w:lang w:bidi="ar"/>
              </w:rPr>
              <w:t>检测情况</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016"/>
              <w:gridCol w:w="1353"/>
              <w:gridCol w:w="1015"/>
              <w:gridCol w:w="135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Merge w:val="restart"/>
                  <w:vAlign w:val="center"/>
                </w:tcPr>
                <w:p>
                  <w:pPr>
                    <w:adjustRightInd w:val="0"/>
                    <w:jc w:val="center"/>
                    <w:rPr>
                      <w:b/>
                      <w:szCs w:val="21"/>
                    </w:rPr>
                  </w:pPr>
                  <w:r>
                    <w:rPr>
                      <w:rFonts w:hint="eastAsia"/>
                      <w:b/>
                      <w:szCs w:val="21"/>
                    </w:rPr>
                    <w:t>监测点位</w:t>
                  </w:r>
                </w:p>
              </w:tc>
              <w:tc>
                <w:tcPr>
                  <w:tcW w:w="2919" w:type="pct"/>
                  <w:gridSpan w:val="4"/>
                  <w:vAlign w:val="center"/>
                </w:tcPr>
                <w:p>
                  <w:pPr>
                    <w:adjustRightInd w:val="0"/>
                    <w:jc w:val="center"/>
                    <w:rPr>
                      <w:b/>
                      <w:szCs w:val="21"/>
                    </w:rPr>
                  </w:pPr>
                  <w:r>
                    <w:rPr>
                      <w:rFonts w:hint="eastAsia"/>
                      <w:b/>
                      <w:szCs w:val="21"/>
                    </w:rPr>
                    <w:t>检测结果等效声级[</w:t>
                  </w:r>
                  <w:r>
                    <w:rPr>
                      <w:b/>
                      <w:szCs w:val="21"/>
                    </w:rPr>
                    <w:t>dB(A)</w:t>
                  </w:r>
                  <w:r>
                    <w:rPr>
                      <w:rFonts w:hint="eastAsia"/>
                      <w:b/>
                      <w:szCs w:val="21"/>
                    </w:rPr>
                    <w:t>]</w:t>
                  </w:r>
                </w:p>
              </w:tc>
              <w:tc>
                <w:tcPr>
                  <w:tcW w:w="1040" w:type="pct"/>
                  <w:vMerge w:val="restart"/>
                  <w:vAlign w:val="center"/>
                </w:tcPr>
                <w:p>
                  <w:pPr>
                    <w:adjustRightInd w:val="0"/>
                    <w:jc w:val="center"/>
                    <w:rPr>
                      <w:b/>
                      <w:szCs w:val="21"/>
                    </w:rPr>
                  </w:pPr>
                  <w:r>
                    <w:rPr>
                      <w:rFonts w:hint="eastAsia"/>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Merge w:val="continue"/>
                  <w:vAlign w:val="center"/>
                </w:tcPr>
                <w:p>
                  <w:pPr>
                    <w:adjustRightInd w:val="0"/>
                    <w:jc w:val="center"/>
                    <w:rPr>
                      <w:b/>
                      <w:szCs w:val="21"/>
                    </w:rPr>
                  </w:pPr>
                </w:p>
              </w:tc>
              <w:tc>
                <w:tcPr>
                  <w:tcW w:w="625" w:type="pct"/>
                  <w:vAlign w:val="center"/>
                </w:tcPr>
                <w:p>
                  <w:pPr>
                    <w:adjustRightInd w:val="0"/>
                    <w:jc w:val="center"/>
                    <w:rPr>
                      <w:b/>
                      <w:szCs w:val="21"/>
                    </w:rPr>
                  </w:pPr>
                  <w:r>
                    <w:rPr>
                      <w:rFonts w:hint="eastAsia"/>
                      <w:b/>
                      <w:szCs w:val="21"/>
                    </w:rPr>
                    <w:t>昼间</w:t>
                  </w:r>
                </w:p>
              </w:tc>
              <w:tc>
                <w:tcPr>
                  <w:tcW w:w="833" w:type="pct"/>
                  <w:vAlign w:val="center"/>
                </w:tcPr>
                <w:p>
                  <w:pPr>
                    <w:adjustRightInd w:val="0"/>
                    <w:jc w:val="center"/>
                    <w:rPr>
                      <w:b/>
                      <w:szCs w:val="21"/>
                    </w:rPr>
                  </w:pPr>
                  <w:r>
                    <w:rPr>
                      <w:rFonts w:hint="eastAsia"/>
                      <w:b/>
                      <w:szCs w:val="21"/>
                    </w:rPr>
                    <w:t>标准值</w:t>
                  </w:r>
                </w:p>
              </w:tc>
              <w:tc>
                <w:tcPr>
                  <w:tcW w:w="625" w:type="pct"/>
                  <w:vAlign w:val="center"/>
                </w:tcPr>
                <w:p>
                  <w:pPr>
                    <w:adjustRightInd w:val="0"/>
                    <w:jc w:val="center"/>
                    <w:rPr>
                      <w:b/>
                      <w:szCs w:val="21"/>
                    </w:rPr>
                  </w:pPr>
                  <w:r>
                    <w:rPr>
                      <w:rFonts w:hint="eastAsia"/>
                      <w:b/>
                      <w:szCs w:val="21"/>
                    </w:rPr>
                    <w:t>夜间</w:t>
                  </w:r>
                </w:p>
              </w:tc>
              <w:tc>
                <w:tcPr>
                  <w:tcW w:w="834" w:type="pct"/>
                  <w:vAlign w:val="center"/>
                </w:tcPr>
                <w:p>
                  <w:pPr>
                    <w:adjustRightInd w:val="0"/>
                    <w:jc w:val="center"/>
                    <w:rPr>
                      <w:b/>
                      <w:szCs w:val="21"/>
                    </w:rPr>
                  </w:pPr>
                  <w:r>
                    <w:rPr>
                      <w:rFonts w:hint="eastAsia"/>
                      <w:b/>
                      <w:szCs w:val="21"/>
                    </w:rPr>
                    <w:t>标准值</w:t>
                  </w:r>
                </w:p>
              </w:tc>
              <w:tc>
                <w:tcPr>
                  <w:tcW w:w="1040" w:type="pct"/>
                  <w:vMerge w:val="continue"/>
                  <w:vAlign w:val="center"/>
                </w:tcPr>
                <w:p>
                  <w:pPr>
                    <w:adjustRightInd w:val="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adjustRightInd w:val="0"/>
                    <w:jc w:val="center"/>
                    <w:rPr>
                      <w:szCs w:val="21"/>
                    </w:rPr>
                  </w:pPr>
                  <w:r>
                    <w:rPr>
                      <w:rFonts w:hint="eastAsia"/>
                      <w:szCs w:val="21"/>
                    </w:rPr>
                    <w:t>厂界东</w:t>
                  </w:r>
                </w:p>
              </w:tc>
              <w:tc>
                <w:tcPr>
                  <w:tcW w:w="625" w:type="pct"/>
                  <w:vAlign w:val="center"/>
                </w:tcPr>
                <w:p>
                  <w:pPr>
                    <w:adjustRightInd w:val="0"/>
                    <w:jc w:val="center"/>
                    <w:rPr>
                      <w:szCs w:val="21"/>
                    </w:rPr>
                  </w:pPr>
                  <w:r>
                    <w:rPr>
                      <w:rFonts w:hint="eastAsia"/>
                      <w:szCs w:val="21"/>
                    </w:rPr>
                    <w:t>57</w:t>
                  </w:r>
                </w:p>
              </w:tc>
              <w:tc>
                <w:tcPr>
                  <w:tcW w:w="833" w:type="pct"/>
                  <w:vAlign w:val="center"/>
                </w:tcPr>
                <w:p>
                  <w:pPr>
                    <w:adjustRightInd w:val="0"/>
                    <w:jc w:val="center"/>
                    <w:rPr>
                      <w:szCs w:val="21"/>
                    </w:rPr>
                  </w:pPr>
                  <w:r>
                    <w:rPr>
                      <w:rFonts w:hint="eastAsia"/>
                      <w:szCs w:val="21"/>
                    </w:rPr>
                    <w:t>65</w:t>
                  </w:r>
                </w:p>
              </w:tc>
              <w:tc>
                <w:tcPr>
                  <w:tcW w:w="625" w:type="pct"/>
                  <w:vAlign w:val="center"/>
                </w:tcPr>
                <w:p>
                  <w:pPr>
                    <w:adjustRightInd w:val="0"/>
                    <w:jc w:val="center"/>
                    <w:rPr>
                      <w:szCs w:val="21"/>
                    </w:rPr>
                  </w:pPr>
                  <w:r>
                    <w:rPr>
                      <w:rFonts w:hint="eastAsia"/>
                      <w:szCs w:val="21"/>
                    </w:rPr>
                    <w:t>44</w:t>
                  </w:r>
                </w:p>
              </w:tc>
              <w:tc>
                <w:tcPr>
                  <w:tcW w:w="834" w:type="pct"/>
                  <w:vAlign w:val="center"/>
                </w:tcPr>
                <w:p>
                  <w:pPr>
                    <w:adjustRightInd w:val="0"/>
                    <w:jc w:val="center"/>
                    <w:rPr>
                      <w:szCs w:val="21"/>
                    </w:rPr>
                  </w:pPr>
                  <w:r>
                    <w:rPr>
                      <w:rFonts w:hint="eastAsia"/>
                      <w:szCs w:val="21"/>
                    </w:rPr>
                    <w:t>55</w:t>
                  </w:r>
                </w:p>
              </w:tc>
              <w:tc>
                <w:tcPr>
                  <w:tcW w:w="1040" w:type="pct"/>
                  <w:vAlign w:val="center"/>
                </w:tcPr>
                <w:p>
                  <w:pPr>
                    <w:adjustRightInd w:val="0"/>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adjustRightInd w:val="0"/>
                    <w:jc w:val="center"/>
                    <w:rPr>
                      <w:szCs w:val="21"/>
                    </w:rPr>
                  </w:pPr>
                  <w:r>
                    <w:rPr>
                      <w:rFonts w:hint="eastAsia"/>
                      <w:szCs w:val="21"/>
                    </w:rPr>
                    <w:t>厂界南</w:t>
                  </w:r>
                </w:p>
              </w:tc>
              <w:tc>
                <w:tcPr>
                  <w:tcW w:w="625" w:type="pct"/>
                  <w:vAlign w:val="center"/>
                </w:tcPr>
                <w:p>
                  <w:pPr>
                    <w:adjustRightInd w:val="0"/>
                    <w:jc w:val="center"/>
                    <w:rPr>
                      <w:szCs w:val="21"/>
                    </w:rPr>
                  </w:pPr>
                  <w:r>
                    <w:rPr>
                      <w:rFonts w:hint="eastAsia"/>
                      <w:szCs w:val="21"/>
                    </w:rPr>
                    <w:t>56</w:t>
                  </w:r>
                </w:p>
              </w:tc>
              <w:tc>
                <w:tcPr>
                  <w:tcW w:w="833" w:type="pct"/>
                  <w:vAlign w:val="center"/>
                </w:tcPr>
                <w:p>
                  <w:pPr>
                    <w:adjustRightInd w:val="0"/>
                    <w:jc w:val="center"/>
                    <w:rPr>
                      <w:szCs w:val="21"/>
                    </w:rPr>
                  </w:pPr>
                  <w:r>
                    <w:rPr>
                      <w:rFonts w:hint="eastAsia"/>
                      <w:szCs w:val="21"/>
                    </w:rPr>
                    <w:t>65</w:t>
                  </w:r>
                </w:p>
              </w:tc>
              <w:tc>
                <w:tcPr>
                  <w:tcW w:w="625" w:type="pct"/>
                  <w:vAlign w:val="center"/>
                </w:tcPr>
                <w:p>
                  <w:pPr>
                    <w:adjustRightInd w:val="0"/>
                    <w:jc w:val="center"/>
                    <w:rPr>
                      <w:szCs w:val="21"/>
                    </w:rPr>
                  </w:pPr>
                  <w:r>
                    <w:rPr>
                      <w:rFonts w:hint="eastAsia"/>
                      <w:szCs w:val="21"/>
                    </w:rPr>
                    <w:t>48</w:t>
                  </w:r>
                </w:p>
              </w:tc>
              <w:tc>
                <w:tcPr>
                  <w:tcW w:w="834" w:type="pct"/>
                  <w:vAlign w:val="center"/>
                </w:tcPr>
                <w:p>
                  <w:pPr>
                    <w:adjustRightInd w:val="0"/>
                    <w:jc w:val="center"/>
                    <w:rPr>
                      <w:szCs w:val="21"/>
                    </w:rPr>
                  </w:pPr>
                  <w:r>
                    <w:rPr>
                      <w:rFonts w:hint="eastAsia"/>
                      <w:szCs w:val="21"/>
                    </w:rPr>
                    <w:t>55</w:t>
                  </w:r>
                </w:p>
              </w:tc>
              <w:tc>
                <w:tcPr>
                  <w:tcW w:w="1040" w:type="pct"/>
                  <w:vAlign w:val="center"/>
                </w:tcPr>
                <w:p>
                  <w:pPr>
                    <w:adjustRightInd w:val="0"/>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adjustRightInd w:val="0"/>
                    <w:jc w:val="center"/>
                    <w:rPr>
                      <w:szCs w:val="21"/>
                    </w:rPr>
                  </w:pPr>
                  <w:r>
                    <w:rPr>
                      <w:rFonts w:hint="eastAsia"/>
                      <w:szCs w:val="21"/>
                    </w:rPr>
                    <w:t>厂界西</w:t>
                  </w:r>
                </w:p>
              </w:tc>
              <w:tc>
                <w:tcPr>
                  <w:tcW w:w="625" w:type="pct"/>
                  <w:vAlign w:val="center"/>
                </w:tcPr>
                <w:p>
                  <w:pPr>
                    <w:adjustRightInd w:val="0"/>
                    <w:jc w:val="center"/>
                    <w:rPr>
                      <w:szCs w:val="21"/>
                    </w:rPr>
                  </w:pPr>
                  <w:r>
                    <w:rPr>
                      <w:rFonts w:hint="eastAsia"/>
                      <w:szCs w:val="21"/>
                    </w:rPr>
                    <w:t>55</w:t>
                  </w:r>
                </w:p>
              </w:tc>
              <w:tc>
                <w:tcPr>
                  <w:tcW w:w="833" w:type="pct"/>
                  <w:vAlign w:val="center"/>
                </w:tcPr>
                <w:p>
                  <w:pPr>
                    <w:adjustRightInd w:val="0"/>
                    <w:jc w:val="center"/>
                    <w:rPr>
                      <w:szCs w:val="21"/>
                    </w:rPr>
                  </w:pPr>
                  <w:r>
                    <w:rPr>
                      <w:rFonts w:hint="eastAsia"/>
                      <w:szCs w:val="21"/>
                    </w:rPr>
                    <w:t>65</w:t>
                  </w:r>
                </w:p>
              </w:tc>
              <w:tc>
                <w:tcPr>
                  <w:tcW w:w="625" w:type="pct"/>
                  <w:vAlign w:val="center"/>
                </w:tcPr>
                <w:p>
                  <w:pPr>
                    <w:adjustRightInd w:val="0"/>
                    <w:jc w:val="center"/>
                    <w:rPr>
                      <w:szCs w:val="21"/>
                    </w:rPr>
                  </w:pPr>
                  <w:r>
                    <w:rPr>
                      <w:rFonts w:hint="eastAsia"/>
                      <w:szCs w:val="21"/>
                    </w:rPr>
                    <w:t>43</w:t>
                  </w:r>
                </w:p>
              </w:tc>
              <w:tc>
                <w:tcPr>
                  <w:tcW w:w="834" w:type="pct"/>
                  <w:vAlign w:val="center"/>
                </w:tcPr>
                <w:p>
                  <w:pPr>
                    <w:adjustRightInd w:val="0"/>
                    <w:jc w:val="center"/>
                    <w:rPr>
                      <w:szCs w:val="21"/>
                    </w:rPr>
                  </w:pPr>
                  <w:r>
                    <w:rPr>
                      <w:rFonts w:hint="eastAsia"/>
                      <w:szCs w:val="21"/>
                    </w:rPr>
                    <w:t>55</w:t>
                  </w:r>
                </w:p>
              </w:tc>
              <w:tc>
                <w:tcPr>
                  <w:tcW w:w="1040" w:type="pct"/>
                  <w:vAlign w:val="center"/>
                </w:tcPr>
                <w:p>
                  <w:pPr>
                    <w:adjustRightInd w:val="0"/>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adjustRightInd w:val="0"/>
                    <w:jc w:val="center"/>
                    <w:rPr>
                      <w:szCs w:val="21"/>
                    </w:rPr>
                  </w:pPr>
                  <w:r>
                    <w:rPr>
                      <w:rFonts w:hint="eastAsia"/>
                      <w:szCs w:val="21"/>
                    </w:rPr>
                    <w:t>厂界北</w:t>
                  </w:r>
                </w:p>
              </w:tc>
              <w:tc>
                <w:tcPr>
                  <w:tcW w:w="625" w:type="pct"/>
                  <w:vAlign w:val="center"/>
                </w:tcPr>
                <w:p>
                  <w:pPr>
                    <w:adjustRightInd w:val="0"/>
                    <w:jc w:val="center"/>
                    <w:rPr>
                      <w:szCs w:val="21"/>
                    </w:rPr>
                  </w:pPr>
                  <w:r>
                    <w:rPr>
                      <w:rFonts w:hint="eastAsia"/>
                      <w:szCs w:val="21"/>
                    </w:rPr>
                    <w:t>54</w:t>
                  </w:r>
                </w:p>
              </w:tc>
              <w:tc>
                <w:tcPr>
                  <w:tcW w:w="833" w:type="pct"/>
                  <w:vAlign w:val="center"/>
                </w:tcPr>
                <w:p>
                  <w:pPr>
                    <w:adjustRightInd w:val="0"/>
                    <w:jc w:val="center"/>
                    <w:rPr>
                      <w:szCs w:val="21"/>
                    </w:rPr>
                  </w:pPr>
                  <w:r>
                    <w:rPr>
                      <w:rFonts w:hint="eastAsia"/>
                      <w:szCs w:val="21"/>
                    </w:rPr>
                    <w:t>65</w:t>
                  </w:r>
                </w:p>
              </w:tc>
              <w:tc>
                <w:tcPr>
                  <w:tcW w:w="625" w:type="pct"/>
                  <w:vAlign w:val="center"/>
                </w:tcPr>
                <w:p>
                  <w:pPr>
                    <w:adjustRightInd w:val="0"/>
                    <w:jc w:val="center"/>
                    <w:rPr>
                      <w:szCs w:val="21"/>
                    </w:rPr>
                  </w:pPr>
                  <w:r>
                    <w:rPr>
                      <w:rFonts w:hint="eastAsia"/>
                      <w:szCs w:val="21"/>
                    </w:rPr>
                    <w:t>47</w:t>
                  </w:r>
                </w:p>
              </w:tc>
              <w:tc>
                <w:tcPr>
                  <w:tcW w:w="834" w:type="pct"/>
                  <w:vAlign w:val="center"/>
                </w:tcPr>
                <w:p>
                  <w:pPr>
                    <w:adjustRightInd w:val="0"/>
                    <w:jc w:val="center"/>
                    <w:rPr>
                      <w:szCs w:val="21"/>
                    </w:rPr>
                  </w:pPr>
                  <w:r>
                    <w:rPr>
                      <w:rFonts w:hint="eastAsia"/>
                      <w:szCs w:val="21"/>
                    </w:rPr>
                    <w:t>55</w:t>
                  </w:r>
                </w:p>
              </w:tc>
              <w:tc>
                <w:tcPr>
                  <w:tcW w:w="1040" w:type="pct"/>
                  <w:vAlign w:val="center"/>
                </w:tcPr>
                <w:p>
                  <w:pPr>
                    <w:adjustRightInd w:val="0"/>
                    <w:jc w:val="center"/>
                    <w:rPr>
                      <w:szCs w:val="21"/>
                    </w:rPr>
                  </w:pPr>
                  <w:r>
                    <w:rPr>
                      <w:rFonts w:hint="eastAsia"/>
                      <w:szCs w:val="21"/>
                    </w:rPr>
                    <w:t>达标</w:t>
                  </w:r>
                </w:p>
              </w:tc>
            </w:tr>
          </w:tbl>
          <w:p>
            <w:pPr>
              <w:pStyle w:val="98"/>
              <w:spacing w:before="120" w:beforeLines="50"/>
            </w:pPr>
            <w:r>
              <w:t>评价区域声环境质量较好</w:t>
            </w:r>
            <w:r>
              <w:rPr>
                <w:rFonts w:hint="eastAsia"/>
              </w:rPr>
              <w:t>，声环境质量能够达到《声环境质量标准》（GB3096-2008）3类区标准</w:t>
            </w:r>
            <w:r>
              <w:t>。</w:t>
            </w:r>
          </w:p>
          <w:p>
            <w:pPr>
              <w:adjustRightInd w:val="0"/>
              <w:spacing w:line="360" w:lineRule="auto"/>
              <w:ind w:firstLine="482" w:firstLineChars="200"/>
              <w:jc w:val="left"/>
              <w:outlineLvl w:val="2"/>
              <w:rPr>
                <w:b/>
                <w:sz w:val="24"/>
                <w:szCs w:val="21"/>
              </w:rPr>
            </w:pPr>
            <w:r>
              <w:rPr>
                <w:b/>
                <w:sz w:val="24"/>
                <w:szCs w:val="21"/>
              </w:rPr>
              <w:t>4、地下水质量现状</w:t>
            </w:r>
          </w:p>
          <w:p>
            <w:pPr>
              <w:adjustRightInd w:val="0"/>
              <w:spacing w:line="360" w:lineRule="auto"/>
              <w:ind w:firstLine="480" w:firstLineChars="200"/>
              <w:rPr>
                <w:sz w:val="24"/>
                <w:szCs w:val="21"/>
              </w:rPr>
            </w:pPr>
            <w:r>
              <w:rPr>
                <w:sz w:val="24"/>
                <w:szCs w:val="21"/>
              </w:rPr>
              <w:t>参照HJ610-2016</w:t>
            </w:r>
            <w:r>
              <w:rPr>
                <w:rFonts w:hint="eastAsia"/>
                <w:sz w:val="24"/>
                <w:szCs w:val="21"/>
              </w:rPr>
              <w:t>《</w:t>
            </w:r>
            <w:r>
              <w:rPr>
                <w:sz w:val="24"/>
                <w:szCs w:val="21"/>
              </w:rPr>
              <w:t>环境影响评价技术导则</w:t>
            </w:r>
            <w:r>
              <w:rPr>
                <w:rFonts w:hint="eastAsia"/>
                <w:sz w:val="24"/>
                <w:szCs w:val="21"/>
              </w:rPr>
              <w:t xml:space="preserve"> </w:t>
            </w:r>
            <w:r>
              <w:rPr>
                <w:sz w:val="24"/>
                <w:szCs w:val="21"/>
              </w:rPr>
              <w:t>地下水环境》，本项目为</w:t>
            </w:r>
            <w:r>
              <w:rPr>
                <w:rFonts w:hint="eastAsia"/>
                <w:sz w:val="24"/>
                <w:szCs w:val="21"/>
              </w:rPr>
              <w:t>现有项目技改，现有项目为</w:t>
            </w:r>
            <w:r>
              <w:rPr>
                <w:sz w:val="24"/>
                <w:szCs w:val="21"/>
              </w:rPr>
              <w:t>人造板制造，属于HJ610-2016</w:t>
            </w:r>
            <w:r>
              <w:rPr>
                <w:rFonts w:hint="eastAsia"/>
                <w:sz w:val="24"/>
                <w:szCs w:val="21"/>
              </w:rPr>
              <w:t>《</w:t>
            </w:r>
            <w:r>
              <w:rPr>
                <w:sz w:val="24"/>
                <w:szCs w:val="21"/>
              </w:rPr>
              <w:t>环境影响评价技术导则</w:t>
            </w:r>
            <w:r>
              <w:rPr>
                <w:rFonts w:hint="eastAsia"/>
                <w:sz w:val="24"/>
                <w:szCs w:val="21"/>
              </w:rPr>
              <w:t xml:space="preserve"> </w:t>
            </w:r>
            <w:r>
              <w:rPr>
                <w:sz w:val="24"/>
                <w:szCs w:val="21"/>
              </w:rPr>
              <w:t>地下水环境》附录A地下水环境影响评价行业分类表中第IV类，不开展地下水环境影响评价。因此，本</w:t>
            </w:r>
            <w:r>
              <w:rPr>
                <w:rFonts w:hint="eastAsia"/>
                <w:sz w:val="24"/>
                <w:szCs w:val="21"/>
              </w:rPr>
              <w:t>项目不</w:t>
            </w:r>
            <w:r>
              <w:rPr>
                <w:sz w:val="24"/>
                <w:szCs w:val="21"/>
              </w:rPr>
              <w:t>对地下水环境质量现状进行叙述。</w:t>
            </w:r>
          </w:p>
          <w:p>
            <w:pPr>
              <w:adjustRightInd w:val="0"/>
              <w:spacing w:line="360" w:lineRule="auto"/>
              <w:ind w:firstLine="482" w:firstLineChars="200"/>
              <w:jc w:val="left"/>
              <w:outlineLvl w:val="2"/>
              <w:rPr>
                <w:b/>
                <w:sz w:val="24"/>
                <w:szCs w:val="21"/>
              </w:rPr>
            </w:pPr>
            <w:r>
              <w:rPr>
                <w:b/>
                <w:sz w:val="24"/>
                <w:szCs w:val="21"/>
              </w:rPr>
              <w:t>5、土壤环境现状</w:t>
            </w:r>
          </w:p>
          <w:p>
            <w:pPr>
              <w:adjustRightInd w:val="0"/>
              <w:spacing w:line="360" w:lineRule="auto"/>
              <w:ind w:firstLine="480" w:firstLineChars="200"/>
              <w:rPr>
                <w:kern w:val="0"/>
                <w:sz w:val="24"/>
              </w:rPr>
            </w:pPr>
            <w:r>
              <w:rPr>
                <w:kern w:val="0"/>
                <w:sz w:val="24"/>
              </w:rPr>
              <w:t>参照《环境影响评价技术导则  土壤环境（试行）》（HJ964-2018）附录A，项目属于Ⅳ类项目，根据导则4.2.2Ⅳ类项目</w:t>
            </w:r>
            <w:r>
              <w:rPr>
                <w:sz w:val="24"/>
              </w:rPr>
              <w:t>可不开展土壤环境影响评价工作，则本项目可不进行土壤环境质量现状调查。</w:t>
            </w:r>
          </w:p>
          <w:p>
            <w:pPr>
              <w:adjustRightInd w:val="0"/>
              <w:spacing w:line="360" w:lineRule="auto"/>
              <w:ind w:firstLine="482" w:firstLineChars="200"/>
              <w:jc w:val="left"/>
              <w:outlineLvl w:val="2"/>
              <w:rPr>
                <w:b/>
                <w:sz w:val="24"/>
                <w:szCs w:val="21"/>
              </w:rPr>
            </w:pPr>
            <w:r>
              <w:rPr>
                <w:b/>
                <w:sz w:val="24"/>
                <w:szCs w:val="21"/>
              </w:rPr>
              <w:t>6、生态环境质量现状</w:t>
            </w:r>
          </w:p>
          <w:p>
            <w:pPr>
              <w:adjustRightInd w:val="0"/>
              <w:spacing w:line="360" w:lineRule="auto"/>
              <w:ind w:firstLine="480" w:firstLineChars="200"/>
              <w:rPr>
                <w:sz w:val="24"/>
                <w:szCs w:val="21"/>
              </w:rPr>
            </w:pPr>
            <w:r>
              <w:rPr>
                <w:rFonts w:hint="eastAsia"/>
                <w:sz w:val="24"/>
                <w:szCs w:val="21"/>
              </w:rPr>
              <w:t>本</w:t>
            </w:r>
            <w:r>
              <w:rPr>
                <w:sz w:val="24"/>
                <w:szCs w:val="21"/>
              </w:rPr>
              <w:t>项目位于</w:t>
            </w:r>
            <w:r>
              <w:rPr>
                <w:rFonts w:hint="eastAsia"/>
                <w:sz w:val="24"/>
                <w:szCs w:val="21"/>
              </w:rPr>
              <w:t>寻甸特色产业园区羊街片区</w:t>
            </w:r>
            <w:r>
              <w:rPr>
                <w:sz w:val="24"/>
                <w:szCs w:val="21"/>
              </w:rPr>
              <w:t>，项目内天然植被较少，主要为人工植被，生物多样性单一，生态环境一般。周边分布的野生动物数量少，游动性强，主要是与人伴居的鼠类、鸟类等常见物种。项目所在区域人类活动频繁，生物多样性单一，自身调控能力较弱，易受人为影响。项目区域及周围没有列入国家和地方保护名录的动、植物，没有国家、省、市级保护文物和风景名胜、文物古迹</w:t>
            </w:r>
            <w:r>
              <w:rPr>
                <w:rFonts w:hint="eastAsia"/>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7" w:hRule="atLeast"/>
          <w:jc w:val="center"/>
        </w:trPr>
        <w:tc>
          <w:tcPr>
            <w:tcW w:w="396" w:type="pct"/>
            <w:vAlign w:val="center"/>
          </w:tcPr>
          <w:p>
            <w:pPr>
              <w:pStyle w:val="50"/>
              <w:jc w:val="center"/>
            </w:pPr>
            <w:r>
              <w:rPr>
                <w:rFonts w:hint="eastAsia"/>
                <w:b/>
                <w:bCs/>
              </w:rPr>
              <w:t>环境保护目标</w:t>
            </w:r>
          </w:p>
        </w:tc>
        <w:tc>
          <w:tcPr>
            <w:tcW w:w="4603" w:type="pct"/>
            <w:vAlign w:val="center"/>
          </w:tcPr>
          <w:p>
            <w:pPr>
              <w:widowControl/>
              <w:spacing w:before="120" w:beforeLines="50" w:line="360" w:lineRule="auto"/>
              <w:ind w:firstLine="480" w:firstLineChars="200"/>
              <w:rPr>
                <w:bCs/>
                <w:kern w:val="0"/>
                <w:sz w:val="24"/>
                <w:lang w:bidi="ar"/>
              </w:rPr>
            </w:pPr>
            <w:r>
              <w:rPr>
                <w:rFonts w:hint="eastAsia"/>
                <w:bCs/>
                <w:kern w:val="0"/>
                <w:sz w:val="24"/>
                <w:lang w:bidi="ar"/>
              </w:rPr>
              <w:t>根据现场调查，区域内无自然保护区、水源保护区、文教敏感区、国家和地方级文物古迹、珍稀动植物保护物种等。</w:t>
            </w:r>
          </w:p>
          <w:p>
            <w:pPr>
              <w:widowControl/>
              <w:spacing w:before="120" w:beforeLines="50" w:line="360" w:lineRule="auto"/>
              <w:ind w:firstLine="482" w:firstLineChars="200"/>
              <w:rPr>
                <w:sz w:val="24"/>
              </w:rPr>
            </w:pPr>
            <w:r>
              <w:rPr>
                <w:b/>
                <w:bCs/>
                <w:kern w:val="0"/>
                <w:sz w:val="24"/>
                <w:lang w:bidi="ar"/>
              </w:rPr>
              <w:t>1</w:t>
            </w:r>
            <w:r>
              <w:rPr>
                <w:rFonts w:hint="eastAsia" w:cs="宋体"/>
                <w:b/>
                <w:bCs/>
                <w:kern w:val="0"/>
                <w:sz w:val="24"/>
                <w:lang w:bidi="ar"/>
              </w:rPr>
              <w:t>、大气环境</w:t>
            </w:r>
          </w:p>
          <w:p>
            <w:pPr>
              <w:widowControl/>
              <w:spacing w:line="360" w:lineRule="auto"/>
              <w:ind w:firstLine="480" w:firstLineChars="200"/>
              <w:rPr>
                <w:sz w:val="24"/>
              </w:rPr>
            </w:pPr>
            <w:r>
              <w:rPr>
                <w:rFonts w:hint="eastAsia" w:cs="宋体"/>
                <w:kern w:val="0"/>
                <w:sz w:val="24"/>
                <w:lang w:bidi="ar"/>
              </w:rPr>
              <w:t>根据《建设项目环境影响报告表编制技术指南》（污染影响类），大气环境保护目标为厂界外5</w:t>
            </w:r>
            <w:r>
              <w:rPr>
                <w:rFonts w:cs="宋体"/>
                <w:kern w:val="0"/>
                <w:sz w:val="24"/>
                <w:lang w:bidi="ar"/>
              </w:rPr>
              <w:t>00m</w:t>
            </w:r>
            <w:r>
              <w:rPr>
                <w:rFonts w:hint="eastAsia" w:cs="宋体"/>
                <w:kern w:val="0"/>
                <w:sz w:val="24"/>
                <w:lang w:bidi="ar"/>
              </w:rPr>
              <w:t>范围内自然保护区、风景名胜区、居住区、文化区和农村地区中人群较集中的区域。</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表3-</w:t>
            </w:r>
            <w:r>
              <w:rPr>
                <w:rFonts w:cs="宋体"/>
                <w:b/>
                <w:bCs/>
                <w:kern w:val="0"/>
                <w:sz w:val="24"/>
                <w:szCs w:val="20"/>
                <w:lang w:bidi="ar"/>
              </w:rPr>
              <w:t>5</w:t>
            </w:r>
            <w:r>
              <w:rPr>
                <w:rFonts w:hint="eastAsia" w:cs="宋体"/>
                <w:b/>
                <w:bCs/>
                <w:kern w:val="0"/>
                <w:sz w:val="24"/>
                <w:szCs w:val="20"/>
                <w:lang w:bidi="ar"/>
              </w:rPr>
              <w:t xml:space="preserve">  本项目环境保护目标</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25"/>
              <w:gridCol w:w="821"/>
              <w:gridCol w:w="1533"/>
              <w:gridCol w:w="1335"/>
              <w:gridCol w:w="690"/>
              <w:gridCol w:w="1397"/>
              <w:gridCol w:w="70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46" w:type="pct"/>
                  <w:vMerge w:val="restart"/>
                  <w:vAlign w:val="center"/>
                </w:tcPr>
                <w:p>
                  <w:pPr>
                    <w:pStyle w:val="71"/>
                    <w:adjustRightInd w:val="0"/>
                    <w:rPr>
                      <w:rFonts w:ascii="Times New Roman" w:hAnsi="Times New Roman"/>
                      <w:b/>
                      <w:bCs/>
                      <w:sz w:val="21"/>
                    </w:rPr>
                  </w:pPr>
                  <w:r>
                    <w:rPr>
                      <w:rFonts w:ascii="Times New Roman" w:hAnsi="Times New Roman"/>
                      <w:b/>
                      <w:bCs/>
                      <w:sz w:val="21"/>
                    </w:rPr>
                    <w:t>环境要素</w:t>
                  </w:r>
                </w:p>
              </w:tc>
              <w:tc>
                <w:tcPr>
                  <w:tcW w:w="505" w:type="pct"/>
                  <w:vMerge w:val="restart"/>
                  <w:vAlign w:val="center"/>
                </w:tcPr>
                <w:p>
                  <w:pPr>
                    <w:pStyle w:val="71"/>
                    <w:adjustRightInd w:val="0"/>
                    <w:rPr>
                      <w:rFonts w:ascii="Times New Roman" w:hAnsi="Times New Roman"/>
                      <w:b/>
                      <w:bCs/>
                      <w:sz w:val="21"/>
                    </w:rPr>
                  </w:pPr>
                  <w:r>
                    <w:rPr>
                      <w:rFonts w:ascii="Times New Roman" w:hAnsi="Times New Roman"/>
                      <w:b/>
                      <w:bCs/>
                      <w:sz w:val="21"/>
                    </w:rPr>
                    <w:t>保护</w:t>
                  </w:r>
                </w:p>
                <w:p>
                  <w:pPr>
                    <w:pStyle w:val="71"/>
                    <w:adjustRightInd w:val="0"/>
                    <w:rPr>
                      <w:rFonts w:ascii="Times New Roman" w:hAnsi="Times New Roman"/>
                      <w:b/>
                      <w:bCs/>
                      <w:sz w:val="21"/>
                    </w:rPr>
                  </w:pPr>
                  <w:r>
                    <w:rPr>
                      <w:rFonts w:ascii="Times New Roman" w:hAnsi="Times New Roman"/>
                      <w:b/>
                      <w:bCs/>
                      <w:sz w:val="21"/>
                    </w:rPr>
                    <w:t>对象</w:t>
                  </w:r>
                </w:p>
              </w:tc>
              <w:tc>
                <w:tcPr>
                  <w:tcW w:w="1766" w:type="pct"/>
                  <w:gridSpan w:val="2"/>
                  <w:vAlign w:val="center"/>
                </w:tcPr>
                <w:p>
                  <w:pPr>
                    <w:pStyle w:val="71"/>
                    <w:adjustRightInd w:val="0"/>
                    <w:rPr>
                      <w:rFonts w:ascii="Times New Roman" w:hAnsi="Times New Roman"/>
                      <w:b/>
                      <w:bCs/>
                      <w:sz w:val="21"/>
                    </w:rPr>
                  </w:pPr>
                  <w:r>
                    <w:rPr>
                      <w:rFonts w:ascii="Times New Roman" w:hAnsi="Times New Roman"/>
                      <w:b/>
                      <w:bCs/>
                      <w:sz w:val="21"/>
                    </w:rPr>
                    <w:t>坐标</w:t>
                  </w:r>
                </w:p>
              </w:tc>
              <w:tc>
                <w:tcPr>
                  <w:tcW w:w="425" w:type="pct"/>
                  <w:vMerge w:val="restart"/>
                  <w:vAlign w:val="center"/>
                </w:tcPr>
                <w:p>
                  <w:pPr>
                    <w:pStyle w:val="71"/>
                    <w:adjustRightInd w:val="0"/>
                    <w:rPr>
                      <w:rFonts w:ascii="Times New Roman" w:hAnsi="Times New Roman"/>
                      <w:b/>
                      <w:bCs/>
                      <w:sz w:val="21"/>
                    </w:rPr>
                  </w:pPr>
                  <w:r>
                    <w:rPr>
                      <w:rFonts w:ascii="Times New Roman" w:hAnsi="Times New Roman"/>
                      <w:b/>
                      <w:bCs/>
                      <w:sz w:val="21"/>
                    </w:rPr>
                    <w:t>保护</w:t>
                  </w:r>
                </w:p>
                <w:p>
                  <w:pPr>
                    <w:pStyle w:val="71"/>
                    <w:adjustRightInd w:val="0"/>
                    <w:rPr>
                      <w:rFonts w:ascii="Times New Roman" w:hAnsi="Times New Roman"/>
                      <w:b/>
                      <w:bCs/>
                      <w:sz w:val="21"/>
                    </w:rPr>
                  </w:pPr>
                  <w:r>
                    <w:rPr>
                      <w:rFonts w:ascii="Times New Roman" w:hAnsi="Times New Roman"/>
                      <w:b/>
                      <w:bCs/>
                      <w:sz w:val="21"/>
                    </w:rPr>
                    <w:t>内容</w:t>
                  </w:r>
                </w:p>
              </w:tc>
              <w:tc>
                <w:tcPr>
                  <w:tcW w:w="860" w:type="pct"/>
                  <w:vMerge w:val="restart"/>
                  <w:vAlign w:val="center"/>
                </w:tcPr>
                <w:p>
                  <w:pPr>
                    <w:pStyle w:val="71"/>
                    <w:adjustRightInd w:val="0"/>
                    <w:rPr>
                      <w:rFonts w:ascii="Times New Roman" w:hAnsi="Times New Roman"/>
                      <w:b/>
                      <w:bCs/>
                      <w:sz w:val="21"/>
                    </w:rPr>
                  </w:pPr>
                  <w:r>
                    <w:rPr>
                      <w:rFonts w:ascii="Times New Roman" w:hAnsi="Times New Roman"/>
                      <w:b/>
                      <w:bCs/>
                      <w:sz w:val="21"/>
                    </w:rPr>
                    <w:t>保护</w:t>
                  </w:r>
                </w:p>
                <w:p>
                  <w:pPr>
                    <w:pStyle w:val="71"/>
                    <w:adjustRightInd w:val="0"/>
                    <w:rPr>
                      <w:rFonts w:ascii="Times New Roman" w:hAnsi="Times New Roman"/>
                      <w:b/>
                      <w:bCs/>
                      <w:sz w:val="21"/>
                    </w:rPr>
                  </w:pPr>
                  <w:r>
                    <w:rPr>
                      <w:rFonts w:ascii="Times New Roman" w:hAnsi="Times New Roman"/>
                      <w:b/>
                      <w:bCs/>
                      <w:sz w:val="21"/>
                    </w:rPr>
                    <w:t>级别</w:t>
                  </w:r>
                </w:p>
              </w:tc>
              <w:tc>
                <w:tcPr>
                  <w:tcW w:w="434" w:type="pct"/>
                  <w:vMerge w:val="restart"/>
                  <w:vAlign w:val="center"/>
                </w:tcPr>
                <w:p>
                  <w:pPr>
                    <w:pStyle w:val="71"/>
                    <w:adjustRightInd w:val="0"/>
                    <w:rPr>
                      <w:rFonts w:ascii="Times New Roman" w:hAnsi="Times New Roman"/>
                      <w:b/>
                      <w:bCs/>
                      <w:sz w:val="21"/>
                    </w:rPr>
                  </w:pPr>
                  <w:r>
                    <w:rPr>
                      <w:rFonts w:ascii="Times New Roman" w:hAnsi="Times New Roman"/>
                      <w:b/>
                      <w:bCs/>
                      <w:sz w:val="21"/>
                    </w:rPr>
                    <w:t>相对厂址方位</w:t>
                  </w:r>
                </w:p>
              </w:tc>
              <w:tc>
                <w:tcPr>
                  <w:tcW w:w="564" w:type="pct"/>
                  <w:vMerge w:val="restart"/>
                  <w:vAlign w:val="center"/>
                </w:tcPr>
                <w:p>
                  <w:pPr>
                    <w:pStyle w:val="71"/>
                    <w:adjustRightInd w:val="0"/>
                    <w:rPr>
                      <w:rFonts w:ascii="Times New Roman" w:hAnsi="Times New Roman"/>
                      <w:b/>
                      <w:bCs/>
                      <w:sz w:val="21"/>
                    </w:rPr>
                  </w:pPr>
                  <w:r>
                    <w:rPr>
                      <w:rFonts w:ascii="Times New Roman" w:hAnsi="Times New Roman"/>
                      <w:b/>
                      <w:bCs/>
                      <w:sz w:val="21"/>
                    </w:rPr>
                    <w:t>相对厂界距离</w:t>
                  </w:r>
                </w:p>
                <w:p>
                  <w:pPr>
                    <w:pStyle w:val="71"/>
                    <w:adjustRightInd w:val="0"/>
                    <w:rPr>
                      <w:rFonts w:ascii="Times New Roman" w:hAnsi="Times New Roman"/>
                      <w:b/>
                      <w:bCs/>
                      <w:sz w:val="21"/>
                    </w:rPr>
                  </w:pPr>
                  <w:r>
                    <w:rPr>
                      <w:rFonts w:ascii="Times New Roman" w:hAnsi="Times New Roman"/>
                      <w:b/>
                      <w:bCs/>
                      <w:sz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46" w:type="pct"/>
                  <w:vMerge w:val="continue"/>
                  <w:vAlign w:val="center"/>
                </w:tcPr>
                <w:p>
                  <w:pPr>
                    <w:widowControl/>
                    <w:adjustRightInd w:val="0"/>
                    <w:jc w:val="center"/>
                    <w:rPr>
                      <w:szCs w:val="21"/>
                    </w:rPr>
                  </w:pPr>
                </w:p>
              </w:tc>
              <w:tc>
                <w:tcPr>
                  <w:tcW w:w="505" w:type="pct"/>
                  <w:vMerge w:val="continue"/>
                  <w:vAlign w:val="center"/>
                </w:tcPr>
                <w:p>
                  <w:pPr>
                    <w:pStyle w:val="71"/>
                    <w:adjustRightInd w:val="0"/>
                    <w:rPr>
                      <w:rFonts w:ascii="Times New Roman" w:hAnsi="Times New Roman"/>
                      <w:sz w:val="21"/>
                    </w:rPr>
                  </w:pPr>
                </w:p>
              </w:tc>
              <w:tc>
                <w:tcPr>
                  <w:tcW w:w="944" w:type="pct"/>
                  <w:vAlign w:val="center"/>
                </w:tcPr>
                <w:p>
                  <w:pPr>
                    <w:pStyle w:val="71"/>
                    <w:adjustRightInd w:val="0"/>
                    <w:rPr>
                      <w:rFonts w:ascii="Times New Roman" w:hAnsi="Times New Roman"/>
                      <w:b/>
                      <w:bCs/>
                      <w:sz w:val="21"/>
                    </w:rPr>
                  </w:pPr>
                  <w:r>
                    <w:rPr>
                      <w:rFonts w:hint="eastAsia" w:ascii="Times New Roman" w:hAnsi="Times New Roman"/>
                      <w:b/>
                      <w:bCs/>
                      <w:sz w:val="21"/>
                    </w:rPr>
                    <w:t>经度</w:t>
                  </w:r>
                </w:p>
              </w:tc>
              <w:tc>
                <w:tcPr>
                  <w:tcW w:w="822" w:type="pct"/>
                  <w:vAlign w:val="center"/>
                </w:tcPr>
                <w:p>
                  <w:pPr>
                    <w:widowControl/>
                    <w:adjustRightInd w:val="0"/>
                    <w:jc w:val="center"/>
                    <w:rPr>
                      <w:b/>
                      <w:bCs/>
                      <w:szCs w:val="21"/>
                    </w:rPr>
                  </w:pPr>
                  <w:r>
                    <w:rPr>
                      <w:rFonts w:hint="eastAsia"/>
                      <w:b/>
                      <w:bCs/>
                      <w:szCs w:val="21"/>
                    </w:rPr>
                    <w:t>纬度</w:t>
                  </w:r>
                </w:p>
              </w:tc>
              <w:tc>
                <w:tcPr>
                  <w:tcW w:w="425" w:type="pct"/>
                  <w:vMerge w:val="continue"/>
                  <w:vAlign w:val="center"/>
                </w:tcPr>
                <w:p>
                  <w:pPr>
                    <w:widowControl/>
                    <w:adjustRightInd w:val="0"/>
                    <w:rPr>
                      <w:szCs w:val="21"/>
                    </w:rPr>
                  </w:pPr>
                </w:p>
              </w:tc>
              <w:tc>
                <w:tcPr>
                  <w:tcW w:w="860" w:type="pct"/>
                  <w:vMerge w:val="continue"/>
                  <w:vAlign w:val="center"/>
                </w:tcPr>
                <w:p>
                  <w:pPr>
                    <w:widowControl/>
                    <w:adjustRightInd w:val="0"/>
                    <w:jc w:val="center"/>
                    <w:rPr>
                      <w:szCs w:val="21"/>
                    </w:rPr>
                  </w:pPr>
                </w:p>
              </w:tc>
              <w:tc>
                <w:tcPr>
                  <w:tcW w:w="434" w:type="pct"/>
                  <w:vMerge w:val="continue"/>
                  <w:vAlign w:val="center"/>
                </w:tcPr>
                <w:p>
                  <w:pPr>
                    <w:widowControl/>
                    <w:adjustRightInd w:val="0"/>
                    <w:rPr>
                      <w:szCs w:val="21"/>
                    </w:rPr>
                  </w:pPr>
                </w:p>
              </w:tc>
              <w:tc>
                <w:tcPr>
                  <w:tcW w:w="564" w:type="pct"/>
                  <w:vMerge w:val="continue"/>
                  <w:vAlign w:val="center"/>
                </w:tcPr>
                <w:p>
                  <w:pPr>
                    <w:widowControl/>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46" w:type="pct"/>
                  <w:vAlign w:val="center"/>
                </w:tcPr>
                <w:p>
                  <w:pPr>
                    <w:pStyle w:val="71"/>
                    <w:adjustRightInd w:val="0"/>
                    <w:rPr>
                      <w:rFonts w:ascii="Times New Roman" w:hAnsi="Times New Roman"/>
                      <w:sz w:val="21"/>
                    </w:rPr>
                  </w:pPr>
                  <w:r>
                    <w:rPr>
                      <w:rFonts w:ascii="Times New Roman" w:hAnsi="Times New Roman"/>
                      <w:sz w:val="21"/>
                    </w:rPr>
                    <w:t>大气环境</w:t>
                  </w:r>
                </w:p>
              </w:tc>
              <w:tc>
                <w:tcPr>
                  <w:tcW w:w="505" w:type="pct"/>
                  <w:vAlign w:val="center"/>
                </w:tcPr>
                <w:p>
                  <w:pPr>
                    <w:pStyle w:val="71"/>
                    <w:adjustRightInd w:val="0"/>
                    <w:rPr>
                      <w:rFonts w:ascii="Times New Roman" w:hAnsi="Times New Roman"/>
                      <w:sz w:val="21"/>
                    </w:rPr>
                  </w:pPr>
                  <w:r>
                    <w:rPr>
                      <w:rFonts w:ascii="Times New Roman" w:hAnsi="Times New Roman"/>
                      <w:sz w:val="21"/>
                    </w:rPr>
                    <w:t>深沟</w:t>
                  </w:r>
                </w:p>
              </w:tc>
              <w:tc>
                <w:tcPr>
                  <w:tcW w:w="944" w:type="pct"/>
                  <w:vAlign w:val="center"/>
                </w:tcPr>
                <w:p>
                  <w:pPr>
                    <w:widowControl/>
                    <w:adjustRightInd w:val="0"/>
                    <w:jc w:val="center"/>
                    <w:textAlignment w:val="center"/>
                    <w:rPr>
                      <w:szCs w:val="21"/>
                    </w:rPr>
                  </w:pPr>
                  <w:r>
                    <w:rPr>
                      <w:rFonts w:hint="eastAsia"/>
                      <w:szCs w:val="21"/>
                    </w:rPr>
                    <w:t>103</w:t>
                  </w:r>
                  <w:r>
                    <w:rPr>
                      <w:szCs w:val="21"/>
                    </w:rPr>
                    <w:t>°</w:t>
                  </w:r>
                  <w:r>
                    <w:rPr>
                      <w:rFonts w:hint="eastAsia"/>
                      <w:szCs w:val="21"/>
                    </w:rPr>
                    <w:t>9</w:t>
                  </w:r>
                  <w:r>
                    <w:rPr>
                      <w:szCs w:val="21"/>
                    </w:rPr>
                    <w:t>ʹ</w:t>
                  </w:r>
                  <w:r>
                    <w:rPr>
                      <w:rFonts w:hint="eastAsia"/>
                      <w:szCs w:val="21"/>
                    </w:rPr>
                    <w:t>36.699</w:t>
                  </w:r>
                  <w:r>
                    <w:rPr>
                      <w:szCs w:val="21"/>
                    </w:rPr>
                    <w:t>ʺ</w:t>
                  </w:r>
                </w:p>
              </w:tc>
              <w:tc>
                <w:tcPr>
                  <w:tcW w:w="822" w:type="pct"/>
                  <w:vAlign w:val="center"/>
                </w:tcPr>
                <w:p>
                  <w:pPr>
                    <w:widowControl/>
                    <w:adjustRightInd w:val="0"/>
                    <w:jc w:val="center"/>
                    <w:textAlignment w:val="center"/>
                    <w:rPr>
                      <w:szCs w:val="21"/>
                    </w:rPr>
                  </w:pPr>
                  <w:r>
                    <w:rPr>
                      <w:rFonts w:hint="eastAsia"/>
                      <w:szCs w:val="21"/>
                    </w:rPr>
                    <w:t>25</w:t>
                  </w:r>
                  <w:r>
                    <w:rPr>
                      <w:szCs w:val="21"/>
                    </w:rPr>
                    <w:t>°</w:t>
                  </w:r>
                  <w:r>
                    <w:rPr>
                      <w:rFonts w:hint="eastAsia"/>
                      <w:szCs w:val="21"/>
                    </w:rPr>
                    <w:t>27</w:t>
                  </w:r>
                  <w:r>
                    <w:rPr>
                      <w:szCs w:val="21"/>
                    </w:rPr>
                    <w:t>ʹ</w:t>
                  </w:r>
                  <w:r>
                    <w:rPr>
                      <w:rFonts w:hint="eastAsia"/>
                      <w:szCs w:val="21"/>
                    </w:rPr>
                    <w:t>28.800</w:t>
                  </w:r>
                  <w:r>
                    <w:rPr>
                      <w:szCs w:val="21"/>
                    </w:rPr>
                    <w:t>ʺ</w:t>
                  </w:r>
                </w:p>
              </w:tc>
              <w:tc>
                <w:tcPr>
                  <w:tcW w:w="425" w:type="pct"/>
                  <w:vAlign w:val="center"/>
                </w:tcPr>
                <w:p>
                  <w:pPr>
                    <w:adjustRightInd w:val="0"/>
                    <w:jc w:val="center"/>
                    <w:rPr>
                      <w:szCs w:val="21"/>
                    </w:rPr>
                  </w:pPr>
                  <w:r>
                    <w:rPr>
                      <w:szCs w:val="21"/>
                    </w:rPr>
                    <w:t>1421人</w:t>
                  </w:r>
                </w:p>
              </w:tc>
              <w:tc>
                <w:tcPr>
                  <w:tcW w:w="860" w:type="pct"/>
                  <w:vAlign w:val="center"/>
                </w:tcPr>
                <w:p>
                  <w:pPr>
                    <w:pStyle w:val="71"/>
                    <w:adjustRightInd w:val="0"/>
                    <w:rPr>
                      <w:rFonts w:ascii="Times New Roman" w:hAnsi="Times New Roman"/>
                      <w:sz w:val="21"/>
                    </w:rPr>
                  </w:pPr>
                  <w:r>
                    <w:rPr>
                      <w:rFonts w:ascii="Times New Roman" w:hAnsi="Times New Roman"/>
                      <w:sz w:val="21"/>
                    </w:rPr>
                    <w:t>GB3095-2012《环境空气质量标准》二级标准</w:t>
                  </w:r>
                </w:p>
              </w:tc>
              <w:tc>
                <w:tcPr>
                  <w:tcW w:w="434" w:type="pct"/>
                  <w:vAlign w:val="center"/>
                </w:tcPr>
                <w:p>
                  <w:pPr>
                    <w:adjustRightInd w:val="0"/>
                    <w:jc w:val="center"/>
                    <w:rPr>
                      <w:szCs w:val="21"/>
                    </w:rPr>
                  </w:pPr>
                  <w:r>
                    <w:rPr>
                      <w:szCs w:val="21"/>
                    </w:rPr>
                    <w:t>东南</w:t>
                  </w:r>
                </w:p>
              </w:tc>
              <w:tc>
                <w:tcPr>
                  <w:tcW w:w="564" w:type="pct"/>
                  <w:vAlign w:val="center"/>
                </w:tcPr>
                <w:p>
                  <w:pPr>
                    <w:adjustRightInd w:val="0"/>
                    <w:jc w:val="center"/>
                    <w:rPr>
                      <w:szCs w:val="21"/>
                    </w:rPr>
                  </w:pPr>
                  <w:r>
                    <w:rPr>
                      <w:rFonts w:hint="eastAsia"/>
                      <w:szCs w:val="21"/>
                    </w:rPr>
                    <w:t>450</w:t>
                  </w:r>
                </w:p>
              </w:tc>
            </w:tr>
          </w:tbl>
          <w:p>
            <w:pPr>
              <w:widowControl/>
              <w:spacing w:before="120" w:beforeLines="50" w:line="360" w:lineRule="auto"/>
              <w:ind w:firstLine="482" w:firstLineChars="200"/>
              <w:rPr>
                <w:sz w:val="24"/>
              </w:rPr>
            </w:pPr>
            <w:r>
              <w:rPr>
                <w:b/>
                <w:bCs/>
                <w:kern w:val="0"/>
                <w:sz w:val="24"/>
                <w:lang w:bidi="ar"/>
              </w:rPr>
              <w:t>2</w:t>
            </w:r>
            <w:r>
              <w:rPr>
                <w:rFonts w:hint="eastAsia" w:cs="宋体"/>
                <w:b/>
                <w:bCs/>
                <w:kern w:val="0"/>
                <w:sz w:val="24"/>
                <w:lang w:bidi="ar"/>
              </w:rPr>
              <w:t>、声环境</w:t>
            </w:r>
          </w:p>
          <w:p>
            <w:pPr>
              <w:widowControl/>
              <w:spacing w:line="360" w:lineRule="auto"/>
              <w:ind w:firstLine="480" w:firstLineChars="200"/>
              <w:rPr>
                <w:sz w:val="24"/>
              </w:rPr>
            </w:pPr>
            <w:r>
              <w:rPr>
                <w:rFonts w:hint="eastAsia" w:cs="宋体"/>
                <w:kern w:val="0"/>
                <w:sz w:val="24"/>
                <w:lang w:bidi="ar"/>
              </w:rPr>
              <w:t>根据现场踏勘，本项目厂界外周边</w:t>
            </w:r>
            <w:r>
              <w:rPr>
                <w:kern w:val="0"/>
                <w:sz w:val="24"/>
                <w:lang w:bidi="ar"/>
              </w:rPr>
              <w:t>50m</w:t>
            </w:r>
            <w:r>
              <w:rPr>
                <w:rFonts w:hint="eastAsia" w:cs="宋体"/>
                <w:kern w:val="0"/>
                <w:sz w:val="24"/>
                <w:lang w:bidi="ar"/>
              </w:rPr>
              <w:t>范围内无声环境保护目标。</w:t>
            </w:r>
          </w:p>
          <w:p>
            <w:pPr>
              <w:widowControl/>
              <w:spacing w:line="360" w:lineRule="auto"/>
              <w:ind w:firstLine="482" w:firstLineChars="200"/>
              <w:rPr>
                <w:rFonts w:cs="宋体"/>
                <w:b/>
                <w:bCs/>
                <w:kern w:val="0"/>
                <w:sz w:val="24"/>
                <w:lang w:bidi="ar"/>
              </w:rPr>
            </w:pPr>
            <w:r>
              <w:rPr>
                <w:rFonts w:hint="eastAsia" w:cs="宋体"/>
                <w:b/>
                <w:bCs/>
                <w:kern w:val="0"/>
                <w:sz w:val="24"/>
                <w:lang w:bidi="ar"/>
              </w:rPr>
              <w:t>3、地表水</w:t>
            </w:r>
          </w:p>
          <w:p>
            <w:pPr>
              <w:widowControl/>
              <w:spacing w:line="360" w:lineRule="auto"/>
              <w:ind w:firstLine="480" w:firstLineChars="200"/>
              <w:rPr>
                <w:sz w:val="24"/>
              </w:rPr>
            </w:pPr>
            <w:r>
              <w:rPr>
                <w:rFonts w:hint="eastAsia" w:cs="宋体"/>
                <w:kern w:val="0"/>
                <w:sz w:val="24"/>
                <w:lang w:bidi="ar"/>
              </w:rPr>
              <w:t>本项目周边的地表水体为北侧</w:t>
            </w:r>
            <w:r>
              <w:rPr>
                <w:kern w:val="0"/>
                <w:sz w:val="24"/>
                <w:lang w:bidi="ar"/>
              </w:rPr>
              <w:t>2100m</w:t>
            </w:r>
            <w:r>
              <w:rPr>
                <w:rFonts w:hint="eastAsia" w:cs="宋体"/>
                <w:kern w:val="0"/>
                <w:sz w:val="24"/>
                <w:lang w:bidi="ar"/>
              </w:rPr>
              <w:t>的丰乐小河，丰乐小河汇入果马河（羊街河），根据《环境影响评价技术导则 地表水环境》（</w:t>
            </w:r>
            <w:r>
              <w:rPr>
                <w:kern w:val="0"/>
                <w:sz w:val="24"/>
                <w:lang w:bidi="ar"/>
              </w:rPr>
              <w:t>HJ2.3-2018</w:t>
            </w:r>
            <w:r>
              <w:rPr>
                <w:rFonts w:hint="eastAsia" w:cs="宋体"/>
                <w:kern w:val="0"/>
                <w:sz w:val="24"/>
                <w:lang w:bidi="ar"/>
              </w:rPr>
              <w:t>），丰乐小河不属于饮用水水源保护区、饮用水取水口，涉水的自然保护区、风景名胜区，重要湿地、重点保护与珍稀水生生物的栖息地、重要水生生物的自然产卵场及索饵场、越冬场和洄游通道，天然渔场等渔业水体，以及水产种质资源保护区等，不在导则规定的水环境保护目标范畴内，故项目不设地表水环境保护目标。</w:t>
            </w:r>
          </w:p>
          <w:p>
            <w:pPr>
              <w:widowControl/>
              <w:spacing w:line="360" w:lineRule="auto"/>
              <w:ind w:firstLine="482" w:firstLineChars="200"/>
              <w:rPr>
                <w:sz w:val="24"/>
              </w:rPr>
            </w:pPr>
            <w:r>
              <w:rPr>
                <w:b/>
                <w:bCs/>
                <w:kern w:val="0"/>
                <w:sz w:val="24"/>
                <w:lang w:bidi="ar"/>
              </w:rPr>
              <w:t>4</w:t>
            </w:r>
            <w:r>
              <w:rPr>
                <w:rFonts w:hint="eastAsia" w:cs="宋体"/>
                <w:b/>
                <w:bCs/>
                <w:kern w:val="0"/>
                <w:sz w:val="24"/>
                <w:lang w:bidi="ar"/>
              </w:rPr>
              <w:t>、地下水</w:t>
            </w:r>
          </w:p>
          <w:p>
            <w:pPr>
              <w:widowControl/>
              <w:spacing w:line="360" w:lineRule="auto"/>
              <w:ind w:firstLine="480" w:firstLineChars="200"/>
              <w:rPr>
                <w:sz w:val="24"/>
              </w:rPr>
            </w:pPr>
            <w:r>
              <w:rPr>
                <w:rFonts w:hint="eastAsia" w:cs="宋体"/>
                <w:kern w:val="0"/>
                <w:sz w:val="24"/>
                <w:lang w:bidi="ar"/>
              </w:rPr>
              <w:t>根据现场踏勘，本项目厂界外</w:t>
            </w:r>
            <w:r>
              <w:rPr>
                <w:kern w:val="0"/>
                <w:sz w:val="24"/>
                <w:lang w:bidi="ar"/>
              </w:rPr>
              <w:t>500m</w:t>
            </w:r>
            <w:r>
              <w:rPr>
                <w:rFonts w:hint="eastAsia" w:cs="宋体"/>
                <w:kern w:val="0"/>
                <w:sz w:val="24"/>
                <w:lang w:bidi="ar"/>
              </w:rPr>
              <w:t>范围内无地下水集中式饮用水水源和热水、矿泉水、温泉等特殊地下水资源。</w:t>
            </w:r>
          </w:p>
          <w:p>
            <w:pPr>
              <w:widowControl/>
              <w:spacing w:line="360" w:lineRule="auto"/>
              <w:ind w:firstLine="482" w:firstLineChars="200"/>
              <w:rPr>
                <w:sz w:val="24"/>
              </w:rPr>
            </w:pPr>
            <w:r>
              <w:rPr>
                <w:b/>
                <w:bCs/>
                <w:kern w:val="0"/>
                <w:sz w:val="24"/>
                <w:lang w:bidi="ar"/>
              </w:rPr>
              <w:t>5</w:t>
            </w:r>
            <w:r>
              <w:rPr>
                <w:rFonts w:hint="eastAsia" w:cs="宋体"/>
                <w:b/>
                <w:bCs/>
                <w:kern w:val="0"/>
                <w:sz w:val="24"/>
                <w:lang w:bidi="ar"/>
              </w:rPr>
              <w:t>、生态环境</w:t>
            </w:r>
          </w:p>
          <w:p>
            <w:pPr>
              <w:widowControl/>
              <w:spacing w:line="360" w:lineRule="auto"/>
              <w:ind w:firstLine="480" w:firstLineChars="200"/>
              <w:rPr>
                <w:rFonts w:cs="宋体"/>
                <w:kern w:val="0"/>
                <w:sz w:val="24"/>
                <w:szCs w:val="21"/>
              </w:rPr>
            </w:pPr>
            <w:r>
              <w:rPr>
                <w:rFonts w:hint="eastAsia" w:cs="宋体"/>
                <w:kern w:val="0"/>
                <w:sz w:val="24"/>
                <w:lang w:bidi="ar"/>
              </w:rPr>
              <w:t>本项目位于寻甸特色产业园区羊街片区，属于规划的工业园区，不涉及园区外用地，不涉及生态保护目标。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396" w:type="pct"/>
            <w:tcMar>
              <w:left w:w="28" w:type="dxa"/>
              <w:right w:w="28" w:type="dxa"/>
            </w:tcMar>
            <w:vAlign w:val="center"/>
          </w:tcPr>
          <w:p>
            <w:pPr>
              <w:adjustRightInd w:val="0"/>
              <w:jc w:val="center"/>
              <w:rPr>
                <w:rFonts w:cs="宋体"/>
                <w:kern w:val="0"/>
                <w:sz w:val="24"/>
                <w:szCs w:val="21"/>
              </w:rPr>
            </w:pPr>
            <w:r>
              <w:rPr>
                <w:rFonts w:hint="eastAsia" w:cs="宋体"/>
                <w:b/>
                <w:bCs/>
                <w:kern w:val="0"/>
                <w:sz w:val="24"/>
                <w:szCs w:val="21"/>
              </w:rPr>
              <w:t>污染物排放控制标准</w:t>
            </w:r>
          </w:p>
        </w:tc>
        <w:tc>
          <w:tcPr>
            <w:tcW w:w="4603" w:type="pct"/>
            <w:vAlign w:val="center"/>
          </w:tcPr>
          <w:p>
            <w:pPr>
              <w:adjustRightInd w:val="0"/>
              <w:spacing w:before="120" w:beforeLines="50" w:line="360" w:lineRule="auto"/>
              <w:ind w:firstLine="482" w:firstLineChars="200"/>
              <w:rPr>
                <w:b/>
                <w:bCs/>
                <w:sz w:val="24"/>
                <w:szCs w:val="21"/>
              </w:rPr>
            </w:pPr>
            <w:r>
              <w:rPr>
                <w:b/>
                <w:bCs/>
                <w:sz w:val="24"/>
                <w:szCs w:val="21"/>
              </w:rPr>
              <w:t>1、大气污染物排放标准</w:t>
            </w:r>
          </w:p>
          <w:p>
            <w:pPr>
              <w:adjustRightInd w:val="0"/>
              <w:spacing w:before="120" w:beforeLines="50" w:line="360" w:lineRule="auto"/>
              <w:ind w:firstLine="480" w:firstLineChars="200"/>
              <w:rPr>
                <w:sz w:val="24"/>
                <w:szCs w:val="21"/>
              </w:rPr>
            </w:pPr>
            <w:r>
              <w:rPr>
                <w:rFonts w:hint="eastAsia"/>
                <w:sz w:val="24"/>
                <w:szCs w:val="21"/>
              </w:rPr>
              <w:t>1）本项目环保工程技改后运营期生产过程中热压凉板工序甲醛、颗粒物、挥发性有机物（以非甲烷总烃计）排放执行《大气污染物综合排放标准》（GB16297-1996）表2中有组织最高允许排放浓度和无组织排放监控浓度限值；</w:t>
            </w:r>
            <w:r>
              <w:rPr>
                <w:sz w:val="24"/>
              </w:rPr>
              <w:t>厂区内</w:t>
            </w:r>
            <w:r>
              <w:rPr>
                <w:rFonts w:hint="eastAsia"/>
                <w:sz w:val="24"/>
              </w:rPr>
              <w:t>挥发性有机物（以非甲烷总烃计）</w:t>
            </w:r>
            <w:r>
              <w:rPr>
                <w:sz w:val="24"/>
              </w:rPr>
              <w:t>无组织排放控制执行《挥发性有机物无组织排放控制标准》（GB37822-2019）表A.1厂区内VOC</w:t>
            </w:r>
            <w:r>
              <w:rPr>
                <w:sz w:val="24"/>
                <w:vertAlign w:val="subscript"/>
              </w:rPr>
              <w:t>S</w:t>
            </w:r>
            <w:r>
              <w:rPr>
                <w:sz w:val="24"/>
              </w:rPr>
              <w:t>无组织排放限值要求。</w:t>
            </w:r>
            <w:r>
              <w:rPr>
                <w:rFonts w:hint="eastAsia"/>
                <w:sz w:val="24"/>
                <w:szCs w:val="21"/>
              </w:rPr>
              <w:t>具体标准值详见表3-</w:t>
            </w:r>
            <w:r>
              <w:rPr>
                <w:sz w:val="24"/>
                <w:szCs w:val="21"/>
              </w:rPr>
              <w:t>6</w:t>
            </w:r>
            <w:r>
              <w:rPr>
                <w:rFonts w:hint="eastAsia"/>
                <w:sz w:val="24"/>
                <w:szCs w:val="21"/>
              </w:rPr>
              <w:t>。</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3-</w:t>
            </w:r>
            <w:r>
              <w:rPr>
                <w:rFonts w:cs="宋体"/>
                <w:b/>
                <w:bCs/>
                <w:kern w:val="0"/>
                <w:sz w:val="24"/>
                <w:szCs w:val="20"/>
                <w:lang w:bidi="ar"/>
              </w:rPr>
              <w:t>6  大气污染物综合排放标准</w:t>
            </w:r>
          </w:p>
          <w:tbl>
            <w:tblPr>
              <w:tblStyle w:val="32"/>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54"/>
              <w:gridCol w:w="1096"/>
              <w:gridCol w:w="1546"/>
              <w:gridCol w:w="929"/>
              <w:gridCol w:w="1965"/>
              <w:gridCol w:w="12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6" w:hRule="atLeast"/>
                <w:jc w:val="center"/>
              </w:trPr>
              <w:tc>
                <w:tcPr>
                  <w:tcW w:w="834" w:type="pct"/>
                  <w:vMerge w:val="restart"/>
                  <w:tcBorders>
                    <w:top w:val="single" w:color="000000" w:sz="6" w:space="0"/>
                    <w:left w:val="single" w:color="000000" w:sz="6" w:space="0"/>
                    <w:bottom w:val="single" w:color="000000" w:sz="6" w:space="0"/>
                    <w:right w:val="single" w:color="000000" w:sz="6" w:space="0"/>
                  </w:tcBorders>
                  <w:vAlign w:val="center"/>
                </w:tcPr>
                <w:p>
                  <w:pPr>
                    <w:adjustRightInd w:val="0"/>
                    <w:jc w:val="center"/>
                    <w:rPr>
                      <w:b/>
                      <w:bCs/>
                    </w:rPr>
                  </w:pPr>
                  <w:r>
                    <w:rPr>
                      <w:b/>
                      <w:bCs/>
                    </w:rPr>
                    <w:t>污染物</w:t>
                  </w:r>
                </w:p>
              </w:tc>
              <w:tc>
                <w:tcPr>
                  <w:tcW w:w="675" w:type="pct"/>
                  <w:vMerge w:val="restart"/>
                  <w:tcBorders>
                    <w:top w:val="single" w:color="000000" w:sz="6" w:space="0"/>
                    <w:left w:val="single" w:color="000000" w:sz="6" w:space="0"/>
                    <w:bottom w:val="single" w:color="000000" w:sz="6" w:space="0"/>
                    <w:right w:val="single" w:color="000000" w:sz="6" w:space="0"/>
                  </w:tcBorders>
                  <w:vAlign w:val="center"/>
                </w:tcPr>
                <w:p>
                  <w:pPr>
                    <w:adjustRightInd w:val="0"/>
                    <w:jc w:val="center"/>
                    <w:rPr>
                      <w:b/>
                      <w:bCs/>
                    </w:rPr>
                  </w:pPr>
                  <w:r>
                    <w:rPr>
                      <w:b/>
                      <w:bCs/>
                    </w:rPr>
                    <w:t>最高允许排放浓度（mg/</w:t>
                  </w:r>
                  <w:r>
                    <w:rPr>
                      <w:rFonts w:hint="eastAsia"/>
                      <w:b/>
                      <w:bCs/>
                    </w:rPr>
                    <w:t>m</w:t>
                  </w:r>
                  <w:r>
                    <w:rPr>
                      <w:rFonts w:hint="eastAsia"/>
                      <w:b/>
                      <w:bCs/>
                      <w:vertAlign w:val="superscript"/>
                    </w:rPr>
                    <w:t>3</w:t>
                  </w:r>
                  <w:r>
                    <w:rPr>
                      <w:b/>
                      <w:bCs/>
                    </w:rPr>
                    <w:t>）</w:t>
                  </w:r>
                </w:p>
              </w:tc>
              <w:tc>
                <w:tcPr>
                  <w:tcW w:w="1524" w:type="pct"/>
                  <w:gridSpan w:val="2"/>
                  <w:tcBorders>
                    <w:top w:val="single" w:color="000000" w:sz="6" w:space="0"/>
                    <w:left w:val="single" w:color="000000" w:sz="6" w:space="0"/>
                    <w:bottom w:val="single" w:color="000000" w:sz="6" w:space="0"/>
                    <w:right w:val="single" w:color="000000" w:sz="6" w:space="0"/>
                  </w:tcBorders>
                  <w:vAlign w:val="center"/>
                </w:tcPr>
                <w:p>
                  <w:pPr>
                    <w:adjustRightInd w:val="0"/>
                    <w:jc w:val="center"/>
                    <w:rPr>
                      <w:b/>
                      <w:bCs/>
                    </w:rPr>
                  </w:pPr>
                  <w:r>
                    <w:rPr>
                      <w:b/>
                      <w:bCs/>
                    </w:rPr>
                    <w:t>最高允许排放</w:t>
                  </w:r>
                  <w:r>
                    <w:rPr>
                      <w:rFonts w:hint="eastAsia"/>
                      <w:b/>
                      <w:bCs/>
                    </w:rPr>
                    <w:t>速率</w:t>
                  </w:r>
                  <w:r>
                    <w:rPr>
                      <w:b/>
                      <w:bCs/>
                    </w:rPr>
                    <w:t>（kg/h）</w:t>
                  </w:r>
                </w:p>
              </w:tc>
              <w:tc>
                <w:tcPr>
                  <w:tcW w:w="1967" w:type="pct"/>
                  <w:gridSpan w:val="2"/>
                  <w:tcBorders>
                    <w:top w:val="single" w:color="000000" w:sz="6" w:space="0"/>
                    <w:left w:val="single" w:color="000000" w:sz="6" w:space="0"/>
                    <w:bottom w:val="single" w:color="000000" w:sz="6" w:space="0"/>
                    <w:right w:val="single" w:color="000000" w:sz="6" w:space="0"/>
                  </w:tcBorders>
                  <w:vAlign w:val="center"/>
                </w:tcPr>
                <w:p>
                  <w:pPr>
                    <w:adjustRightInd w:val="0"/>
                    <w:jc w:val="center"/>
                    <w:rPr>
                      <w:b/>
                      <w:bCs/>
                    </w:rPr>
                  </w:pPr>
                  <w:r>
                    <w:rPr>
                      <w:b/>
                      <w:bCs/>
                    </w:rPr>
                    <w:t>无组织排放监控浓度限值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9" w:hRule="atLeast"/>
                <w:jc w:val="center"/>
              </w:trPr>
              <w:tc>
                <w:tcPr>
                  <w:tcW w:w="834" w:type="pct"/>
                  <w:vMerge w:val="continue"/>
                  <w:tcBorders>
                    <w:top w:val="single" w:color="000000" w:sz="6" w:space="0"/>
                    <w:left w:val="single" w:color="000000" w:sz="6" w:space="0"/>
                    <w:bottom w:val="single" w:color="000000" w:sz="6" w:space="0"/>
                    <w:right w:val="single" w:color="000000" w:sz="6" w:space="0"/>
                  </w:tcBorders>
                  <w:vAlign w:val="center"/>
                </w:tcPr>
                <w:p>
                  <w:pPr>
                    <w:widowControl/>
                    <w:adjustRightInd w:val="0"/>
                    <w:jc w:val="center"/>
                    <w:rPr>
                      <w:b/>
                      <w:bCs/>
                    </w:rPr>
                  </w:pPr>
                </w:p>
              </w:tc>
              <w:tc>
                <w:tcPr>
                  <w:tcW w:w="675" w:type="pct"/>
                  <w:vMerge w:val="continue"/>
                  <w:tcBorders>
                    <w:top w:val="single" w:color="000000" w:sz="6" w:space="0"/>
                    <w:left w:val="single" w:color="000000" w:sz="6" w:space="0"/>
                    <w:bottom w:val="single" w:color="000000" w:sz="6" w:space="0"/>
                    <w:right w:val="single" w:color="000000" w:sz="6" w:space="0"/>
                  </w:tcBorders>
                  <w:vAlign w:val="center"/>
                </w:tcPr>
                <w:p>
                  <w:pPr>
                    <w:widowControl/>
                    <w:adjustRightInd w:val="0"/>
                    <w:jc w:val="center"/>
                    <w:rPr>
                      <w:b/>
                      <w:bCs/>
                    </w:rPr>
                  </w:pPr>
                </w:p>
              </w:tc>
              <w:tc>
                <w:tcPr>
                  <w:tcW w:w="952" w:type="pct"/>
                  <w:tcBorders>
                    <w:top w:val="single" w:color="000000" w:sz="6" w:space="0"/>
                    <w:left w:val="single" w:color="000000" w:sz="6" w:space="0"/>
                    <w:bottom w:val="single" w:color="000000" w:sz="6" w:space="0"/>
                    <w:right w:val="single" w:color="000000" w:sz="6" w:space="0"/>
                  </w:tcBorders>
                  <w:vAlign w:val="center"/>
                </w:tcPr>
                <w:p>
                  <w:pPr>
                    <w:adjustRightInd w:val="0"/>
                    <w:jc w:val="center"/>
                    <w:rPr>
                      <w:b/>
                      <w:bCs/>
                    </w:rPr>
                  </w:pPr>
                  <w:r>
                    <w:rPr>
                      <w:b/>
                      <w:bCs/>
                    </w:rPr>
                    <w:t>排气筒高度（m）</w:t>
                  </w:r>
                </w:p>
              </w:tc>
              <w:tc>
                <w:tcPr>
                  <w:tcW w:w="572" w:type="pct"/>
                  <w:tcBorders>
                    <w:top w:val="single" w:color="000000" w:sz="6" w:space="0"/>
                    <w:left w:val="single" w:color="000000" w:sz="6" w:space="0"/>
                    <w:bottom w:val="single" w:color="000000" w:sz="6" w:space="0"/>
                    <w:right w:val="single" w:color="000000" w:sz="6" w:space="0"/>
                  </w:tcBorders>
                  <w:vAlign w:val="center"/>
                </w:tcPr>
                <w:p>
                  <w:pPr>
                    <w:adjustRightInd w:val="0"/>
                    <w:jc w:val="center"/>
                    <w:rPr>
                      <w:b/>
                      <w:bCs/>
                    </w:rPr>
                  </w:pPr>
                  <w:r>
                    <w:rPr>
                      <w:b/>
                      <w:bCs/>
                    </w:rPr>
                    <w:t>二级</w:t>
                  </w:r>
                </w:p>
              </w:tc>
              <w:tc>
                <w:tcPr>
                  <w:tcW w:w="1210" w:type="pct"/>
                  <w:tcBorders>
                    <w:top w:val="single" w:color="000000" w:sz="6" w:space="0"/>
                    <w:left w:val="single" w:color="000000" w:sz="6" w:space="0"/>
                    <w:bottom w:val="single" w:color="000000" w:sz="6" w:space="0"/>
                    <w:right w:val="single" w:color="000000" w:sz="6" w:space="0"/>
                  </w:tcBorders>
                  <w:vAlign w:val="center"/>
                </w:tcPr>
                <w:p>
                  <w:pPr>
                    <w:adjustRightInd w:val="0"/>
                    <w:jc w:val="center"/>
                    <w:rPr>
                      <w:b/>
                      <w:bCs/>
                    </w:rPr>
                  </w:pPr>
                  <w:r>
                    <w:rPr>
                      <w:b/>
                      <w:bCs/>
                    </w:rPr>
                    <w:t>监控点</w:t>
                  </w:r>
                </w:p>
              </w:tc>
              <w:tc>
                <w:tcPr>
                  <w:tcW w:w="757" w:type="pct"/>
                  <w:tcBorders>
                    <w:top w:val="single" w:color="000000" w:sz="6" w:space="0"/>
                    <w:left w:val="single" w:color="000000" w:sz="6" w:space="0"/>
                    <w:bottom w:val="single" w:color="000000" w:sz="6" w:space="0"/>
                    <w:right w:val="single" w:color="000000" w:sz="6" w:space="0"/>
                  </w:tcBorders>
                  <w:vAlign w:val="center"/>
                </w:tcPr>
                <w:p>
                  <w:pPr>
                    <w:adjustRightInd w:val="0"/>
                    <w:jc w:val="center"/>
                    <w:rPr>
                      <w:b/>
                      <w:bCs/>
                    </w:rPr>
                  </w:pPr>
                  <w:r>
                    <w:rPr>
                      <w:b/>
                      <w:bCs/>
                    </w:rPr>
                    <w:t>浓度（mg/</w:t>
                  </w:r>
                  <w:r>
                    <w:rPr>
                      <w:rFonts w:hint="eastAsia"/>
                      <w:b/>
                      <w:bCs/>
                    </w:rPr>
                    <w:t>m</w:t>
                  </w:r>
                  <w:r>
                    <w:rPr>
                      <w:rFonts w:hint="eastAsia"/>
                      <w:b/>
                      <w:bCs/>
                      <w:vertAlign w:val="superscript"/>
                    </w:rPr>
                    <w:t>3</w:t>
                  </w:r>
                  <w:r>
                    <w:rPr>
                      <w:b/>
                      <w:bCs/>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0" w:hRule="atLeast"/>
                <w:jc w:val="center"/>
              </w:trPr>
              <w:tc>
                <w:tcPr>
                  <w:tcW w:w="834" w:type="pct"/>
                  <w:tcBorders>
                    <w:top w:val="single" w:color="000000" w:sz="6" w:space="0"/>
                    <w:left w:val="single" w:color="000000" w:sz="6" w:space="0"/>
                    <w:right w:val="single" w:color="000000" w:sz="6" w:space="0"/>
                  </w:tcBorders>
                  <w:vAlign w:val="center"/>
                </w:tcPr>
                <w:p>
                  <w:pPr>
                    <w:adjustRightInd w:val="0"/>
                    <w:jc w:val="center"/>
                    <w:rPr>
                      <w:b/>
                      <w:bCs/>
                    </w:rPr>
                  </w:pPr>
                  <w:r>
                    <w:rPr>
                      <w:rFonts w:hint="eastAsia"/>
                      <w:b/>
                      <w:bCs/>
                    </w:rPr>
                    <w:t>甲醛</w:t>
                  </w:r>
                </w:p>
              </w:tc>
              <w:tc>
                <w:tcPr>
                  <w:tcW w:w="675" w:type="pct"/>
                  <w:tcBorders>
                    <w:top w:val="single" w:color="000000" w:sz="6" w:space="0"/>
                    <w:left w:val="single" w:color="000000" w:sz="6" w:space="0"/>
                    <w:right w:val="single" w:color="000000" w:sz="6" w:space="0"/>
                  </w:tcBorders>
                  <w:vAlign w:val="center"/>
                </w:tcPr>
                <w:p>
                  <w:pPr>
                    <w:adjustRightInd w:val="0"/>
                    <w:jc w:val="center"/>
                  </w:pPr>
                  <w:r>
                    <w:t>25</w:t>
                  </w:r>
                </w:p>
              </w:tc>
              <w:tc>
                <w:tcPr>
                  <w:tcW w:w="952" w:type="pct"/>
                  <w:tcBorders>
                    <w:top w:val="single" w:color="000000" w:sz="6" w:space="0"/>
                    <w:left w:val="single" w:color="000000" w:sz="6" w:space="0"/>
                    <w:right w:val="single" w:color="000000" w:sz="6" w:space="0"/>
                  </w:tcBorders>
                  <w:vAlign w:val="center"/>
                </w:tcPr>
                <w:p>
                  <w:pPr>
                    <w:adjustRightInd w:val="0"/>
                    <w:jc w:val="center"/>
                  </w:pPr>
                  <w:r>
                    <w:rPr>
                      <w:rFonts w:hint="eastAsia"/>
                    </w:rPr>
                    <w:t>15</w:t>
                  </w:r>
                </w:p>
              </w:tc>
              <w:tc>
                <w:tcPr>
                  <w:tcW w:w="572" w:type="pct"/>
                  <w:tcBorders>
                    <w:top w:val="single" w:color="000000" w:sz="6" w:space="0"/>
                    <w:left w:val="single" w:color="000000" w:sz="6" w:space="0"/>
                    <w:right w:val="single" w:color="000000" w:sz="6" w:space="0"/>
                  </w:tcBorders>
                  <w:vAlign w:val="center"/>
                </w:tcPr>
                <w:p>
                  <w:pPr>
                    <w:adjustRightInd w:val="0"/>
                    <w:jc w:val="center"/>
                  </w:pPr>
                  <w:r>
                    <w:rPr>
                      <w:rFonts w:hint="eastAsia"/>
                    </w:rPr>
                    <w:t>0.26</w:t>
                  </w:r>
                </w:p>
              </w:tc>
              <w:tc>
                <w:tcPr>
                  <w:tcW w:w="1210" w:type="pct"/>
                  <w:tcBorders>
                    <w:top w:val="single" w:color="000000" w:sz="6" w:space="0"/>
                    <w:left w:val="single" w:color="000000" w:sz="6" w:space="0"/>
                    <w:right w:val="single" w:color="000000" w:sz="6" w:space="0"/>
                  </w:tcBorders>
                  <w:vAlign w:val="center"/>
                </w:tcPr>
                <w:p>
                  <w:pPr>
                    <w:adjustRightInd w:val="0"/>
                    <w:jc w:val="center"/>
                  </w:pPr>
                  <w:r>
                    <w:t>周界外浓度最高点</w:t>
                  </w:r>
                </w:p>
              </w:tc>
              <w:tc>
                <w:tcPr>
                  <w:tcW w:w="757" w:type="pct"/>
                  <w:tcBorders>
                    <w:top w:val="single" w:color="000000" w:sz="6" w:space="0"/>
                    <w:left w:val="single" w:color="000000" w:sz="6" w:space="0"/>
                    <w:right w:val="single" w:color="000000" w:sz="6" w:space="0"/>
                  </w:tcBorders>
                  <w:vAlign w:val="center"/>
                </w:tcPr>
                <w:p>
                  <w:pPr>
                    <w:adjustRightInd w:val="0"/>
                    <w:jc w:val="center"/>
                  </w:pPr>
                  <w:r>
                    <w:rPr>
                      <w:rFonts w:hint="eastAsia"/>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 w:hRule="atLeast"/>
                <w:jc w:val="center"/>
              </w:trPr>
              <w:tc>
                <w:tcPr>
                  <w:tcW w:w="834" w:type="pct"/>
                  <w:tcBorders>
                    <w:top w:val="single" w:color="000000" w:sz="6" w:space="0"/>
                    <w:left w:val="single" w:color="000000" w:sz="6" w:space="0"/>
                    <w:bottom w:val="single" w:color="000000" w:sz="6" w:space="0"/>
                    <w:right w:val="single" w:color="000000" w:sz="6" w:space="0"/>
                  </w:tcBorders>
                  <w:vAlign w:val="center"/>
                </w:tcPr>
                <w:p>
                  <w:pPr>
                    <w:adjustRightInd w:val="0"/>
                    <w:jc w:val="center"/>
                    <w:rPr>
                      <w:b/>
                      <w:bCs/>
                    </w:rPr>
                  </w:pPr>
                  <w:r>
                    <w:rPr>
                      <w:rFonts w:hint="eastAsia"/>
                      <w:b/>
                      <w:bCs/>
                    </w:rPr>
                    <w:t>颗粒物</w:t>
                  </w:r>
                </w:p>
              </w:tc>
              <w:tc>
                <w:tcPr>
                  <w:tcW w:w="675" w:type="pct"/>
                  <w:tcBorders>
                    <w:top w:val="single" w:color="000000" w:sz="6" w:space="0"/>
                    <w:left w:val="single" w:color="000000" w:sz="6" w:space="0"/>
                    <w:bottom w:val="single" w:color="000000" w:sz="6" w:space="0"/>
                    <w:right w:val="single" w:color="000000" w:sz="6" w:space="0"/>
                  </w:tcBorders>
                  <w:vAlign w:val="center"/>
                </w:tcPr>
                <w:p>
                  <w:pPr>
                    <w:adjustRightInd w:val="0"/>
                    <w:jc w:val="center"/>
                  </w:pPr>
                  <w:r>
                    <w:rPr>
                      <w:rFonts w:hint="eastAsia"/>
                    </w:rPr>
                    <w:t>120</w:t>
                  </w:r>
                </w:p>
              </w:tc>
              <w:tc>
                <w:tcPr>
                  <w:tcW w:w="952" w:type="pct"/>
                  <w:tcBorders>
                    <w:top w:val="single" w:color="000000" w:sz="6" w:space="0"/>
                    <w:left w:val="single" w:color="000000" w:sz="6" w:space="0"/>
                    <w:bottom w:val="single" w:color="000000" w:sz="6" w:space="0"/>
                    <w:right w:val="single" w:color="000000" w:sz="6" w:space="0"/>
                  </w:tcBorders>
                  <w:vAlign w:val="center"/>
                </w:tcPr>
                <w:p>
                  <w:pPr>
                    <w:adjustRightInd w:val="0"/>
                    <w:jc w:val="center"/>
                  </w:pPr>
                  <w:r>
                    <w:rPr>
                      <w:rFonts w:hint="eastAsia"/>
                    </w:rPr>
                    <w:t>15</w:t>
                  </w:r>
                </w:p>
              </w:tc>
              <w:tc>
                <w:tcPr>
                  <w:tcW w:w="572" w:type="pct"/>
                  <w:tcBorders>
                    <w:top w:val="single" w:color="000000" w:sz="6" w:space="0"/>
                    <w:left w:val="single" w:color="000000" w:sz="6" w:space="0"/>
                    <w:bottom w:val="single" w:color="000000" w:sz="6" w:space="0"/>
                    <w:right w:val="single" w:color="000000" w:sz="6" w:space="0"/>
                  </w:tcBorders>
                  <w:vAlign w:val="center"/>
                </w:tcPr>
                <w:p>
                  <w:pPr>
                    <w:adjustRightInd w:val="0"/>
                    <w:jc w:val="center"/>
                  </w:pPr>
                  <w:r>
                    <w:rPr>
                      <w:rFonts w:hint="eastAsia"/>
                    </w:rPr>
                    <w:t>1.75</w:t>
                  </w:r>
                </w:p>
              </w:tc>
              <w:tc>
                <w:tcPr>
                  <w:tcW w:w="1210" w:type="pct"/>
                  <w:tcBorders>
                    <w:top w:val="single" w:color="000000" w:sz="6" w:space="0"/>
                    <w:left w:val="single" w:color="000000" w:sz="6" w:space="0"/>
                    <w:bottom w:val="single" w:color="000000" w:sz="6" w:space="0"/>
                    <w:right w:val="single" w:color="000000" w:sz="6" w:space="0"/>
                  </w:tcBorders>
                  <w:vAlign w:val="center"/>
                </w:tcPr>
                <w:p>
                  <w:pPr>
                    <w:adjustRightInd w:val="0"/>
                    <w:jc w:val="center"/>
                  </w:pPr>
                  <w:r>
                    <w:rPr>
                      <w:rFonts w:hint="eastAsia"/>
                    </w:rPr>
                    <w:t>周界外浓度最高点</w:t>
                  </w:r>
                </w:p>
              </w:tc>
              <w:tc>
                <w:tcPr>
                  <w:tcW w:w="757" w:type="pct"/>
                  <w:tcBorders>
                    <w:top w:val="single" w:color="000000" w:sz="6" w:space="0"/>
                    <w:left w:val="single" w:color="000000" w:sz="6" w:space="0"/>
                    <w:bottom w:val="single" w:color="000000" w:sz="6" w:space="0"/>
                    <w:right w:val="single" w:color="000000" w:sz="6" w:space="0"/>
                  </w:tcBorders>
                  <w:vAlign w:val="center"/>
                </w:tcPr>
                <w:p>
                  <w:pPr>
                    <w:adjustRightInd w:val="0"/>
                    <w:jc w:val="center"/>
                  </w:pPr>
                  <w:r>
                    <w:rPr>
                      <w:rFonts w:hint="eastAsia"/>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 w:hRule="atLeast"/>
                <w:jc w:val="center"/>
              </w:trPr>
              <w:tc>
                <w:tcPr>
                  <w:tcW w:w="834" w:type="pct"/>
                  <w:tcBorders>
                    <w:top w:val="single" w:color="000000" w:sz="6" w:space="0"/>
                    <w:left w:val="single" w:color="000000" w:sz="6" w:space="0"/>
                    <w:right w:val="single" w:color="000000" w:sz="6" w:space="0"/>
                  </w:tcBorders>
                  <w:vAlign w:val="center"/>
                </w:tcPr>
                <w:p>
                  <w:pPr>
                    <w:adjustRightInd w:val="0"/>
                    <w:jc w:val="center"/>
                    <w:rPr>
                      <w:b/>
                      <w:bCs/>
                    </w:rPr>
                  </w:pPr>
                  <w:r>
                    <w:rPr>
                      <w:rFonts w:hint="eastAsia"/>
                      <w:b/>
                      <w:bCs/>
                    </w:rPr>
                    <w:t>非甲烷总烃</w:t>
                  </w:r>
                </w:p>
              </w:tc>
              <w:tc>
                <w:tcPr>
                  <w:tcW w:w="675" w:type="pct"/>
                  <w:tcBorders>
                    <w:top w:val="single" w:color="000000" w:sz="6" w:space="0"/>
                    <w:left w:val="single" w:color="000000" w:sz="6" w:space="0"/>
                    <w:right w:val="single" w:color="000000" w:sz="6" w:space="0"/>
                  </w:tcBorders>
                  <w:vAlign w:val="center"/>
                </w:tcPr>
                <w:p>
                  <w:pPr>
                    <w:adjustRightInd w:val="0"/>
                    <w:jc w:val="center"/>
                  </w:pPr>
                  <w:r>
                    <w:rPr>
                      <w:rFonts w:hint="eastAsia"/>
                    </w:rPr>
                    <w:t>120</w:t>
                  </w:r>
                </w:p>
              </w:tc>
              <w:tc>
                <w:tcPr>
                  <w:tcW w:w="952" w:type="pct"/>
                  <w:tcBorders>
                    <w:top w:val="single" w:color="000000" w:sz="6" w:space="0"/>
                    <w:left w:val="single" w:color="000000" w:sz="6" w:space="0"/>
                    <w:right w:val="single" w:color="000000" w:sz="6" w:space="0"/>
                  </w:tcBorders>
                  <w:vAlign w:val="center"/>
                </w:tcPr>
                <w:p>
                  <w:pPr>
                    <w:adjustRightInd w:val="0"/>
                    <w:jc w:val="center"/>
                  </w:pPr>
                  <w:r>
                    <w:rPr>
                      <w:rFonts w:hint="eastAsia"/>
                    </w:rPr>
                    <w:t>15</w:t>
                  </w:r>
                </w:p>
              </w:tc>
              <w:tc>
                <w:tcPr>
                  <w:tcW w:w="572" w:type="pct"/>
                  <w:tcBorders>
                    <w:top w:val="single" w:color="000000" w:sz="6" w:space="0"/>
                    <w:left w:val="single" w:color="000000" w:sz="6" w:space="0"/>
                    <w:right w:val="single" w:color="000000" w:sz="6" w:space="0"/>
                  </w:tcBorders>
                  <w:vAlign w:val="center"/>
                </w:tcPr>
                <w:p>
                  <w:pPr>
                    <w:adjustRightInd w:val="0"/>
                    <w:jc w:val="center"/>
                  </w:pPr>
                  <w:r>
                    <w:rPr>
                      <w:rFonts w:hint="eastAsia"/>
                    </w:rPr>
                    <w:t>10</w:t>
                  </w:r>
                </w:p>
              </w:tc>
              <w:tc>
                <w:tcPr>
                  <w:tcW w:w="1210" w:type="pct"/>
                  <w:tcBorders>
                    <w:top w:val="single" w:color="000000" w:sz="6" w:space="0"/>
                    <w:left w:val="single" w:color="000000" w:sz="6" w:space="0"/>
                    <w:right w:val="single" w:color="000000" w:sz="6" w:space="0"/>
                  </w:tcBorders>
                  <w:vAlign w:val="center"/>
                </w:tcPr>
                <w:p>
                  <w:pPr>
                    <w:adjustRightInd w:val="0"/>
                    <w:jc w:val="center"/>
                  </w:pPr>
                  <w:r>
                    <w:rPr>
                      <w:rFonts w:hint="eastAsia"/>
                    </w:rPr>
                    <w:t>周界外浓度最高点</w:t>
                  </w:r>
                </w:p>
              </w:tc>
              <w:tc>
                <w:tcPr>
                  <w:tcW w:w="757" w:type="pct"/>
                  <w:tcBorders>
                    <w:top w:val="single" w:color="000000" w:sz="6" w:space="0"/>
                    <w:left w:val="single" w:color="000000" w:sz="6" w:space="0"/>
                    <w:right w:val="single" w:color="000000" w:sz="6" w:space="0"/>
                  </w:tcBorders>
                  <w:vAlign w:val="center"/>
                </w:tcPr>
                <w:p>
                  <w:pPr>
                    <w:adjustRightInd w:val="0"/>
                    <w:jc w:val="center"/>
                  </w:pPr>
                  <w:r>
                    <w:rPr>
                      <w:rFonts w:hint="eastAsia"/>
                    </w:rPr>
                    <w:t>4.0</w:t>
                  </w:r>
                </w:p>
              </w:tc>
            </w:tr>
          </w:tbl>
          <w:p>
            <w:pPr>
              <w:widowControl/>
              <w:adjustRightInd w:val="0"/>
              <w:spacing w:before="120" w:beforeLines="50" w:line="360" w:lineRule="auto"/>
              <w:jc w:val="center"/>
              <w:rPr>
                <w:rFonts w:cs="宋体"/>
                <w:b/>
                <w:bCs/>
                <w:kern w:val="0"/>
                <w:sz w:val="24"/>
                <w:szCs w:val="20"/>
                <w:lang w:bidi="ar"/>
              </w:rPr>
            </w:pPr>
            <w:r>
              <w:rPr>
                <w:rFonts w:hint="eastAsia" w:cs="宋体"/>
                <w:b/>
                <w:bCs/>
                <w:kern w:val="0"/>
                <w:sz w:val="24"/>
                <w:szCs w:val="20"/>
                <w:lang w:bidi="ar"/>
              </w:rPr>
              <w:t>表3-</w:t>
            </w:r>
            <w:r>
              <w:rPr>
                <w:rFonts w:cs="宋体"/>
                <w:b/>
                <w:bCs/>
                <w:kern w:val="0"/>
                <w:sz w:val="24"/>
                <w:szCs w:val="20"/>
                <w:lang w:bidi="ar"/>
              </w:rPr>
              <w:t>7</w:t>
            </w:r>
            <w:r>
              <w:rPr>
                <w:rFonts w:hint="eastAsia" w:cs="宋体"/>
                <w:b/>
                <w:bCs/>
                <w:kern w:val="0"/>
                <w:sz w:val="24"/>
                <w:szCs w:val="20"/>
                <w:lang w:bidi="ar"/>
              </w:rPr>
              <w:t xml:space="preserve">  厂区内VOC</w:t>
            </w:r>
            <w:r>
              <w:rPr>
                <w:rFonts w:hint="eastAsia" w:cs="宋体"/>
                <w:b/>
                <w:bCs/>
                <w:kern w:val="0"/>
                <w:sz w:val="24"/>
                <w:szCs w:val="20"/>
                <w:vertAlign w:val="subscript"/>
                <w:lang w:bidi="ar"/>
              </w:rPr>
              <w:t>S</w:t>
            </w:r>
            <w:r>
              <w:rPr>
                <w:rFonts w:hint="eastAsia" w:cs="宋体"/>
                <w:b/>
                <w:bCs/>
                <w:kern w:val="0"/>
                <w:sz w:val="24"/>
                <w:szCs w:val="20"/>
                <w:lang w:bidi="ar"/>
              </w:rPr>
              <w:t>无组织排放限值</w:t>
            </w:r>
          </w:p>
          <w:tbl>
            <w:tblPr>
              <w:tblStyle w:val="3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760"/>
              <w:gridCol w:w="2478"/>
              <w:gridCol w:w="25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24" w:type="pct"/>
                  <w:vAlign w:val="center"/>
                </w:tcPr>
                <w:p>
                  <w:pPr>
                    <w:jc w:val="center"/>
                    <w:rPr>
                      <w:b/>
                      <w:bCs/>
                      <w:szCs w:val="21"/>
                    </w:rPr>
                  </w:pPr>
                  <w:r>
                    <w:rPr>
                      <w:b/>
                      <w:bCs/>
                      <w:szCs w:val="21"/>
                    </w:rPr>
                    <w:t>污染物</w:t>
                  </w:r>
                  <w:r>
                    <w:rPr>
                      <w:rFonts w:hint="eastAsia"/>
                      <w:b/>
                      <w:bCs/>
                      <w:szCs w:val="21"/>
                    </w:rPr>
                    <w:t>项目</w:t>
                  </w:r>
                </w:p>
              </w:tc>
              <w:tc>
                <w:tcPr>
                  <w:tcW w:w="1082" w:type="pct"/>
                  <w:vAlign w:val="center"/>
                </w:tcPr>
                <w:p>
                  <w:pPr>
                    <w:jc w:val="center"/>
                    <w:rPr>
                      <w:b/>
                      <w:bCs/>
                      <w:szCs w:val="21"/>
                    </w:rPr>
                  </w:pPr>
                  <w:r>
                    <w:rPr>
                      <w:rFonts w:hint="eastAsia"/>
                      <w:b/>
                      <w:bCs/>
                      <w:szCs w:val="21"/>
                    </w:rPr>
                    <w:t>排放限值</w:t>
                  </w:r>
                </w:p>
              </w:tc>
              <w:tc>
                <w:tcPr>
                  <w:tcW w:w="1523" w:type="pct"/>
                  <w:vAlign w:val="center"/>
                </w:tcPr>
                <w:p>
                  <w:pPr>
                    <w:jc w:val="center"/>
                    <w:rPr>
                      <w:b/>
                      <w:bCs/>
                      <w:szCs w:val="21"/>
                    </w:rPr>
                  </w:pPr>
                  <w:r>
                    <w:rPr>
                      <w:rFonts w:hint="eastAsia"/>
                      <w:b/>
                      <w:bCs/>
                      <w:szCs w:val="21"/>
                    </w:rPr>
                    <w:t>限值含义</w:t>
                  </w:r>
                </w:p>
              </w:tc>
              <w:tc>
                <w:tcPr>
                  <w:tcW w:w="1571" w:type="pct"/>
                  <w:tcBorders>
                    <w:right w:val="single" w:color="auto" w:sz="4" w:space="0"/>
                  </w:tcBorders>
                  <w:vAlign w:val="center"/>
                </w:tcPr>
                <w:p>
                  <w:pPr>
                    <w:jc w:val="center"/>
                    <w:rPr>
                      <w:b/>
                      <w:bCs/>
                      <w:szCs w:val="21"/>
                    </w:rPr>
                  </w:pPr>
                  <w:r>
                    <w:rPr>
                      <w:rFonts w:hint="eastAsia"/>
                      <w:b/>
                      <w:bCs/>
                      <w:szCs w:val="21"/>
                    </w:rPr>
                    <w:t>无组织排放监控点位置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pct"/>
                  <w:vMerge w:val="restart"/>
                  <w:tcBorders>
                    <w:left w:val="single" w:color="auto" w:sz="4" w:space="0"/>
                  </w:tcBorders>
                  <w:vAlign w:val="center"/>
                </w:tcPr>
                <w:p>
                  <w:pPr>
                    <w:jc w:val="center"/>
                    <w:rPr>
                      <w:szCs w:val="21"/>
                    </w:rPr>
                  </w:pPr>
                  <w:r>
                    <w:rPr>
                      <w:rFonts w:hint="eastAsia"/>
                      <w:szCs w:val="21"/>
                    </w:rPr>
                    <w:t>NMHC</w:t>
                  </w:r>
                </w:p>
              </w:tc>
              <w:tc>
                <w:tcPr>
                  <w:tcW w:w="1082" w:type="pct"/>
                  <w:vAlign w:val="center"/>
                </w:tcPr>
                <w:p>
                  <w:pPr>
                    <w:jc w:val="center"/>
                    <w:rPr>
                      <w:szCs w:val="21"/>
                      <w:vertAlign w:val="superscript"/>
                    </w:rPr>
                  </w:pPr>
                  <w:r>
                    <w:rPr>
                      <w:rFonts w:hint="eastAsia"/>
                      <w:szCs w:val="21"/>
                    </w:rPr>
                    <w:t>10mg/m</w:t>
                  </w:r>
                  <w:r>
                    <w:rPr>
                      <w:rFonts w:hint="eastAsia"/>
                      <w:szCs w:val="21"/>
                      <w:vertAlign w:val="superscript"/>
                    </w:rPr>
                    <w:t>3</w:t>
                  </w:r>
                </w:p>
              </w:tc>
              <w:tc>
                <w:tcPr>
                  <w:tcW w:w="1523" w:type="pct"/>
                  <w:vAlign w:val="center"/>
                </w:tcPr>
                <w:p>
                  <w:pPr>
                    <w:jc w:val="center"/>
                    <w:rPr>
                      <w:szCs w:val="21"/>
                    </w:rPr>
                  </w:pPr>
                  <w:r>
                    <w:rPr>
                      <w:rFonts w:hint="eastAsia"/>
                      <w:szCs w:val="21"/>
                    </w:rPr>
                    <w:t>监控点处1h平均浓度值</w:t>
                  </w:r>
                </w:p>
              </w:tc>
              <w:tc>
                <w:tcPr>
                  <w:tcW w:w="1571" w:type="pct"/>
                  <w:vMerge w:val="restart"/>
                  <w:tcBorders>
                    <w:right w:val="single" w:color="auto" w:sz="4" w:space="0"/>
                  </w:tcBorders>
                  <w:vAlign w:val="center"/>
                </w:tcPr>
                <w:p>
                  <w:pPr>
                    <w:jc w:val="center"/>
                    <w:rPr>
                      <w:szCs w:val="21"/>
                    </w:rPr>
                  </w:pPr>
                  <w:r>
                    <w:rPr>
                      <w:rFonts w:hint="eastAsia"/>
                      <w:szCs w:val="21"/>
                    </w:rPr>
                    <w:t>在厂房外设置监控点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pct"/>
                  <w:vMerge w:val="continue"/>
                  <w:tcBorders>
                    <w:left w:val="single" w:color="auto" w:sz="4" w:space="0"/>
                  </w:tcBorders>
                  <w:vAlign w:val="center"/>
                </w:tcPr>
                <w:p>
                  <w:pPr>
                    <w:jc w:val="center"/>
                    <w:rPr>
                      <w:szCs w:val="21"/>
                    </w:rPr>
                  </w:pPr>
                </w:p>
              </w:tc>
              <w:tc>
                <w:tcPr>
                  <w:tcW w:w="1082" w:type="pct"/>
                  <w:vAlign w:val="center"/>
                </w:tcPr>
                <w:p>
                  <w:pPr>
                    <w:jc w:val="center"/>
                    <w:rPr>
                      <w:szCs w:val="21"/>
                      <w:vertAlign w:val="superscript"/>
                    </w:rPr>
                  </w:pPr>
                  <w:r>
                    <w:rPr>
                      <w:rFonts w:hint="eastAsia"/>
                      <w:szCs w:val="21"/>
                    </w:rPr>
                    <w:t>30mg/m</w:t>
                  </w:r>
                  <w:r>
                    <w:rPr>
                      <w:rFonts w:hint="eastAsia"/>
                      <w:szCs w:val="21"/>
                      <w:vertAlign w:val="superscript"/>
                    </w:rPr>
                    <w:t>3</w:t>
                  </w:r>
                </w:p>
              </w:tc>
              <w:tc>
                <w:tcPr>
                  <w:tcW w:w="1523" w:type="pct"/>
                  <w:vAlign w:val="center"/>
                </w:tcPr>
                <w:p>
                  <w:pPr>
                    <w:jc w:val="center"/>
                    <w:rPr>
                      <w:szCs w:val="21"/>
                    </w:rPr>
                  </w:pPr>
                  <w:r>
                    <w:rPr>
                      <w:rFonts w:hint="eastAsia"/>
                      <w:szCs w:val="21"/>
                    </w:rPr>
                    <w:t>监控点处任意一次浓度值</w:t>
                  </w:r>
                </w:p>
              </w:tc>
              <w:tc>
                <w:tcPr>
                  <w:tcW w:w="1571" w:type="pct"/>
                  <w:vMerge w:val="continue"/>
                  <w:tcBorders>
                    <w:right w:val="single" w:color="auto" w:sz="4" w:space="0"/>
                  </w:tcBorders>
                  <w:vAlign w:val="center"/>
                </w:tcPr>
                <w:p>
                  <w:pPr>
                    <w:jc w:val="center"/>
                    <w:rPr>
                      <w:szCs w:val="21"/>
                    </w:rPr>
                  </w:pPr>
                </w:p>
              </w:tc>
            </w:tr>
          </w:tbl>
          <w:p>
            <w:pPr>
              <w:adjustRightInd w:val="0"/>
              <w:spacing w:before="120" w:beforeLines="50" w:line="360" w:lineRule="auto"/>
              <w:ind w:firstLine="480" w:firstLineChars="200"/>
              <w:rPr>
                <w:sz w:val="24"/>
                <w:szCs w:val="21"/>
              </w:rPr>
            </w:pPr>
            <w:r>
              <w:rPr>
                <w:sz w:val="24"/>
                <w:szCs w:val="21"/>
              </w:rPr>
              <w:t>2）</w:t>
            </w:r>
            <w:r>
              <w:rPr>
                <w:rFonts w:hint="eastAsia"/>
                <w:sz w:val="24"/>
                <w:szCs w:val="21"/>
              </w:rPr>
              <w:t>本项目新建1个锅炉房，新增1台5</w:t>
            </w:r>
            <w:r>
              <w:rPr>
                <w:sz w:val="24"/>
                <w:szCs w:val="21"/>
              </w:rPr>
              <w:t>t/h</w:t>
            </w:r>
            <w:r>
              <w:rPr>
                <w:rFonts w:hint="eastAsia"/>
                <w:sz w:val="24"/>
                <w:szCs w:val="21"/>
              </w:rPr>
              <w:t>导热油锅炉，锅炉使用现有项目砂光木粉、废弃木柴、树皮及检验不合格的不可利用的产品作为燃料，参照燃煤锅炉废气标准，执行《锅炉大气污染物排放标准》（GB13271-2014）表2中燃煤锅炉标准。具体标准值详见表3-</w:t>
            </w:r>
            <w:r>
              <w:rPr>
                <w:sz w:val="24"/>
                <w:szCs w:val="21"/>
              </w:rPr>
              <w:t>8</w:t>
            </w:r>
            <w:r>
              <w:rPr>
                <w:rFonts w:hint="eastAsia"/>
                <w:sz w:val="24"/>
                <w:szCs w:val="21"/>
              </w:rPr>
              <w:t>。</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3-</w:t>
            </w:r>
            <w:r>
              <w:rPr>
                <w:rFonts w:cs="宋体"/>
                <w:b/>
                <w:bCs/>
                <w:kern w:val="0"/>
                <w:sz w:val="24"/>
                <w:szCs w:val="20"/>
                <w:lang w:bidi="ar"/>
              </w:rPr>
              <w:t xml:space="preserve">8  </w:t>
            </w:r>
            <w:r>
              <w:rPr>
                <w:rFonts w:hint="eastAsia" w:cs="宋体"/>
                <w:b/>
                <w:bCs/>
                <w:kern w:val="0"/>
                <w:sz w:val="24"/>
                <w:szCs w:val="20"/>
                <w:lang w:bidi="ar"/>
              </w:rPr>
              <w:t>锅炉废气</w:t>
            </w:r>
            <w:r>
              <w:rPr>
                <w:rFonts w:cs="宋体"/>
                <w:b/>
                <w:bCs/>
                <w:kern w:val="0"/>
                <w:sz w:val="24"/>
                <w:szCs w:val="20"/>
                <w:lang w:bidi="ar"/>
              </w:rPr>
              <w:t>排放标准</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4"/>
              <w:gridCol w:w="2660"/>
              <w:gridCol w:w="2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4" w:type="pct"/>
                  <w:vAlign w:val="center"/>
                </w:tcPr>
                <w:p>
                  <w:pPr>
                    <w:adjustRightInd w:val="0"/>
                    <w:jc w:val="center"/>
                    <w:rPr>
                      <w:szCs w:val="21"/>
                    </w:rPr>
                  </w:pPr>
                  <w:r>
                    <w:rPr>
                      <w:szCs w:val="21"/>
                    </w:rPr>
                    <w:t>污染物</w:t>
                  </w:r>
                </w:p>
              </w:tc>
              <w:tc>
                <w:tcPr>
                  <w:tcW w:w="1637" w:type="pct"/>
                  <w:vAlign w:val="center"/>
                </w:tcPr>
                <w:p>
                  <w:pPr>
                    <w:adjustRightInd w:val="0"/>
                    <w:jc w:val="center"/>
                    <w:rPr>
                      <w:szCs w:val="21"/>
                    </w:rPr>
                  </w:pPr>
                  <w:r>
                    <w:rPr>
                      <w:rFonts w:hint="eastAsia"/>
                      <w:szCs w:val="21"/>
                    </w:rPr>
                    <w:t>燃煤</w:t>
                  </w:r>
                  <w:r>
                    <w:rPr>
                      <w:szCs w:val="21"/>
                    </w:rPr>
                    <w:t>锅炉（mg/m³）</w:t>
                  </w:r>
                </w:p>
              </w:tc>
              <w:tc>
                <w:tcPr>
                  <w:tcW w:w="1668" w:type="pct"/>
                  <w:vAlign w:val="center"/>
                </w:tcPr>
                <w:p>
                  <w:pPr>
                    <w:adjustRightInd w:val="0"/>
                    <w:jc w:val="center"/>
                    <w:rPr>
                      <w:szCs w:val="21"/>
                    </w:rPr>
                  </w:pPr>
                  <w:r>
                    <w:rPr>
                      <w:szCs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pct"/>
                  <w:vAlign w:val="center"/>
                </w:tcPr>
                <w:p>
                  <w:pPr>
                    <w:adjustRightInd w:val="0"/>
                    <w:jc w:val="center"/>
                    <w:rPr>
                      <w:szCs w:val="21"/>
                    </w:rPr>
                  </w:pPr>
                  <w:r>
                    <w:rPr>
                      <w:rFonts w:hint="eastAsia"/>
                      <w:szCs w:val="21"/>
                    </w:rPr>
                    <w:t>颗粒物</w:t>
                  </w:r>
                </w:p>
              </w:tc>
              <w:tc>
                <w:tcPr>
                  <w:tcW w:w="1637" w:type="pct"/>
                  <w:vAlign w:val="center"/>
                </w:tcPr>
                <w:p>
                  <w:pPr>
                    <w:adjustRightInd w:val="0"/>
                    <w:jc w:val="center"/>
                    <w:rPr>
                      <w:szCs w:val="21"/>
                    </w:rPr>
                  </w:pPr>
                  <w:r>
                    <w:rPr>
                      <w:rFonts w:hint="eastAsia"/>
                      <w:szCs w:val="21"/>
                    </w:rPr>
                    <w:t>50</w:t>
                  </w:r>
                </w:p>
              </w:tc>
              <w:tc>
                <w:tcPr>
                  <w:tcW w:w="1668" w:type="pct"/>
                  <w:vMerge w:val="restart"/>
                  <w:vAlign w:val="center"/>
                </w:tcPr>
                <w:p>
                  <w:pPr>
                    <w:adjustRightInd w:val="0"/>
                    <w:jc w:val="center"/>
                    <w:rPr>
                      <w:szCs w:val="21"/>
                    </w:rPr>
                  </w:pPr>
                  <w:r>
                    <w:rPr>
                      <w:szCs w:val="21"/>
                    </w:rPr>
                    <w:t>烟囱或烟道</w:t>
                  </w:r>
                </w:p>
              </w:tc>
            </w:tr>
            <w:tr>
              <w:tblPrEx>
                <w:tblCellMar>
                  <w:top w:w="0" w:type="dxa"/>
                  <w:left w:w="108" w:type="dxa"/>
                  <w:bottom w:w="0" w:type="dxa"/>
                  <w:right w:w="108" w:type="dxa"/>
                </w:tblCellMar>
              </w:tblPrEx>
              <w:tc>
                <w:tcPr>
                  <w:tcW w:w="1694" w:type="pct"/>
                  <w:vAlign w:val="center"/>
                </w:tcPr>
                <w:p>
                  <w:pPr>
                    <w:adjustRightInd w:val="0"/>
                    <w:jc w:val="center"/>
                    <w:rPr>
                      <w:szCs w:val="21"/>
                    </w:rPr>
                  </w:pPr>
                  <w:r>
                    <w:rPr>
                      <w:szCs w:val="21"/>
                    </w:rPr>
                    <w:t>SO</w:t>
                  </w:r>
                  <w:r>
                    <w:rPr>
                      <w:szCs w:val="21"/>
                      <w:vertAlign w:val="subscript"/>
                    </w:rPr>
                    <w:t>2</w:t>
                  </w:r>
                </w:p>
              </w:tc>
              <w:tc>
                <w:tcPr>
                  <w:tcW w:w="1637" w:type="pct"/>
                  <w:vAlign w:val="center"/>
                </w:tcPr>
                <w:p>
                  <w:pPr>
                    <w:adjustRightInd w:val="0"/>
                    <w:jc w:val="center"/>
                    <w:rPr>
                      <w:szCs w:val="21"/>
                    </w:rPr>
                  </w:pPr>
                  <w:r>
                    <w:rPr>
                      <w:rFonts w:hint="eastAsia"/>
                      <w:szCs w:val="21"/>
                    </w:rPr>
                    <w:t>300</w:t>
                  </w:r>
                </w:p>
              </w:tc>
              <w:tc>
                <w:tcPr>
                  <w:tcW w:w="1668" w:type="pct"/>
                  <w:vMerge w:val="continue"/>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pct"/>
                  <w:vAlign w:val="center"/>
                </w:tcPr>
                <w:p>
                  <w:pPr>
                    <w:adjustRightInd w:val="0"/>
                    <w:jc w:val="center"/>
                    <w:rPr>
                      <w:szCs w:val="21"/>
                    </w:rPr>
                  </w:pPr>
                  <w:r>
                    <w:rPr>
                      <w:szCs w:val="21"/>
                    </w:rPr>
                    <w:t>NOx</w:t>
                  </w:r>
                </w:p>
              </w:tc>
              <w:tc>
                <w:tcPr>
                  <w:tcW w:w="1637" w:type="pct"/>
                  <w:vAlign w:val="center"/>
                </w:tcPr>
                <w:p>
                  <w:pPr>
                    <w:adjustRightInd w:val="0"/>
                    <w:jc w:val="center"/>
                    <w:rPr>
                      <w:szCs w:val="21"/>
                    </w:rPr>
                  </w:pPr>
                  <w:r>
                    <w:rPr>
                      <w:rFonts w:hint="eastAsia"/>
                      <w:szCs w:val="21"/>
                    </w:rPr>
                    <w:t>300</w:t>
                  </w:r>
                </w:p>
              </w:tc>
              <w:tc>
                <w:tcPr>
                  <w:tcW w:w="1668" w:type="pct"/>
                  <w:vMerge w:val="continue"/>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pct"/>
                  <w:vAlign w:val="center"/>
                </w:tcPr>
                <w:p>
                  <w:pPr>
                    <w:adjustRightInd w:val="0"/>
                    <w:jc w:val="center"/>
                    <w:rPr>
                      <w:szCs w:val="21"/>
                    </w:rPr>
                  </w:pPr>
                  <w:r>
                    <w:rPr>
                      <w:rFonts w:hint="eastAsia"/>
                      <w:szCs w:val="21"/>
                    </w:rPr>
                    <w:t>烟气黑度（林格曼黑度，级）</w:t>
                  </w:r>
                </w:p>
              </w:tc>
              <w:tc>
                <w:tcPr>
                  <w:tcW w:w="1637" w:type="pct"/>
                  <w:vAlign w:val="center"/>
                </w:tcPr>
                <w:p>
                  <w:pPr>
                    <w:adjustRightInd w:val="0"/>
                    <w:jc w:val="center"/>
                    <w:rPr>
                      <w:szCs w:val="21"/>
                    </w:rPr>
                  </w:pPr>
                  <w:r>
                    <w:rPr>
                      <w:szCs w:val="21"/>
                    </w:rPr>
                    <w:t>≤</w:t>
                  </w:r>
                  <w:r>
                    <w:rPr>
                      <w:rFonts w:hint="eastAsia"/>
                      <w:szCs w:val="21"/>
                    </w:rPr>
                    <w:t>1</w:t>
                  </w:r>
                </w:p>
              </w:tc>
              <w:tc>
                <w:tcPr>
                  <w:tcW w:w="1668" w:type="pct"/>
                  <w:vAlign w:val="center"/>
                </w:tcPr>
                <w:p>
                  <w:pPr>
                    <w:adjustRightInd w:val="0"/>
                    <w:jc w:val="center"/>
                    <w:rPr>
                      <w:szCs w:val="21"/>
                    </w:rPr>
                  </w:pPr>
                  <w:r>
                    <w:rPr>
                      <w:rFonts w:hint="eastAsia"/>
                      <w:szCs w:val="21"/>
                    </w:rPr>
                    <w:t>烟囱排放口</w:t>
                  </w:r>
                </w:p>
              </w:tc>
            </w:tr>
          </w:tbl>
          <w:p>
            <w:pPr>
              <w:widowControl/>
              <w:adjustRightInd w:val="0"/>
              <w:spacing w:before="120" w:beforeLines="50" w:line="360" w:lineRule="auto"/>
              <w:ind w:firstLine="480" w:firstLineChars="200"/>
              <w:rPr>
                <w:rFonts w:cs="宋体"/>
                <w:b/>
                <w:bCs/>
                <w:kern w:val="0"/>
                <w:sz w:val="24"/>
                <w:szCs w:val="20"/>
                <w:lang w:bidi="ar"/>
              </w:rPr>
            </w:pPr>
            <w:r>
              <w:rPr>
                <w:rFonts w:hint="eastAsia"/>
                <w:sz w:val="24"/>
                <w:szCs w:val="21"/>
              </w:rPr>
              <w:t>烟囱高度根据锅炉房装机总容量，按表</w:t>
            </w:r>
            <w:r>
              <w:rPr>
                <w:sz w:val="24"/>
                <w:szCs w:val="21"/>
              </w:rPr>
              <w:t>3-9</w:t>
            </w:r>
            <w:r>
              <w:rPr>
                <w:rFonts w:hint="eastAsia"/>
                <w:sz w:val="24"/>
                <w:szCs w:val="21"/>
              </w:rPr>
              <w:t>规定执行。</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表3-9</w:t>
            </w:r>
            <w:r>
              <w:rPr>
                <w:rFonts w:hint="eastAsia" w:cs="宋体"/>
                <w:b/>
                <w:bCs/>
                <w:kern w:val="0"/>
                <w:sz w:val="24"/>
                <w:szCs w:val="20"/>
                <w:lang w:bidi="ar"/>
              </w:rPr>
              <w:t xml:space="preserve">  燃煤</w:t>
            </w:r>
            <w:r>
              <w:rPr>
                <w:rFonts w:cs="宋体"/>
                <w:b/>
                <w:bCs/>
                <w:kern w:val="0"/>
                <w:sz w:val="24"/>
                <w:szCs w:val="20"/>
                <w:lang w:bidi="ar"/>
              </w:rPr>
              <w:t>锅炉</w:t>
            </w:r>
            <w:r>
              <w:rPr>
                <w:rFonts w:hint="eastAsia" w:cs="宋体"/>
                <w:b/>
                <w:bCs/>
                <w:kern w:val="0"/>
                <w:sz w:val="24"/>
                <w:szCs w:val="20"/>
                <w:lang w:bidi="ar"/>
              </w:rPr>
              <w:t>房烟囱最低允许高度</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805"/>
              <w:gridCol w:w="964"/>
              <w:gridCol w:w="1125"/>
              <w:gridCol w:w="1269"/>
              <w:gridCol w:w="949"/>
              <w:gridCol w:w="1034"/>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Merge w:val="restart"/>
                  <w:vAlign w:val="center"/>
                </w:tcPr>
                <w:p>
                  <w:pPr>
                    <w:adjustRightInd w:val="0"/>
                    <w:jc w:val="center"/>
                    <w:rPr>
                      <w:szCs w:val="21"/>
                    </w:rPr>
                  </w:pPr>
                  <w:r>
                    <w:rPr>
                      <w:rFonts w:hint="eastAsia"/>
                      <w:szCs w:val="21"/>
                    </w:rPr>
                    <w:t>锅炉房装机总容量</w:t>
                  </w:r>
                </w:p>
              </w:tc>
              <w:tc>
                <w:tcPr>
                  <w:tcW w:w="496" w:type="pct"/>
                  <w:vAlign w:val="center"/>
                </w:tcPr>
                <w:p>
                  <w:pPr>
                    <w:adjustRightInd w:val="0"/>
                    <w:jc w:val="center"/>
                    <w:rPr>
                      <w:szCs w:val="21"/>
                    </w:rPr>
                  </w:pPr>
                  <w:r>
                    <w:rPr>
                      <w:rFonts w:hint="eastAsia"/>
                      <w:szCs w:val="21"/>
                    </w:rPr>
                    <w:t>MW</w:t>
                  </w:r>
                </w:p>
              </w:tc>
              <w:tc>
                <w:tcPr>
                  <w:tcW w:w="593" w:type="pct"/>
                  <w:vAlign w:val="center"/>
                </w:tcPr>
                <w:p>
                  <w:pPr>
                    <w:adjustRightInd w:val="0"/>
                    <w:jc w:val="center"/>
                    <w:rPr>
                      <w:szCs w:val="21"/>
                    </w:rPr>
                  </w:pPr>
                  <w:r>
                    <w:rPr>
                      <w:szCs w:val="21"/>
                    </w:rPr>
                    <w:sym w:font="Symbol" w:char="F03C"/>
                  </w:r>
                  <w:r>
                    <w:rPr>
                      <w:rFonts w:hint="eastAsia"/>
                      <w:szCs w:val="21"/>
                    </w:rPr>
                    <w:t>0.7</w:t>
                  </w:r>
                </w:p>
              </w:tc>
              <w:tc>
                <w:tcPr>
                  <w:tcW w:w="692" w:type="pct"/>
                  <w:vAlign w:val="center"/>
                </w:tcPr>
                <w:p>
                  <w:pPr>
                    <w:adjustRightInd w:val="0"/>
                    <w:jc w:val="center"/>
                    <w:rPr>
                      <w:szCs w:val="21"/>
                    </w:rPr>
                  </w:pPr>
                  <w:r>
                    <w:rPr>
                      <w:rFonts w:hint="eastAsia"/>
                      <w:szCs w:val="21"/>
                    </w:rPr>
                    <w:t>0.7～</w:t>
                  </w:r>
                  <w:r>
                    <w:rPr>
                      <w:szCs w:val="21"/>
                    </w:rPr>
                    <w:sym w:font="Symbol" w:char="F03C"/>
                  </w:r>
                  <w:r>
                    <w:rPr>
                      <w:rFonts w:hint="eastAsia"/>
                      <w:szCs w:val="21"/>
                    </w:rPr>
                    <w:t>1.4</w:t>
                  </w:r>
                </w:p>
              </w:tc>
              <w:tc>
                <w:tcPr>
                  <w:tcW w:w="781" w:type="pct"/>
                  <w:vAlign w:val="center"/>
                </w:tcPr>
                <w:p>
                  <w:pPr>
                    <w:adjustRightInd w:val="0"/>
                    <w:jc w:val="center"/>
                    <w:rPr>
                      <w:szCs w:val="21"/>
                    </w:rPr>
                  </w:pPr>
                  <w:r>
                    <w:rPr>
                      <w:rFonts w:hint="eastAsia"/>
                      <w:szCs w:val="21"/>
                    </w:rPr>
                    <w:t>1.4～</w:t>
                  </w:r>
                  <w:r>
                    <w:rPr>
                      <w:szCs w:val="21"/>
                    </w:rPr>
                    <w:sym w:font="Symbol" w:char="F03C"/>
                  </w:r>
                  <w:r>
                    <w:rPr>
                      <w:rFonts w:hint="eastAsia"/>
                      <w:szCs w:val="21"/>
                    </w:rPr>
                    <w:t>2.8</w:t>
                  </w:r>
                </w:p>
              </w:tc>
              <w:tc>
                <w:tcPr>
                  <w:tcW w:w="584" w:type="pct"/>
                  <w:vAlign w:val="center"/>
                </w:tcPr>
                <w:p>
                  <w:pPr>
                    <w:adjustRightInd w:val="0"/>
                    <w:jc w:val="center"/>
                    <w:rPr>
                      <w:szCs w:val="21"/>
                    </w:rPr>
                  </w:pPr>
                  <w:r>
                    <w:rPr>
                      <w:rFonts w:hint="eastAsia"/>
                      <w:szCs w:val="21"/>
                    </w:rPr>
                    <w:t>2.8～</w:t>
                  </w:r>
                  <w:r>
                    <w:rPr>
                      <w:szCs w:val="21"/>
                    </w:rPr>
                    <w:sym w:font="Symbol" w:char="F03C"/>
                  </w:r>
                  <w:r>
                    <w:rPr>
                      <w:rFonts w:hint="eastAsia"/>
                      <w:szCs w:val="21"/>
                    </w:rPr>
                    <w:t>7</w:t>
                  </w:r>
                </w:p>
              </w:tc>
              <w:tc>
                <w:tcPr>
                  <w:tcW w:w="636" w:type="pct"/>
                  <w:vAlign w:val="center"/>
                </w:tcPr>
                <w:p>
                  <w:pPr>
                    <w:adjustRightInd w:val="0"/>
                    <w:jc w:val="center"/>
                    <w:rPr>
                      <w:szCs w:val="21"/>
                    </w:rPr>
                  </w:pPr>
                  <w:r>
                    <w:rPr>
                      <w:rFonts w:hint="eastAsia"/>
                      <w:szCs w:val="21"/>
                    </w:rPr>
                    <w:t>7～</w:t>
                  </w:r>
                  <w:r>
                    <w:rPr>
                      <w:szCs w:val="21"/>
                    </w:rPr>
                    <w:sym w:font="Symbol" w:char="F03C"/>
                  </w:r>
                  <w:r>
                    <w:rPr>
                      <w:rFonts w:hint="eastAsia"/>
                      <w:szCs w:val="21"/>
                    </w:rPr>
                    <w:t>14</w:t>
                  </w:r>
                </w:p>
              </w:tc>
              <w:tc>
                <w:tcPr>
                  <w:tcW w:w="449" w:type="pct"/>
                  <w:vAlign w:val="center"/>
                </w:tcPr>
                <w:p>
                  <w:pPr>
                    <w:adjustRightInd w:val="0"/>
                    <w:jc w:val="center"/>
                    <w:rPr>
                      <w:szCs w:val="21"/>
                    </w:rPr>
                  </w:pPr>
                  <w:r>
                    <w:rPr>
                      <w:rFonts w:hint="eastAsia"/>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Merge w:val="continue"/>
                  <w:vAlign w:val="center"/>
                </w:tcPr>
                <w:p>
                  <w:pPr>
                    <w:adjustRightInd w:val="0"/>
                    <w:jc w:val="center"/>
                    <w:rPr>
                      <w:szCs w:val="21"/>
                    </w:rPr>
                  </w:pPr>
                </w:p>
              </w:tc>
              <w:tc>
                <w:tcPr>
                  <w:tcW w:w="496" w:type="pct"/>
                  <w:vAlign w:val="center"/>
                </w:tcPr>
                <w:p>
                  <w:pPr>
                    <w:adjustRightInd w:val="0"/>
                    <w:jc w:val="center"/>
                    <w:rPr>
                      <w:szCs w:val="21"/>
                    </w:rPr>
                  </w:pPr>
                  <w:r>
                    <w:rPr>
                      <w:rFonts w:hint="eastAsia"/>
                      <w:szCs w:val="21"/>
                    </w:rPr>
                    <w:t>t/h</w:t>
                  </w:r>
                </w:p>
              </w:tc>
              <w:tc>
                <w:tcPr>
                  <w:tcW w:w="593" w:type="pct"/>
                  <w:vAlign w:val="center"/>
                </w:tcPr>
                <w:p>
                  <w:pPr>
                    <w:adjustRightInd w:val="0"/>
                    <w:jc w:val="center"/>
                    <w:rPr>
                      <w:szCs w:val="21"/>
                    </w:rPr>
                  </w:pPr>
                  <w:r>
                    <w:rPr>
                      <w:szCs w:val="21"/>
                    </w:rPr>
                    <w:sym w:font="Symbol" w:char="F03C"/>
                  </w:r>
                  <w:r>
                    <w:rPr>
                      <w:rFonts w:hint="eastAsia"/>
                      <w:szCs w:val="21"/>
                    </w:rPr>
                    <w:t>1</w:t>
                  </w:r>
                </w:p>
              </w:tc>
              <w:tc>
                <w:tcPr>
                  <w:tcW w:w="692" w:type="pct"/>
                  <w:vAlign w:val="center"/>
                </w:tcPr>
                <w:p>
                  <w:pPr>
                    <w:adjustRightInd w:val="0"/>
                    <w:jc w:val="center"/>
                    <w:rPr>
                      <w:szCs w:val="21"/>
                    </w:rPr>
                  </w:pPr>
                  <w:r>
                    <w:rPr>
                      <w:rFonts w:hint="eastAsia"/>
                      <w:szCs w:val="21"/>
                    </w:rPr>
                    <w:t>1～</w:t>
                  </w:r>
                  <w:r>
                    <w:rPr>
                      <w:szCs w:val="21"/>
                    </w:rPr>
                    <w:sym w:font="Symbol" w:char="F03C"/>
                  </w:r>
                  <w:r>
                    <w:rPr>
                      <w:rFonts w:hint="eastAsia"/>
                      <w:szCs w:val="21"/>
                    </w:rPr>
                    <w:t>2</w:t>
                  </w:r>
                </w:p>
              </w:tc>
              <w:tc>
                <w:tcPr>
                  <w:tcW w:w="781" w:type="pct"/>
                  <w:vAlign w:val="center"/>
                </w:tcPr>
                <w:p>
                  <w:pPr>
                    <w:adjustRightInd w:val="0"/>
                    <w:jc w:val="center"/>
                    <w:rPr>
                      <w:szCs w:val="21"/>
                    </w:rPr>
                  </w:pPr>
                  <w:r>
                    <w:rPr>
                      <w:rFonts w:hint="eastAsia"/>
                      <w:szCs w:val="21"/>
                    </w:rPr>
                    <w:t>2～</w:t>
                  </w:r>
                  <w:r>
                    <w:rPr>
                      <w:szCs w:val="21"/>
                    </w:rPr>
                    <w:sym w:font="Symbol" w:char="F03C"/>
                  </w:r>
                  <w:r>
                    <w:rPr>
                      <w:rFonts w:hint="eastAsia"/>
                      <w:szCs w:val="21"/>
                    </w:rPr>
                    <w:t>4</w:t>
                  </w:r>
                </w:p>
              </w:tc>
              <w:tc>
                <w:tcPr>
                  <w:tcW w:w="584" w:type="pct"/>
                  <w:vAlign w:val="center"/>
                </w:tcPr>
                <w:p>
                  <w:pPr>
                    <w:adjustRightInd w:val="0"/>
                    <w:jc w:val="center"/>
                    <w:rPr>
                      <w:szCs w:val="21"/>
                    </w:rPr>
                  </w:pPr>
                  <w:r>
                    <w:rPr>
                      <w:rFonts w:hint="eastAsia"/>
                      <w:szCs w:val="21"/>
                    </w:rPr>
                    <w:t>4～</w:t>
                  </w:r>
                  <w:r>
                    <w:rPr>
                      <w:szCs w:val="21"/>
                    </w:rPr>
                    <w:sym w:font="Symbol" w:char="F03C"/>
                  </w:r>
                  <w:r>
                    <w:rPr>
                      <w:rFonts w:hint="eastAsia"/>
                      <w:szCs w:val="21"/>
                    </w:rPr>
                    <w:t>10</w:t>
                  </w:r>
                </w:p>
              </w:tc>
              <w:tc>
                <w:tcPr>
                  <w:tcW w:w="636" w:type="pct"/>
                  <w:vAlign w:val="center"/>
                </w:tcPr>
                <w:p>
                  <w:pPr>
                    <w:adjustRightInd w:val="0"/>
                    <w:jc w:val="center"/>
                    <w:rPr>
                      <w:szCs w:val="21"/>
                    </w:rPr>
                  </w:pPr>
                  <w:r>
                    <w:rPr>
                      <w:rFonts w:hint="eastAsia"/>
                      <w:szCs w:val="21"/>
                    </w:rPr>
                    <w:t>10～</w:t>
                  </w:r>
                  <w:r>
                    <w:rPr>
                      <w:szCs w:val="21"/>
                    </w:rPr>
                    <w:sym w:font="Symbol" w:char="F03C"/>
                  </w:r>
                  <w:r>
                    <w:rPr>
                      <w:rFonts w:hint="eastAsia"/>
                      <w:szCs w:val="21"/>
                    </w:rPr>
                    <w:t>20</w:t>
                  </w:r>
                </w:p>
              </w:tc>
              <w:tc>
                <w:tcPr>
                  <w:tcW w:w="449" w:type="pct"/>
                  <w:vAlign w:val="center"/>
                </w:tcPr>
                <w:p>
                  <w:pPr>
                    <w:adjustRightInd w:val="0"/>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vAlign w:val="center"/>
                </w:tcPr>
                <w:p>
                  <w:pPr>
                    <w:adjustRightInd w:val="0"/>
                    <w:jc w:val="center"/>
                    <w:rPr>
                      <w:szCs w:val="21"/>
                    </w:rPr>
                  </w:pPr>
                  <w:r>
                    <w:rPr>
                      <w:rFonts w:hint="eastAsia"/>
                      <w:szCs w:val="21"/>
                    </w:rPr>
                    <w:t>烟囱最低允许高度</w:t>
                  </w:r>
                </w:p>
              </w:tc>
              <w:tc>
                <w:tcPr>
                  <w:tcW w:w="496" w:type="pct"/>
                  <w:vAlign w:val="center"/>
                </w:tcPr>
                <w:p>
                  <w:pPr>
                    <w:adjustRightInd w:val="0"/>
                    <w:jc w:val="center"/>
                    <w:rPr>
                      <w:szCs w:val="21"/>
                    </w:rPr>
                  </w:pPr>
                  <w:r>
                    <w:rPr>
                      <w:rFonts w:hint="eastAsia"/>
                      <w:szCs w:val="21"/>
                    </w:rPr>
                    <w:t>m</w:t>
                  </w:r>
                </w:p>
              </w:tc>
              <w:tc>
                <w:tcPr>
                  <w:tcW w:w="593" w:type="pct"/>
                  <w:vAlign w:val="center"/>
                </w:tcPr>
                <w:p>
                  <w:pPr>
                    <w:adjustRightInd w:val="0"/>
                    <w:jc w:val="center"/>
                    <w:rPr>
                      <w:szCs w:val="21"/>
                    </w:rPr>
                  </w:pPr>
                  <w:r>
                    <w:rPr>
                      <w:rFonts w:hint="eastAsia"/>
                      <w:szCs w:val="21"/>
                    </w:rPr>
                    <w:t>20</w:t>
                  </w:r>
                </w:p>
              </w:tc>
              <w:tc>
                <w:tcPr>
                  <w:tcW w:w="692" w:type="pct"/>
                  <w:vAlign w:val="center"/>
                </w:tcPr>
                <w:p>
                  <w:pPr>
                    <w:adjustRightInd w:val="0"/>
                    <w:jc w:val="center"/>
                    <w:rPr>
                      <w:szCs w:val="21"/>
                    </w:rPr>
                  </w:pPr>
                  <w:r>
                    <w:rPr>
                      <w:rFonts w:hint="eastAsia"/>
                      <w:szCs w:val="21"/>
                    </w:rPr>
                    <w:t>25</w:t>
                  </w:r>
                </w:p>
              </w:tc>
              <w:tc>
                <w:tcPr>
                  <w:tcW w:w="781" w:type="pct"/>
                  <w:vAlign w:val="center"/>
                </w:tcPr>
                <w:p>
                  <w:pPr>
                    <w:adjustRightInd w:val="0"/>
                    <w:jc w:val="center"/>
                    <w:rPr>
                      <w:szCs w:val="21"/>
                    </w:rPr>
                  </w:pPr>
                  <w:r>
                    <w:rPr>
                      <w:rFonts w:hint="eastAsia"/>
                      <w:szCs w:val="21"/>
                    </w:rPr>
                    <w:t>30</w:t>
                  </w:r>
                </w:p>
              </w:tc>
              <w:tc>
                <w:tcPr>
                  <w:tcW w:w="584" w:type="pct"/>
                  <w:vAlign w:val="center"/>
                </w:tcPr>
                <w:p>
                  <w:pPr>
                    <w:adjustRightInd w:val="0"/>
                    <w:jc w:val="center"/>
                    <w:rPr>
                      <w:szCs w:val="21"/>
                    </w:rPr>
                  </w:pPr>
                  <w:r>
                    <w:rPr>
                      <w:rFonts w:hint="eastAsia"/>
                      <w:szCs w:val="21"/>
                    </w:rPr>
                    <w:t>35</w:t>
                  </w:r>
                </w:p>
              </w:tc>
              <w:tc>
                <w:tcPr>
                  <w:tcW w:w="636" w:type="pct"/>
                  <w:vAlign w:val="center"/>
                </w:tcPr>
                <w:p>
                  <w:pPr>
                    <w:adjustRightInd w:val="0"/>
                    <w:jc w:val="center"/>
                    <w:rPr>
                      <w:szCs w:val="21"/>
                    </w:rPr>
                  </w:pPr>
                  <w:r>
                    <w:rPr>
                      <w:rFonts w:hint="eastAsia"/>
                      <w:szCs w:val="21"/>
                    </w:rPr>
                    <w:t>40</w:t>
                  </w:r>
                </w:p>
              </w:tc>
              <w:tc>
                <w:tcPr>
                  <w:tcW w:w="449" w:type="pct"/>
                  <w:vAlign w:val="center"/>
                </w:tcPr>
                <w:p>
                  <w:pPr>
                    <w:adjustRightInd w:val="0"/>
                    <w:jc w:val="center"/>
                    <w:rPr>
                      <w:szCs w:val="21"/>
                    </w:rPr>
                  </w:pPr>
                  <w:r>
                    <w:rPr>
                      <w:rFonts w:hint="eastAsia"/>
                      <w:szCs w:val="21"/>
                    </w:rPr>
                    <w:t>45</w:t>
                  </w:r>
                </w:p>
              </w:tc>
            </w:tr>
          </w:tbl>
          <w:p>
            <w:pPr>
              <w:adjustRightInd w:val="0"/>
              <w:spacing w:before="120" w:beforeLines="50" w:line="360" w:lineRule="auto"/>
              <w:ind w:firstLine="480" w:firstLineChars="200"/>
              <w:jc w:val="left"/>
              <w:rPr>
                <w:sz w:val="24"/>
                <w:szCs w:val="21"/>
              </w:rPr>
            </w:pPr>
            <w:r>
              <w:rPr>
                <w:rFonts w:hint="eastAsia"/>
                <w:sz w:val="24"/>
                <w:szCs w:val="21"/>
              </w:rPr>
              <w:t>本项目新增锅炉房锅炉型号：YGW-3000，额定热功率3000KW，锅炉房装机总容量为3</w:t>
            </w:r>
            <w:r>
              <w:rPr>
                <w:sz w:val="24"/>
                <w:szCs w:val="21"/>
              </w:rPr>
              <w:t>MW</w:t>
            </w:r>
            <w:r>
              <w:rPr>
                <w:rFonts w:hint="eastAsia"/>
                <w:sz w:val="24"/>
                <w:szCs w:val="21"/>
              </w:rPr>
              <w:t>，对照上表，锅炉烟囱高度为3</w:t>
            </w:r>
            <w:r>
              <w:rPr>
                <w:sz w:val="24"/>
                <w:szCs w:val="21"/>
              </w:rPr>
              <w:t>5m</w:t>
            </w:r>
            <w:r>
              <w:rPr>
                <w:rFonts w:hint="eastAsia"/>
                <w:sz w:val="24"/>
                <w:szCs w:val="21"/>
              </w:rPr>
              <w:t>。</w:t>
            </w:r>
          </w:p>
          <w:p>
            <w:pPr>
              <w:adjustRightInd w:val="0"/>
              <w:spacing w:line="360" w:lineRule="auto"/>
              <w:ind w:firstLine="482" w:firstLineChars="200"/>
              <w:jc w:val="left"/>
              <w:rPr>
                <w:b/>
                <w:bCs/>
                <w:sz w:val="24"/>
                <w:szCs w:val="21"/>
              </w:rPr>
            </w:pPr>
            <w:r>
              <w:rPr>
                <w:b/>
                <w:bCs/>
                <w:sz w:val="24"/>
                <w:szCs w:val="21"/>
              </w:rPr>
              <w:t>2、水污染物排放标准</w:t>
            </w:r>
          </w:p>
          <w:p>
            <w:pPr>
              <w:adjustRightInd w:val="0"/>
              <w:spacing w:line="360" w:lineRule="auto"/>
              <w:ind w:firstLine="480" w:firstLineChars="200"/>
              <w:rPr>
                <w:sz w:val="24"/>
                <w:szCs w:val="21"/>
              </w:rPr>
            </w:pPr>
            <w:r>
              <w:rPr>
                <w:rFonts w:hint="eastAsia"/>
                <w:sz w:val="24"/>
                <w:szCs w:val="21"/>
              </w:rPr>
              <w:t>本</w:t>
            </w:r>
            <w:r>
              <w:rPr>
                <w:sz w:val="24"/>
                <w:szCs w:val="21"/>
              </w:rPr>
              <w:t>项目实行雨污分流制，雨水管道接通</w:t>
            </w:r>
            <w:r>
              <w:rPr>
                <w:rFonts w:hint="eastAsia"/>
                <w:sz w:val="24"/>
                <w:szCs w:val="21"/>
              </w:rPr>
              <w:t>寻甸特色产业园区羊街片区</w:t>
            </w:r>
            <w:r>
              <w:rPr>
                <w:sz w:val="24"/>
                <w:szCs w:val="21"/>
              </w:rPr>
              <w:t>内已建好的雨水</w:t>
            </w:r>
            <w:r>
              <w:rPr>
                <w:rFonts w:hint="eastAsia"/>
                <w:sz w:val="24"/>
                <w:szCs w:val="21"/>
              </w:rPr>
              <w:t>管网然后外排。</w:t>
            </w:r>
            <w:r>
              <w:rPr>
                <w:rFonts w:hint="eastAsia"/>
                <w:sz w:val="24"/>
              </w:rPr>
              <w:t>本次技改项目新增锅炉水膜除尘废水，经沉淀池沉淀后循环使用，不外排，不设置控制标准</w:t>
            </w:r>
            <w:r>
              <w:rPr>
                <w:sz w:val="24"/>
                <w:szCs w:val="21"/>
              </w:rPr>
              <w:t>。</w:t>
            </w:r>
          </w:p>
          <w:p>
            <w:pPr>
              <w:adjustRightInd w:val="0"/>
              <w:spacing w:line="360" w:lineRule="auto"/>
              <w:ind w:firstLine="482" w:firstLineChars="200"/>
              <w:rPr>
                <w:b/>
                <w:bCs/>
                <w:sz w:val="24"/>
                <w:szCs w:val="21"/>
              </w:rPr>
            </w:pPr>
            <w:r>
              <w:rPr>
                <w:b/>
                <w:bCs/>
                <w:sz w:val="24"/>
                <w:szCs w:val="21"/>
              </w:rPr>
              <w:t>3、噪声污染物排放标准</w:t>
            </w:r>
          </w:p>
          <w:p>
            <w:pPr>
              <w:adjustRightInd w:val="0"/>
              <w:spacing w:line="360" w:lineRule="auto"/>
              <w:ind w:firstLine="480" w:firstLineChars="200"/>
              <w:jc w:val="left"/>
              <w:rPr>
                <w:sz w:val="24"/>
                <w:szCs w:val="21"/>
              </w:rPr>
            </w:pPr>
            <w:r>
              <w:rPr>
                <w:sz w:val="24"/>
                <w:szCs w:val="21"/>
              </w:rPr>
              <w:t>厂界噪声执行GB12348-2008《工业企业厂界环境噪声排放标准》3类区标准，噪声限值见表</w:t>
            </w:r>
            <w:r>
              <w:rPr>
                <w:rFonts w:hint="eastAsia"/>
                <w:sz w:val="24"/>
                <w:szCs w:val="21"/>
              </w:rPr>
              <w:t>3-</w:t>
            </w:r>
            <w:r>
              <w:rPr>
                <w:sz w:val="24"/>
                <w:szCs w:val="21"/>
              </w:rPr>
              <w:t>10。</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3-</w:t>
            </w:r>
            <w:r>
              <w:rPr>
                <w:rFonts w:cs="宋体"/>
                <w:b/>
                <w:bCs/>
                <w:kern w:val="0"/>
                <w:sz w:val="24"/>
                <w:szCs w:val="20"/>
                <w:lang w:bidi="ar"/>
              </w:rPr>
              <w:t>10  工业企业厂界环境噪声排放标准dB(A)</w:t>
            </w:r>
          </w:p>
          <w:tbl>
            <w:tblPr>
              <w:tblStyle w:val="3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032"/>
              <w:gridCol w:w="2890"/>
              <w:gridCol w:w="22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5" w:hRule="exact"/>
                <w:jc w:val="center"/>
              </w:trPr>
              <w:tc>
                <w:tcPr>
                  <w:tcW w:w="1865" w:type="pct"/>
                  <w:vMerge w:val="restart"/>
                  <w:vAlign w:val="center"/>
                </w:tcPr>
                <w:p>
                  <w:pPr>
                    <w:adjustRightInd w:val="0"/>
                    <w:jc w:val="center"/>
                    <w:rPr>
                      <w:b/>
                    </w:rPr>
                  </w:pPr>
                  <w:r>
                    <w:rPr>
                      <w:b/>
                    </w:rPr>
                    <w:t>类别</w:t>
                  </w:r>
                </w:p>
              </w:tc>
              <w:tc>
                <w:tcPr>
                  <w:tcW w:w="3134" w:type="pct"/>
                  <w:gridSpan w:val="2"/>
                  <w:vAlign w:val="center"/>
                </w:tcPr>
                <w:p>
                  <w:pPr>
                    <w:adjustRightInd w:val="0"/>
                    <w:jc w:val="center"/>
                    <w:rPr>
                      <w:b/>
                    </w:rPr>
                  </w:pPr>
                  <w:r>
                    <w:rPr>
                      <w:b/>
                    </w:rPr>
                    <w:t>等效声级[dB(A)]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9" w:hRule="exact"/>
                <w:jc w:val="center"/>
              </w:trPr>
              <w:tc>
                <w:tcPr>
                  <w:tcW w:w="1865" w:type="pct"/>
                  <w:vMerge w:val="continue"/>
                  <w:vAlign w:val="center"/>
                </w:tcPr>
                <w:p>
                  <w:pPr>
                    <w:widowControl/>
                    <w:adjustRightInd w:val="0"/>
                    <w:jc w:val="center"/>
                    <w:rPr>
                      <w:b/>
                    </w:rPr>
                  </w:pPr>
                </w:p>
              </w:tc>
              <w:tc>
                <w:tcPr>
                  <w:tcW w:w="1778" w:type="pct"/>
                  <w:vAlign w:val="center"/>
                </w:tcPr>
                <w:p>
                  <w:pPr>
                    <w:adjustRightInd w:val="0"/>
                    <w:jc w:val="center"/>
                    <w:rPr>
                      <w:b/>
                    </w:rPr>
                  </w:pPr>
                  <w:r>
                    <w:rPr>
                      <w:b/>
                    </w:rPr>
                    <w:t>昼间</w:t>
                  </w:r>
                </w:p>
              </w:tc>
              <w:tc>
                <w:tcPr>
                  <w:tcW w:w="1355" w:type="pct"/>
                  <w:vAlign w:val="center"/>
                </w:tcPr>
                <w:p>
                  <w:pPr>
                    <w:adjustRightInd w:val="0"/>
                    <w:jc w:val="center"/>
                    <w:rPr>
                      <w:b/>
                    </w:rPr>
                  </w:pPr>
                  <w:r>
                    <w:rPr>
                      <w:b/>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865" w:type="pct"/>
                  <w:vAlign w:val="center"/>
                </w:tcPr>
                <w:p>
                  <w:pPr>
                    <w:adjustRightInd w:val="0"/>
                    <w:jc w:val="center"/>
                  </w:pPr>
                  <w:r>
                    <w:rPr>
                      <w:rFonts w:hint="eastAsia"/>
                    </w:rPr>
                    <w:t>3</w:t>
                  </w:r>
                  <w:r>
                    <w:t>类</w:t>
                  </w:r>
                </w:p>
              </w:tc>
              <w:tc>
                <w:tcPr>
                  <w:tcW w:w="1778" w:type="pct"/>
                  <w:vAlign w:val="center"/>
                </w:tcPr>
                <w:p>
                  <w:pPr>
                    <w:adjustRightInd w:val="0"/>
                    <w:jc w:val="center"/>
                  </w:pPr>
                  <w:r>
                    <w:t>6</w:t>
                  </w:r>
                  <w:r>
                    <w:rPr>
                      <w:rFonts w:hint="eastAsia"/>
                    </w:rPr>
                    <w:t>5</w:t>
                  </w:r>
                </w:p>
              </w:tc>
              <w:tc>
                <w:tcPr>
                  <w:tcW w:w="1355" w:type="pct"/>
                  <w:vAlign w:val="center"/>
                </w:tcPr>
                <w:p>
                  <w:pPr>
                    <w:adjustRightInd w:val="0"/>
                    <w:jc w:val="center"/>
                  </w:pPr>
                  <w:r>
                    <w:t>5</w:t>
                  </w:r>
                  <w:r>
                    <w:rPr>
                      <w:rFonts w:hint="eastAsia"/>
                    </w:rPr>
                    <w:t>5</w:t>
                  </w:r>
                </w:p>
              </w:tc>
            </w:tr>
          </w:tbl>
          <w:p>
            <w:pPr>
              <w:adjustRightInd w:val="0"/>
              <w:spacing w:before="120" w:beforeLines="50" w:line="360" w:lineRule="auto"/>
              <w:ind w:firstLine="482" w:firstLineChars="200"/>
              <w:jc w:val="left"/>
              <w:rPr>
                <w:b/>
                <w:bCs/>
                <w:sz w:val="24"/>
                <w:szCs w:val="21"/>
              </w:rPr>
            </w:pPr>
            <w:r>
              <w:rPr>
                <w:b/>
                <w:bCs/>
                <w:sz w:val="24"/>
                <w:szCs w:val="21"/>
              </w:rPr>
              <w:t>4、固体废弃物</w:t>
            </w:r>
          </w:p>
          <w:p>
            <w:pPr>
              <w:adjustRightInd w:val="0"/>
              <w:spacing w:line="360" w:lineRule="auto"/>
              <w:ind w:firstLine="480" w:firstLineChars="200"/>
              <w:rPr>
                <w:sz w:val="24"/>
                <w:szCs w:val="21"/>
              </w:rPr>
            </w:pPr>
            <w:r>
              <w:rPr>
                <w:sz w:val="24"/>
                <w:szCs w:val="21"/>
              </w:rPr>
              <w:t>一般固体废物排放执行《一般工业固体</w:t>
            </w:r>
            <w:r>
              <w:rPr>
                <w:rFonts w:hint="eastAsia"/>
                <w:sz w:val="24"/>
                <w:szCs w:val="21"/>
              </w:rPr>
              <w:t>废物贮存和填埋污染控制标准》（GB18599-2020）</w:t>
            </w:r>
            <w:r>
              <w:rPr>
                <w:sz w:val="24"/>
                <w:szCs w:val="21"/>
              </w:rPr>
              <w:t>中的相关规定</w:t>
            </w:r>
            <w:r>
              <w:rPr>
                <w:rFonts w:hint="eastAsia"/>
                <w:sz w:val="24"/>
                <w:szCs w:val="21"/>
              </w:rPr>
              <w:t>；</w:t>
            </w:r>
          </w:p>
          <w:p>
            <w:pPr>
              <w:adjustRightInd w:val="0"/>
              <w:spacing w:line="360" w:lineRule="auto"/>
              <w:ind w:firstLine="480" w:firstLineChars="200"/>
              <w:rPr>
                <w:sz w:val="24"/>
                <w:szCs w:val="21"/>
              </w:rPr>
            </w:pPr>
            <w:r>
              <w:rPr>
                <w:sz w:val="24"/>
                <w:szCs w:val="21"/>
              </w:rPr>
              <w:t>危险废物</w:t>
            </w:r>
            <w:r>
              <w:rPr>
                <w:rFonts w:hint="eastAsia"/>
                <w:sz w:val="24"/>
                <w:szCs w:val="21"/>
              </w:rPr>
              <w:t>贮存</w:t>
            </w:r>
            <w:r>
              <w:rPr>
                <w:sz w:val="24"/>
                <w:szCs w:val="21"/>
              </w:rPr>
              <w:t>执行《危险废物贮存污染控制标准》（GB18596-20</w:t>
            </w:r>
            <w:r>
              <w:rPr>
                <w:rFonts w:hint="eastAsia"/>
                <w:sz w:val="24"/>
                <w:szCs w:val="21"/>
              </w:rPr>
              <w:t>23</w:t>
            </w:r>
            <w:r>
              <w:rPr>
                <w:sz w:val="24"/>
                <w:szCs w:val="21"/>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396" w:type="pct"/>
            <w:vAlign w:val="center"/>
          </w:tcPr>
          <w:p>
            <w:pPr>
              <w:pStyle w:val="28"/>
              <w:adjustRightInd w:val="0"/>
              <w:spacing w:before="0" w:beforeAutospacing="0" w:after="0" w:afterAutospacing="0"/>
              <w:jc w:val="center"/>
              <w:rPr>
                <w:rFonts w:ascii="Times New Roman" w:hAnsi="Times New Roman" w:cs="宋体"/>
                <w:kern w:val="2"/>
                <w:szCs w:val="21"/>
              </w:rPr>
            </w:pPr>
            <w:r>
              <w:rPr>
                <w:rFonts w:hint="eastAsia" w:ascii="Times New Roman" w:hAnsi="Times New Roman" w:cs="宋体"/>
                <w:b/>
                <w:bCs/>
                <w:kern w:val="2"/>
                <w:szCs w:val="21"/>
              </w:rPr>
              <w:t>总量控制指标</w:t>
            </w:r>
          </w:p>
        </w:tc>
        <w:tc>
          <w:tcPr>
            <w:tcW w:w="4603" w:type="pct"/>
            <w:vAlign w:val="center"/>
          </w:tcPr>
          <w:p>
            <w:pPr>
              <w:adjustRightInd w:val="0"/>
              <w:spacing w:before="120" w:beforeLines="50" w:line="360" w:lineRule="auto"/>
              <w:ind w:firstLine="480" w:firstLineChars="200"/>
              <w:rPr>
                <w:sz w:val="24"/>
                <w:szCs w:val="21"/>
              </w:rPr>
            </w:pPr>
            <w:r>
              <w:rPr>
                <w:sz w:val="24"/>
                <w:szCs w:val="21"/>
              </w:rPr>
              <w:t>根据本项目的具体情况，结合国家污染物排放总量控制原则，建议本项目的总量控制指标如下：</w:t>
            </w:r>
          </w:p>
          <w:p>
            <w:pPr>
              <w:adjustRightInd w:val="0"/>
              <w:spacing w:line="360" w:lineRule="auto"/>
              <w:ind w:firstLine="480" w:firstLineChars="200"/>
              <w:jc w:val="left"/>
              <w:rPr>
                <w:bCs/>
                <w:sz w:val="24"/>
                <w:szCs w:val="21"/>
              </w:rPr>
            </w:pPr>
            <w:r>
              <w:rPr>
                <w:bCs/>
                <w:sz w:val="24"/>
                <w:szCs w:val="21"/>
              </w:rPr>
              <w:t>1、废水污染物</w:t>
            </w:r>
          </w:p>
          <w:p>
            <w:pPr>
              <w:adjustRightInd w:val="0"/>
              <w:spacing w:line="360" w:lineRule="auto"/>
              <w:ind w:firstLine="480" w:firstLineChars="200"/>
              <w:rPr>
                <w:bCs/>
                <w:sz w:val="24"/>
                <w:szCs w:val="21"/>
              </w:rPr>
            </w:pPr>
            <w:r>
              <w:rPr>
                <w:rFonts w:hint="eastAsia"/>
                <w:bCs/>
                <w:sz w:val="24"/>
                <w:szCs w:val="21"/>
              </w:rPr>
              <w:t>本次技改项目新增锅炉水膜除尘废水，经沉淀池沉淀后循环使用，不外排</w:t>
            </w:r>
            <w:r>
              <w:rPr>
                <w:bCs/>
                <w:sz w:val="24"/>
                <w:szCs w:val="21"/>
              </w:rPr>
              <w:t>。因此本项目废水不设总量控制。</w:t>
            </w:r>
          </w:p>
          <w:p>
            <w:pPr>
              <w:adjustRightInd w:val="0"/>
              <w:spacing w:line="360" w:lineRule="auto"/>
              <w:ind w:firstLine="480" w:firstLineChars="200"/>
              <w:jc w:val="left"/>
              <w:rPr>
                <w:bCs/>
                <w:sz w:val="24"/>
                <w:szCs w:val="21"/>
              </w:rPr>
            </w:pPr>
            <w:r>
              <w:rPr>
                <w:bCs/>
                <w:sz w:val="24"/>
                <w:szCs w:val="21"/>
              </w:rPr>
              <w:t>2、大气污染物</w:t>
            </w:r>
          </w:p>
          <w:p>
            <w:pPr>
              <w:adjustRightInd w:val="0"/>
              <w:spacing w:line="360" w:lineRule="auto"/>
              <w:ind w:firstLine="480" w:firstLineChars="200"/>
              <w:rPr>
                <w:bCs/>
                <w:sz w:val="24"/>
                <w:highlight w:val="green"/>
              </w:rPr>
            </w:pPr>
            <w:r>
              <w:rPr>
                <w:bCs/>
                <w:sz w:val="24"/>
              </w:rPr>
              <w:t>根据工程分析可知，</w:t>
            </w:r>
            <w:r>
              <w:rPr>
                <w:rFonts w:hint="eastAsia"/>
                <w:bCs/>
                <w:sz w:val="24"/>
                <w:highlight w:val="green"/>
              </w:rPr>
              <w:t>本项目废气排放量为：8629.92万m</w:t>
            </w:r>
            <w:r>
              <w:rPr>
                <w:rFonts w:hint="eastAsia"/>
                <w:bCs/>
                <w:sz w:val="24"/>
                <w:highlight w:val="green"/>
                <w:vertAlign w:val="superscript"/>
              </w:rPr>
              <w:t>3</w:t>
            </w:r>
            <w:r>
              <w:rPr>
                <w:rFonts w:hint="eastAsia"/>
                <w:bCs/>
                <w:sz w:val="24"/>
                <w:highlight w:val="green"/>
              </w:rPr>
              <w:t>/a，各污染物排放量为</w:t>
            </w:r>
            <w:r>
              <w:rPr>
                <w:bCs/>
                <w:sz w:val="24"/>
                <w:highlight w:val="green"/>
              </w:rPr>
              <w:t>SO</w:t>
            </w:r>
            <w:r>
              <w:rPr>
                <w:bCs/>
                <w:sz w:val="24"/>
                <w:highlight w:val="green"/>
                <w:vertAlign w:val="subscript"/>
              </w:rPr>
              <w:t>2</w:t>
            </w:r>
            <w:r>
              <w:rPr>
                <w:bCs/>
                <w:sz w:val="24"/>
                <w:highlight w:val="green"/>
              </w:rPr>
              <w:t>：4.69t/a；NO</w:t>
            </w:r>
            <w:r>
              <w:rPr>
                <w:bCs/>
                <w:sz w:val="24"/>
                <w:highlight w:val="green"/>
                <w:vertAlign w:val="subscript"/>
              </w:rPr>
              <w:t>x</w:t>
            </w:r>
            <w:r>
              <w:rPr>
                <w:bCs/>
                <w:sz w:val="24"/>
                <w:highlight w:val="green"/>
              </w:rPr>
              <w:t>：4.37t/a</w:t>
            </w:r>
            <w:r>
              <w:rPr>
                <w:rFonts w:hint="eastAsia"/>
                <w:bCs/>
                <w:sz w:val="24"/>
                <w:highlight w:val="green"/>
              </w:rPr>
              <w:t>；</w:t>
            </w:r>
            <w:r>
              <w:rPr>
                <w:bCs/>
                <w:sz w:val="24"/>
                <w:highlight w:val="green"/>
              </w:rPr>
              <w:t>颗粒物：</w:t>
            </w:r>
            <w:r>
              <w:rPr>
                <w:rFonts w:hint="eastAsia"/>
                <w:bCs/>
                <w:sz w:val="24"/>
                <w:highlight w:val="green"/>
              </w:rPr>
              <w:t>0.864</w:t>
            </w:r>
            <w:r>
              <w:rPr>
                <w:bCs/>
                <w:sz w:val="24"/>
                <w:highlight w:val="green"/>
              </w:rPr>
              <w:t>t/a</w:t>
            </w:r>
            <w:r>
              <w:rPr>
                <w:rFonts w:hint="eastAsia"/>
                <w:bCs/>
                <w:sz w:val="24"/>
                <w:highlight w:val="green"/>
              </w:rPr>
              <w:t>。</w:t>
            </w:r>
          </w:p>
          <w:p>
            <w:pPr>
              <w:adjustRightInd w:val="0"/>
              <w:spacing w:line="360" w:lineRule="auto"/>
              <w:ind w:firstLine="480" w:firstLineChars="200"/>
              <w:rPr>
                <w:bCs/>
                <w:sz w:val="24"/>
              </w:rPr>
            </w:pPr>
            <w:r>
              <w:rPr>
                <w:rFonts w:hint="eastAsia"/>
                <w:bCs/>
                <w:sz w:val="24"/>
                <w:highlight w:val="green"/>
              </w:rPr>
              <w:t>技改后</w:t>
            </w:r>
            <w:bookmarkStart w:id="12" w:name="_Toc201"/>
            <w:r>
              <w:rPr>
                <w:rFonts w:hint="eastAsia"/>
                <w:bCs/>
                <w:sz w:val="24"/>
                <w:highlight w:val="green"/>
              </w:rPr>
              <w:t>全厂废气排放量为56200.32万m</w:t>
            </w:r>
            <w:r>
              <w:rPr>
                <w:rFonts w:hint="eastAsia"/>
                <w:bCs/>
                <w:sz w:val="24"/>
                <w:highlight w:val="green"/>
                <w:vertAlign w:val="superscript"/>
              </w:rPr>
              <w:t>3</w:t>
            </w:r>
            <w:r>
              <w:rPr>
                <w:rFonts w:hint="eastAsia"/>
                <w:bCs/>
                <w:sz w:val="24"/>
                <w:highlight w:val="green"/>
              </w:rPr>
              <w:t>/a，</w:t>
            </w:r>
            <w:r>
              <w:rPr>
                <w:rFonts w:hint="eastAsia"/>
                <w:bCs/>
                <w:sz w:val="24"/>
              </w:rPr>
              <w:t>各污染物排放量为</w:t>
            </w:r>
            <w:r>
              <w:rPr>
                <w:bCs/>
                <w:sz w:val="24"/>
              </w:rPr>
              <w:t>SO</w:t>
            </w:r>
            <w:r>
              <w:rPr>
                <w:bCs/>
                <w:sz w:val="24"/>
                <w:vertAlign w:val="subscript"/>
              </w:rPr>
              <w:t>2</w:t>
            </w:r>
            <w:r>
              <w:rPr>
                <w:bCs/>
                <w:sz w:val="24"/>
              </w:rPr>
              <w:t>：</w:t>
            </w:r>
            <w:r>
              <w:rPr>
                <w:rFonts w:hint="eastAsia"/>
                <w:bCs/>
                <w:sz w:val="24"/>
              </w:rPr>
              <w:t>9</w:t>
            </w:r>
            <w:r>
              <w:rPr>
                <w:bCs/>
                <w:sz w:val="24"/>
              </w:rPr>
              <w:t>.88t/a；NO</w:t>
            </w:r>
            <w:r>
              <w:rPr>
                <w:bCs/>
                <w:sz w:val="24"/>
                <w:vertAlign w:val="subscript"/>
              </w:rPr>
              <w:t>x</w:t>
            </w:r>
            <w:r>
              <w:rPr>
                <w:bCs/>
                <w:sz w:val="24"/>
              </w:rPr>
              <w:t>：10.45t/a</w:t>
            </w:r>
            <w:r>
              <w:rPr>
                <w:rFonts w:hint="eastAsia"/>
                <w:bCs/>
                <w:sz w:val="24"/>
              </w:rPr>
              <w:t>；</w:t>
            </w:r>
            <w:r>
              <w:rPr>
                <w:bCs/>
                <w:sz w:val="24"/>
                <w:highlight w:val="green"/>
              </w:rPr>
              <w:t>颗粒物：</w:t>
            </w:r>
            <w:r>
              <w:rPr>
                <w:rFonts w:hint="eastAsia"/>
                <w:bCs/>
                <w:sz w:val="24"/>
                <w:highlight w:val="green"/>
              </w:rPr>
              <w:t>8.816</w:t>
            </w:r>
            <w:r>
              <w:rPr>
                <w:bCs/>
                <w:sz w:val="24"/>
                <w:highlight w:val="green"/>
              </w:rPr>
              <w:t>t/a</w:t>
            </w:r>
            <w:r>
              <w:rPr>
                <w:rFonts w:hint="eastAsia"/>
                <w:bCs/>
                <w:sz w:val="24"/>
                <w:highlight w:val="green"/>
              </w:rPr>
              <w:t>；</w:t>
            </w:r>
            <w:r>
              <w:rPr>
                <w:bCs/>
                <w:sz w:val="24"/>
              </w:rPr>
              <w:t>甲醛：</w:t>
            </w:r>
            <w:r>
              <w:rPr>
                <w:rFonts w:hint="eastAsia"/>
                <w:bCs/>
                <w:sz w:val="24"/>
              </w:rPr>
              <w:t>0.126</w:t>
            </w:r>
            <w:r>
              <w:rPr>
                <w:bCs/>
                <w:sz w:val="24"/>
              </w:rPr>
              <w:t>t/a；</w:t>
            </w:r>
            <w:r>
              <w:rPr>
                <w:rFonts w:hint="eastAsia"/>
                <w:bCs/>
                <w:sz w:val="24"/>
              </w:rPr>
              <w:t>非甲烷总烃</w:t>
            </w:r>
            <w:r>
              <w:rPr>
                <w:bCs/>
                <w:sz w:val="24"/>
              </w:rPr>
              <w:t>：0.286t/a。</w:t>
            </w:r>
            <w:bookmarkEnd w:id="12"/>
          </w:p>
          <w:p>
            <w:pPr>
              <w:adjustRightInd w:val="0"/>
              <w:spacing w:line="360" w:lineRule="auto"/>
              <w:ind w:firstLine="480" w:firstLineChars="200"/>
              <w:rPr>
                <w:bCs/>
                <w:sz w:val="24"/>
                <w:szCs w:val="21"/>
              </w:rPr>
            </w:pPr>
            <w:r>
              <w:rPr>
                <w:rFonts w:hint="eastAsia"/>
                <w:bCs/>
                <w:sz w:val="24"/>
                <w:szCs w:val="21"/>
              </w:rPr>
              <w:t>3、</w:t>
            </w:r>
            <w:r>
              <w:rPr>
                <w:bCs/>
                <w:sz w:val="24"/>
                <w:szCs w:val="21"/>
              </w:rPr>
              <w:t>固体废物处置率达100%。</w:t>
            </w:r>
          </w:p>
        </w:tc>
      </w:tr>
    </w:tbl>
    <w:p>
      <w:pPr>
        <w:pStyle w:val="28"/>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13" w:name="_Toc140937504"/>
      <w:r>
        <w:rPr>
          <w:rFonts w:hint="eastAsia" w:ascii="黑体" w:hAnsi="黑体" w:eastAsia="黑体"/>
          <w:snapToGrid w:val="0"/>
          <w:sz w:val="30"/>
          <w:szCs w:val="30"/>
        </w:rPr>
        <w:t>四、主要环境影响和保护措施</w:t>
      </w:r>
      <w:bookmarkEnd w:id="13"/>
    </w:p>
    <w:tbl>
      <w:tblPr>
        <w:tblStyle w:val="32"/>
        <w:tblW w:w="50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98"/>
        <w:gridCol w:w="83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78" w:hRule="atLeast"/>
          <w:jc w:val="center"/>
        </w:trPr>
        <w:tc>
          <w:tcPr>
            <w:tcW w:w="387" w:type="pct"/>
            <w:tcMar>
              <w:left w:w="28" w:type="dxa"/>
              <w:right w:w="28" w:type="dxa"/>
            </w:tcMar>
            <w:vAlign w:val="center"/>
          </w:tcPr>
          <w:p>
            <w:pPr>
              <w:pStyle w:val="28"/>
              <w:adjustRightInd w:val="0"/>
              <w:spacing w:before="0" w:beforeAutospacing="0" w:after="0" w:afterAutospacing="0"/>
              <w:jc w:val="center"/>
              <w:rPr>
                <w:rFonts w:ascii="Times New Roman" w:hAnsi="Times New Roman" w:cs="宋体"/>
                <w:b/>
                <w:bCs/>
                <w:kern w:val="2"/>
                <w:szCs w:val="21"/>
              </w:rPr>
            </w:pPr>
            <w:r>
              <w:rPr>
                <w:rFonts w:hint="eastAsia" w:ascii="Times New Roman" w:hAnsi="Times New Roman" w:cs="宋体"/>
                <w:b/>
                <w:bCs/>
                <w:kern w:val="2"/>
                <w:szCs w:val="21"/>
              </w:rPr>
              <w:t>施工期环境保护措施</w:t>
            </w:r>
          </w:p>
        </w:tc>
        <w:tc>
          <w:tcPr>
            <w:tcW w:w="4612" w:type="pct"/>
            <w:vAlign w:val="center"/>
          </w:tcPr>
          <w:p>
            <w:pPr>
              <w:adjustRightInd w:val="0"/>
              <w:spacing w:before="120" w:beforeLines="50" w:line="360" w:lineRule="auto"/>
              <w:ind w:firstLine="480" w:firstLineChars="200"/>
              <w:rPr>
                <w:bCs/>
                <w:sz w:val="24"/>
                <w:szCs w:val="22"/>
              </w:rPr>
            </w:pPr>
            <w:bookmarkStart w:id="14" w:name="_Toc14957223"/>
            <w:r>
              <w:rPr>
                <w:sz w:val="24"/>
                <w:szCs w:val="21"/>
              </w:rPr>
              <w:t>本</w:t>
            </w:r>
            <w:r>
              <w:rPr>
                <w:rFonts w:hint="eastAsia"/>
                <w:sz w:val="24"/>
                <w:szCs w:val="21"/>
              </w:rPr>
              <w:t>项目</w:t>
            </w:r>
            <w:r>
              <w:rPr>
                <w:sz w:val="24"/>
              </w:rPr>
              <w:t>主要针对现有</w:t>
            </w:r>
            <w:r>
              <w:rPr>
                <w:rFonts w:hint="eastAsia"/>
                <w:sz w:val="24"/>
                <w:szCs w:val="21"/>
              </w:rPr>
              <w:t>年产5万m</w:t>
            </w:r>
            <w:r>
              <w:rPr>
                <w:rFonts w:hint="eastAsia"/>
                <w:sz w:val="24"/>
                <w:szCs w:val="21"/>
                <w:vertAlign w:val="superscript"/>
              </w:rPr>
              <w:t>3</w:t>
            </w:r>
            <w:r>
              <w:rPr>
                <w:rFonts w:hint="eastAsia"/>
                <w:sz w:val="24"/>
                <w:szCs w:val="21"/>
              </w:rPr>
              <w:t>木质刨花板制造项目</w:t>
            </w:r>
            <w:r>
              <w:rPr>
                <w:rFonts w:hint="eastAsia"/>
                <w:sz w:val="24"/>
              </w:rPr>
              <w:t>配套</w:t>
            </w:r>
            <w:r>
              <w:rPr>
                <w:sz w:val="24"/>
              </w:rPr>
              <w:t>供热工程</w:t>
            </w:r>
            <w:r>
              <w:rPr>
                <w:rFonts w:hint="eastAsia"/>
                <w:sz w:val="24"/>
              </w:rPr>
              <w:t>和</w:t>
            </w:r>
            <w:r>
              <w:rPr>
                <w:sz w:val="24"/>
              </w:rPr>
              <w:t>环保工程</w:t>
            </w:r>
            <w:r>
              <w:rPr>
                <w:rFonts w:hint="eastAsia"/>
                <w:sz w:val="24"/>
              </w:rPr>
              <w:t>进行技改，不新增用地，供热工程技改主要建设内容为新建一间锅炉房，增加一台5t/h导热油锅炉，并配套设置“多管除尘器+水膜除尘器+</w:t>
            </w:r>
            <w:r>
              <w:rPr>
                <w:sz w:val="24"/>
              </w:rPr>
              <w:t>35m</w:t>
            </w:r>
            <w:r>
              <w:rPr>
                <w:rFonts w:hint="eastAsia"/>
                <w:sz w:val="24"/>
              </w:rPr>
              <w:t>高排气筒”；环保工程技改主要对现有项目筛选工序、打磨工序废气处理设施由“旋风除尘”改造为“旋风除尘+布袋除尘”；对现有项目锅炉房7t/h导热油锅炉废气处理设施由“多管旋风除尘”改造为“多管旋风除尘+水膜除尘”</w:t>
            </w:r>
            <w:r>
              <w:rPr>
                <w:rFonts w:hint="eastAsia"/>
                <w:bCs/>
                <w:sz w:val="24"/>
                <w:szCs w:val="22"/>
              </w:rPr>
              <w:t>。</w:t>
            </w:r>
          </w:p>
          <w:p>
            <w:pPr>
              <w:adjustRightInd w:val="0"/>
              <w:spacing w:line="360" w:lineRule="auto"/>
              <w:ind w:firstLine="480" w:firstLineChars="200"/>
              <w:rPr>
                <w:rFonts w:cs="宋体"/>
                <w:bCs/>
                <w:spacing w:val="-10"/>
                <w:sz w:val="24"/>
                <w:szCs w:val="21"/>
              </w:rPr>
            </w:pPr>
            <w:r>
              <w:rPr>
                <w:bCs/>
                <w:sz w:val="24"/>
                <w:szCs w:val="22"/>
              </w:rPr>
              <w:t>施工期仅需安装生产设备及</w:t>
            </w:r>
            <w:r>
              <w:rPr>
                <w:rFonts w:hint="eastAsia"/>
                <w:bCs/>
                <w:sz w:val="24"/>
                <w:szCs w:val="22"/>
              </w:rPr>
              <w:t>升级改造</w:t>
            </w:r>
            <w:r>
              <w:rPr>
                <w:bCs/>
                <w:sz w:val="24"/>
                <w:szCs w:val="22"/>
              </w:rPr>
              <w:t>环保设备，</w:t>
            </w:r>
            <w:r>
              <w:rPr>
                <w:sz w:val="24"/>
                <w:szCs w:val="21"/>
              </w:rPr>
              <w:t>根据现场踏勘，项目施工期已结束，根据</w:t>
            </w:r>
            <w:r>
              <w:rPr>
                <w:rFonts w:hint="eastAsia"/>
                <w:sz w:val="24"/>
                <w:szCs w:val="21"/>
              </w:rPr>
              <w:t>调查</w:t>
            </w:r>
            <w:r>
              <w:rPr>
                <w:sz w:val="24"/>
                <w:szCs w:val="21"/>
              </w:rPr>
              <w:t>，项目施工期间</w:t>
            </w:r>
            <w:r>
              <w:rPr>
                <w:rFonts w:hint="eastAsia"/>
                <w:sz w:val="24"/>
                <w:szCs w:val="21"/>
              </w:rPr>
              <w:t>当地环境主管部门</w:t>
            </w:r>
            <w:r>
              <w:rPr>
                <w:sz w:val="24"/>
                <w:szCs w:val="21"/>
              </w:rPr>
              <w:t>未</w:t>
            </w:r>
            <w:r>
              <w:rPr>
                <w:rFonts w:hint="eastAsia"/>
                <w:sz w:val="24"/>
                <w:szCs w:val="21"/>
              </w:rPr>
              <w:t>收到有关项目施工期污染环境的</w:t>
            </w:r>
            <w:r>
              <w:rPr>
                <w:sz w:val="24"/>
                <w:szCs w:val="21"/>
              </w:rPr>
              <w:t>投诉，故在此不做</w:t>
            </w:r>
            <w:r>
              <w:rPr>
                <w:rFonts w:hint="eastAsia"/>
                <w:sz w:val="24"/>
                <w:szCs w:val="21"/>
              </w:rPr>
              <w:t>施工期影响</w:t>
            </w:r>
            <w:r>
              <w:rPr>
                <w:sz w:val="24"/>
                <w:szCs w:val="21"/>
              </w:rPr>
              <w:t>分析</w:t>
            </w:r>
            <w:r>
              <w:rPr>
                <w:bCs/>
                <w:sz w:val="24"/>
                <w:szCs w:val="22"/>
              </w:rPr>
              <w:t>。</w:t>
            </w:r>
            <w:bookmarkEnd w:id="1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87" w:type="pct"/>
            <w:tcMar>
              <w:left w:w="28" w:type="dxa"/>
              <w:right w:w="28" w:type="dxa"/>
            </w:tcMar>
            <w:vAlign w:val="center"/>
          </w:tcPr>
          <w:p>
            <w:pPr>
              <w:adjustRightInd w:val="0"/>
              <w:jc w:val="center"/>
              <w:rPr>
                <w:rFonts w:cs="宋体"/>
                <w:b/>
                <w:sz w:val="24"/>
                <w:szCs w:val="21"/>
              </w:rPr>
            </w:pPr>
            <w:r>
              <w:rPr>
                <w:rFonts w:hint="eastAsia" w:cs="宋体"/>
                <w:b/>
                <w:sz w:val="24"/>
                <w:szCs w:val="21"/>
              </w:rPr>
              <w:t>运营环境影响和保护措施</w:t>
            </w:r>
          </w:p>
        </w:tc>
        <w:tc>
          <w:tcPr>
            <w:tcW w:w="4612" w:type="pct"/>
            <w:vAlign w:val="center"/>
          </w:tcPr>
          <w:p>
            <w:pPr>
              <w:adjustRightInd w:val="0"/>
              <w:spacing w:before="120" w:beforeLines="50" w:line="360" w:lineRule="auto"/>
              <w:ind w:firstLine="482" w:firstLineChars="200"/>
              <w:rPr>
                <w:b/>
                <w:bCs/>
                <w:sz w:val="24"/>
              </w:rPr>
            </w:pPr>
            <w:r>
              <w:rPr>
                <w:b/>
                <w:bCs/>
                <w:sz w:val="24"/>
              </w:rPr>
              <w:t>一、</w:t>
            </w:r>
            <w:r>
              <w:rPr>
                <w:rFonts w:hint="eastAsia"/>
                <w:b/>
                <w:bCs/>
                <w:sz w:val="24"/>
              </w:rPr>
              <w:t>大气</w:t>
            </w:r>
            <w:r>
              <w:rPr>
                <w:b/>
                <w:bCs/>
                <w:sz w:val="24"/>
              </w:rPr>
              <w:t>环境影响</w:t>
            </w:r>
            <w:r>
              <w:rPr>
                <w:rFonts w:hint="eastAsia"/>
                <w:b/>
                <w:bCs/>
                <w:sz w:val="24"/>
              </w:rPr>
              <w:t>和保护措施</w:t>
            </w:r>
          </w:p>
          <w:p>
            <w:pPr>
              <w:autoSpaceDE w:val="0"/>
              <w:autoSpaceDN w:val="0"/>
              <w:adjustRightInd w:val="0"/>
              <w:spacing w:line="360" w:lineRule="auto"/>
              <w:ind w:firstLine="480" w:firstLineChars="200"/>
              <w:rPr>
                <w:rFonts w:cs="宋体"/>
                <w:kern w:val="0"/>
                <w:sz w:val="24"/>
                <w:szCs w:val="21"/>
              </w:rPr>
            </w:pPr>
            <w:r>
              <w:rPr>
                <w:sz w:val="24"/>
                <w:szCs w:val="21"/>
              </w:rPr>
              <w:t>本项目</w:t>
            </w:r>
            <w:r>
              <w:rPr>
                <w:sz w:val="24"/>
              </w:rPr>
              <w:t>主要针对现有</w:t>
            </w:r>
            <w:r>
              <w:rPr>
                <w:rFonts w:hint="eastAsia"/>
                <w:sz w:val="24"/>
                <w:szCs w:val="21"/>
              </w:rPr>
              <w:t>年产5万m</w:t>
            </w:r>
            <w:r>
              <w:rPr>
                <w:rFonts w:hint="eastAsia"/>
                <w:sz w:val="24"/>
                <w:szCs w:val="21"/>
                <w:vertAlign w:val="superscript"/>
              </w:rPr>
              <w:t>3</w:t>
            </w:r>
            <w:r>
              <w:rPr>
                <w:rFonts w:hint="eastAsia"/>
                <w:sz w:val="24"/>
                <w:szCs w:val="21"/>
              </w:rPr>
              <w:t>木质刨花板制造项目</w:t>
            </w:r>
            <w:r>
              <w:rPr>
                <w:rFonts w:hint="eastAsia"/>
                <w:sz w:val="24"/>
              </w:rPr>
              <w:t>配套</w:t>
            </w:r>
            <w:r>
              <w:rPr>
                <w:sz w:val="24"/>
              </w:rPr>
              <w:t>供热工程</w:t>
            </w:r>
            <w:r>
              <w:rPr>
                <w:rFonts w:hint="eastAsia"/>
                <w:sz w:val="24"/>
              </w:rPr>
              <w:t>和</w:t>
            </w:r>
            <w:r>
              <w:rPr>
                <w:sz w:val="24"/>
              </w:rPr>
              <w:t>环保工程</w:t>
            </w:r>
            <w:r>
              <w:rPr>
                <w:rFonts w:hint="eastAsia"/>
                <w:sz w:val="24"/>
              </w:rPr>
              <w:t>进行技改</w:t>
            </w:r>
            <w:r>
              <w:rPr>
                <w:sz w:val="24"/>
              </w:rPr>
              <w:t>，</w:t>
            </w:r>
            <w:r>
              <w:rPr>
                <w:rFonts w:hint="eastAsia"/>
                <w:sz w:val="24"/>
              </w:rPr>
              <w:t>现有项目</w:t>
            </w:r>
            <w:r>
              <w:rPr>
                <w:rFonts w:hint="eastAsia" w:cs="宋体"/>
                <w:kern w:val="0"/>
                <w:sz w:val="24"/>
                <w:szCs w:val="21"/>
              </w:rPr>
              <w:t>主体工程原辅材料、生产工艺及污染物种类、产品及规模等均未发生变化。</w:t>
            </w:r>
          </w:p>
          <w:p>
            <w:pPr>
              <w:autoSpaceDE w:val="0"/>
              <w:autoSpaceDN w:val="0"/>
              <w:adjustRightInd w:val="0"/>
              <w:spacing w:line="360" w:lineRule="auto"/>
              <w:ind w:firstLine="480" w:firstLineChars="200"/>
              <w:rPr>
                <w:sz w:val="24"/>
              </w:rPr>
            </w:pPr>
            <w:r>
              <w:rPr>
                <w:rFonts w:hint="eastAsia" w:cs="宋体"/>
                <w:kern w:val="0"/>
                <w:sz w:val="24"/>
                <w:szCs w:val="21"/>
              </w:rPr>
              <w:t>本项目</w:t>
            </w:r>
            <w:r>
              <w:rPr>
                <w:rFonts w:hint="eastAsia"/>
                <w:sz w:val="24"/>
              </w:rPr>
              <w:t>供热工程技改主要建设内容为增加一台5t/h导热油锅炉，并配套设置“多管除尘器+水膜除尘器+</w:t>
            </w:r>
            <w:r>
              <w:rPr>
                <w:sz w:val="24"/>
              </w:rPr>
              <w:t>35m</w:t>
            </w:r>
            <w:r>
              <w:rPr>
                <w:rFonts w:hint="eastAsia"/>
                <w:sz w:val="24"/>
              </w:rPr>
              <w:t>高排气筒”；环保工程技改主要对现有项目筛选工序、打磨工序废气处理设施由“旋风除尘”改造为“旋风除尘+布袋除尘”；对现有项目锅炉房7t/h导热油锅炉废气处理设施由“多管旋风除尘”改造为“多管旋风除尘+水膜除尘”。</w:t>
            </w:r>
          </w:p>
          <w:p>
            <w:pPr>
              <w:numPr>
                <w:ilvl w:val="0"/>
                <w:numId w:val="6"/>
              </w:numPr>
              <w:adjustRightInd w:val="0"/>
              <w:spacing w:line="360" w:lineRule="auto"/>
              <w:ind w:firstLine="482" w:firstLineChars="200"/>
              <w:rPr>
                <w:b/>
                <w:bCs/>
                <w:sz w:val="24"/>
                <w:highlight w:val="green"/>
              </w:rPr>
            </w:pPr>
            <w:r>
              <w:rPr>
                <w:rFonts w:hint="eastAsia"/>
                <w:b/>
                <w:bCs/>
                <w:sz w:val="24"/>
                <w:highlight w:val="green"/>
              </w:rPr>
              <w:t>运营期废气产排情况</w:t>
            </w:r>
          </w:p>
          <w:p>
            <w:pPr>
              <w:autoSpaceDE w:val="0"/>
              <w:autoSpaceDN w:val="0"/>
              <w:adjustRightInd w:val="0"/>
              <w:spacing w:line="360" w:lineRule="auto"/>
              <w:ind w:firstLine="480" w:firstLineChars="200"/>
              <w:rPr>
                <w:rFonts w:cs="宋体"/>
                <w:kern w:val="0"/>
                <w:sz w:val="24"/>
                <w:szCs w:val="21"/>
              </w:rPr>
            </w:pPr>
            <w:r>
              <w:rPr>
                <w:rFonts w:hint="eastAsia" w:cs="宋体"/>
                <w:kern w:val="0"/>
                <w:sz w:val="24"/>
                <w:szCs w:val="21"/>
                <w:highlight w:val="green"/>
              </w:rPr>
              <w:t>本项目运营期废气主要为供热工程技改新增的5</w:t>
            </w:r>
            <w:r>
              <w:rPr>
                <w:rFonts w:cs="宋体"/>
                <w:kern w:val="0"/>
                <w:sz w:val="24"/>
                <w:szCs w:val="21"/>
                <w:highlight w:val="green"/>
              </w:rPr>
              <w:t>t/h</w:t>
            </w:r>
            <w:r>
              <w:rPr>
                <w:rFonts w:hint="eastAsia" w:cs="宋体"/>
                <w:kern w:val="0"/>
                <w:sz w:val="24"/>
                <w:szCs w:val="21"/>
                <w:highlight w:val="green"/>
              </w:rPr>
              <w:t>导热油锅炉排气筒排放的废气（DA001）。环保工程技改中</w:t>
            </w:r>
            <w:r>
              <w:rPr>
                <w:rFonts w:hint="eastAsia"/>
                <w:sz w:val="24"/>
                <w:highlight w:val="green"/>
              </w:rPr>
              <w:t>现有7</w:t>
            </w:r>
            <w:r>
              <w:rPr>
                <w:sz w:val="24"/>
                <w:highlight w:val="green"/>
              </w:rPr>
              <w:t>t/h</w:t>
            </w:r>
            <w:r>
              <w:rPr>
                <w:rFonts w:hint="eastAsia"/>
                <w:sz w:val="24"/>
                <w:highlight w:val="green"/>
              </w:rPr>
              <w:t>导热油锅炉烟气治理设施新增的水膜除尘装置及筛选工序、打磨工序、热压凉板工序配套的废气治理设施新增的布袋除尘装置运行过程中不产生废气，主要对现有7</w:t>
            </w:r>
            <w:r>
              <w:rPr>
                <w:sz w:val="24"/>
                <w:highlight w:val="green"/>
              </w:rPr>
              <w:t>t/h</w:t>
            </w:r>
            <w:r>
              <w:rPr>
                <w:rFonts w:hint="eastAsia"/>
                <w:sz w:val="24"/>
                <w:highlight w:val="green"/>
              </w:rPr>
              <w:t>导热油锅炉、筛选工序、打磨工序、热压及凉板工序污染物排放量进行了削减，本次评价对环保工程技改前后污染物排放量变化情况进行对比分析。</w:t>
            </w:r>
          </w:p>
          <w:p>
            <w:pPr>
              <w:numPr>
                <w:ilvl w:val="0"/>
                <w:numId w:val="7"/>
              </w:numPr>
              <w:adjustRightInd w:val="0"/>
              <w:spacing w:line="360" w:lineRule="auto"/>
              <w:ind w:firstLine="482" w:firstLineChars="200"/>
              <w:rPr>
                <w:b/>
                <w:bCs/>
                <w:sz w:val="24"/>
                <w:highlight w:val="green"/>
              </w:rPr>
            </w:pPr>
            <w:r>
              <w:rPr>
                <w:rFonts w:hint="eastAsia"/>
                <w:b/>
                <w:bCs/>
                <w:sz w:val="24"/>
                <w:highlight w:val="green"/>
              </w:rPr>
              <w:t>本项目废气产生及排放情况</w:t>
            </w:r>
          </w:p>
          <w:p>
            <w:pPr>
              <w:adjustRightInd w:val="0"/>
              <w:spacing w:line="360" w:lineRule="auto"/>
              <w:ind w:firstLine="482" w:firstLineChars="200"/>
              <w:rPr>
                <w:b/>
                <w:bCs/>
                <w:sz w:val="24"/>
                <w:highlight w:val="green"/>
              </w:rPr>
            </w:pPr>
            <w:r>
              <w:rPr>
                <w:rFonts w:hint="eastAsia"/>
                <w:b/>
                <w:bCs/>
                <w:sz w:val="24"/>
                <w:highlight w:val="green"/>
              </w:rPr>
              <w:t>①本项目供热工程技改新增5t/h导热油锅炉废气产排情况</w:t>
            </w:r>
          </w:p>
          <w:p>
            <w:pPr>
              <w:widowControl/>
              <w:adjustRightInd w:val="0"/>
              <w:spacing w:line="360" w:lineRule="auto"/>
              <w:jc w:val="center"/>
              <w:rPr>
                <w:rFonts w:cs="宋体"/>
                <w:b/>
                <w:bCs/>
                <w:kern w:val="0"/>
                <w:sz w:val="24"/>
                <w:szCs w:val="20"/>
                <w:highlight w:val="green"/>
                <w:lang w:bidi="ar"/>
              </w:rPr>
            </w:pPr>
            <w:r>
              <w:rPr>
                <w:rFonts w:hint="eastAsia" w:cs="宋体"/>
                <w:b/>
                <w:bCs/>
                <w:kern w:val="0"/>
                <w:sz w:val="24"/>
                <w:szCs w:val="20"/>
                <w:highlight w:val="green"/>
                <w:lang w:bidi="ar"/>
              </w:rPr>
              <w:t>表4-</w:t>
            </w:r>
            <w:r>
              <w:rPr>
                <w:rFonts w:cs="宋体"/>
                <w:b/>
                <w:bCs/>
                <w:kern w:val="0"/>
                <w:sz w:val="24"/>
                <w:szCs w:val="20"/>
                <w:highlight w:val="green"/>
                <w:lang w:bidi="ar"/>
              </w:rPr>
              <w:t>1</w:t>
            </w:r>
            <w:r>
              <w:rPr>
                <w:rFonts w:hint="eastAsia" w:cs="宋体"/>
                <w:b/>
                <w:bCs/>
                <w:kern w:val="0"/>
                <w:sz w:val="24"/>
                <w:szCs w:val="20"/>
                <w:highlight w:val="green"/>
                <w:lang w:bidi="ar"/>
              </w:rPr>
              <w:t xml:space="preserve">  本项目</w:t>
            </w:r>
            <w:r>
              <w:rPr>
                <w:rFonts w:hint="eastAsia"/>
                <w:b/>
                <w:bCs/>
                <w:sz w:val="24"/>
                <w:highlight w:val="green"/>
              </w:rPr>
              <w:t>供热工程技改新增5t/h导热油锅炉废气</w:t>
            </w:r>
            <w:r>
              <w:rPr>
                <w:rFonts w:hint="eastAsia" w:cs="宋体"/>
                <w:b/>
                <w:bCs/>
                <w:kern w:val="0"/>
                <w:sz w:val="24"/>
                <w:szCs w:val="20"/>
                <w:highlight w:val="green"/>
                <w:lang w:bidi="ar"/>
              </w:rPr>
              <w:t>产排情况</w:t>
            </w:r>
            <w:r>
              <w:rPr>
                <w:rFonts w:hint="eastAsia" w:cs="宋体"/>
                <w:b/>
                <w:bCs/>
                <w:kern w:val="0"/>
                <w:sz w:val="24"/>
                <w:szCs w:val="20"/>
                <w:lang w:bidi="ar"/>
              </w:rPr>
              <w:t>一览表</w:t>
            </w:r>
          </w:p>
          <w:tbl>
            <w:tblPr>
              <w:tblStyle w:val="32"/>
              <w:tblW w:w="8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760"/>
              <w:gridCol w:w="4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272" w:type="pct"/>
                  <w:gridSpan w:val="2"/>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产排污环节</w:t>
                  </w:r>
                </w:p>
              </w:tc>
              <w:tc>
                <w:tcPr>
                  <w:tcW w:w="2728" w:type="pct"/>
                  <w:tcMar>
                    <w:left w:w="57" w:type="dxa"/>
                    <w:right w:w="57" w:type="dxa"/>
                  </w:tcMar>
                  <w:vAlign w:val="center"/>
                </w:tcPr>
                <w:p>
                  <w:pPr>
                    <w:adjustRightInd w:val="0"/>
                    <w:jc w:val="center"/>
                    <w:rPr>
                      <w:b/>
                      <w:snapToGrid w:val="0"/>
                      <w:kern w:val="0"/>
                      <w:szCs w:val="21"/>
                      <w:highlight w:val="green"/>
                    </w:rPr>
                  </w:pPr>
                  <w:r>
                    <w:rPr>
                      <w:rFonts w:hint="eastAsia"/>
                      <w:b/>
                      <w:snapToGrid w:val="0"/>
                      <w:kern w:val="0"/>
                      <w:szCs w:val="21"/>
                      <w:highlight w:val="green"/>
                    </w:rPr>
                    <w:t>5t/h导热油锅炉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272" w:type="pct"/>
                  <w:gridSpan w:val="2"/>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污染物种类</w:t>
                  </w:r>
                </w:p>
              </w:tc>
              <w:tc>
                <w:tcPr>
                  <w:tcW w:w="2728" w:type="pct"/>
                  <w:tcMar>
                    <w:left w:w="57" w:type="dxa"/>
                    <w:right w:w="57" w:type="dxa"/>
                  </w:tcMar>
                  <w:vAlign w:val="center"/>
                </w:tcPr>
                <w:p>
                  <w:pPr>
                    <w:adjustRightInd w:val="0"/>
                    <w:jc w:val="center"/>
                    <w:rPr>
                      <w:bCs/>
                      <w:snapToGrid w:val="0"/>
                      <w:kern w:val="0"/>
                      <w:szCs w:val="21"/>
                      <w:highlight w:val="green"/>
                    </w:rPr>
                  </w:pPr>
                  <w:r>
                    <w:rPr>
                      <w:rFonts w:hint="eastAsia"/>
                      <w:szCs w:val="21"/>
                      <w:highlight w:val="green"/>
                    </w:rPr>
                    <w:t>颗粒物、S</w:t>
                  </w:r>
                  <w:r>
                    <w:rPr>
                      <w:szCs w:val="21"/>
                      <w:highlight w:val="green"/>
                    </w:rPr>
                    <w:t>O</w:t>
                  </w:r>
                  <w:r>
                    <w:rPr>
                      <w:szCs w:val="21"/>
                      <w:highlight w:val="green"/>
                      <w:vertAlign w:val="subscript"/>
                    </w:rPr>
                    <w:t>2</w:t>
                  </w:r>
                  <w:r>
                    <w:rPr>
                      <w:rFonts w:hint="eastAsia"/>
                      <w:szCs w:val="21"/>
                      <w:highlight w:val="green"/>
                    </w:rPr>
                    <w:t>、N</w:t>
                  </w:r>
                  <w:r>
                    <w:rPr>
                      <w:szCs w:val="21"/>
                      <w:highlight w:val="green"/>
                    </w:rPr>
                    <w:t>O</w:t>
                  </w:r>
                  <w:r>
                    <w:rPr>
                      <w:rFonts w:hint="eastAsia"/>
                      <w:szCs w:val="21"/>
                      <w:highlight w:val="green"/>
                      <w:vertAlign w:val="subscript"/>
                    </w:rPr>
                    <w:t>x</w:t>
                  </w:r>
                  <w:r>
                    <w:rPr>
                      <w:rFonts w:hint="eastAsia"/>
                      <w:szCs w:val="21"/>
                      <w:highlight w:val="green"/>
                    </w:rPr>
                    <w:t>、烟气黑度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99" w:type="pct"/>
                  <w:vMerge w:val="restart"/>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污染物产生量（t/a）</w:t>
                  </w:r>
                </w:p>
              </w:tc>
              <w:tc>
                <w:tcPr>
                  <w:tcW w:w="1073" w:type="pct"/>
                  <w:vAlign w:val="center"/>
                </w:tcPr>
                <w:p>
                  <w:pPr>
                    <w:adjustRightInd w:val="0"/>
                    <w:jc w:val="center"/>
                    <w:rPr>
                      <w:snapToGrid w:val="0"/>
                      <w:kern w:val="0"/>
                      <w:szCs w:val="21"/>
                      <w:highlight w:val="green"/>
                    </w:rPr>
                  </w:pPr>
                  <w:r>
                    <w:rPr>
                      <w:rFonts w:hint="eastAsia"/>
                      <w:snapToGrid w:val="0"/>
                      <w:kern w:val="0"/>
                      <w:szCs w:val="21"/>
                      <w:highlight w:val="green"/>
                    </w:rPr>
                    <w:t>颗粒物</w:t>
                  </w:r>
                </w:p>
              </w:tc>
              <w:tc>
                <w:tcPr>
                  <w:tcW w:w="2728" w:type="pct"/>
                  <w:tcMar>
                    <w:left w:w="57" w:type="dxa"/>
                    <w:right w:w="57" w:type="dxa"/>
                  </w:tcMar>
                  <w:vAlign w:val="center"/>
                </w:tcPr>
                <w:p>
                  <w:pPr>
                    <w:jc w:val="center"/>
                    <w:rPr>
                      <w:szCs w:val="21"/>
                      <w:highlight w:val="green"/>
                    </w:rPr>
                  </w:pPr>
                  <w:r>
                    <w:rPr>
                      <w:rFonts w:hint="eastAsia"/>
                      <w:szCs w:val="21"/>
                      <w:highlight w:val="gree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S</w:t>
                  </w:r>
                  <w:r>
                    <w:rPr>
                      <w:szCs w:val="21"/>
                      <w:highlight w:val="green"/>
                    </w:rPr>
                    <w:t>O</w:t>
                  </w:r>
                  <w:r>
                    <w:rPr>
                      <w:szCs w:val="21"/>
                      <w:highlight w:val="green"/>
                      <w:vertAlign w:val="subscript"/>
                    </w:rPr>
                    <w:t>2</w:t>
                  </w:r>
                </w:p>
              </w:tc>
              <w:tc>
                <w:tcPr>
                  <w:tcW w:w="2728" w:type="pct"/>
                  <w:tcMar>
                    <w:left w:w="57" w:type="dxa"/>
                    <w:right w:w="57" w:type="dxa"/>
                  </w:tcMar>
                  <w:vAlign w:val="center"/>
                </w:tcPr>
                <w:p>
                  <w:pPr>
                    <w:jc w:val="center"/>
                    <w:rPr>
                      <w:szCs w:val="21"/>
                      <w:highlight w:val="green"/>
                    </w:rPr>
                  </w:pPr>
                  <w:r>
                    <w:rPr>
                      <w:rFonts w:hint="eastAsia"/>
                      <w:szCs w:val="21"/>
                      <w:highlight w:val="gree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N</w:t>
                  </w:r>
                  <w:r>
                    <w:rPr>
                      <w:szCs w:val="21"/>
                      <w:highlight w:val="green"/>
                    </w:rPr>
                    <w:t>O</w:t>
                  </w:r>
                  <w:r>
                    <w:rPr>
                      <w:rFonts w:hint="eastAsia"/>
                      <w:szCs w:val="21"/>
                      <w:highlight w:val="green"/>
                      <w:vertAlign w:val="subscript"/>
                    </w:rPr>
                    <w:t>x</w:t>
                  </w:r>
                </w:p>
              </w:tc>
              <w:tc>
                <w:tcPr>
                  <w:tcW w:w="2728" w:type="pct"/>
                  <w:tcMar>
                    <w:left w:w="57" w:type="dxa"/>
                    <w:right w:w="57" w:type="dxa"/>
                  </w:tcMar>
                  <w:vAlign w:val="center"/>
                </w:tcPr>
                <w:p>
                  <w:pPr>
                    <w:jc w:val="center"/>
                    <w:rPr>
                      <w:szCs w:val="21"/>
                      <w:highlight w:val="green"/>
                    </w:rPr>
                  </w:pPr>
                  <w:r>
                    <w:rPr>
                      <w:rFonts w:hint="eastAsia"/>
                      <w:szCs w:val="21"/>
                      <w:highlight w:val="green"/>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99" w:type="pct"/>
                  <w:vMerge w:val="restart"/>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污染物产生</w:t>
                  </w:r>
                  <w:r>
                    <w:rPr>
                      <w:rFonts w:hint="eastAsia"/>
                      <w:b/>
                      <w:snapToGrid w:val="0"/>
                      <w:kern w:val="0"/>
                      <w:szCs w:val="21"/>
                      <w:highlight w:val="green"/>
                    </w:rPr>
                    <w:t>速率</w:t>
                  </w:r>
                  <w:r>
                    <w:rPr>
                      <w:b/>
                      <w:snapToGrid w:val="0"/>
                      <w:kern w:val="0"/>
                      <w:szCs w:val="21"/>
                      <w:highlight w:val="green"/>
                    </w:rPr>
                    <w:t>（kg/h）</w:t>
                  </w:r>
                </w:p>
              </w:tc>
              <w:tc>
                <w:tcPr>
                  <w:tcW w:w="1073" w:type="pct"/>
                  <w:vAlign w:val="center"/>
                </w:tcPr>
                <w:p>
                  <w:pPr>
                    <w:adjustRightInd w:val="0"/>
                    <w:jc w:val="center"/>
                    <w:rPr>
                      <w:snapToGrid w:val="0"/>
                      <w:kern w:val="0"/>
                      <w:szCs w:val="21"/>
                      <w:highlight w:val="green"/>
                    </w:rPr>
                  </w:pPr>
                  <w:r>
                    <w:rPr>
                      <w:rFonts w:hint="eastAsia"/>
                      <w:snapToGrid w:val="0"/>
                      <w:kern w:val="0"/>
                      <w:szCs w:val="21"/>
                      <w:highlight w:val="green"/>
                    </w:rPr>
                    <w:t>颗粒物</w:t>
                  </w:r>
                </w:p>
              </w:tc>
              <w:tc>
                <w:tcPr>
                  <w:tcW w:w="2728" w:type="pct"/>
                  <w:tcMar>
                    <w:left w:w="57" w:type="dxa"/>
                    <w:right w:w="57" w:type="dxa"/>
                  </w:tcMar>
                  <w:vAlign w:val="center"/>
                </w:tcPr>
                <w:p>
                  <w:pPr>
                    <w:jc w:val="center"/>
                    <w:rPr>
                      <w:szCs w:val="21"/>
                      <w:highlight w:val="green"/>
                    </w:rPr>
                  </w:pPr>
                  <w:r>
                    <w:rPr>
                      <w:rFonts w:hint="eastAsia"/>
                      <w:szCs w:val="21"/>
                      <w:highlight w:val="gree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S</w:t>
                  </w:r>
                  <w:r>
                    <w:rPr>
                      <w:szCs w:val="21"/>
                      <w:highlight w:val="green"/>
                    </w:rPr>
                    <w:t>O</w:t>
                  </w:r>
                  <w:r>
                    <w:rPr>
                      <w:szCs w:val="21"/>
                      <w:highlight w:val="green"/>
                      <w:vertAlign w:val="subscript"/>
                    </w:rPr>
                    <w:t>2</w:t>
                  </w:r>
                </w:p>
              </w:tc>
              <w:tc>
                <w:tcPr>
                  <w:tcW w:w="2728" w:type="pct"/>
                  <w:tcMar>
                    <w:left w:w="57" w:type="dxa"/>
                    <w:right w:w="57" w:type="dxa"/>
                  </w:tcMar>
                  <w:vAlign w:val="center"/>
                </w:tcPr>
                <w:p>
                  <w:pPr>
                    <w:jc w:val="center"/>
                    <w:rPr>
                      <w:szCs w:val="21"/>
                      <w:highlight w:val="green"/>
                    </w:rPr>
                  </w:pPr>
                  <w:r>
                    <w:rPr>
                      <w:rFonts w:hint="eastAsia"/>
                      <w:szCs w:val="21"/>
                      <w:highlight w:val="green"/>
                    </w:rPr>
                    <w:t>0.651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N</w:t>
                  </w:r>
                  <w:r>
                    <w:rPr>
                      <w:szCs w:val="21"/>
                      <w:highlight w:val="green"/>
                    </w:rPr>
                    <w:t>O</w:t>
                  </w:r>
                  <w:r>
                    <w:rPr>
                      <w:rFonts w:hint="eastAsia"/>
                      <w:szCs w:val="21"/>
                      <w:highlight w:val="green"/>
                      <w:vertAlign w:val="subscript"/>
                    </w:rPr>
                    <w:t>x</w:t>
                  </w:r>
                </w:p>
              </w:tc>
              <w:tc>
                <w:tcPr>
                  <w:tcW w:w="2728" w:type="pct"/>
                  <w:tcMar>
                    <w:left w:w="57" w:type="dxa"/>
                    <w:right w:w="57" w:type="dxa"/>
                  </w:tcMar>
                  <w:vAlign w:val="center"/>
                </w:tcPr>
                <w:p>
                  <w:pPr>
                    <w:jc w:val="center"/>
                    <w:rPr>
                      <w:szCs w:val="21"/>
                      <w:highlight w:val="green"/>
                    </w:rPr>
                  </w:pPr>
                  <w:r>
                    <w:rPr>
                      <w:rFonts w:hint="eastAsia"/>
                      <w:szCs w:val="21"/>
                      <w:highlight w:val="green"/>
                    </w:rPr>
                    <w:t>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99" w:type="pct"/>
                  <w:vMerge w:val="restart"/>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污染物产生浓度（mg/m</w:t>
                  </w:r>
                  <w:r>
                    <w:rPr>
                      <w:b/>
                      <w:snapToGrid w:val="0"/>
                      <w:kern w:val="0"/>
                      <w:szCs w:val="21"/>
                      <w:highlight w:val="green"/>
                      <w:vertAlign w:val="superscript"/>
                    </w:rPr>
                    <w:t>3</w:t>
                  </w:r>
                  <w:r>
                    <w:rPr>
                      <w:b/>
                      <w:snapToGrid w:val="0"/>
                      <w:kern w:val="0"/>
                      <w:szCs w:val="21"/>
                      <w:highlight w:val="green"/>
                    </w:rPr>
                    <w:t>）</w:t>
                  </w:r>
                </w:p>
              </w:tc>
              <w:tc>
                <w:tcPr>
                  <w:tcW w:w="1073" w:type="pct"/>
                  <w:vAlign w:val="center"/>
                </w:tcPr>
                <w:p>
                  <w:pPr>
                    <w:adjustRightInd w:val="0"/>
                    <w:jc w:val="center"/>
                    <w:rPr>
                      <w:snapToGrid w:val="0"/>
                      <w:kern w:val="0"/>
                      <w:szCs w:val="21"/>
                      <w:highlight w:val="green"/>
                    </w:rPr>
                  </w:pPr>
                  <w:r>
                    <w:rPr>
                      <w:rFonts w:hint="eastAsia"/>
                      <w:snapToGrid w:val="0"/>
                      <w:kern w:val="0"/>
                      <w:szCs w:val="21"/>
                      <w:highlight w:val="green"/>
                    </w:rPr>
                    <w:t>颗粒物</w:t>
                  </w:r>
                </w:p>
              </w:tc>
              <w:tc>
                <w:tcPr>
                  <w:tcW w:w="2728" w:type="pct"/>
                  <w:tcMar>
                    <w:left w:w="57" w:type="dxa"/>
                    <w:right w:w="57" w:type="dxa"/>
                  </w:tcMar>
                  <w:vAlign w:val="center"/>
                </w:tcPr>
                <w:p>
                  <w:pPr>
                    <w:jc w:val="center"/>
                    <w:rPr>
                      <w:szCs w:val="21"/>
                      <w:highlight w:val="green"/>
                    </w:rPr>
                  </w:pPr>
                  <w:r>
                    <w:rPr>
                      <w:szCs w:val="21"/>
                      <w:highlight w:val="green"/>
                    </w:rPr>
                    <w:t>166.</w:t>
                  </w:r>
                  <w:r>
                    <w:rPr>
                      <w:rFonts w:hint="eastAsia"/>
                      <w:szCs w:val="21"/>
                      <w:highlight w:val="gree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S</w:t>
                  </w:r>
                  <w:r>
                    <w:rPr>
                      <w:szCs w:val="21"/>
                      <w:highlight w:val="green"/>
                    </w:rPr>
                    <w:t>O</w:t>
                  </w:r>
                  <w:r>
                    <w:rPr>
                      <w:szCs w:val="21"/>
                      <w:highlight w:val="green"/>
                      <w:vertAlign w:val="subscript"/>
                    </w:rPr>
                    <w:t>2</w:t>
                  </w:r>
                </w:p>
              </w:tc>
              <w:tc>
                <w:tcPr>
                  <w:tcW w:w="2728" w:type="pct"/>
                  <w:tcMar>
                    <w:left w:w="57" w:type="dxa"/>
                    <w:right w:w="57" w:type="dxa"/>
                  </w:tcMar>
                  <w:vAlign w:val="center"/>
                </w:tcPr>
                <w:p>
                  <w:pPr>
                    <w:jc w:val="center"/>
                    <w:rPr>
                      <w:szCs w:val="21"/>
                      <w:highlight w:val="green"/>
                    </w:rPr>
                  </w:pPr>
                  <w:r>
                    <w:rPr>
                      <w:rFonts w:hint="eastAsia"/>
                      <w:szCs w:val="21"/>
                      <w:highlight w:val="gree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N</w:t>
                  </w:r>
                  <w:r>
                    <w:rPr>
                      <w:szCs w:val="21"/>
                      <w:highlight w:val="green"/>
                    </w:rPr>
                    <w:t>O</w:t>
                  </w:r>
                  <w:r>
                    <w:rPr>
                      <w:rFonts w:hint="eastAsia"/>
                      <w:szCs w:val="21"/>
                      <w:highlight w:val="green"/>
                      <w:vertAlign w:val="subscript"/>
                    </w:rPr>
                    <w:t>x</w:t>
                  </w:r>
                </w:p>
              </w:tc>
              <w:tc>
                <w:tcPr>
                  <w:tcW w:w="2728" w:type="pct"/>
                  <w:tcMar>
                    <w:left w:w="57" w:type="dxa"/>
                    <w:right w:w="57" w:type="dxa"/>
                  </w:tcMar>
                  <w:vAlign w:val="center"/>
                </w:tcPr>
                <w:p>
                  <w:pPr>
                    <w:jc w:val="center"/>
                    <w:rPr>
                      <w:szCs w:val="21"/>
                      <w:highlight w:val="green"/>
                    </w:rPr>
                  </w:pPr>
                  <w:r>
                    <w:rPr>
                      <w:rFonts w:hint="eastAsia"/>
                      <w:szCs w:val="21"/>
                      <w:highlight w:val="gree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272" w:type="pct"/>
                  <w:gridSpan w:val="2"/>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排放形式</w:t>
                  </w:r>
                </w:p>
              </w:tc>
              <w:tc>
                <w:tcPr>
                  <w:tcW w:w="2728" w:type="pct"/>
                  <w:tcMar>
                    <w:left w:w="57" w:type="dxa"/>
                    <w:right w:w="57" w:type="dxa"/>
                  </w:tcMar>
                  <w:vAlign w:val="center"/>
                </w:tcPr>
                <w:p>
                  <w:pPr>
                    <w:adjustRightInd w:val="0"/>
                    <w:jc w:val="center"/>
                    <w:rPr>
                      <w:bCs/>
                      <w:snapToGrid w:val="0"/>
                      <w:kern w:val="0"/>
                      <w:szCs w:val="21"/>
                      <w:highlight w:val="green"/>
                    </w:rPr>
                  </w:pPr>
                  <w:r>
                    <w:rPr>
                      <w:rFonts w:hint="eastAsia"/>
                      <w:bCs/>
                      <w:snapToGrid w:val="0"/>
                      <w:kern w:val="0"/>
                      <w:szCs w:val="21"/>
                      <w:highlight w:val="gree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199" w:type="pct"/>
                  <w:vMerge w:val="restart"/>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治理设施</w:t>
                  </w: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名称</w:t>
                  </w:r>
                </w:p>
              </w:tc>
              <w:tc>
                <w:tcPr>
                  <w:tcW w:w="2728" w:type="pct"/>
                  <w:tcMar>
                    <w:left w:w="57" w:type="dxa"/>
                    <w:right w:w="57" w:type="dxa"/>
                  </w:tcMar>
                  <w:vAlign w:val="center"/>
                </w:tcPr>
                <w:p>
                  <w:pPr>
                    <w:adjustRightInd w:val="0"/>
                    <w:jc w:val="center"/>
                    <w:rPr>
                      <w:bCs/>
                      <w:snapToGrid w:val="0"/>
                      <w:kern w:val="0"/>
                      <w:szCs w:val="21"/>
                      <w:highlight w:val="green"/>
                    </w:rPr>
                  </w:pPr>
                  <w:r>
                    <w:rPr>
                      <w:rFonts w:hint="eastAsia"/>
                      <w:szCs w:val="21"/>
                      <w:highlight w:val="green"/>
                    </w:rPr>
                    <w:t>多管旋风除尘+水膜除尘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rFonts w:hint="eastAsia"/>
                      <w:snapToGrid w:val="0"/>
                      <w:kern w:val="0"/>
                      <w:szCs w:val="21"/>
                      <w:highlight w:val="green"/>
                    </w:rPr>
                    <w:t>烟气流量</w:t>
                  </w:r>
                </w:p>
              </w:tc>
              <w:tc>
                <w:tcPr>
                  <w:tcW w:w="2728" w:type="pct"/>
                  <w:tcMar>
                    <w:left w:w="57" w:type="dxa"/>
                    <w:right w:w="57" w:type="dxa"/>
                  </w:tcMar>
                  <w:vAlign w:val="center"/>
                </w:tcPr>
                <w:p>
                  <w:pPr>
                    <w:adjustRightInd w:val="0"/>
                    <w:jc w:val="center"/>
                    <w:rPr>
                      <w:bCs/>
                      <w:snapToGrid w:val="0"/>
                      <w:kern w:val="0"/>
                      <w:szCs w:val="21"/>
                      <w:highlight w:val="green"/>
                    </w:rPr>
                  </w:pPr>
                  <w:r>
                    <w:rPr>
                      <w:rFonts w:hint="eastAsia"/>
                      <w:bCs/>
                      <w:snapToGrid w:val="0"/>
                      <w:kern w:val="0"/>
                      <w:szCs w:val="21"/>
                      <w:highlight w:val="green"/>
                    </w:rPr>
                    <w:t>11986m</w:t>
                  </w:r>
                  <w:r>
                    <w:rPr>
                      <w:rFonts w:hint="eastAsia"/>
                      <w:bCs/>
                      <w:snapToGrid w:val="0"/>
                      <w:kern w:val="0"/>
                      <w:szCs w:val="21"/>
                      <w:highlight w:val="green"/>
                      <w:vertAlign w:val="superscript"/>
                    </w:rPr>
                    <w:t>3</w:t>
                  </w:r>
                  <w:r>
                    <w:rPr>
                      <w:rFonts w:hint="eastAsia"/>
                      <w:bCs/>
                      <w:snapToGrid w:val="0"/>
                      <w:kern w:val="0"/>
                      <w:szCs w:val="21"/>
                      <w:highlight w:val="gree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收集效率</w:t>
                  </w:r>
                </w:p>
              </w:tc>
              <w:tc>
                <w:tcPr>
                  <w:tcW w:w="2728" w:type="pct"/>
                  <w:tcMar>
                    <w:left w:w="57" w:type="dxa"/>
                    <w:right w:w="57" w:type="dxa"/>
                  </w:tcMar>
                  <w:vAlign w:val="center"/>
                </w:tcPr>
                <w:p>
                  <w:pPr>
                    <w:adjustRightInd w:val="0"/>
                    <w:jc w:val="center"/>
                    <w:rPr>
                      <w:bCs/>
                      <w:snapToGrid w:val="0"/>
                      <w:kern w:val="0"/>
                      <w:szCs w:val="21"/>
                      <w:highlight w:val="green"/>
                    </w:rPr>
                  </w:pPr>
                  <w:r>
                    <w:rPr>
                      <w:rFonts w:hint="eastAsia"/>
                      <w:bCs/>
                      <w:snapToGrid w:val="0"/>
                      <w:kern w:val="0"/>
                      <w:szCs w:val="21"/>
                      <w:highlight w:val="green"/>
                    </w:rPr>
                    <w:t>10</w:t>
                  </w:r>
                  <w:r>
                    <w:rPr>
                      <w:bCs/>
                      <w:snapToGrid w:val="0"/>
                      <w:kern w:val="0"/>
                      <w:szCs w:val="21"/>
                      <w:highlight w:val="gree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治理工艺去除率</w:t>
                  </w:r>
                </w:p>
              </w:tc>
              <w:tc>
                <w:tcPr>
                  <w:tcW w:w="2728" w:type="pct"/>
                  <w:tcMar>
                    <w:left w:w="57" w:type="dxa"/>
                    <w:right w:w="57" w:type="dxa"/>
                  </w:tcMar>
                  <w:vAlign w:val="center"/>
                </w:tcPr>
                <w:p>
                  <w:pPr>
                    <w:adjustRightInd w:val="0"/>
                    <w:jc w:val="center"/>
                    <w:rPr>
                      <w:bCs/>
                      <w:snapToGrid w:val="0"/>
                      <w:kern w:val="0"/>
                      <w:szCs w:val="21"/>
                      <w:highlight w:val="green"/>
                    </w:rPr>
                  </w:pPr>
                  <w:r>
                    <w:rPr>
                      <w:rFonts w:hint="eastAsia"/>
                      <w:bCs/>
                      <w:snapToGrid w:val="0"/>
                      <w:kern w:val="0"/>
                      <w:szCs w:val="21"/>
                      <w:highlight w:val="green"/>
                    </w:rPr>
                    <w:t>94</w:t>
                  </w:r>
                  <w:r>
                    <w:rPr>
                      <w:bCs/>
                      <w:snapToGrid w:val="0"/>
                      <w:kern w:val="0"/>
                      <w:szCs w:val="21"/>
                      <w:highlight w:val="gre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是否为可行技术</w:t>
                  </w:r>
                </w:p>
              </w:tc>
              <w:tc>
                <w:tcPr>
                  <w:tcW w:w="2728" w:type="pct"/>
                  <w:tcMar>
                    <w:left w:w="57" w:type="dxa"/>
                    <w:right w:w="57" w:type="dxa"/>
                  </w:tcMar>
                  <w:vAlign w:val="center"/>
                </w:tcPr>
                <w:p>
                  <w:pPr>
                    <w:adjustRightInd w:val="0"/>
                    <w:jc w:val="center"/>
                    <w:rPr>
                      <w:b/>
                      <w:snapToGrid w:val="0"/>
                      <w:kern w:val="0"/>
                      <w:szCs w:val="21"/>
                      <w:highlight w:val="green"/>
                    </w:rPr>
                  </w:pPr>
                  <w:r>
                    <w:rPr>
                      <w:bCs/>
                      <w:snapToGrid w:val="0"/>
                      <w:kern w:val="0"/>
                      <w:szCs w:val="21"/>
                      <w:highlight w:val="gree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199" w:type="pct"/>
                  <w:vMerge w:val="restart"/>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污染物排放浓度（mg/m</w:t>
                  </w:r>
                  <w:r>
                    <w:rPr>
                      <w:b/>
                      <w:snapToGrid w:val="0"/>
                      <w:kern w:val="0"/>
                      <w:szCs w:val="21"/>
                      <w:highlight w:val="green"/>
                      <w:vertAlign w:val="superscript"/>
                    </w:rPr>
                    <w:t>3</w:t>
                  </w:r>
                  <w:r>
                    <w:rPr>
                      <w:b/>
                      <w:snapToGrid w:val="0"/>
                      <w:kern w:val="0"/>
                      <w:szCs w:val="21"/>
                      <w:highlight w:val="green"/>
                    </w:rPr>
                    <w:t>）</w:t>
                  </w:r>
                </w:p>
              </w:tc>
              <w:tc>
                <w:tcPr>
                  <w:tcW w:w="1073" w:type="pct"/>
                  <w:vAlign w:val="center"/>
                </w:tcPr>
                <w:p>
                  <w:pPr>
                    <w:adjustRightInd w:val="0"/>
                    <w:jc w:val="center"/>
                    <w:rPr>
                      <w:snapToGrid w:val="0"/>
                      <w:kern w:val="0"/>
                      <w:szCs w:val="21"/>
                      <w:highlight w:val="green"/>
                    </w:rPr>
                  </w:pPr>
                  <w:r>
                    <w:rPr>
                      <w:rFonts w:hint="eastAsia"/>
                      <w:snapToGrid w:val="0"/>
                      <w:kern w:val="0"/>
                      <w:szCs w:val="21"/>
                      <w:highlight w:val="green"/>
                    </w:rPr>
                    <w:t>颗粒物</w:t>
                  </w:r>
                </w:p>
              </w:tc>
              <w:tc>
                <w:tcPr>
                  <w:tcW w:w="2728" w:type="pct"/>
                  <w:tcMar>
                    <w:left w:w="57" w:type="dxa"/>
                    <w:right w:w="57" w:type="dxa"/>
                  </w:tcMar>
                  <w:vAlign w:val="center"/>
                </w:tcPr>
                <w:p>
                  <w:pPr>
                    <w:jc w:val="center"/>
                    <w:rPr>
                      <w:szCs w:val="21"/>
                      <w:highlight w:val="green"/>
                    </w:rPr>
                  </w:pPr>
                  <w:r>
                    <w:rPr>
                      <w:rFonts w:hint="eastAsia"/>
                      <w:szCs w:val="21"/>
                      <w:highlight w:val="gree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S</w:t>
                  </w:r>
                  <w:r>
                    <w:rPr>
                      <w:szCs w:val="21"/>
                      <w:highlight w:val="green"/>
                    </w:rPr>
                    <w:t>O</w:t>
                  </w:r>
                  <w:r>
                    <w:rPr>
                      <w:szCs w:val="21"/>
                      <w:highlight w:val="green"/>
                      <w:vertAlign w:val="subscript"/>
                    </w:rPr>
                    <w:t>2</w:t>
                  </w:r>
                </w:p>
              </w:tc>
              <w:tc>
                <w:tcPr>
                  <w:tcW w:w="2728" w:type="pct"/>
                  <w:tcMar>
                    <w:left w:w="57" w:type="dxa"/>
                    <w:right w:w="57" w:type="dxa"/>
                  </w:tcMar>
                  <w:vAlign w:val="center"/>
                </w:tcPr>
                <w:p>
                  <w:pPr>
                    <w:jc w:val="center"/>
                    <w:rPr>
                      <w:szCs w:val="21"/>
                      <w:highlight w:val="green"/>
                    </w:rPr>
                  </w:pPr>
                  <w:r>
                    <w:rPr>
                      <w:rFonts w:hint="eastAsia"/>
                      <w:szCs w:val="21"/>
                      <w:highlight w:val="gree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N</w:t>
                  </w:r>
                  <w:r>
                    <w:rPr>
                      <w:szCs w:val="21"/>
                      <w:highlight w:val="green"/>
                    </w:rPr>
                    <w:t>O</w:t>
                  </w:r>
                  <w:r>
                    <w:rPr>
                      <w:rFonts w:hint="eastAsia"/>
                      <w:szCs w:val="21"/>
                      <w:highlight w:val="green"/>
                      <w:vertAlign w:val="subscript"/>
                    </w:rPr>
                    <w:t>x</w:t>
                  </w:r>
                </w:p>
              </w:tc>
              <w:tc>
                <w:tcPr>
                  <w:tcW w:w="2728" w:type="pct"/>
                  <w:tcMar>
                    <w:left w:w="57" w:type="dxa"/>
                    <w:right w:w="57" w:type="dxa"/>
                  </w:tcMar>
                  <w:vAlign w:val="center"/>
                </w:tcPr>
                <w:p>
                  <w:pPr>
                    <w:jc w:val="center"/>
                    <w:rPr>
                      <w:szCs w:val="21"/>
                      <w:highlight w:val="green"/>
                    </w:rPr>
                  </w:pPr>
                  <w:r>
                    <w:rPr>
                      <w:rFonts w:hint="eastAsia"/>
                      <w:szCs w:val="21"/>
                      <w:highlight w:val="gree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99" w:type="pct"/>
                  <w:vMerge w:val="restart"/>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污染物排放速率（kg/h）</w:t>
                  </w:r>
                </w:p>
              </w:tc>
              <w:tc>
                <w:tcPr>
                  <w:tcW w:w="1073" w:type="pct"/>
                  <w:vAlign w:val="center"/>
                </w:tcPr>
                <w:p>
                  <w:pPr>
                    <w:adjustRightInd w:val="0"/>
                    <w:jc w:val="center"/>
                    <w:rPr>
                      <w:snapToGrid w:val="0"/>
                      <w:kern w:val="0"/>
                      <w:szCs w:val="21"/>
                      <w:highlight w:val="green"/>
                    </w:rPr>
                  </w:pPr>
                  <w:r>
                    <w:rPr>
                      <w:rFonts w:hint="eastAsia"/>
                      <w:snapToGrid w:val="0"/>
                      <w:kern w:val="0"/>
                      <w:szCs w:val="21"/>
                      <w:highlight w:val="green"/>
                    </w:rPr>
                    <w:t>颗粒物</w:t>
                  </w:r>
                </w:p>
              </w:tc>
              <w:tc>
                <w:tcPr>
                  <w:tcW w:w="2728" w:type="pct"/>
                  <w:tcMar>
                    <w:left w:w="57" w:type="dxa"/>
                    <w:right w:w="57" w:type="dxa"/>
                  </w:tcMar>
                  <w:vAlign w:val="center"/>
                </w:tcPr>
                <w:p>
                  <w:pPr>
                    <w:jc w:val="center"/>
                    <w:rPr>
                      <w:szCs w:val="21"/>
                      <w:highlight w:val="green"/>
                    </w:rPr>
                  </w:pPr>
                  <w:r>
                    <w:rPr>
                      <w:rFonts w:hint="eastAsia"/>
                      <w:szCs w:val="21"/>
                      <w:highlight w:val="green"/>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S</w:t>
                  </w:r>
                  <w:r>
                    <w:rPr>
                      <w:szCs w:val="21"/>
                      <w:highlight w:val="green"/>
                    </w:rPr>
                    <w:t>O</w:t>
                  </w:r>
                  <w:r>
                    <w:rPr>
                      <w:szCs w:val="21"/>
                      <w:highlight w:val="green"/>
                      <w:vertAlign w:val="subscript"/>
                    </w:rPr>
                    <w:t>2</w:t>
                  </w:r>
                </w:p>
              </w:tc>
              <w:tc>
                <w:tcPr>
                  <w:tcW w:w="2728" w:type="pct"/>
                  <w:tcMar>
                    <w:left w:w="57" w:type="dxa"/>
                    <w:right w:w="57" w:type="dxa"/>
                  </w:tcMar>
                  <w:vAlign w:val="center"/>
                </w:tcPr>
                <w:p>
                  <w:pPr>
                    <w:jc w:val="center"/>
                    <w:rPr>
                      <w:szCs w:val="21"/>
                      <w:highlight w:val="green"/>
                    </w:rPr>
                  </w:pPr>
                  <w:r>
                    <w:rPr>
                      <w:rFonts w:hint="eastAsia"/>
                      <w:szCs w:val="21"/>
                      <w:highlight w:val="green"/>
                    </w:rPr>
                    <w:t>0.651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N</w:t>
                  </w:r>
                  <w:r>
                    <w:rPr>
                      <w:szCs w:val="21"/>
                      <w:highlight w:val="green"/>
                    </w:rPr>
                    <w:t>O</w:t>
                  </w:r>
                  <w:r>
                    <w:rPr>
                      <w:rFonts w:hint="eastAsia"/>
                      <w:szCs w:val="21"/>
                      <w:highlight w:val="green"/>
                      <w:vertAlign w:val="subscript"/>
                    </w:rPr>
                    <w:t>x</w:t>
                  </w:r>
                </w:p>
              </w:tc>
              <w:tc>
                <w:tcPr>
                  <w:tcW w:w="2728" w:type="pct"/>
                  <w:tcMar>
                    <w:left w:w="57" w:type="dxa"/>
                    <w:right w:w="57" w:type="dxa"/>
                  </w:tcMar>
                  <w:vAlign w:val="center"/>
                </w:tcPr>
                <w:p>
                  <w:pPr>
                    <w:jc w:val="center"/>
                    <w:rPr>
                      <w:szCs w:val="21"/>
                      <w:highlight w:val="green"/>
                    </w:rPr>
                  </w:pPr>
                  <w:r>
                    <w:rPr>
                      <w:rFonts w:hint="eastAsia"/>
                      <w:szCs w:val="21"/>
                      <w:highlight w:val="green"/>
                    </w:rPr>
                    <w:t>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99" w:type="pct"/>
                  <w:vMerge w:val="restart"/>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污染物排放量（t/a）</w:t>
                  </w:r>
                </w:p>
              </w:tc>
              <w:tc>
                <w:tcPr>
                  <w:tcW w:w="1073" w:type="pct"/>
                  <w:vAlign w:val="center"/>
                </w:tcPr>
                <w:p>
                  <w:pPr>
                    <w:adjustRightInd w:val="0"/>
                    <w:jc w:val="center"/>
                    <w:rPr>
                      <w:snapToGrid w:val="0"/>
                      <w:kern w:val="0"/>
                      <w:szCs w:val="21"/>
                      <w:highlight w:val="green"/>
                    </w:rPr>
                  </w:pPr>
                  <w:r>
                    <w:rPr>
                      <w:rFonts w:hint="eastAsia"/>
                      <w:snapToGrid w:val="0"/>
                      <w:kern w:val="0"/>
                      <w:szCs w:val="21"/>
                      <w:highlight w:val="green"/>
                    </w:rPr>
                    <w:t>颗粒物</w:t>
                  </w:r>
                </w:p>
              </w:tc>
              <w:tc>
                <w:tcPr>
                  <w:tcW w:w="2728" w:type="pct"/>
                  <w:tcMar>
                    <w:left w:w="57" w:type="dxa"/>
                    <w:right w:w="57" w:type="dxa"/>
                  </w:tcMar>
                  <w:vAlign w:val="center"/>
                </w:tcPr>
                <w:p>
                  <w:pPr>
                    <w:jc w:val="center"/>
                    <w:rPr>
                      <w:szCs w:val="21"/>
                      <w:highlight w:val="green"/>
                    </w:rPr>
                  </w:pPr>
                  <w:r>
                    <w:rPr>
                      <w:rFonts w:hint="eastAsia"/>
                      <w:szCs w:val="21"/>
                      <w:highlight w:val="green"/>
                    </w:rPr>
                    <w:t>0.864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S</w:t>
                  </w:r>
                  <w:r>
                    <w:rPr>
                      <w:szCs w:val="21"/>
                      <w:highlight w:val="green"/>
                    </w:rPr>
                    <w:t>O</w:t>
                  </w:r>
                  <w:r>
                    <w:rPr>
                      <w:szCs w:val="21"/>
                      <w:highlight w:val="green"/>
                      <w:vertAlign w:val="subscript"/>
                    </w:rPr>
                    <w:t>2</w:t>
                  </w:r>
                </w:p>
              </w:tc>
              <w:tc>
                <w:tcPr>
                  <w:tcW w:w="2728" w:type="pct"/>
                  <w:tcMar>
                    <w:left w:w="57" w:type="dxa"/>
                    <w:right w:w="57" w:type="dxa"/>
                  </w:tcMar>
                  <w:vAlign w:val="center"/>
                </w:tcPr>
                <w:p>
                  <w:pPr>
                    <w:jc w:val="center"/>
                    <w:rPr>
                      <w:szCs w:val="21"/>
                      <w:highlight w:val="green"/>
                    </w:rPr>
                  </w:pPr>
                  <w:r>
                    <w:rPr>
                      <w:rFonts w:hint="eastAsia"/>
                      <w:szCs w:val="21"/>
                      <w:highlight w:val="gree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vAlign w:val="center"/>
                </w:tcPr>
                <w:p>
                  <w:pPr>
                    <w:adjustRightInd w:val="0"/>
                    <w:jc w:val="center"/>
                    <w:rPr>
                      <w:b/>
                      <w:snapToGrid w:val="0"/>
                      <w:kern w:val="0"/>
                      <w:szCs w:val="21"/>
                      <w:highlight w:val="green"/>
                    </w:rPr>
                  </w:pPr>
                  <w:r>
                    <w:rPr>
                      <w:rFonts w:hint="eastAsia"/>
                      <w:szCs w:val="21"/>
                      <w:highlight w:val="green"/>
                    </w:rPr>
                    <w:t>N</w:t>
                  </w:r>
                  <w:r>
                    <w:rPr>
                      <w:szCs w:val="21"/>
                      <w:highlight w:val="green"/>
                    </w:rPr>
                    <w:t>O</w:t>
                  </w:r>
                  <w:r>
                    <w:rPr>
                      <w:rFonts w:hint="eastAsia"/>
                      <w:szCs w:val="21"/>
                      <w:highlight w:val="green"/>
                      <w:vertAlign w:val="subscript"/>
                    </w:rPr>
                    <w:t>x</w:t>
                  </w:r>
                </w:p>
              </w:tc>
              <w:tc>
                <w:tcPr>
                  <w:tcW w:w="2728" w:type="pct"/>
                  <w:tcMar>
                    <w:left w:w="57" w:type="dxa"/>
                    <w:right w:w="57" w:type="dxa"/>
                  </w:tcMar>
                  <w:vAlign w:val="center"/>
                </w:tcPr>
                <w:p>
                  <w:pPr>
                    <w:jc w:val="center"/>
                    <w:rPr>
                      <w:szCs w:val="21"/>
                      <w:highlight w:val="green"/>
                    </w:rPr>
                  </w:pPr>
                  <w:r>
                    <w:rPr>
                      <w:rFonts w:hint="eastAsia"/>
                      <w:szCs w:val="21"/>
                      <w:highlight w:val="green"/>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99" w:type="pct"/>
                  <w:vMerge w:val="restart"/>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排放口基本信息</w:t>
                  </w: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高度（m）</w:t>
                  </w:r>
                </w:p>
              </w:tc>
              <w:tc>
                <w:tcPr>
                  <w:tcW w:w="2728" w:type="pct"/>
                  <w:tcMar>
                    <w:left w:w="57" w:type="dxa"/>
                    <w:right w:w="57" w:type="dxa"/>
                  </w:tcMar>
                  <w:vAlign w:val="center"/>
                </w:tcPr>
                <w:p>
                  <w:pPr>
                    <w:jc w:val="center"/>
                    <w:rPr>
                      <w:szCs w:val="21"/>
                      <w:highlight w:val="green"/>
                    </w:rPr>
                  </w:pPr>
                  <w:r>
                    <w:rPr>
                      <w:rFonts w:hint="eastAsia"/>
                      <w:szCs w:val="21"/>
                      <w:highlight w:val="green"/>
                    </w:rPr>
                    <w:t>3</w:t>
                  </w:r>
                  <w:r>
                    <w:rPr>
                      <w:szCs w:val="21"/>
                      <w:highlight w:val="green"/>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排气筒内径（m）</w:t>
                  </w:r>
                </w:p>
              </w:tc>
              <w:tc>
                <w:tcPr>
                  <w:tcW w:w="2728" w:type="pct"/>
                  <w:tcMar>
                    <w:left w:w="57" w:type="dxa"/>
                    <w:right w:w="57" w:type="dxa"/>
                  </w:tcMar>
                  <w:vAlign w:val="center"/>
                </w:tcPr>
                <w:p>
                  <w:pPr>
                    <w:jc w:val="center"/>
                    <w:rPr>
                      <w:szCs w:val="21"/>
                      <w:highlight w:val="green"/>
                    </w:rPr>
                  </w:pPr>
                  <w:r>
                    <w:rPr>
                      <w:szCs w:val="21"/>
                      <w:highlight w:val="green"/>
                    </w:rPr>
                    <w:t>0.</w:t>
                  </w:r>
                  <w:r>
                    <w:rPr>
                      <w:rFonts w:hint="eastAsia"/>
                      <w:szCs w:val="21"/>
                      <w:highlight w:val="green"/>
                    </w:rPr>
                    <w:t>65</w:t>
                  </w:r>
                  <w:r>
                    <w:rPr>
                      <w:szCs w:val="21"/>
                      <w:highlight w:val="gree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温度（℃）</w:t>
                  </w:r>
                </w:p>
              </w:tc>
              <w:tc>
                <w:tcPr>
                  <w:tcW w:w="2728" w:type="pct"/>
                  <w:tcMar>
                    <w:left w:w="57" w:type="dxa"/>
                    <w:right w:w="57" w:type="dxa"/>
                  </w:tcMar>
                  <w:vAlign w:val="center"/>
                </w:tcPr>
                <w:p>
                  <w:pPr>
                    <w:jc w:val="center"/>
                    <w:rPr>
                      <w:szCs w:val="21"/>
                      <w:highlight w:val="green"/>
                    </w:rPr>
                  </w:pPr>
                  <w:r>
                    <w:rPr>
                      <w:rFonts w:hint="eastAsia"/>
                      <w:szCs w:val="21"/>
                      <w:highlight w:val="green"/>
                    </w:rPr>
                    <w:t>56.7</w:t>
                  </w:r>
                  <w:r>
                    <w:rPr>
                      <w:szCs w:val="21"/>
                      <w:highlight w:val="gre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编号及名称</w:t>
                  </w:r>
                </w:p>
              </w:tc>
              <w:tc>
                <w:tcPr>
                  <w:tcW w:w="2728" w:type="pct"/>
                  <w:tcMar>
                    <w:left w:w="57" w:type="dxa"/>
                    <w:right w:w="57" w:type="dxa"/>
                  </w:tcMar>
                  <w:vAlign w:val="center"/>
                </w:tcPr>
                <w:p>
                  <w:pPr>
                    <w:jc w:val="center"/>
                    <w:rPr>
                      <w:szCs w:val="21"/>
                      <w:highlight w:val="green"/>
                    </w:rPr>
                  </w:pPr>
                  <w:r>
                    <w:rPr>
                      <w:szCs w:val="21"/>
                      <w:highlight w:val="green"/>
                    </w:rPr>
                    <w:t>DA0</w:t>
                  </w:r>
                  <w:r>
                    <w:rPr>
                      <w:rFonts w:hint="eastAsia"/>
                      <w:szCs w:val="21"/>
                      <w:highlight w:val="gree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类型</w:t>
                  </w:r>
                </w:p>
              </w:tc>
              <w:tc>
                <w:tcPr>
                  <w:tcW w:w="2728" w:type="pct"/>
                  <w:tcMar>
                    <w:left w:w="57" w:type="dxa"/>
                    <w:right w:w="57" w:type="dxa"/>
                  </w:tcMar>
                  <w:vAlign w:val="center"/>
                </w:tcPr>
                <w:p>
                  <w:pPr>
                    <w:jc w:val="center"/>
                    <w:rPr>
                      <w:szCs w:val="21"/>
                      <w:highlight w:val="green"/>
                    </w:rPr>
                  </w:pPr>
                  <w:r>
                    <w:rPr>
                      <w:szCs w:val="21"/>
                      <w:highlight w:val="gree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地理坐标</w:t>
                  </w:r>
                </w:p>
              </w:tc>
              <w:tc>
                <w:tcPr>
                  <w:tcW w:w="2728" w:type="pct"/>
                  <w:tcMar>
                    <w:left w:w="57" w:type="dxa"/>
                    <w:right w:w="57" w:type="dxa"/>
                  </w:tcMar>
                  <w:vAlign w:val="center"/>
                </w:tcPr>
                <w:p>
                  <w:pPr>
                    <w:jc w:val="center"/>
                    <w:rPr>
                      <w:szCs w:val="21"/>
                      <w:highlight w:val="green"/>
                    </w:rPr>
                  </w:pPr>
                  <w:r>
                    <w:rPr>
                      <w:szCs w:val="21"/>
                      <w:highlight w:val="green"/>
                    </w:rPr>
                    <w:t>103°</w:t>
                  </w:r>
                  <w:r>
                    <w:rPr>
                      <w:rFonts w:hint="eastAsia"/>
                      <w:szCs w:val="21"/>
                      <w:highlight w:val="green"/>
                    </w:rPr>
                    <w:t>09</w:t>
                  </w:r>
                  <w:r>
                    <w:rPr>
                      <w:szCs w:val="21"/>
                      <w:highlight w:val="green"/>
                    </w:rPr>
                    <w:t>′</w:t>
                  </w:r>
                  <w:r>
                    <w:rPr>
                      <w:rFonts w:hint="eastAsia"/>
                      <w:szCs w:val="21"/>
                      <w:highlight w:val="green"/>
                    </w:rPr>
                    <w:t>19.367</w:t>
                  </w:r>
                  <w:r>
                    <w:rPr>
                      <w:szCs w:val="21"/>
                      <w:highlight w:val="green"/>
                    </w:rPr>
                    <w:t>ʺ25°</w:t>
                  </w:r>
                  <w:r>
                    <w:rPr>
                      <w:rFonts w:hint="eastAsia"/>
                      <w:szCs w:val="21"/>
                      <w:highlight w:val="green"/>
                    </w:rPr>
                    <w:t>27</w:t>
                  </w:r>
                  <w:r>
                    <w:rPr>
                      <w:szCs w:val="21"/>
                      <w:highlight w:val="green"/>
                    </w:rPr>
                    <w:t>′5</w:t>
                  </w:r>
                  <w:r>
                    <w:rPr>
                      <w:rFonts w:hint="eastAsia"/>
                      <w:szCs w:val="21"/>
                      <w:highlight w:val="green"/>
                    </w:rPr>
                    <w:t>0.229</w:t>
                  </w:r>
                  <w:r>
                    <w:rPr>
                      <w:szCs w:val="21"/>
                      <w:highlight w:val="green"/>
                    </w:rPr>
                    <w:t>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272" w:type="pct"/>
                  <w:gridSpan w:val="2"/>
                  <w:tcMar>
                    <w:left w:w="57" w:type="dxa"/>
                    <w:right w:w="57" w:type="dxa"/>
                  </w:tcMar>
                  <w:vAlign w:val="center"/>
                </w:tcPr>
                <w:p>
                  <w:pPr>
                    <w:adjustRightInd w:val="0"/>
                    <w:jc w:val="center"/>
                    <w:rPr>
                      <w:b/>
                      <w:snapToGrid w:val="0"/>
                      <w:kern w:val="0"/>
                      <w:szCs w:val="21"/>
                      <w:highlight w:val="green"/>
                    </w:rPr>
                  </w:pPr>
                  <w:r>
                    <w:rPr>
                      <w:rFonts w:hint="eastAsia"/>
                      <w:b/>
                      <w:snapToGrid w:val="0"/>
                      <w:kern w:val="0"/>
                      <w:szCs w:val="21"/>
                      <w:highlight w:val="green"/>
                    </w:rPr>
                    <w:t>排放标准</w:t>
                  </w:r>
                </w:p>
              </w:tc>
              <w:tc>
                <w:tcPr>
                  <w:tcW w:w="2728" w:type="pct"/>
                  <w:tcMar>
                    <w:left w:w="57" w:type="dxa"/>
                    <w:right w:w="57" w:type="dxa"/>
                  </w:tcMar>
                  <w:vAlign w:val="center"/>
                </w:tcPr>
                <w:p>
                  <w:pPr>
                    <w:jc w:val="center"/>
                    <w:rPr>
                      <w:szCs w:val="21"/>
                      <w:highlight w:val="green"/>
                    </w:rPr>
                  </w:pPr>
                  <w:r>
                    <w:rPr>
                      <w:szCs w:val="21"/>
                      <w:highlight w:val="green"/>
                    </w:rPr>
                    <w:t>《锅炉大气污染物综合排放标准》（GB13271-2014）中表2新建锅炉大气污染物排放浓度限值中燃煤锅炉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199" w:type="pct"/>
                  <w:vMerge w:val="restart"/>
                  <w:tcMar>
                    <w:left w:w="57" w:type="dxa"/>
                    <w:right w:w="57" w:type="dxa"/>
                  </w:tcMar>
                  <w:vAlign w:val="center"/>
                </w:tcPr>
                <w:p>
                  <w:pPr>
                    <w:adjustRightInd w:val="0"/>
                    <w:jc w:val="center"/>
                    <w:rPr>
                      <w:b/>
                      <w:snapToGrid w:val="0"/>
                      <w:kern w:val="0"/>
                      <w:szCs w:val="21"/>
                      <w:highlight w:val="green"/>
                    </w:rPr>
                  </w:pPr>
                  <w:r>
                    <w:rPr>
                      <w:b/>
                      <w:snapToGrid w:val="0"/>
                      <w:kern w:val="0"/>
                      <w:szCs w:val="21"/>
                      <w:highlight w:val="green"/>
                    </w:rPr>
                    <w:t>监测要求</w:t>
                  </w: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监测点位</w:t>
                  </w:r>
                </w:p>
              </w:tc>
              <w:tc>
                <w:tcPr>
                  <w:tcW w:w="2728" w:type="pct"/>
                  <w:tcMar>
                    <w:left w:w="57" w:type="dxa"/>
                    <w:right w:w="57" w:type="dxa"/>
                  </w:tcMar>
                  <w:vAlign w:val="center"/>
                </w:tcPr>
                <w:p>
                  <w:pPr>
                    <w:jc w:val="center"/>
                    <w:rPr>
                      <w:szCs w:val="21"/>
                      <w:highlight w:val="green"/>
                    </w:rPr>
                  </w:pPr>
                  <w:r>
                    <w:rPr>
                      <w:rFonts w:hint="eastAsia"/>
                      <w:szCs w:val="21"/>
                      <w:highlight w:val="green"/>
                    </w:rPr>
                    <w:t>排气筒排放口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监测因子</w:t>
                  </w:r>
                </w:p>
              </w:tc>
              <w:tc>
                <w:tcPr>
                  <w:tcW w:w="2728" w:type="pct"/>
                  <w:tcMar>
                    <w:left w:w="57" w:type="dxa"/>
                    <w:right w:w="57" w:type="dxa"/>
                  </w:tcMar>
                  <w:vAlign w:val="center"/>
                </w:tcPr>
                <w:p>
                  <w:pPr>
                    <w:jc w:val="center"/>
                    <w:rPr>
                      <w:szCs w:val="21"/>
                      <w:highlight w:val="green"/>
                    </w:rPr>
                  </w:pPr>
                  <w:r>
                    <w:rPr>
                      <w:rFonts w:hint="eastAsia"/>
                      <w:szCs w:val="21"/>
                      <w:highlight w:val="green"/>
                    </w:rPr>
                    <w:t>颗粒物、S</w:t>
                  </w:r>
                  <w:r>
                    <w:rPr>
                      <w:szCs w:val="21"/>
                      <w:highlight w:val="green"/>
                    </w:rPr>
                    <w:t>O</w:t>
                  </w:r>
                  <w:r>
                    <w:rPr>
                      <w:szCs w:val="21"/>
                      <w:highlight w:val="green"/>
                      <w:vertAlign w:val="subscript"/>
                    </w:rPr>
                    <w:t>2</w:t>
                  </w:r>
                  <w:r>
                    <w:rPr>
                      <w:rFonts w:hint="eastAsia"/>
                      <w:szCs w:val="21"/>
                      <w:highlight w:val="green"/>
                    </w:rPr>
                    <w:t>、N</w:t>
                  </w:r>
                  <w:r>
                    <w:rPr>
                      <w:szCs w:val="21"/>
                      <w:highlight w:val="green"/>
                    </w:rPr>
                    <w:t>O</w:t>
                  </w:r>
                  <w:r>
                    <w:rPr>
                      <w:rFonts w:hint="eastAsia"/>
                      <w:szCs w:val="21"/>
                      <w:highlight w:val="green"/>
                      <w:vertAlign w:val="subscript"/>
                    </w:rPr>
                    <w:t>x</w:t>
                  </w:r>
                  <w:r>
                    <w:rPr>
                      <w:rFonts w:hint="eastAsia"/>
                      <w:szCs w:val="21"/>
                      <w:highlight w:val="green"/>
                    </w:rPr>
                    <w:t>、烟气黑度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199" w:type="pct"/>
                  <w:vMerge w:val="continue"/>
                  <w:tcMar>
                    <w:left w:w="57" w:type="dxa"/>
                    <w:right w:w="57" w:type="dxa"/>
                  </w:tcMar>
                  <w:vAlign w:val="center"/>
                </w:tcPr>
                <w:p>
                  <w:pPr>
                    <w:adjustRightInd w:val="0"/>
                    <w:jc w:val="center"/>
                    <w:rPr>
                      <w:b/>
                      <w:snapToGrid w:val="0"/>
                      <w:kern w:val="0"/>
                      <w:szCs w:val="21"/>
                      <w:highlight w:val="green"/>
                    </w:rPr>
                  </w:pPr>
                </w:p>
              </w:tc>
              <w:tc>
                <w:tcPr>
                  <w:tcW w:w="1073" w:type="pct"/>
                  <w:tcMar>
                    <w:left w:w="57" w:type="dxa"/>
                    <w:right w:w="57" w:type="dxa"/>
                  </w:tcMar>
                  <w:vAlign w:val="center"/>
                </w:tcPr>
                <w:p>
                  <w:pPr>
                    <w:adjustRightInd w:val="0"/>
                    <w:jc w:val="center"/>
                    <w:rPr>
                      <w:snapToGrid w:val="0"/>
                      <w:kern w:val="0"/>
                      <w:szCs w:val="21"/>
                      <w:highlight w:val="green"/>
                    </w:rPr>
                  </w:pPr>
                  <w:r>
                    <w:rPr>
                      <w:snapToGrid w:val="0"/>
                      <w:kern w:val="0"/>
                      <w:szCs w:val="21"/>
                      <w:highlight w:val="green"/>
                    </w:rPr>
                    <w:t>监测频次</w:t>
                  </w:r>
                </w:p>
              </w:tc>
              <w:tc>
                <w:tcPr>
                  <w:tcW w:w="2728" w:type="pct"/>
                  <w:tcMar>
                    <w:left w:w="57" w:type="dxa"/>
                    <w:right w:w="57" w:type="dxa"/>
                  </w:tcMar>
                  <w:vAlign w:val="center"/>
                </w:tcPr>
                <w:p>
                  <w:pPr>
                    <w:jc w:val="center"/>
                    <w:rPr>
                      <w:szCs w:val="21"/>
                      <w:highlight w:val="green"/>
                    </w:rPr>
                  </w:pPr>
                  <w:r>
                    <w:rPr>
                      <w:rFonts w:hint="eastAsia"/>
                      <w:szCs w:val="21"/>
                      <w:highlight w:val="green"/>
                    </w:rPr>
                    <w:t>1次/月</w:t>
                  </w:r>
                </w:p>
              </w:tc>
            </w:tr>
          </w:tbl>
          <w:p>
            <w:pPr>
              <w:widowControl/>
              <w:adjustRightInd w:val="0"/>
              <w:spacing w:before="120" w:beforeLines="50" w:line="360" w:lineRule="auto"/>
              <w:ind w:firstLine="482" w:firstLineChars="200"/>
              <w:jc w:val="left"/>
              <w:rPr>
                <w:rFonts w:cs="宋体"/>
                <w:b/>
                <w:bCs/>
                <w:kern w:val="0"/>
                <w:sz w:val="24"/>
                <w:szCs w:val="20"/>
                <w:highlight w:val="green"/>
                <w:lang w:bidi="ar"/>
              </w:rPr>
            </w:pPr>
            <w:r>
              <w:rPr>
                <w:rFonts w:hint="eastAsia" w:cs="宋体"/>
                <w:b/>
                <w:bCs/>
                <w:kern w:val="0"/>
                <w:sz w:val="24"/>
                <w:szCs w:val="20"/>
                <w:highlight w:val="green"/>
                <w:lang w:bidi="ar"/>
              </w:rPr>
              <w:t>②本项目环保工程技改后污染物排放变化情况分析</w:t>
            </w:r>
          </w:p>
          <w:p>
            <w:pPr>
              <w:adjustRightInd w:val="0"/>
              <w:spacing w:line="360" w:lineRule="auto"/>
              <w:ind w:firstLine="480" w:firstLineChars="200"/>
              <w:rPr>
                <w:sz w:val="24"/>
                <w:highlight w:val="green"/>
              </w:rPr>
            </w:pPr>
            <w:r>
              <w:rPr>
                <w:rFonts w:hint="eastAsia"/>
                <w:sz w:val="24"/>
                <w:highlight w:val="green"/>
              </w:rPr>
              <w:t>本项目环保工程技改主要对现有7</w:t>
            </w:r>
            <w:r>
              <w:rPr>
                <w:sz w:val="24"/>
                <w:highlight w:val="green"/>
              </w:rPr>
              <w:t>t/h</w:t>
            </w:r>
            <w:r>
              <w:rPr>
                <w:rFonts w:hint="eastAsia"/>
                <w:sz w:val="24"/>
                <w:highlight w:val="green"/>
              </w:rPr>
              <w:t>导热油锅炉烟气旋风除尘治理设施后增加水膜除尘装置，筛选及打磨工序废气旋风除尘治理设施后增加布袋除尘装置，热压凉板工序配套的废气治理设施新增活性炭吸附装置，新增环保设施不产生废气污染物，新增环保设施建成后，对现有涉及工序排放的污染物进行了削减。</w:t>
            </w:r>
          </w:p>
          <w:p>
            <w:pPr>
              <w:adjustRightInd w:val="0"/>
              <w:spacing w:line="360" w:lineRule="auto"/>
              <w:ind w:firstLine="480" w:firstLineChars="200"/>
              <w:rPr>
                <w:b/>
                <w:sz w:val="24"/>
                <w:szCs w:val="28"/>
                <w:highlight w:val="yellow"/>
              </w:rPr>
            </w:pPr>
            <w:r>
              <w:rPr>
                <w:rFonts w:hint="eastAsia"/>
                <w:sz w:val="24"/>
                <w:highlight w:val="green"/>
              </w:rPr>
              <w:t>本项目环保工程技改后，涉及技改工序</w:t>
            </w:r>
            <w:r>
              <w:rPr>
                <w:rFonts w:hint="eastAsia"/>
                <w:sz w:val="24"/>
                <w:highlight w:val="green"/>
                <w:lang w:eastAsia="zh-CN"/>
              </w:rPr>
              <w:t>污染</w:t>
            </w:r>
            <w:r>
              <w:rPr>
                <w:rFonts w:hint="eastAsia"/>
                <w:sz w:val="24"/>
                <w:highlight w:val="green"/>
              </w:rPr>
              <w:t>物排放变化情况见下表：</w:t>
            </w:r>
          </w:p>
          <w:p>
            <w:pPr>
              <w:adjustRightInd w:val="0"/>
              <w:spacing w:line="360" w:lineRule="auto"/>
              <w:ind w:firstLine="482" w:firstLineChars="200"/>
              <w:rPr>
                <w:b/>
                <w:sz w:val="24"/>
                <w:szCs w:val="28"/>
                <w:highlight w:val="green"/>
              </w:rPr>
            </w:pPr>
            <w:r>
              <w:rPr>
                <w:rFonts w:hint="eastAsia"/>
                <w:b/>
                <w:sz w:val="24"/>
                <w:szCs w:val="28"/>
                <w:highlight w:val="green"/>
              </w:rPr>
              <w:t>表4-</w:t>
            </w:r>
            <w:r>
              <w:rPr>
                <w:b/>
                <w:sz w:val="24"/>
                <w:szCs w:val="28"/>
                <w:highlight w:val="green"/>
              </w:rPr>
              <w:t xml:space="preserve">2  </w:t>
            </w:r>
            <w:r>
              <w:rPr>
                <w:rFonts w:hint="eastAsia"/>
                <w:b/>
                <w:sz w:val="24"/>
                <w:szCs w:val="28"/>
                <w:highlight w:val="green"/>
              </w:rPr>
              <w:t>本项目环保工程技改后涉及工序污染物排放变化情况一览表</w:t>
            </w:r>
          </w:p>
          <w:tbl>
            <w:tblPr>
              <w:tblStyle w:val="33"/>
              <w:tblW w:w="8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113"/>
              <w:gridCol w:w="536"/>
              <w:gridCol w:w="1251"/>
              <w:gridCol w:w="2296"/>
              <w:gridCol w:w="1172"/>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662" w:type="dxa"/>
                  <w:tcMar>
                    <w:left w:w="57" w:type="dxa"/>
                    <w:right w:w="57" w:type="dxa"/>
                  </w:tcMar>
                  <w:vAlign w:val="center"/>
                </w:tcPr>
                <w:p>
                  <w:pPr>
                    <w:adjustRightInd w:val="0"/>
                    <w:jc w:val="center"/>
                    <w:rPr>
                      <w:b/>
                      <w:szCs w:val="21"/>
                      <w:highlight w:val="green"/>
                    </w:rPr>
                  </w:pPr>
                  <w:r>
                    <w:rPr>
                      <w:rFonts w:hint="eastAsia"/>
                      <w:b/>
                      <w:szCs w:val="21"/>
                      <w:highlight w:val="green"/>
                    </w:rPr>
                    <w:t>污染源</w:t>
                  </w:r>
                </w:p>
              </w:tc>
              <w:tc>
                <w:tcPr>
                  <w:tcW w:w="1113" w:type="dxa"/>
                  <w:tcMar>
                    <w:left w:w="57" w:type="dxa"/>
                    <w:right w:w="57" w:type="dxa"/>
                  </w:tcMar>
                  <w:vAlign w:val="center"/>
                </w:tcPr>
                <w:p>
                  <w:pPr>
                    <w:adjustRightInd w:val="0"/>
                    <w:jc w:val="center"/>
                    <w:rPr>
                      <w:b/>
                      <w:szCs w:val="21"/>
                      <w:highlight w:val="green"/>
                    </w:rPr>
                  </w:pPr>
                  <w:r>
                    <w:rPr>
                      <w:rFonts w:hint="eastAsia"/>
                      <w:b/>
                      <w:szCs w:val="21"/>
                      <w:highlight w:val="green"/>
                    </w:rPr>
                    <w:t>污染物</w:t>
                  </w:r>
                </w:p>
              </w:tc>
              <w:tc>
                <w:tcPr>
                  <w:tcW w:w="536" w:type="dxa"/>
                  <w:tcMar>
                    <w:left w:w="57" w:type="dxa"/>
                    <w:right w:w="57" w:type="dxa"/>
                  </w:tcMar>
                  <w:vAlign w:val="center"/>
                </w:tcPr>
                <w:p>
                  <w:pPr>
                    <w:adjustRightInd w:val="0"/>
                    <w:jc w:val="center"/>
                    <w:rPr>
                      <w:b/>
                      <w:szCs w:val="21"/>
                      <w:highlight w:val="green"/>
                    </w:rPr>
                  </w:pPr>
                  <w:r>
                    <w:rPr>
                      <w:rFonts w:hint="eastAsia"/>
                      <w:b/>
                      <w:szCs w:val="21"/>
                      <w:highlight w:val="green"/>
                    </w:rPr>
                    <w:t>排放方式</w:t>
                  </w:r>
                </w:p>
              </w:tc>
              <w:tc>
                <w:tcPr>
                  <w:tcW w:w="1251" w:type="dxa"/>
                  <w:tcMar>
                    <w:left w:w="57" w:type="dxa"/>
                    <w:right w:w="57" w:type="dxa"/>
                  </w:tcMar>
                  <w:vAlign w:val="center"/>
                </w:tcPr>
                <w:p>
                  <w:pPr>
                    <w:adjustRightInd w:val="0"/>
                    <w:jc w:val="center"/>
                    <w:rPr>
                      <w:b/>
                      <w:szCs w:val="21"/>
                      <w:highlight w:val="green"/>
                    </w:rPr>
                  </w:pPr>
                  <w:r>
                    <w:rPr>
                      <w:rFonts w:hint="eastAsia"/>
                      <w:b/>
                      <w:szCs w:val="21"/>
                      <w:highlight w:val="green"/>
                    </w:rPr>
                    <w:t>技改前排放量，即：现有项目排放量（t</w:t>
                  </w:r>
                  <w:r>
                    <w:rPr>
                      <w:b/>
                      <w:szCs w:val="21"/>
                      <w:highlight w:val="green"/>
                    </w:rPr>
                    <w:t>/a</w:t>
                  </w:r>
                  <w:r>
                    <w:rPr>
                      <w:rFonts w:hint="eastAsia"/>
                      <w:b/>
                      <w:szCs w:val="21"/>
                      <w:highlight w:val="green"/>
                    </w:rPr>
                    <w:t>）</w:t>
                  </w:r>
                </w:p>
              </w:tc>
              <w:tc>
                <w:tcPr>
                  <w:tcW w:w="2296" w:type="dxa"/>
                  <w:tcMar>
                    <w:left w:w="57" w:type="dxa"/>
                    <w:right w:w="57" w:type="dxa"/>
                  </w:tcMar>
                  <w:vAlign w:val="center"/>
                </w:tcPr>
                <w:p>
                  <w:pPr>
                    <w:adjustRightInd w:val="0"/>
                    <w:jc w:val="center"/>
                    <w:rPr>
                      <w:b/>
                      <w:szCs w:val="21"/>
                      <w:highlight w:val="green"/>
                    </w:rPr>
                  </w:pPr>
                  <w:r>
                    <w:rPr>
                      <w:rFonts w:hint="eastAsia"/>
                      <w:b/>
                      <w:szCs w:val="21"/>
                      <w:highlight w:val="green"/>
                    </w:rPr>
                    <w:t>技改后治理措施及效率（%）</w:t>
                  </w:r>
                </w:p>
              </w:tc>
              <w:tc>
                <w:tcPr>
                  <w:tcW w:w="1172" w:type="dxa"/>
                  <w:tcMar>
                    <w:left w:w="57" w:type="dxa"/>
                    <w:right w:w="57" w:type="dxa"/>
                  </w:tcMar>
                  <w:vAlign w:val="center"/>
                </w:tcPr>
                <w:p>
                  <w:pPr>
                    <w:adjustRightInd w:val="0"/>
                    <w:jc w:val="center"/>
                    <w:rPr>
                      <w:b/>
                      <w:szCs w:val="21"/>
                      <w:highlight w:val="green"/>
                    </w:rPr>
                  </w:pPr>
                  <w:r>
                    <w:rPr>
                      <w:rFonts w:hint="eastAsia"/>
                      <w:b/>
                      <w:szCs w:val="21"/>
                      <w:highlight w:val="green"/>
                    </w:rPr>
                    <w:t>技改后排放量（t</w:t>
                  </w:r>
                  <w:r>
                    <w:rPr>
                      <w:b/>
                      <w:szCs w:val="21"/>
                      <w:highlight w:val="green"/>
                    </w:rPr>
                    <w:t>/a</w:t>
                  </w:r>
                  <w:r>
                    <w:rPr>
                      <w:rFonts w:hint="eastAsia"/>
                      <w:b/>
                      <w:szCs w:val="21"/>
                      <w:highlight w:val="green"/>
                    </w:rPr>
                    <w:t>）</w:t>
                  </w:r>
                </w:p>
              </w:tc>
              <w:tc>
                <w:tcPr>
                  <w:tcW w:w="1172" w:type="dxa"/>
                  <w:tcMar>
                    <w:left w:w="57" w:type="dxa"/>
                    <w:right w:w="57" w:type="dxa"/>
                  </w:tcMar>
                  <w:vAlign w:val="center"/>
                </w:tcPr>
                <w:p>
                  <w:pPr>
                    <w:adjustRightInd w:val="0"/>
                    <w:jc w:val="center"/>
                    <w:rPr>
                      <w:b/>
                      <w:szCs w:val="21"/>
                      <w:highlight w:val="green"/>
                    </w:rPr>
                  </w:pPr>
                  <w:r>
                    <w:rPr>
                      <w:rFonts w:hint="eastAsia"/>
                      <w:b/>
                      <w:szCs w:val="21"/>
                      <w:highlight w:val="green"/>
                    </w:rPr>
                    <w:t>排放变化情况（t</w:t>
                  </w:r>
                  <w:r>
                    <w:rPr>
                      <w:b/>
                      <w:szCs w:val="21"/>
                      <w:highlight w:val="green"/>
                    </w:rPr>
                    <w:t>/a</w:t>
                  </w:r>
                  <w:r>
                    <w:rPr>
                      <w:rFonts w:hint="eastAsia"/>
                      <w:b/>
                      <w:szCs w:val="21"/>
                      <w:highlight w:val="gre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62" w:type="dxa"/>
                  <w:vMerge w:val="restart"/>
                  <w:tcMar>
                    <w:left w:w="57" w:type="dxa"/>
                    <w:right w:w="57" w:type="dxa"/>
                  </w:tcMar>
                  <w:vAlign w:val="center"/>
                </w:tcPr>
                <w:p>
                  <w:pPr>
                    <w:adjustRightInd w:val="0"/>
                    <w:jc w:val="center"/>
                    <w:rPr>
                      <w:szCs w:val="21"/>
                      <w:highlight w:val="green"/>
                    </w:rPr>
                  </w:pPr>
                  <w:r>
                    <w:rPr>
                      <w:rFonts w:hint="eastAsia"/>
                      <w:szCs w:val="21"/>
                      <w:highlight w:val="green"/>
                    </w:rPr>
                    <w:t>7t/h导热油锅炉</w:t>
                  </w: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颗粒物</w:t>
                  </w:r>
                </w:p>
              </w:tc>
              <w:tc>
                <w:tcPr>
                  <w:tcW w:w="536" w:type="dxa"/>
                  <w:vMerge w:val="restart"/>
                  <w:tcMar>
                    <w:left w:w="57" w:type="dxa"/>
                    <w:right w:w="57" w:type="dxa"/>
                  </w:tcMar>
                  <w:vAlign w:val="center"/>
                </w:tcPr>
                <w:p>
                  <w:pPr>
                    <w:adjustRightInd w:val="0"/>
                    <w:jc w:val="center"/>
                    <w:rPr>
                      <w:szCs w:val="21"/>
                      <w:highlight w:val="green"/>
                    </w:rPr>
                  </w:pPr>
                  <w:r>
                    <w:rPr>
                      <w:rFonts w:hint="eastAsia"/>
                      <w:szCs w:val="21"/>
                      <w:highlight w:val="green"/>
                    </w:rPr>
                    <w:t>有组织</w:t>
                  </w:r>
                </w:p>
              </w:tc>
              <w:tc>
                <w:tcPr>
                  <w:tcW w:w="1251" w:type="dxa"/>
                  <w:tcMar>
                    <w:left w:w="57" w:type="dxa"/>
                    <w:right w:w="57" w:type="dxa"/>
                  </w:tcMar>
                  <w:vAlign w:val="center"/>
                </w:tcPr>
                <w:p>
                  <w:pPr>
                    <w:adjustRightInd w:val="0"/>
                    <w:jc w:val="center"/>
                    <w:rPr>
                      <w:szCs w:val="21"/>
                      <w:highlight w:val="green"/>
                    </w:rPr>
                  </w:pPr>
                  <w:r>
                    <w:rPr>
                      <w:rFonts w:hint="eastAsia"/>
                      <w:bCs/>
                      <w:szCs w:val="21"/>
                      <w:highlight w:val="green"/>
                    </w:rPr>
                    <w:t>3.017</w:t>
                  </w:r>
                </w:p>
              </w:tc>
              <w:tc>
                <w:tcPr>
                  <w:tcW w:w="2296" w:type="dxa"/>
                  <w:vMerge w:val="restart"/>
                  <w:tcMar>
                    <w:left w:w="57" w:type="dxa"/>
                    <w:right w:w="57" w:type="dxa"/>
                  </w:tcMar>
                  <w:vAlign w:val="center"/>
                </w:tcPr>
                <w:p>
                  <w:pPr>
                    <w:adjustRightInd w:val="0"/>
                    <w:jc w:val="center"/>
                    <w:rPr>
                      <w:szCs w:val="21"/>
                      <w:highlight w:val="green"/>
                    </w:rPr>
                  </w:pPr>
                  <w:r>
                    <w:rPr>
                      <w:rFonts w:hint="eastAsia"/>
                      <w:szCs w:val="21"/>
                      <w:highlight w:val="green"/>
                    </w:rPr>
                    <w:t>多管旋风除尘+水膜除尘（对颗粒物去除效率为94%、对SO</w:t>
                  </w:r>
                  <w:r>
                    <w:rPr>
                      <w:rFonts w:hint="eastAsia"/>
                      <w:szCs w:val="21"/>
                      <w:highlight w:val="green"/>
                      <w:vertAlign w:val="subscript"/>
                    </w:rPr>
                    <w:t>2</w:t>
                  </w:r>
                  <w:r>
                    <w:rPr>
                      <w:rFonts w:hint="eastAsia"/>
                      <w:szCs w:val="21"/>
                      <w:highlight w:val="green"/>
                    </w:rPr>
                    <w:t>、NO</w:t>
                  </w:r>
                  <w:r>
                    <w:rPr>
                      <w:rFonts w:hint="eastAsia"/>
                      <w:szCs w:val="21"/>
                      <w:highlight w:val="green"/>
                      <w:vertAlign w:val="subscript"/>
                    </w:rPr>
                    <w:t>x</w:t>
                  </w:r>
                  <w:r>
                    <w:rPr>
                      <w:rFonts w:hint="eastAsia"/>
                      <w:szCs w:val="21"/>
                      <w:highlight w:val="green"/>
                    </w:rPr>
                    <w:t>去除效率为0）。</w:t>
                  </w: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0.603</w:t>
                  </w:r>
                </w:p>
              </w:tc>
              <w:tc>
                <w:tcPr>
                  <w:tcW w:w="1172" w:type="dxa"/>
                  <w:tcMar>
                    <w:left w:w="57" w:type="dxa"/>
                    <w:right w:w="57" w:type="dxa"/>
                  </w:tcMar>
                  <w:vAlign w:val="center"/>
                </w:tcPr>
                <w:p>
                  <w:pPr>
                    <w:adjustRightInd w:val="0"/>
                    <w:jc w:val="center"/>
                    <w:rPr>
                      <w:szCs w:val="21"/>
                      <w:highlight w:val="green"/>
                    </w:rPr>
                  </w:pPr>
                  <w:r>
                    <w:rPr>
                      <w:rFonts w:hint="eastAsia"/>
                      <w:highlight w:val="green"/>
                    </w:rPr>
                    <w:t>-2.414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62" w:type="dxa"/>
                  <w:vMerge w:val="continue"/>
                  <w:tcMar>
                    <w:left w:w="57" w:type="dxa"/>
                    <w:right w:w="57" w:type="dxa"/>
                  </w:tcMar>
                  <w:vAlign w:val="center"/>
                </w:tcPr>
                <w:p>
                  <w:pPr>
                    <w:adjustRightInd w:val="0"/>
                    <w:jc w:val="center"/>
                    <w:rPr>
                      <w:szCs w:val="21"/>
                      <w:highlight w:val="green"/>
                    </w:rPr>
                  </w:pP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S</w:t>
                  </w:r>
                  <w:r>
                    <w:rPr>
                      <w:szCs w:val="21"/>
                      <w:highlight w:val="green"/>
                    </w:rPr>
                    <w:t>O</w:t>
                  </w:r>
                  <w:r>
                    <w:rPr>
                      <w:szCs w:val="21"/>
                      <w:highlight w:val="green"/>
                      <w:vertAlign w:val="subscript"/>
                    </w:rPr>
                    <w:t>2</w:t>
                  </w:r>
                </w:p>
              </w:tc>
              <w:tc>
                <w:tcPr>
                  <w:tcW w:w="536" w:type="dxa"/>
                  <w:vMerge w:val="continue"/>
                  <w:tcMar>
                    <w:left w:w="57" w:type="dxa"/>
                    <w:right w:w="57" w:type="dxa"/>
                  </w:tcMar>
                  <w:vAlign w:val="center"/>
                </w:tcPr>
                <w:p>
                  <w:pPr>
                    <w:adjustRightInd w:val="0"/>
                    <w:jc w:val="center"/>
                    <w:rPr>
                      <w:szCs w:val="21"/>
                      <w:highlight w:val="green"/>
                    </w:rPr>
                  </w:pPr>
                </w:p>
              </w:tc>
              <w:tc>
                <w:tcPr>
                  <w:tcW w:w="1251" w:type="dxa"/>
                  <w:tcMar>
                    <w:left w:w="57" w:type="dxa"/>
                    <w:right w:w="57" w:type="dxa"/>
                  </w:tcMar>
                  <w:vAlign w:val="center"/>
                </w:tcPr>
                <w:p>
                  <w:pPr>
                    <w:adjustRightInd w:val="0"/>
                    <w:jc w:val="center"/>
                    <w:rPr>
                      <w:szCs w:val="21"/>
                      <w:highlight w:val="green"/>
                    </w:rPr>
                  </w:pPr>
                  <w:r>
                    <w:rPr>
                      <w:rFonts w:hint="eastAsia"/>
                      <w:bCs/>
                      <w:szCs w:val="21"/>
                      <w:highlight w:val="green"/>
                    </w:rPr>
                    <w:t>5</w:t>
                  </w:r>
                  <w:r>
                    <w:rPr>
                      <w:bCs/>
                      <w:szCs w:val="21"/>
                      <w:highlight w:val="green"/>
                    </w:rPr>
                    <w:t>.19</w:t>
                  </w:r>
                </w:p>
              </w:tc>
              <w:tc>
                <w:tcPr>
                  <w:tcW w:w="2296" w:type="dxa"/>
                  <w:vMerge w:val="continue"/>
                  <w:tcMar>
                    <w:left w:w="57" w:type="dxa"/>
                    <w:right w:w="57" w:type="dxa"/>
                  </w:tcMar>
                  <w:vAlign w:val="center"/>
                </w:tcPr>
                <w:p>
                  <w:pPr>
                    <w:adjustRightInd w:val="0"/>
                    <w:jc w:val="center"/>
                    <w:rPr>
                      <w:szCs w:val="21"/>
                      <w:highlight w:val="green"/>
                    </w:rPr>
                  </w:pP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5.19</w:t>
                  </w:r>
                </w:p>
              </w:tc>
              <w:tc>
                <w:tcPr>
                  <w:tcW w:w="1172" w:type="dxa"/>
                  <w:tcMar>
                    <w:left w:w="57" w:type="dxa"/>
                    <w:right w:w="57" w:type="dxa"/>
                  </w:tcMar>
                  <w:vAlign w:val="center"/>
                </w:tcPr>
                <w:p>
                  <w:pPr>
                    <w:adjustRightInd w:val="0"/>
                    <w:jc w:val="center"/>
                    <w:rPr>
                      <w:szCs w:val="21"/>
                      <w:highlight w:val="green"/>
                    </w:rPr>
                  </w:pPr>
                  <w:r>
                    <w:rPr>
                      <w:highlight w:val="gree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62" w:type="dxa"/>
                  <w:vMerge w:val="continue"/>
                  <w:tcMar>
                    <w:left w:w="57" w:type="dxa"/>
                    <w:right w:w="57" w:type="dxa"/>
                  </w:tcMar>
                  <w:vAlign w:val="center"/>
                </w:tcPr>
                <w:p>
                  <w:pPr>
                    <w:adjustRightInd w:val="0"/>
                    <w:jc w:val="center"/>
                    <w:rPr>
                      <w:szCs w:val="21"/>
                      <w:highlight w:val="green"/>
                    </w:rPr>
                  </w:pP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N</w:t>
                  </w:r>
                  <w:r>
                    <w:rPr>
                      <w:szCs w:val="21"/>
                      <w:highlight w:val="green"/>
                    </w:rPr>
                    <w:t>O</w:t>
                  </w:r>
                  <w:r>
                    <w:rPr>
                      <w:rFonts w:hint="eastAsia"/>
                      <w:szCs w:val="21"/>
                      <w:highlight w:val="green"/>
                    </w:rPr>
                    <w:t>x</w:t>
                  </w:r>
                </w:p>
              </w:tc>
              <w:tc>
                <w:tcPr>
                  <w:tcW w:w="536" w:type="dxa"/>
                  <w:vMerge w:val="continue"/>
                  <w:tcMar>
                    <w:left w:w="57" w:type="dxa"/>
                    <w:right w:w="57" w:type="dxa"/>
                  </w:tcMar>
                  <w:vAlign w:val="center"/>
                </w:tcPr>
                <w:p>
                  <w:pPr>
                    <w:adjustRightInd w:val="0"/>
                    <w:jc w:val="center"/>
                    <w:rPr>
                      <w:szCs w:val="21"/>
                      <w:highlight w:val="green"/>
                    </w:rPr>
                  </w:pPr>
                </w:p>
              </w:tc>
              <w:tc>
                <w:tcPr>
                  <w:tcW w:w="1251" w:type="dxa"/>
                  <w:tcMar>
                    <w:left w:w="57" w:type="dxa"/>
                    <w:right w:w="57" w:type="dxa"/>
                  </w:tcMar>
                  <w:vAlign w:val="center"/>
                </w:tcPr>
                <w:p>
                  <w:pPr>
                    <w:adjustRightInd w:val="0"/>
                    <w:jc w:val="center"/>
                    <w:rPr>
                      <w:szCs w:val="21"/>
                      <w:highlight w:val="green"/>
                    </w:rPr>
                  </w:pPr>
                  <w:r>
                    <w:rPr>
                      <w:rFonts w:hint="eastAsia"/>
                      <w:bCs/>
                      <w:szCs w:val="21"/>
                      <w:highlight w:val="green"/>
                    </w:rPr>
                    <w:t>6</w:t>
                  </w:r>
                  <w:r>
                    <w:rPr>
                      <w:bCs/>
                      <w:szCs w:val="21"/>
                      <w:highlight w:val="green"/>
                    </w:rPr>
                    <w:t>.08</w:t>
                  </w:r>
                </w:p>
              </w:tc>
              <w:tc>
                <w:tcPr>
                  <w:tcW w:w="2296" w:type="dxa"/>
                  <w:vMerge w:val="continue"/>
                  <w:tcMar>
                    <w:left w:w="57" w:type="dxa"/>
                    <w:right w:w="57" w:type="dxa"/>
                  </w:tcMar>
                  <w:vAlign w:val="center"/>
                </w:tcPr>
                <w:p>
                  <w:pPr>
                    <w:adjustRightInd w:val="0"/>
                    <w:jc w:val="center"/>
                    <w:rPr>
                      <w:szCs w:val="21"/>
                      <w:highlight w:val="green"/>
                    </w:rPr>
                  </w:pP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6.08</w:t>
                  </w:r>
                </w:p>
              </w:tc>
              <w:tc>
                <w:tcPr>
                  <w:tcW w:w="1172" w:type="dxa"/>
                  <w:tcMar>
                    <w:left w:w="57" w:type="dxa"/>
                    <w:right w:w="57" w:type="dxa"/>
                  </w:tcMar>
                  <w:vAlign w:val="center"/>
                </w:tcPr>
                <w:p>
                  <w:pPr>
                    <w:adjustRightInd w:val="0"/>
                    <w:jc w:val="center"/>
                    <w:rPr>
                      <w:szCs w:val="21"/>
                      <w:highlight w:val="green"/>
                    </w:rPr>
                  </w:pPr>
                  <w:r>
                    <w:rPr>
                      <w:highlight w:val="gree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62" w:type="dxa"/>
                  <w:vMerge w:val="restart"/>
                  <w:tcMar>
                    <w:left w:w="57" w:type="dxa"/>
                    <w:right w:w="57" w:type="dxa"/>
                  </w:tcMar>
                  <w:vAlign w:val="center"/>
                </w:tcPr>
                <w:p>
                  <w:pPr>
                    <w:adjustRightInd w:val="0"/>
                    <w:jc w:val="center"/>
                    <w:rPr>
                      <w:szCs w:val="21"/>
                      <w:highlight w:val="green"/>
                    </w:rPr>
                  </w:pPr>
                  <w:r>
                    <w:rPr>
                      <w:rFonts w:hint="eastAsia"/>
                      <w:szCs w:val="21"/>
                      <w:highlight w:val="green"/>
                    </w:rPr>
                    <w:t>热压凉板工序</w:t>
                  </w: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非甲烷总烃</w:t>
                  </w:r>
                </w:p>
              </w:tc>
              <w:tc>
                <w:tcPr>
                  <w:tcW w:w="536" w:type="dxa"/>
                  <w:vMerge w:val="restart"/>
                  <w:tcMar>
                    <w:left w:w="57" w:type="dxa"/>
                    <w:right w:w="57" w:type="dxa"/>
                  </w:tcMar>
                  <w:vAlign w:val="center"/>
                </w:tcPr>
                <w:p>
                  <w:pPr>
                    <w:adjustRightInd w:val="0"/>
                    <w:jc w:val="center"/>
                    <w:rPr>
                      <w:szCs w:val="21"/>
                      <w:highlight w:val="green"/>
                    </w:rPr>
                  </w:pPr>
                  <w:r>
                    <w:rPr>
                      <w:rFonts w:hint="eastAsia"/>
                      <w:szCs w:val="21"/>
                      <w:highlight w:val="green"/>
                    </w:rPr>
                    <w:t>有组织</w:t>
                  </w:r>
                </w:p>
              </w:tc>
              <w:tc>
                <w:tcPr>
                  <w:tcW w:w="1251" w:type="dxa"/>
                  <w:tcMar>
                    <w:left w:w="57" w:type="dxa"/>
                    <w:right w:w="57" w:type="dxa"/>
                  </w:tcMar>
                  <w:vAlign w:val="center"/>
                </w:tcPr>
                <w:p>
                  <w:pPr>
                    <w:adjustRightInd w:val="0"/>
                    <w:jc w:val="center"/>
                    <w:rPr>
                      <w:szCs w:val="21"/>
                      <w:highlight w:val="green"/>
                    </w:rPr>
                  </w:pPr>
                  <w:r>
                    <w:rPr>
                      <w:rFonts w:hint="eastAsia"/>
                      <w:szCs w:val="21"/>
                      <w:highlight w:val="green"/>
                    </w:rPr>
                    <w:t>1</w:t>
                  </w:r>
                  <w:r>
                    <w:rPr>
                      <w:szCs w:val="21"/>
                      <w:highlight w:val="green"/>
                    </w:rPr>
                    <w:t>.4292</w:t>
                  </w:r>
                </w:p>
              </w:tc>
              <w:tc>
                <w:tcPr>
                  <w:tcW w:w="2296" w:type="dxa"/>
                  <w:vMerge w:val="restart"/>
                  <w:tcMar>
                    <w:left w:w="57" w:type="dxa"/>
                    <w:right w:w="57" w:type="dxa"/>
                  </w:tcMar>
                  <w:vAlign w:val="center"/>
                </w:tcPr>
                <w:p>
                  <w:pPr>
                    <w:adjustRightInd w:val="0"/>
                    <w:jc w:val="center"/>
                    <w:rPr>
                      <w:szCs w:val="21"/>
                      <w:highlight w:val="green"/>
                    </w:rPr>
                  </w:pPr>
                  <w:r>
                    <w:rPr>
                      <w:rFonts w:hint="eastAsia"/>
                      <w:szCs w:val="21"/>
                      <w:highlight w:val="green"/>
                    </w:rPr>
                    <w:t>集气罩收集+活性炭吸附装置（收集效率为90%，活性炭吸附装置对非甲烷总烃、甲醛的去除效率为80%、对颗粒物去除效率为0）；集气罩未收集到废气无组织排放。</w:t>
                  </w: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0.286</w:t>
                  </w:r>
                </w:p>
              </w:tc>
              <w:tc>
                <w:tcPr>
                  <w:tcW w:w="1172" w:type="dxa"/>
                  <w:tcMar>
                    <w:left w:w="57" w:type="dxa"/>
                    <w:right w:w="57" w:type="dxa"/>
                  </w:tcMar>
                  <w:vAlign w:val="center"/>
                </w:tcPr>
                <w:p>
                  <w:pPr>
                    <w:adjustRightInd w:val="0"/>
                    <w:jc w:val="center"/>
                    <w:rPr>
                      <w:szCs w:val="21"/>
                      <w:highlight w:val="green"/>
                    </w:rPr>
                  </w:pPr>
                  <w:r>
                    <w:rPr>
                      <w:rFonts w:hint="eastAsia"/>
                      <w:highlight w:val="green"/>
                    </w:rPr>
                    <w:t>-</w:t>
                  </w:r>
                  <w:r>
                    <w:rPr>
                      <w:highlight w:val="green"/>
                    </w:rPr>
                    <w:t>1.1432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2" w:type="dxa"/>
                  <w:vMerge w:val="continue"/>
                  <w:tcMar>
                    <w:left w:w="57" w:type="dxa"/>
                    <w:right w:w="57" w:type="dxa"/>
                  </w:tcMar>
                  <w:vAlign w:val="center"/>
                </w:tcPr>
                <w:p>
                  <w:pPr>
                    <w:adjustRightInd w:val="0"/>
                    <w:jc w:val="center"/>
                    <w:rPr>
                      <w:szCs w:val="21"/>
                      <w:highlight w:val="green"/>
                    </w:rPr>
                  </w:pP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甲醛</w:t>
                  </w:r>
                </w:p>
              </w:tc>
              <w:tc>
                <w:tcPr>
                  <w:tcW w:w="536" w:type="dxa"/>
                  <w:vMerge w:val="continue"/>
                  <w:tcMar>
                    <w:left w:w="57" w:type="dxa"/>
                    <w:right w:w="57" w:type="dxa"/>
                  </w:tcMar>
                  <w:vAlign w:val="center"/>
                </w:tcPr>
                <w:p>
                  <w:pPr>
                    <w:adjustRightInd w:val="0"/>
                    <w:jc w:val="center"/>
                    <w:rPr>
                      <w:szCs w:val="21"/>
                      <w:highlight w:val="green"/>
                    </w:rPr>
                  </w:pPr>
                </w:p>
              </w:tc>
              <w:tc>
                <w:tcPr>
                  <w:tcW w:w="1251" w:type="dxa"/>
                  <w:tcMar>
                    <w:left w:w="57" w:type="dxa"/>
                    <w:right w:w="57" w:type="dxa"/>
                  </w:tcMar>
                  <w:vAlign w:val="center"/>
                </w:tcPr>
                <w:p>
                  <w:pPr>
                    <w:adjustRightInd w:val="0"/>
                    <w:jc w:val="center"/>
                    <w:rPr>
                      <w:szCs w:val="21"/>
                      <w:highlight w:val="green"/>
                    </w:rPr>
                  </w:pPr>
                  <w:r>
                    <w:rPr>
                      <w:rFonts w:hint="eastAsia"/>
                      <w:szCs w:val="21"/>
                      <w:highlight w:val="green"/>
                    </w:rPr>
                    <w:t>0</w:t>
                  </w:r>
                  <w:r>
                    <w:rPr>
                      <w:szCs w:val="21"/>
                      <w:highlight w:val="green"/>
                    </w:rPr>
                    <w:t>.63</w:t>
                  </w:r>
                </w:p>
              </w:tc>
              <w:tc>
                <w:tcPr>
                  <w:tcW w:w="2296" w:type="dxa"/>
                  <w:vMerge w:val="continue"/>
                  <w:tcMar>
                    <w:left w:w="57" w:type="dxa"/>
                    <w:right w:w="57" w:type="dxa"/>
                  </w:tcMar>
                  <w:vAlign w:val="center"/>
                </w:tcPr>
                <w:p>
                  <w:pPr>
                    <w:adjustRightInd w:val="0"/>
                    <w:jc w:val="center"/>
                    <w:rPr>
                      <w:szCs w:val="21"/>
                      <w:highlight w:val="green"/>
                    </w:rPr>
                  </w:pP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0.126</w:t>
                  </w:r>
                </w:p>
              </w:tc>
              <w:tc>
                <w:tcPr>
                  <w:tcW w:w="1172" w:type="dxa"/>
                  <w:tcMar>
                    <w:left w:w="57" w:type="dxa"/>
                    <w:right w:w="57" w:type="dxa"/>
                  </w:tcMar>
                  <w:vAlign w:val="center"/>
                </w:tcPr>
                <w:p>
                  <w:pPr>
                    <w:adjustRightInd w:val="0"/>
                    <w:jc w:val="center"/>
                    <w:rPr>
                      <w:szCs w:val="21"/>
                      <w:highlight w:val="green"/>
                    </w:rPr>
                  </w:pPr>
                  <w:r>
                    <w:rPr>
                      <w:rFonts w:hint="eastAsia"/>
                      <w:highlight w:val="green"/>
                    </w:rPr>
                    <w:t>-</w:t>
                  </w:r>
                  <w:r>
                    <w:rPr>
                      <w:highlight w:val="green"/>
                    </w:rPr>
                    <w:t>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662" w:type="dxa"/>
                  <w:vMerge w:val="continue"/>
                  <w:tcMar>
                    <w:left w:w="57" w:type="dxa"/>
                    <w:right w:w="57" w:type="dxa"/>
                  </w:tcMar>
                  <w:vAlign w:val="center"/>
                </w:tcPr>
                <w:p>
                  <w:pPr>
                    <w:adjustRightInd w:val="0"/>
                    <w:jc w:val="center"/>
                    <w:rPr>
                      <w:szCs w:val="21"/>
                      <w:highlight w:val="green"/>
                    </w:rPr>
                  </w:pP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颗粒物</w:t>
                  </w:r>
                </w:p>
              </w:tc>
              <w:tc>
                <w:tcPr>
                  <w:tcW w:w="536" w:type="dxa"/>
                  <w:vMerge w:val="continue"/>
                  <w:tcMar>
                    <w:left w:w="57" w:type="dxa"/>
                    <w:right w:w="57" w:type="dxa"/>
                  </w:tcMar>
                  <w:vAlign w:val="center"/>
                </w:tcPr>
                <w:p>
                  <w:pPr>
                    <w:adjustRightInd w:val="0"/>
                    <w:jc w:val="center"/>
                    <w:rPr>
                      <w:szCs w:val="21"/>
                      <w:highlight w:val="green"/>
                    </w:rPr>
                  </w:pPr>
                </w:p>
              </w:tc>
              <w:tc>
                <w:tcPr>
                  <w:tcW w:w="1251" w:type="dxa"/>
                  <w:tcMar>
                    <w:left w:w="57" w:type="dxa"/>
                    <w:right w:w="57" w:type="dxa"/>
                  </w:tcMar>
                  <w:vAlign w:val="center"/>
                </w:tcPr>
                <w:p>
                  <w:pPr>
                    <w:adjustRightInd w:val="0"/>
                    <w:jc w:val="center"/>
                    <w:rPr>
                      <w:szCs w:val="21"/>
                      <w:highlight w:val="green"/>
                    </w:rPr>
                  </w:pPr>
                  <w:r>
                    <w:rPr>
                      <w:rFonts w:hint="eastAsia"/>
                      <w:szCs w:val="21"/>
                      <w:highlight w:val="green"/>
                    </w:rPr>
                    <w:t>0</w:t>
                  </w:r>
                  <w:r>
                    <w:rPr>
                      <w:szCs w:val="21"/>
                      <w:highlight w:val="green"/>
                    </w:rPr>
                    <w:t>.706</w:t>
                  </w:r>
                </w:p>
              </w:tc>
              <w:tc>
                <w:tcPr>
                  <w:tcW w:w="2296" w:type="dxa"/>
                  <w:vMerge w:val="continue"/>
                  <w:tcMar>
                    <w:left w:w="57" w:type="dxa"/>
                    <w:right w:w="57" w:type="dxa"/>
                  </w:tcMar>
                  <w:vAlign w:val="center"/>
                </w:tcPr>
                <w:p>
                  <w:pPr>
                    <w:adjustRightInd w:val="0"/>
                    <w:jc w:val="center"/>
                    <w:rPr>
                      <w:szCs w:val="21"/>
                      <w:highlight w:val="green"/>
                    </w:rPr>
                  </w:pP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0.706</w:t>
                  </w:r>
                </w:p>
              </w:tc>
              <w:tc>
                <w:tcPr>
                  <w:tcW w:w="1172" w:type="dxa"/>
                  <w:tcMar>
                    <w:left w:w="57" w:type="dxa"/>
                    <w:right w:w="57" w:type="dxa"/>
                  </w:tcMar>
                  <w:vAlign w:val="center"/>
                </w:tcPr>
                <w:p>
                  <w:pPr>
                    <w:adjustRightInd w:val="0"/>
                    <w:jc w:val="center"/>
                    <w:rPr>
                      <w:szCs w:val="21"/>
                      <w:highlight w:val="green"/>
                    </w:rPr>
                  </w:pPr>
                  <w:r>
                    <w:rPr>
                      <w:highlight w:val="gree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662" w:type="dxa"/>
                  <w:vMerge w:val="continue"/>
                  <w:tcMar>
                    <w:left w:w="57" w:type="dxa"/>
                    <w:right w:w="57" w:type="dxa"/>
                  </w:tcMar>
                  <w:vAlign w:val="center"/>
                </w:tcPr>
                <w:p>
                  <w:pPr>
                    <w:adjustRightInd w:val="0"/>
                    <w:jc w:val="center"/>
                    <w:rPr>
                      <w:szCs w:val="21"/>
                      <w:highlight w:val="green"/>
                    </w:rPr>
                  </w:pP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非甲烷总烃</w:t>
                  </w:r>
                </w:p>
              </w:tc>
              <w:tc>
                <w:tcPr>
                  <w:tcW w:w="536" w:type="dxa"/>
                  <w:vMerge w:val="restart"/>
                  <w:tcMar>
                    <w:left w:w="57" w:type="dxa"/>
                    <w:right w:w="57" w:type="dxa"/>
                  </w:tcMar>
                  <w:vAlign w:val="center"/>
                </w:tcPr>
                <w:p>
                  <w:pPr>
                    <w:adjustRightInd w:val="0"/>
                    <w:jc w:val="center"/>
                    <w:rPr>
                      <w:szCs w:val="21"/>
                      <w:highlight w:val="green"/>
                    </w:rPr>
                  </w:pPr>
                  <w:r>
                    <w:rPr>
                      <w:rFonts w:hint="eastAsia"/>
                      <w:szCs w:val="21"/>
                      <w:highlight w:val="green"/>
                    </w:rPr>
                    <w:t>无组织</w:t>
                  </w:r>
                </w:p>
              </w:tc>
              <w:tc>
                <w:tcPr>
                  <w:tcW w:w="1251" w:type="dxa"/>
                  <w:tcMar>
                    <w:left w:w="57" w:type="dxa"/>
                    <w:right w:w="57" w:type="dxa"/>
                  </w:tcMar>
                  <w:vAlign w:val="center"/>
                </w:tcPr>
                <w:p>
                  <w:pPr>
                    <w:adjustRightInd w:val="0"/>
                    <w:jc w:val="center"/>
                    <w:rPr>
                      <w:szCs w:val="21"/>
                      <w:highlight w:val="green"/>
                    </w:rPr>
                  </w:pPr>
                  <w:r>
                    <w:rPr>
                      <w:rFonts w:hint="eastAsia"/>
                      <w:szCs w:val="21"/>
                      <w:highlight w:val="green"/>
                    </w:rPr>
                    <w:t>0</w:t>
                  </w:r>
                  <w:r>
                    <w:rPr>
                      <w:szCs w:val="21"/>
                      <w:highlight w:val="green"/>
                    </w:rPr>
                    <w:t>.1588</w:t>
                  </w:r>
                </w:p>
              </w:tc>
              <w:tc>
                <w:tcPr>
                  <w:tcW w:w="2296" w:type="dxa"/>
                  <w:vMerge w:val="continue"/>
                  <w:tcMar>
                    <w:left w:w="57" w:type="dxa"/>
                    <w:right w:w="57" w:type="dxa"/>
                  </w:tcMar>
                  <w:vAlign w:val="center"/>
                </w:tcPr>
                <w:p>
                  <w:pPr>
                    <w:adjustRightInd w:val="0"/>
                    <w:jc w:val="center"/>
                    <w:rPr>
                      <w:szCs w:val="21"/>
                      <w:highlight w:val="green"/>
                    </w:rPr>
                  </w:pP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0</w:t>
                  </w:r>
                  <w:r>
                    <w:rPr>
                      <w:szCs w:val="21"/>
                      <w:highlight w:val="green"/>
                    </w:rPr>
                    <w:t>.1588</w:t>
                  </w:r>
                </w:p>
              </w:tc>
              <w:tc>
                <w:tcPr>
                  <w:tcW w:w="1172" w:type="dxa"/>
                  <w:tcMar>
                    <w:left w:w="57" w:type="dxa"/>
                    <w:right w:w="57" w:type="dxa"/>
                  </w:tcMar>
                  <w:vAlign w:val="center"/>
                </w:tcPr>
                <w:p>
                  <w:pPr>
                    <w:adjustRightInd w:val="0"/>
                    <w:jc w:val="center"/>
                    <w:rPr>
                      <w:szCs w:val="21"/>
                      <w:highlight w:val="green"/>
                    </w:rPr>
                  </w:pPr>
                  <w:r>
                    <w:rPr>
                      <w:highlight w:val="gree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662" w:type="dxa"/>
                  <w:vMerge w:val="continue"/>
                  <w:tcMar>
                    <w:left w:w="57" w:type="dxa"/>
                    <w:right w:w="57" w:type="dxa"/>
                  </w:tcMar>
                  <w:vAlign w:val="center"/>
                </w:tcPr>
                <w:p>
                  <w:pPr>
                    <w:adjustRightInd w:val="0"/>
                    <w:jc w:val="center"/>
                    <w:rPr>
                      <w:szCs w:val="21"/>
                      <w:highlight w:val="green"/>
                    </w:rPr>
                  </w:pP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甲醛</w:t>
                  </w:r>
                </w:p>
              </w:tc>
              <w:tc>
                <w:tcPr>
                  <w:tcW w:w="536" w:type="dxa"/>
                  <w:vMerge w:val="continue"/>
                  <w:tcMar>
                    <w:left w:w="57" w:type="dxa"/>
                    <w:right w:w="57" w:type="dxa"/>
                  </w:tcMar>
                  <w:vAlign w:val="center"/>
                </w:tcPr>
                <w:p>
                  <w:pPr>
                    <w:adjustRightInd w:val="0"/>
                    <w:jc w:val="center"/>
                    <w:rPr>
                      <w:szCs w:val="21"/>
                      <w:highlight w:val="green"/>
                    </w:rPr>
                  </w:pPr>
                </w:p>
              </w:tc>
              <w:tc>
                <w:tcPr>
                  <w:tcW w:w="1251" w:type="dxa"/>
                  <w:tcMar>
                    <w:left w:w="57" w:type="dxa"/>
                    <w:right w:w="57" w:type="dxa"/>
                  </w:tcMar>
                  <w:vAlign w:val="center"/>
                </w:tcPr>
                <w:p>
                  <w:pPr>
                    <w:adjustRightInd w:val="0"/>
                    <w:jc w:val="center"/>
                    <w:rPr>
                      <w:szCs w:val="21"/>
                      <w:highlight w:val="green"/>
                    </w:rPr>
                  </w:pPr>
                  <w:r>
                    <w:rPr>
                      <w:rFonts w:hint="eastAsia"/>
                      <w:szCs w:val="21"/>
                      <w:highlight w:val="green"/>
                    </w:rPr>
                    <w:t>0</w:t>
                  </w:r>
                  <w:r>
                    <w:rPr>
                      <w:szCs w:val="21"/>
                      <w:highlight w:val="green"/>
                    </w:rPr>
                    <w:t>.07</w:t>
                  </w:r>
                </w:p>
              </w:tc>
              <w:tc>
                <w:tcPr>
                  <w:tcW w:w="2296" w:type="dxa"/>
                  <w:vMerge w:val="continue"/>
                  <w:tcMar>
                    <w:left w:w="57" w:type="dxa"/>
                    <w:right w:w="57" w:type="dxa"/>
                  </w:tcMar>
                  <w:vAlign w:val="center"/>
                </w:tcPr>
                <w:p>
                  <w:pPr>
                    <w:adjustRightInd w:val="0"/>
                    <w:jc w:val="center"/>
                    <w:rPr>
                      <w:szCs w:val="21"/>
                      <w:highlight w:val="green"/>
                    </w:rPr>
                  </w:pP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0</w:t>
                  </w:r>
                  <w:r>
                    <w:rPr>
                      <w:szCs w:val="21"/>
                      <w:highlight w:val="green"/>
                    </w:rPr>
                    <w:t>.07</w:t>
                  </w:r>
                </w:p>
              </w:tc>
              <w:tc>
                <w:tcPr>
                  <w:tcW w:w="1172" w:type="dxa"/>
                  <w:tcMar>
                    <w:left w:w="57" w:type="dxa"/>
                    <w:right w:w="57" w:type="dxa"/>
                  </w:tcMar>
                  <w:vAlign w:val="center"/>
                </w:tcPr>
                <w:p>
                  <w:pPr>
                    <w:adjustRightInd w:val="0"/>
                    <w:jc w:val="center"/>
                    <w:rPr>
                      <w:szCs w:val="21"/>
                      <w:highlight w:val="green"/>
                    </w:rPr>
                  </w:pPr>
                  <w:r>
                    <w:rPr>
                      <w:highlight w:val="gree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662" w:type="dxa"/>
                  <w:vMerge w:val="continue"/>
                  <w:tcMar>
                    <w:left w:w="57" w:type="dxa"/>
                    <w:right w:w="57" w:type="dxa"/>
                  </w:tcMar>
                  <w:vAlign w:val="center"/>
                </w:tcPr>
                <w:p>
                  <w:pPr>
                    <w:adjustRightInd w:val="0"/>
                    <w:jc w:val="center"/>
                    <w:rPr>
                      <w:szCs w:val="21"/>
                      <w:highlight w:val="green"/>
                    </w:rPr>
                  </w:pP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颗粒物</w:t>
                  </w:r>
                </w:p>
              </w:tc>
              <w:tc>
                <w:tcPr>
                  <w:tcW w:w="536" w:type="dxa"/>
                  <w:vMerge w:val="continue"/>
                  <w:tcMar>
                    <w:left w:w="57" w:type="dxa"/>
                    <w:right w:w="57" w:type="dxa"/>
                  </w:tcMar>
                  <w:vAlign w:val="center"/>
                </w:tcPr>
                <w:p>
                  <w:pPr>
                    <w:adjustRightInd w:val="0"/>
                    <w:jc w:val="center"/>
                    <w:rPr>
                      <w:szCs w:val="21"/>
                      <w:highlight w:val="green"/>
                    </w:rPr>
                  </w:pPr>
                </w:p>
              </w:tc>
              <w:tc>
                <w:tcPr>
                  <w:tcW w:w="1251" w:type="dxa"/>
                  <w:tcMar>
                    <w:left w:w="57" w:type="dxa"/>
                    <w:right w:w="57" w:type="dxa"/>
                  </w:tcMar>
                  <w:vAlign w:val="center"/>
                </w:tcPr>
                <w:p>
                  <w:pPr>
                    <w:adjustRightInd w:val="0"/>
                    <w:jc w:val="center"/>
                    <w:rPr>
                      <w:szCs w:val="21"/>
                      <w:highlight w:val="green"/>
                    </w:rPr>
                  </w:pPr>
                  <w:r>
                    <w:rPr>
                      <w:rFonts w:hint="eastAsia"/>
                      <w:szCs w:val="21"/>
                      <w:highlight w:val="green"/>
                    </w:rPr>
                    <w:t>0</w:t>
                  </w:r>
                  <w:r>
                    <w:rPr>
                      <w:szCs w:val="21"/>
                      <w:highlight w:val="green"/>
                    </w:rPr>
                    <w:t>.0784</w:t>
                  </w:r>
                </w:p>
              </w:tc>
              <w:tc>
                <w:tcPr>
                  <w:tcW w:w="2296" w:type="dxa"/>
                  <w:vMerge w:val="continue"/>
                  <w:tcMar>
                    <w:left w:w="57" w:type="dxa"/>
                    <w:right w:w="57" w:type="dxa"/>
                  </w:tcMar>
                  <w:vAlign w:val="center"/>
                </w:tcPr>
                <w:p>
                  <w:pPr>
                    <w:adjustRightInd w:val="0"/>
                    <w:jc w:val="center"/>
                    <w:rPr>
                      <w:szCs w:val="21"/>
                      <w:highlight w:val="green"/>
                    </w:rPr>
                  </w:pP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0</w:t>
                  </w:r>
                  <w:r>
                    <w:rPr>
                      <w:szCs w:val="21"/>
                      <w:highlight w:val="green"/>
                    </w:rPr>
                    <w:t>.0784</w:t>
                  </w:r>
                </w:p>
              </w:tc>
              <w:tc>
                <w:tcPr>
                  <w:tcW w:w="1172" w:type="dxa"/>
                  <w:tcMar>
                    <w:left w:w="57" w:type="dxa"/>
                    <w:right w:w="57" w:type="dxa"/>
                  </w:tcMar>
                  <w:vAlign w:val="center"/>
                </w:tcPr>
                <w:p>
                  <w:pPr>
                    <w:adjustRightInd w:val="0"/>
                    <w:jc w:val="center"/>
                    <w:rPr>
                      <w:szCs w:val="21"/>
                      <w:highlight w:val="green"/>
                    </w:rPr>
                  </w:pPr>
                  <w:r>
                    <w:rPr>
                      <w:highlight w:val="gree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662" w:type="dxa"/>
                  <w:tcMar>
                    <w:left w:w="57" w:type="dxa"/>
                    <w:right w:w="57" w:type="dxa"/>
                  </w:tcMar>
                  <w:vAlign w:val="center"/>
                </w:tcPr>
                <w:p>
                  <w:pPr>
                    <w:adjustRightInd w:val="0"/>
                    <w:jc w:val="center"/>
                    <w:rPr>
                      <w:szCs w:val="21"/>
                      <w:highlight w:val="green"/>
                    </w:rPr>
                  </w:pPr>
                  <w:r>
                    <w:rPr>
                      <w:rFonts w:hint="eastAsia"/>
                      <w:szCs w:val="21"/>
                      <w:highlight w:val="green"/>
                    </w:rPr>
                    <w:t>筛选打磨工序</w:t>
                  </w:r>
                </w:p>
              </w:tc>
              <w:tc>
                <w:tcPr>
                  <w:tcW w:w="1113" w:type="dxa"/>
                  <w:tcMar>
                    <w:left w:w="57" w:type="dxa"/>
                    <w:right w:w="57" w:type="dxa"/>
                  </w:tcMar>
                  <w:vAlign w:val="center"/>
                </w:tcPr>
                <w:p>
                  <w:pPr>
                    <w:adjustRightInd w:val="0"/>
                    <w:jc w:val="center"/>
                    <w:rPr>
                      <w:szCs w:val="21"/>
                      <w:highlight w:val="green"/>
                    </w:rPr>
                  </w:pPr>
                  <w:r>
                    <w:rPr>
                      <w:rFonts w:hint="eastAsia"/>
                      <w:szCs w:val="21"/>
                      <w:highlight w:val="green"/>
                    </w:rPr>
                    <w:t>颗粒物</w:t>
                  </w:r>
                </w:p>
              </w:tc>
              <w:tc>
                <w:tcPr>
                  <w:tcW w:w="536" w:type="dxa"/>
                  <w:tcMar>
                    <w:left w:w="57" w:type="dxa"/>
                    <w:right w:w="57" w:type="dxa"/>
                  </w:tcMar>
                  <w:vAlign w:val="center"/>
                </w:tcPr>
                <w:p>
                  <w:pPr>
                    <w:adjustRightInd w:val="0"/>
                    <w:jc w:val="center"/>
                    <w:rPr>
                      <w:szCs w:val="21"/>
                      <w:highlight w:val="green"/>
                    </w:rPr>
                  </w:pPr>
                  <w:r>
                    <w:rPr>
                      <w:rFonts w:hint="eastAsia"/>
                      <w:szCs w:val="21"/>
                      <w:highlight w:val="green"/>
                    </w:rPr>
                    <w:t>无组织</w:t>
                  </w:r>
                </w:p>
              </w:tc>
              <w:tc>
                <w:tcPr>
                  <w:tcW w:w="1251" w:type="dxa"/>
                  <w:tcMar>
                    <w:left w:w="57" w:type="dxa"/>
                    <w:right w:w="57" w:type="dxa"/>
                  </w:tcMar>
                  <w:vAlign w:val="center"/>
                </w:tcPr>
                <w:p>
                  <w:pPr>
                    <w:adjustRightInd w:val="0"/>
                    <w:jc w:val="center"/>
                    <w:rPr>
                      <w:szCs w:val="21"/>
                      <w:highlight w:val="green"/>
                    </w:rPr>
                  </w:pPr>
                  <w:r>
                    <w:rPr>
                      <w:rFonts w:hint="eastAsia"/>
                      <w:szCs w:val="21"/>
                      <w:highlight w:val="green"/>
                    </w:rPr>
                    <w:t>0.835</w:t>
                  </w:r>
                </w:p>
              </w:tc>
              <w:tc>
                <w:tcPr>
                  <w:tcW w:w="2296" w:type="dxa"/>
                  <w:tcMar>
                    <w:left w:w="57" w:type="dxa"/>
                    <w:right w:w="57" w:type="dxa"/>
                  </w:tcMar>
                  <w:vAlign w:val="center"/>
                </w:tcPr>
                <w:p>
                  <w:pPr>
                    <w:adjustRightInd w:val="0"/>
                    <w:jc w:val="center"/>
                    <w:rPr>
                      <w:szCs w:val="21"/>
                      <w:highlight w:val="green"/>
                    </w:rPr>
                  </w:pPr>
                  <w:r>
                    <w:rPr>
                      <w:rFonts w:hint="eastAsia"/>
                      <w:bCs/>
                      <w:snapToGrid w:val="0"/>
                      <w:kern w:val="0"/>
                      <w:szCs w:val="21"/>
                      <w:highlight w:val="green"/>
                    </w:rPr>
                    <w:t>2台筛选机共用1套旋风除尘+布袋除尘（除尘效率9</w:t>
                  </w:r>
                  <w:r>
                    <w:rPr>
                      <w:bCs/>
                      <w:snapToGrid w:val="0"/>
                      <w:kern w:val="0"/>
                      <w:szCs w:val="21"/>
                      <w:highlight w:val="green"/>
                    </w:rPr>
                    <w:t>9%</w:t>
                  </w:r>
                  <w:r>
                    <w:rPr>
                      <w:rFonts w:hint="eastAsia"/>
                      <w:bCs/>
                      <w:snapToGrid w:val="0"/>
                      <w:kern w:val="0"/>
                      <w:szCs w:val="21"/>
                      <w:highlight w:val="green"/>
                    </w:rPr>
                    <w:t>）。2台打磨机分别设置2套旋风除尘+布袋除尘（除尘效率9</w:t>
                  </w:r>
                  <w:r>
                    <w:rPr>
                      <w:bCs/>
                      <w:snapToGrid w:val="0"/>
                      <w:kern w:val="0"/>
                      <w:szCs w:val="21"/>
                      <w:highlight w:val="green"/>
                    </w:rPr>
                    <w:t>9%</w:t>
                  </w:r>
                  <w:r>
                    <w:rPr>
                      <w:rFonts w:hint="eastAsia"/>
                      <w:bCs/>
                      <w:snapToGrid w:val="0"/>
                      <w:kern w:val="0"/>
                      <w:szCs w:val="21"/>
                      <w:highlight w:val="green"/>
                    </w:rPr>
                    <w:t>）。</w:t>
                  </w:r>
                </w:p>
              </w:tc>
              <w:tc>
                <w:tcPr>
                  <w:tcW w:w="1172" w:type="dxa"/>
                  <w:tcMar>
                    <w:left w:w="57" w:type="dxa"/>
                    <w:right w:w="57" w:type="dxa"/>
                  </w:tcMar>
                  <w:vAlign w:val="center"/>
                </w:tcPr>
                <w:p>
                  <w:pPr>
                    <w:adjustRightInd w:val="0"/>
                    <w:jc w:val="center"/>
                    <w:rPr>
                      <w:szCs w:val="21"/>
                      <w:highlight w:val="green"/>
                    </w:rPr>
                  </w:pPr>
                  <w:r>
                    <w:rPr>
                      <w:rFonts w:hint="eastAsia"/>
                      <w:szCs w:val="21"/>
                      <w:highlight w:val="green"/>
                    </w:rPr>
                    <w:t>0.04175</w:t>
                  </w:r>
                </w:p>
              </w:tc>
              <w:tc>
                <w:tcPr>
                  <w:tcW w:w="1172" w:type="dxa"/>
                  <w:tcMar>
                    <w:left w:w="57" w:type="dxa"/>
                    <w:right w:w="57" w:type="dxa"/>
                  </w:tcMar>
                  <w:vAlign w:val="center"/>
                </w:tcPr>
                <w:p>
                  <w:pPr>
                    <w:adjustRightInd w:val="0"/>
                    <w:jc w:val="center"/>
                    <w:rPr>
                      <w:szCs w:val="21"/>
                      <w:highlight w:val="green"/>
                    </w:rPr>
                  </w:pPr>
                  <w:r>
                    <w:rPr>
                      <w:rFonts w:hint="eastAsia"/>
                      <w:highlight w:val="green"/>
                    </w:rPr>
                    <w:t>-0.79325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202" w:type="dxa"/>
                  <w:gridSpan w:val="7"/>
                  <w:tcMar>
                    <w:left w:w="57" w:type="dxa"/>
                    <w:right w:w="57" w:type="dxa"/>
                  </w:tcMar>
                  <w:vAlign w:val="center"/>
                </w:tcPr>
                <w:p>
                  <w:pPr>
                    <w:adjustRightInd w:val="0"/>
                    <w:rPr>
                      <w:szCs w:val="21"/>
                      <w:highlight w:val="green"/>
                    </w:rPr>
                  </w:pPr>
                  <w:r>
                    <w:rPr>
                      <w:rFonts w:hint="eastAsia"/>
                      <w:szCs w:val="21"/>
                      <w:highlight w:val="green"/>
                    </w:rPr>
                    <w:t>备注：筛选工序、打磨工序技改前排放量根据现有项目环评报告书；技改后排放量根据产排污系数手册重新核算。</w:t>
                  </w:r>
                </w:p>
              </w:tc>
            </w:tr>
          </w:tbl>
          <w:p>
            <w:pPr>
              <w:adjustRightInd w:val="0"/>
              <w:spacing w:before="120" w:beforeLines="50" w:line="360" w:lineRule="auto"/>
              <w:ind w:firstLine="482" w:firstLineChars="200"/>
              <w:rPr>
                <w:b/>
                <w:sz w:val="24"/>
                <w:szCs w:val="28"/>
              </w:rPr>
            </w:pPr>
            <w:r>
              <w:rPr>
                <w:rFonts w:hint="eastAsia"/>
                <w:b/>
                <w:sz w:val="24"/>
                <w:szCs w:val="28"/>
              </w:rPr>
              <w:t>（2）污染源强核算过程如下：</w:t>
            </w:r>
          </w:p>
          <w:p>
            <w:pPr>
              <w:adjustRightInd w:val="0"/>
              <w:spacing w:line="360" w:lineRule="auto"/>
              <w:ind w:firstLine="482" w:firstLineChars="200"/>
              <w:rPr>
                <w:b/>
                <w:sz w:val="24"/>
                <w:szCs w:val="28"/>
                <w:highlight w:val="green"/>
              </w:rPr>
            </w:pPr>
            <w:r>
              <w:rPr>
                <w:rFonts w:hint="eastAsia"/>
                <w:b/>
                <w:sz w:val="24"/>
                <w:szCs w:val="28"/>
                <w:highlight w:val="green"/>
              </w:rPr>
              <w:t>①本项目</w:t>
            </w:r>
            <w:r>
              <w:rPr>
                <w:rFonts w:hint="eastAsia"/>
                <w:b/>
                <w:sz w:val="24"/>
                <w:szCs w:val="28"/>
                <w:highlight w:val="green"/>
                <w:lang w:eastAsia="zh-CN"/>
              </w:rPr>
              <w:t>工程</w:t>
            </w:r>
            <w:r>
              <w:rPr>
                <w:rFonts w:hint="eastAsia"/>
                <w:b/>
                <w:sz w:val="24"/>
                <w:szCs w:val="28"/>
                <w:highlight w:val="green"/>
              </w:rPr>
              <w:t>技改新增5t/h导热油锅炉废气源强核算</w:t>
            </w:r>
          </w:p>
          <w:p>
            <w:pPr>
              <w:adjustRightInd w:val="0"/>
              <w:spacing w:line="360" w:lineRule="auto"/>
              <w:ind w:firstLine="480" w:firstLineChars="200"/>
              <w:rPr>
                <w:bCs/>
                <w:sz w:val="24"/>
                <w:szCs w:val="28"/>
                <w:highlight w:val="green"/>
              </w:rPr>
            </w:pPr>
            <w:r>
              <w:rPr>
                <w:rFonts w:hint="eastAsia"/>
                <w:bCs/>
                <w:sz w:val="24"/>
                <w:szCs w:val="28"/>
                <w:highlight w:val="green"/>
              </w:rPr>
              <w:t>本项目新增5t/h导热油锅炉已于2</w:t>
            </w:r>
            <w:r>
              <w:rPr>
                <w:bCs/>
                <w:sz w:val="24"/>
                <w:szCs w:val="28"/>
                <w:highlight w:val="green"/>
              </w:rPr>
              <w:t>022</w:t>
            </w:r>
            <w:r>
              <w:rPr>
                <w:rFonts w:hint="eastAsia"/>
                <w:bCs/>
                <w:sz w:val="24"/>
                <w:szCs w:val="28"/>
                <w:highlight w:val="green"/>
              </w:rPr>
              <w:t>年7月建成，结合《污染源源强核算技术指南 准则》（HJ884-2018），本项目废气排放源强采用实测值进行分析核算。</w:t>
            </w:r>
          </w:p>
          <w:p>
            <w:pPr>
              <w:adjustRightInd w:val="0"/>
              <w:spacing w:line="360" w:lineRule="auto"/>
              <w:ind w:firstLine="480" w:firstLineChars="200"/>
              <w:rPr>
                <w:b/>
                <w:bCs/>
                <w:sz w:val="24"/>
                <w:highlight w:val="green"/>
              </w:rPr>
            </w:pPr>
            <w:r>
              <w:rPr>
                <w:rFonts w:hint="eastAsia"/>
                <w:bCs/>
                <w:sz w:val="24"/>
                <w:szCs w:val="28"/>
                <w:highlight w:val="green"/>
              </w:rPr>
              <w:t>根据调查，企业2022年1月~2022年7月企业停产，</w:t>
            </w:r>
            <w:r>
              <w:rPr>
                <w:rFonts w:hint="eastAsia"/>
                <w:sz w:val="24"/>
                <w:szCs w:val="21"/>
                <w:highlight w:val="green"/>
              </w:rPr>
              <w:t>于2</w:t>
            </w:r>
            <w:r>
              <w:rPr>
                <w:sz w:val="24"/>
                <w:szCs w:val="21"/>
                <w:highlight w:val="green"/>
              </w:rPr>
              <w:t>022</w:t>
            </w:r>
            <w:r>
              <w:rPr>
                <w:rFonts w:hint="eastAsia"/>
                <w:sz w:val="24"/>
                <w:szCs w:val="21"/>
                <w:highlight w:val="green"/>
              </w:rPr>
              <w:t>年8月生产运行，并根据自行监测方案进行了自行监测，自行监测期间，企业各生产设备均按设计生产能力进行正常生产。</w:t>
            </w:r>
          </w:p>
          <w:p>
            <w:pPr>
              <w:adjustRightInd w:val="0"/>
              <w:spacing w:line="360" w:lineRule="auto"/>
              <w:ind w:firstLine="480" w:firstLineChars="200"/>
              <w:rPr>
                <w:bCs/>
                <w:sz w:val="24"/>
                <w:szCs w:val="28"/>
              </w:rPr>
            </w:pPr>
            <w:r>
              <w:rPr>
                <w:rFonts w:hint="eastAsia"/>
                <w:bCs/>
                <w:sz w:val="24"/>
                <w:szCs w:val="28"/>
                <w:highlight w:val="green"/>
              </w:rPr>
              <w:t>因此，本项目新增5</w:t>
            </w:r>
            <w:r>
              <w:rPr>
                <w:bCs/>
                <w:sz w:val="24"/>
                <w:szCs w:val="28"/>
                <w:highlight w:val="green"/>
              </w:rPr>
              <w:t>t/h</w:t>
            </w:r>
            <w:r>
              <w:rPr>
                <w:rFonts w:hint="eastAsia"/>
                <w:bCs/>
                <w:sz w:val="24"/>
                <w:szCs w:val="28"/>
                <w:highlight w:val="green"/>
              </w:rPr>
              <w:t>导热油锅炉废气污染物排放情况根据收集的企业</w:t>
            </w:r>
            <w:r>
              <w:rPr>
                <w:rFonts w:hint="eastAsia" w:cs="宋体"/>
                <w:kern w:val="0"/>
                <w:sz w:val="24"/>
                <w:highlight w:val="green"/>
                <w:lang w:bidi="ar"/>
              </w:rPr>
              <w:t>2</w:t>
            </w:r>
            <w:r>
              <w:rPr>
                <w:rFonts w:cs="宋体"/>
                <w:kern w:val="0"/>
                <w:sz w:val="24"/>
                <w:highlight w:val="green"/>
                <w:lang w:bidi="ar"/>
              </w:rPr>
              <w:t>022</w:t>
            </w:r>
            <w:r>
              <w:rPr>
                <w:rFonts w:hint="eastAsia" w:cs="宋体"/>
                <w:kern w:val="0"/>
                <w:sz w:val="24"/>
                <w:highlight w:val="green"/>
                <w:lang w:bidi="ar"/>
              </w:rPr>
              <w:t>年8月~</w:t>
            </w:r>
            <w:r>
              <w:rPr>
                <w:rFonts w:cs="宋体"/>
                <w:kern w:val="0"/>
                <w:sz w:val="24"/>
                <w:highlight w:val="green"/>
                <w:lang w:bidi="ar"/>
              </w:rPr>
              <w:t>12</w:t>
            </w:r>
            <w:r>
              <w:rPr>
                <w:rFonts w:hint="eastAsia" w:cs="宋体"/>
                <w:kern w:val="0"/>
                <w:sz w:val="24"/>
                <w:highlight w:val="green"/>
                <w:lang w:bidi="ar"/>
              </w:rPr>
              <w:t>月自行监测数据每月监测数据平均值中最大值进行核算，</w:t>
            </w:r>
            <w:r>
              <w:rPr>
                <w:rFonts w:hint="eastAsia"/>
                <w:bCs/>
                <w:sz w:val="24"/>
                <w:szCs w:val="28"/>
              </w:rPr>
              <w:t>根据收集的云南健牛环境监测有限公司出具的昆明市澳松人造板制造有限责任公司8月~</w:t>
            </w:r>
            <w:r>
              <w:rPr>
                <w:bCs/>
                <w:sz w:val="24"/>
                <w:szCs w:val="28"/>
              </w:rPr>
              <w:t>12</w:t>
            </w:r>
            <w:r>
              <w:rPr>
                <w:rFonts w:hint="eastAsia"/>
                <w:bCs/>
                <w:sz w:val="24"/>
                <w:szCs w:val="28"/>
              </w:rPr>
              <w:t>月自行监测检测报告（详见附件</w:t>
            </w:r>
            <w:r>
              <w:rPr>
                <w:bCs/>
                <w:sz w:val="24"/>
                <w:szCs w:val="28"/>
              </w:rPr>
              <w:t>12</w:t>
            </w:r>
            <w:r>
              <w:rPr>
                <w:rFonts w:hint="eastAsia"/>
                <w:bCs/>
                <w:sz w:val="24"/>
                <w:szCs w:val="28"/>
              </w:rPr>
              <w:t>~</w:t>
            </w:r>
            <w:r>
              <w:rPr>
                <w:bCs/>
                <w:sz w:val="24"/>
                <w:szCs w:val="28"/>
              </w:rPr>
              <w:t>17</w:t>
            </w:r>
            <w:r>
              <w:rPr>
                <w:rFonts w:hint="eastAsia"/>
                <w:bCs/>
                <w:sz w:val="24"/>
                <w:szCs w:val="28"/>
              </w:rPr>
              <w:t>）可知，本项目5t</w:t>
            </w:r>
            <w:r>
              <w:rPr>
                <w:bCs/>
                <w:sz w:val="24"/>
                <w:szCs w:val="28"/>
              </w:rPr>
              <w:t>/h</w:t>
            </w:r>
            <w:r>
              <w:rPr>
                <w:rFonts w:hint="eastAsia"/>
                <w:bCs/>
                <w:sz w:val="24"/>
                <w:szCs w:val="28"/>
              </w:rPr>
              <w:t>导热油锅炉废气排放情况见下表。</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表4-3  本项目5t/h锅炉废气排口污染物排放情况一览表（D</w:t>
            </w:r>
            <w:r>
              <w:rPr>
                <w:rFonts w:cs="宋体"/>
                <w:b/>
                <w:bCs/>
                <w:kern w:val="0"/>
                <w:sz w:val="24"/>
                <w:szCs w:val="20"/>
                <w:lang w:bidi="ar"/>
              </w:rPr>
              <w:t>A001</w:t>
            </w:r>
            <w:r>
              <w:rPr>
                <w:rFonts w:hint="eastAsia" w:cs="宋体"/>
                <w:b/>
                <w:bCs/>
                <w:kern w:val="0"/>
                <w:sz w:val="24"/>
                <w:szCs w:val="20"/>
                <w:lang w:bidi="ar"/>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12"/>
              <w:gridCol w:w="1522"/>
              <w:gridCol w:w="1391"/>
              <w:gridCol w:w="1048"/>
              <w:gridCol w:w="1302"/>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tcMar>
                    <w:left w:w="57" w:type="dxa"/>
                    <w:right w:w="57" w:type="dxa"/>
                  </w:tcMar>
                  <w:vAlign w:val="center"/>
                </w:tcPr>
                <w:p>
                  <w:pPr>
                    <w:adjustRightInd w:val="0"/>
                    <w:jc w:val="center"/>
                    <w:rPr>
                      <w:b/>
                      <w:szCs w:val="28"/>
                    </w:rPr>
                  </w:pPr>
                  <w:r>
                    <w:rPr>
                      <w:rFonts w:hint="eastAsia"/>
                      <w:b/>
                      <w:szCs w:val="28"/>
                    </w:rPr>
                    <w:t>监测项目</w:t>
                  </w:r>
                </w:p>
              </w:tc>
              <w:tc>
                <w:tcPr>
                  <w:tcW w:w="495" w:type="pct"/>
                  <w:tcMar>
                    <w:left w:w="57" w:type="dxa"/>
                    <w:right w:w="57" w:type="dxa"/>
                  </w:tcMar>
                  <w:vAlign w:val="center"/>
                </w:tcPr>
                <w:p>
                  <w:pPr>
                    <w:adjustRightInd w:val="0"/>
                    <w:jc w:val="center"/>
                    <w:rPr>
                      <w:b/>
                      <w:szCs w:val="28"/>
                    </w:rPr>
                  </w:pPr>
                  <w:r>
                    <w:rPr>
                      <w:rFonts w:hint="eastAsia"/>
                      <w:b/>
                      <w:szCs w:val="28"/>
                    </w:rPr>
                    <w:t>监测时间</w:t>
                  </w:r>
                </w:p>
              </w:tc>
              <w:tc>
                <w:tcPr>
                  <w:tcW w:w="929" w:type="pct"/>
                  <w:tcMar>
                    <w:left w:w="57" w:type="dxa"/>
                    <w:right w:w="57" w:type="dxa"/>
                  </w:tcMar>
                  <w:vAlign w:val="center"/>
                </w:tcPr>
                <w:p>
                  <w:pPr>
                    <w:adjustRightInd w:val="0"/>
                    <w:jc w:val="center"/>
                    <w:rPr>
                      <w:b/>
                      <w:szCs w:val="28"/>
                    </w:rPr>
                  </w:pPr>
                  <w:r>
                    <w:rPr>
                      <w:rFonts w:hint="eastAsia"/>
                      <w:b/>
                      <w:szCs w:val="28"/>
                    </w:rPr>
                    <w:t>实测浓度（mg/m</w:t>
                  </w:r>
                  <w:r>
                    <w:rPr>
                      <w:rFonts w:hint="eastAsia"/>
                      <w:b/>
                      <w:szCs w:val="28"/>
                      <w:vertAlign w:val="superscript"/>
                    </w:rPr>
                    <w:t>3</w:t>
                  </w:r>
                  <w:r>
                    <w:rPr>
                      <w:rFonts w:hint="eastAsia"/>
                      <w:b/>
                      <w:szCs w:val="28"/>
                    </w:rPr>
                    <w:t>）</w:t>
                  </w:r>
                </w:p>
              </w:tc>
              <w:tc>
                <w:tcPr>
                  <w:tcW w:w="849" w:type="pct"/>
                  <w:tcMar>
                    <w:left w:w="57" w:type="dxa"/>
                    <w:right w:w="57" w:type="dxa"/>
                  </w:tcMar>
                  <w:vAlign w:val="center"/>
                </w:tcPr>
                <w:p>
                  <w:pPr>
                    <w:adjustRightInd w:val="0"/>
                    <w:jc w:val="center"/>
                    <w:rPr>
                      <w:b/>
                      <w:szCs w:val="28"/>
                    </w:rPr>
                  </w:pPr>
                  <w:r>
                    <w:rPr>
                      <w:rFonts w:hint="eastAsia"/>
                      <w:b/>
                      <w:szCs w:val="28"/>
                    </w:rPr>
                    <w:t>排放浓度（mg/m</w:t>
                  </w:r>
                  <w:r>
                    <w:rPr>
                      <w:rFonts w:hint="eastAsia"/>
                      <w:b/>
                      <w:szCs w:val="28"/>
                      <w:vertAlign w:val="superscript"/>
                    </w:rPr>
                    <w:t>3</w:t>
                  </w:r>
                  <w:r>
                    <w:rPr>
                      <w:rFonts w:hint="eastAsia"/>
                      <w:b/>
                      <w:szCs w:val="28"/>
                    </w:rPr>
                    <w:t>）</w:t>
                  </w:r>
                </w:p>
              </w:tc>
              <w:tc>
                <w:tcPr>
                  <w:tcW w:w="640" w:type="pct"/>
                  <w:tcMar>
                    <w:left w:w="57" w:type="dxa"/>
                    <w:right w:w="57" w:type="dxa"/>
                  </w:tcMar>
                  <w:vAlign w:val="center"/>
                </w:tcPr>
                <w:p>
                  <w:pPr>
                    <w:adjustRightInd w:val="0"/>
                    <w:jc w:val="center"/>
                    <w:rPr>
                      <w:b/>
                      <w:szCs w:val="28"/>
                    </w:rPr>
                  </w:pPr>
                  <w:r>
                    <w:rPr>
                      <w:rFonts w:hint="eastAsia"/>
                      <w:b/>
                      <w:szCs w:val="28"/>
                    </w:rPr>
                    <w:t>排放速率（kg/h）</w:t>
                  </w:r>
                </w:p>
              </w:tc>
              <w:tc>
                <w:tcPr>
                  <w:tcW w:w="795" w:type="pct"/>
                  <w:tcMar>
                    <w:left w:w="57" w:type="dxa"/>
                    <w:right w:w="57" w:type="dxa"/>
                  </w:tcMar>
                  <w:vAlign w:val="center"/>
                </w:tcPr>
                <w:p>
                  <w:pPr>
                    <w:adjustRightInd w:val="0"/>
                    <w:jc w:val="center"/>
                    <w:rPr>
                      <w:b/>
                      <w:szCs w:val="28"/>
                    </w:rPr>
                  </w:pPr>
                  <w:r>
                    <w:rPr>
                      <w:rFonts w:hint="eastAsia"/>
                      <w:b/>
                      <w:szCs w:val="28"/>
                    </w:rPr>
                    <w:t>标况烟气流量（m</w:t>
                  </w:r>
                  <w:r>
                    <w:rPr>
                      <w:rFonts w:hint="eastAsia"/>
                      <w:b/>
                      <w:szCs w:val="28"/>
                      <w:vertAlign w:val="superscript"/>
                    </w:rPr>
                    <w:t>3</w:t>
                  </w:r>
                  <w:r>
                    <w:rPr>
                      <w:rFonts w:hint="eastAsia"/>
                      <w:b/>
                      <w:szCs w:val="28"/>
                    </w:rPr>
                    <w:t>/h）</w:t>
                  </w:r>
                </w:p>
              </w:tc>
              <w:tc>
                <w:tcPr>
                  <w:tcW w:w="711" w:type="pct"/>
                  <w:tcMar>
                    <w:left w:w="57" w:type="dxa"/>
                    <w:right w:w="57" w:type="dxa"/>
                  </w:tcMar>
                  <w:vAlign w:val="center"/>
                </w:tcPr>
                <w:p>
                  <w:pPr>
                    <w:adjustRightInd w:val="0"/>
                    <w:jc w:val="center"/>
                    <w:rPr>
                      <w:b/>
                      <w:szCs w:val="28"/>
                    </w:rPr>
                  </w:pPr>
                  <w:r>
                    <w:rPr>
                      <w:rFonts w:hint="eastAsia"/>
                      <w:b/>
                      <w:bCs/>
                      <w:szCs w:val="28"/>
                    </w:rPr>
                    <w:t>烟气温度（</w:t>
                  </w:r>
                  <w:r>
                    <w:rPr>
                      <w:b/>
                      <w:bCs/>
                      <w:szCs w:val="28"/>
                    </w:rPr>
                    <w:t>℃</w:t>
                  </w:r>
                  <w:r>
                    <w:rPr>
                      <w:rFonts w:hint="eastAsia"/>
                      <w:b/>
                      <w:bCs/>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restart"/>
                  <w:tcMar>
                    <w:left w:w="57" w:type="dxa"/>
                    <w:right w:w="57" w:type="dxa"/>
                  </w:tcMar>
                  <w:vAlign w:val="center"/>
                </w:tcPr>
                <w:p>
                  <w:pPr>
                    <w:adjustRightInd w:val="0"/>
                    <w:jc w:val="center"/>
                    <w:rPr>
                      <w:bCs/>
                      <w:szCs w:val="28"/>
                    </w:rPr>
                  </w:pPr>
                  <w:r>
                    <w:rPr>
                      <w:rFonts w:hint="eastAsia"/>
                      <w:bCs/>
                      <w:szCs w:val="28"/>
                    </w:rPr>
                    <w:t>颗粒物</w:t>
                  </w:r>
                </w:p>
              </w:tc>
              <w:tc>
                <w:tcPr>
                  <w:tcW w:w="495" w:type="pct"/>
                  <w:tcMar>
                    <w:left w:w="57" w:type="dxa"/>
                    <w:right w:w="57" w:type="dxa"/>
                  </w:tcMar>
                  <w:vAlign w:val="center"/>
                </w:tcPr>
                <w:p>
                  <w:pPr>
                    <w:adjustRightInd w:val="0"/>
                    <w:jc w:val="center"/>
                    <w:rPr>
                      <w:bCs/>
                      <w:szCs w:val="28"/>
                    </w:rPr>
                  </w:pPr>
                  <w:r>
                    <w:rPr>
                      <w:rFonts w:hint="eastAsia"/>
                      <w:bCs/>
                      <w:szCs w:val="28"/>
                    </w:rPr>
                    <w:t>2022.08</w:t>
                  </w:r>
                </w:p>
              </w:tc>
              <w:tc>
                <w:tcPr>
                  <w:tcW w:w="929" w:type="pct"/>
                  <w:tcMar>
                    <w:left w:w="57" w:type="dxa"/>
                    <w:right w:w="57" w:type="dxa"/>
                  </w:tcMar>
                  <w:vAlign w:val="center"/>
                </w:tcPr>
                <w:p>
                  <w:pPr>
                    <w:adjustRightInd w:val="0"/>
                    <w:jc w:val="center"/>
                    <w:rPr>
                      <w:bCs/>
                      <w:szCs w:val="28"/>
                    </w:rPr>
                  </w:pPr>
                  <w:r>
                    <w:rPr>
                      <w:rFonts w:hint="eastAsia"/>
                      <w:bCs/>
                      <w:szCs w:val="28"/>
                    </w:rPr>
                    <w:t>＜20（10.8）</w:t>
                  </w:r>
                </w:p>
              </w:tc>
              <w:tc>
                <w:tcPr>
                  <w:tcW w:w="849" w:type="pct"/>
                  <w:tcMar>
                    <w:left w:w="57" w:type="dxa"/>
                    <w:right w:w="57" w:type="dxa"/>
                  </w:tcMar>
                  <w:vAlign w:val="center"/>
                </w:tcPr>
                <w:p>
                  <w:pPr>
                    <w:adjustRightInd w:val="0"/>
                    <w:jc w:val="center"/>
                    <w:rPr>
                      <w:bCs/>
                      <w:szCs w:val="28"/>
                    </w:rPr>
                  </w:pPr>
                  <w:r>
                    <w:rPr>
                      <w:rFonts w:hint="eastAsia"/>
                      <w:bCs/>
                      <w:szCs w:val="28"/>
                    </w:rPr>
                    <w:t>＜34.3</w:t>
                  </w:r>
                </w:p>
              </w:tc>
              <w:tc>
                <w:tcPr>
                  <w:tcW w:w="640" w:type="pct"/>
                  <w:tcMar>
                    <w:left w:w="57" w:type="dxa"/>
                    <w:right w:w="57" w:type="dxa"/>
                  </w:tcMar>
                  <w:vAlign w:val="center"/>
                </w:tcPr>
                <w:p>
                  <w:pPr>
                    <w:adjustRightInd w:val="0"/>
                    <w:jc w:val="center"/>
                    <w:rPr>
                      <w:bCs/>
                      <w:szCs w:val="28"/>
                    </w:rPr>
                  </w:pPr>
                  <w:r>
                    <w:rPr>
                      <w:rFonts w:hint="eastAsia"/>
                      <w:bCs/>
                      <w:szCs w:val="28"/>
                    </w:rPr>
                    <w:t>＜0.0776</w:t>
                  </w:r>
                </w:p>
              </w:tc>
              <w:tc>
                <w:tcPr>
                  <w:tcW w:w="795" w:type="pct"/>
                  <w:tcMar>
                    <w:left w:w="57" w:type="dxa"/>
                    <w:right w:w="57" w:type="dxa"/>
                  </w:tcMar>
                  <w:vAlign w:val="center"/>
                </w:tcPr>
                <w:p>
                  <w:pPr>
                    <w:adjustRightInd w:val="0"/>
                    <w:jc w:val="center"/>
                    <w:rPr>
                      <w:bCs/>
                      <w:szCs w:val="28"/>
                    </w:rPr>
                  </w:pPr>
                  <w:r>
                    <w:rPr>
                      <w:rFonts w:hint="eastAsia"/>
                      <w:bCs/>
                      <w:szCs w:val="28"/>
                    </w:rPr>
                    <w:t>7759</w:t>
                  </w:r>
                </w:p>
              </w:tc>
              <w:tc>
                <w:tcPr>
                  <w:tcW w:w="711" w:type="pct"/>
                  <w:tcMar>
                    <w:left w:w="57" w:type="dxa"/>
                    <w:right w:w="57" w:type="dxa"/>
                  </w:tcMar>
                  <w:vAlign w:val="center"/>
                </w:tcPr>
                <w:p>
                  <w:pPr>
                    <w:adjustRightInd w:val="0"/>
                    <w:jc w:val="center"/>
                    <w:rPr>
                      <w:bCs/>
                      <w:szCs w:val="28"/>
                    </w:rPr>
                  </w:pPr>
                  <w:r>
                    <w:rPr>
                      <w:bCs/>
                      <w:szCs w:val="28"/>
                      <w:lang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2022.09</w:t>
                  </w:r>
                </w:p>
              </w:tc>
              <w:tc>
                <w:tcPr>
                  <w:tcW w:w="929" w:type="pct"/>
                  <w:tcMar>
                    <w:left w:w="57" w:type="dxa"/>
                    <w:right w:w="57" w:type="dxa"/>
                  </w:tcMar>
                  <w:vAlign w:val="center"/>
                </w:tcPr>
                <w:p>
                  <w:pPr>
                    <w:adjustRightInd w:val="0"/>
                    <w:jc w:val="center"/>
                    <w:rPr>
                      <w:bCs/>
                      <w:szCs w:val="28"/>
                    </w:rPr>
                  </w:pPr>
                  <w:r>
                    <w:rPr>
                      <w:rFonts w:hint="eastAsia"/>
                      <w:bCs/>
                      <w:szCs w:val="28"/>
                    </w:rPr>
                    <w:t>＜20（10.9）</w:t>
                  </w:r>
                </w:p>
              </w:tc>
              <w:tc>
                <w:tcPr>
                  <w:tcW w:w="849" w:type="pct"/>
                  <w:tcMar>
                    <w:left w:w="57" w:type="dxa"/>
                    <w:right w:w="57" w:type="dxa"/>
                  </w:tcMar>
                  <w:vAlign w:val="center"/>
                </w:tcPr>
                <w:p>
                  <w:pPr>
                    <w:adjustRightInd w:val="0"/>
                    <w:jc w:val="center"/>
                    <w:rPr>
                      <w:bCs/>
                      <w:szCs w:val="28"/>
                    </w:rPr>
                  </w:pPr>
                  <w:r>
                    <w:rPr>
                      <w:rFonts w:hint="eastAsia"/>
                      <w:bCs/>
                      <w:szCs w:val="28"/>
                    </w:rPr>
                    <w:t>＜40.5</w:t>
                  </w:r>
                </w:p>
              </w:tc>
              <w:tc>
                <w:tcPr>
                  <w:tcW w:w="640" w:type="pct"/>
                  <w:tcMar>
                    <w:left w:w="57" w:type="dxa"/>
                    <w:right w:w="57" w:type="dxa"/>
                  </w:tcMar>
                  <w:vAlign w:val="center"/>
                </w:tcPr>
                <w:p>
                  <w:pPr>
                    <w:adjustRightInd w:val="0"/>
                    <w:jc w:val="center"/>
                    <w:rPr>
                      <w:bCs/>
                      <w:szCs w:val="28"/>
                    </w:rPr>
                  </w:pPr>
                  <w:r>
                    <w:rPr>
                      <w:rFonts w:hint="eastAsia"/>
                      <w:bCs/>
                      <w:szCs w:val="28"/>
                    </w:rPr>
                    <w:t>＜0.120</w:t>
                  </w:r>
                </w:p>
              </w:tc>
              <w:tc>
                <w:tcPr>
                  <w:tcW w:w="795" w:type="pct"/>
                  <w:tcMar>
                    <w:left w:w="57" w:type="dxa"/>
                    <w:right w:w="57" w:type="dxa"/>
                  </w:tcMar>
                  <w:vAlign w:val="center"/>
                </w:tcPr>
                <w:p>
                  <w:pPr>
                    <w:adjustRightInd w:val="0"/>
                    <w:jc w:val="center"/>
                    <w:rPr>
                      <w:bCs/>
                      <w:szCs w:val="28"/>
                    </w:rPr>
                  </w:pPr>
                  <w:r>
                    <w:rPr>
                      <w:rFonts w:hint="eastAsia"/>
                      <w:bCs/>
                      <w:szCs w:val="28"/>
                    </w:rPr>
                    <w:t>11986</w:t>
                  </w:r>
                </w:p>
              </w:tc>
              <w:tc>
                <w:tcPr>
                  <w:tcW w:w="711" w:type="pct"/>
                  <w:tcMar>
                    <w:left w:w="57" w:type="dxa"/>
                    <w:right w:w="57" w:type="dxa"/>
                  </w:tcMar>
                  <w:vAlign w:val="center"/>
                </w:tcPr>
                <w:p>
                  <w:pPr>
                    <w:adjustRightInd w:val="0"/>
                    <w:jc w:val="center"/>
                    <w:rPr>
                      <w:bCs/>
                      <w:szCs w:val="28"/>
                    </w:rPr>
                  </w:pPr>
                  <w:r>
                    <w:rPr>
                      <w:bCs/>
                      <w:szCs w:val="28"/>
                      <w:lang w:bidi="ar"/>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2022.10</w:t>
                  </w:r>
                </w:p>
              </w:tc>
              <w:tc>
                <w:tcPr>
                  <w:tcW w:w="929" w:type="pct"/>
                  <w:tcMar>
                    <w:left w:w="57" w:type="dxa"/>
                    <w:right w:w="57" w:type="dxa"/>
                  </w:tcMar>
                  <w:vAlign w:val="center"/>
                </w:tcPr>
                <w:p>
                  <w:pPr>
                    <w:adjustRightInd w:val="0"/>
                    <w:jc w:val="center"/>
                    <w:rPr>
                      <w:bCs/>
                      <w:szCs w:val="28"/>
                    </w:rPr>
                  </w:pPr>
                  <w:r>
                    <w:rPr>
                      <w:rFonts w:hint="eastAsia"/>
                      <w:bCs/>
                      <w:szCs w:val="28"/>
                    </w:rPr>
                    <w:t>＜20（10.7）</w:t>
                  </w:r>
                </w:p>
              </w:tc>
              <w:tc>
                <w:tcPr>
                  <w:tcW w:w="849" w:type="pct"/>
                  <w:tcMar>
                    <w:left w:w="57" w:type="dxa"/>
                    <w:right w:w="57" w:type="dxa"/>
                  </w:tcMar>
                  <w:vAlign w:val="center"/>
                </w:tcPr>
                <w:p>
                  <w:pPr>
                    <w:adjustRightInd w:val="0"/>
                    <w:jc w:val="center"/>
                    <w:rPr>
                      <w:bCs/>
                      <w:szCs w:val="28"/>
                    </w:rPr>
                  </w:pPr>
                  <w:r>
                    <w:rPr>
                      <w:rFonts w:hint="eastAsia"/>
                      <w:bCs/>
                      <w:szCs w:val="28"/>
                    </w:rPr>
                    <w:t>＜39.2</w:t>
                  </w:r>
                </w:p>
              </w:tc>
              <w:tc>
                <w:tcPr>
                  <w:tcW w:w="640" w:type="pct"/>
                  <w:tcMar>
                    <w:left w:w="57" w:type="dxa"/>
                    <w:right w:w="57" w:type="dxa"/>
                  </w:tcMar>
                  <w:vAlign w:val="center"/>
                </w:tcPr>
                <w:p>
                  <w:pPr>
                    <w:adjustRightInd w:val="0"/>
                    <w:jc w:val="center"/>
                    <w:rPr>
                      <w:bCs/>
                      <w:szCs w:val="28"/>
                    </w:rPr>
                  </w:pPr>
                  <w:r>
                    <w:rPr>
                      <w:rFonts w:hint="eastAsia"/>
                      <w:bCs/>
                      <w:szCs w:val="28"/>
                    </w:rPr>
                    <w:t>＜0.113</w:t>
                  </w:r>
                </w:p>
              </w:tc>
              <w:tc>
                <w:tcPr>
                  <w:tcW w:w="795" w:type="pct"/>
                  <w:tcMar>
                    <w:left w:w="57" w:type="dxa"/>
                    <w:right w:w="57" w:type="dxa"/>
                  </w:tcMar>
                  <w:vAlign w:val="center"/>
                </w:tcPr>
                <w:p>
                  <w:pPr>
                    <w:adjustRightInd w:val="0"/>
                    <w:jc w:val="center"/>
                    <w:rPr>
                      <w:bCs/>
                      <w:szCs w:val="28"/>
                    </w:rPr>
                  </w:pPr>
                  <w:r>
                    <w:rPr>
                      <w:rFonts w:hint="eastAsia"/>
                      <w:bCs/>
                      <w:szCs w:val="28"/>
                    </w:rPr>
                    <w:t>11344</w:t>
                  </w:r>
                </w:p>
              </w:tc>
              <w:tc>
                <w:tcPr>
                  <w:tcW w:w="711" w:type="pct"/>
                  <w:tcMar>
                    <w:left w:w="57" w:type="dxa"/>
                    <w:right w:w="57" w:type="dxa"/>
                  </w:tcMar>
                  <w:vAlign w:val="center"/>
                </w:tcPr>
                <w:p>
                  <w:pPr>
                    <w:adjustRightInd w:val="0"/>
                    <w:jc w:val="center"/>
                    <w:rPr>
                      <w:bCs/>
                      <w:szCs w:val="28"/>
                    </w:rPr>
                  </w:pPr>
                  <w:r>
                    <w:rPr>
                      <w:bCs/>
                      <w:szCs w:val="28"/>
                      <w:lang w:bidi="ar"/>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2022.11</w:t>
                  </w:r>
                </w:p>
              </w:tc>
              <w:tc>
                <w:tcPr>
                  <w:tcW w:w="929" w:type="pct"/>
                  <w:tcMar>
                    <w:left w:w="57" w:type="dxa"/>
                    <w:right w:w="57" w:type="dxa"/>
                  </w:tcMar>
                  <w:vAlign w:val="center"/>
                </w:tcPr>
                <w:p>
                  <w:pPr>
                    <w:adjustRightInd w:val="0"/>
                    <w:jc w:val="center"/>
                    <w:rPr>
                      <w:bCs/>
                      <w:szCs w:val="28"/>
                    </w:rPr>
                  </w:pPr>
                  <w:r>
                    <w:rPr>
                      <w:rFonts w:hint="eastAsia"/>
                      <w:bCs/>
                      <w:szCs w:val="28"/>
                    </w:rPr>
                    <w:t>＜20（12.5）</w:t>
                  </w:r>
                </w:p>
              </w:tc>
              <w:tc>
                <w:tcPr>
                  <w:tcW w:w="849" w:type="pct"/>
                  <w:tcMar>
                    <w:left w:w="57" w:type="dxa"/>
                    <w:right w:w="57" w:type="dxa"/>
                  </w:tcMar>
                  <w:vAlign w:val="center"/>
                </w:tcPr>
                <w:p>
                  <w:pPr>
                    <w:adjustRightInd w:val="0"/>
                    <w:jc w:val="center"/>
                    <w:rPr>
                      <w:bCs/>
                      <w:szCs w:val="28"/>
                    </w:rPr>
                  </w:pPr>
                  <w:r>
                    <w:rPr>
                      <w:rFonts w:hint="eastAsia"/>
                      <w:bCs/>
                      <w:szCs w:val="28"/>
                    </w:rPr>
                    <w:t>＜34.4</w:t>
                  </w:r>
                </w:p>
              </w:tc>
              <w:tc>
                <w:tcPr>
                  <w:tcW w:w="640" w:type="pct"/>
                  <w:tcMar>
                    <w:left w:w="57" w:type="dxa"/>
                    <w:right w:w="57" w:type="dxa"/>
                  </w:tcMar>
                  <w:vAlign w:val="center"/>
                </w:tcPr>
                <w:p>
                  <w:pPr>
                    <w:adjustRightInd w:val="0"/>
                    <w:jc w:val="center"/>
                    <w:rPr>
                      <w:bCs/>
                      <w:szCs w:val="28"/>
                    </w:rPr>
                  </w:pPr>
                  <w:r>
                    <w:rPr>
                      <w:rFonts w:hint="eastAsia"/>
                      <w:bCs/>
                      <w:szCs w:val="28"/>
                    </w:rPr>
                    <w:t>＜0.115</w:t>
                  </w:r>
                </w:p>
              </w:tc>
              <w:tc>
                <w:tcPr>
                  <w:tcW w:w="795" w:type="pct"/>
                  <w:tcMar>
                    <w:left w:w="57" w:type="dxa"/>
                    <w:right w:w="57" w:type="dxa"/>
                  </w:tcMar>
                  <w:vAlign w:val="center"/>
                </w:tcPr>
                <w:p>
                  <w:pPr>
                    <w:adjustRightInd w:val="0"/>
                    <w:jc w:val="center"/>
                    <w:rPr>
                      <w:bCs/>
                      <w:szCs w:val="28"/>
                    </w:rPr>
                  </w:pPr>
                  <w:r>
                    <w:rPr>
                      <w:rFonts w:hint="eastAsia"/>
                      <w:bCs/>
                      <w:szCs w:val="28"/>
                    </w:rPr>
                    <w:t>11468</w:t>
                  </w:r>
                </w:p>
              </w:tc>
              <w:tc>
                <w:tcPr>
                  <w:tcW w:w="711" w:type="pct"/>
                  <w:tcMar>
                    <w:left w:w="57" w:type="dxa"/>
                    <w:right w:w="57" w:type="dxa"/>
                  </w:tcMar>
                  <w:vAlign w:val="center"/>
                </w:tcPr>
                <w:p>
                  <w:pPr>
                    <w:adjustRightInd w:val="0"/>
                    <w:jc w:val="center"/>
                    <w:rPr>
                      <w:bCs/>
                      <w:szCs w:val="28"/>
                    </w:rPr>
                  </w:pPr>
                  <w:r>
                    <w:rPr>
                      <w:bCs/>
                      <w:szCs w:val="28"/>
                      <w:lang w:bidi="ar"/>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2022.12</w:t>
                  </w:r>
                </w:p>
              </w:tc>
              <w:tc>
                <w:tcPr>
                  <w:tcW w:w="929" w:type="pct"/>
                  <w:tcMar>
                    <w:left w:w="57" w:type="dxa"/>
                    <w:right w:w="57" w:type="dxa"/>
                  </w:tcMar>
                  <w:vAlign w:val="center"/>
                </w:tcPr>
                <w:p>
                  <w:pPr>
                    <w:adjustRightInd w:val="0"/>
                    <w:jc w:val="center"/>
                    <w:rPr>
                      <w:bCs/>
                      <w:szCs w:val="28"/>
                    </w:rPr>
                  </w:pPr>
                  <w:r>
                    <w:rPr>
                      <w:rFonts w:hint="eastAsia"/>
                      <w:bCs/>
                      <w:szCs w:val="28"/>
                    </w:rPr>
                    <w:t>＜20（11.0）</w:t>
                  </w:r>
                </w:p>
              </w:tc>
              <w:tc>
                <w:tcPr>
                  <w:tcW w:w="849" w:type="pct"/>
                  <w:tcMar>
                    <w:left w:w="57" w:type="dxa"/>
                    <w:right w:w="57" w:type="dxa"/>
                  </w:tcMar>
                  <w:vAlign w:val="center"/>
                </w:tcPr>
                <w:p>
                  <w:pPr>
                    <w:adjustRightInd w:val="0"/>
                    <w:jc w:val="center"/>
                    <w:rPr>
                      <w:bCs/>
                      <w:szCs w:val="28"/>
                    </w:rPr>
                  </w:pPr>
                  <w:r>
                    <w:rPr>
                      <w:rFonts w:hint="eastAsia"/>
                      <w:bCs/>
                      <w:szCs w:val="28"/>
                    </w:rPr>
                    <w:t>＜38.4</w:t>
                  </w:r>
                </w:p>
              </w:tc>
              <w:tc>
                <w:tcPr>
                  <w:tcW w:w="640" w:type="pct"/>
                  <w:tcMar>
                    <w:left w:w="57" w:type="dxa"/>
                    <w:right w:w="57" w:type="dxa"/>
                  </w:tcMar>
                  <w:vAlign w:val="center"/>
                </w:tcPr>
                <w:p>
                  <w:pPr>
                    <w:adjustRightInd w:val="0"/>
                    <w:jc w:val="center"/>
                    <w:rPr>
                      <w:bCs/>
                      <w:szCs w:val="28"/>
                    </w:rPr>
                  </w:pPr>
                  <w:r>
                    <w:rPr>
                      <w:rFonts w:hint="eastAsia"/>
                      <w:bCs/>
                      <w:szCs w:val="28"/>
                    </w:rPr>
                    <w:t>＜0.116</w:t>
                  </w:r>
                </w:p>
              </w:tc>
              <w:tc>
                <w:tcPr>
                  <w:tcW w:w="795" w:type="pct"/>
                  <w:tcMar>
                    <w:left w:w="57" w:type="dxa"/>
                    <w:right w:w="57" w:type="dxa"/>
                  </w:tcMar>
                  <w:vAlign w:val="center"/>
                </w:tcPr>
                <w:p>
                  <w:pPr>
                    <w:adjustRightInd w:val="0"/>
                    <w:jc w:val="center"/>
                    <w:rPr>
                      <w:bCs/>
                      <w:szCs w:val="28"/>
                    </w:rPr>
                  </w:pPr>
                  <w:r>
                    <w:rPr>
                      <w:rFonts w:hint="eastAsia"/>
                      <w:bCs/>
                      <w:szCs w:val="28"/>
                    </w:rPr>
                    <w:t>11608</w:t>
                  </w:r>
                </w:p>
              </w:tc>
              <w:tc>
                <w:tcPr>
                  <w:tcW w:w="711" w:type="pct"/>
                  <w:tcMar>
                    <w:left w:w="57" w:type="dxa"/>
                    <w:right w:w="57" w:type="dxa"/>
                  </w:tcMar>
                  <w:vAlign w:val="center"/>
                </w:tcPr>
                <w:p>
                  <w:pPr>
                    <w:adjustRightInd w:val="0"/>
                    <w:jc w:val="center"/>
                    <w:rPr>
                      <w:bCs/>
                      <w:szCs w:val="28"/>
                    </w:rPr>
                  </w:pPr>
                  <w:r>
                    <w:rPr>
                      <w:bCs/>
                      <w:szCs w:val="28"/>
                      <w:lang w:bidi="ar"/>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pct"/>
                  <w:gridSpan w:val="2"/>
                  <w:tcMar>
                    <w:left w:w="57" w:type="dxa"/>
                    <w:right w:w="57" w:type="dxa"/>
                  </w:tcMar>
                  <w:vAlign w:val="center"/>
                </w:tcPr>
                <w:p>
                  <w:pPr>
                    <w:adjustRightInd w:val="0"/>
                    <w:jc w:val="center"/>
                    <w:rPr>
                      <w:b/>
                      <w:szCs w:val="28"/>
                    </w:rPr>
                  </w:pPr>
                  <w:r>
                    <w:rPr>
                      <w:rFonts w:hint="eastAsia"/>
                      <w:b/>
                      <w:szCs w:val="28"/>
                    </w:rPr>
                    <w:t>最大值</w:t>
                  </w:r>
                </w:p>
              </w:tc>
              <w:tc>
                <w:tcPr>
                  <w:tcW w:w="929" w:type="pct"/>
                  <w:tcMar>
                    <w:left w:w="57" w:type="dxa"/>
                    <w:right w:w="57" w:type="dxa"/>
                  </w:tcMar>
                  <w:vAlign w:val="center"/>
                </w:tcPr>
                <w:p>
                  <w:pPr>
                    <w:adjustRightInd w:val="0"/>
                    <w:jc w:val="center"/>
                    <w:rPr>
                      <w:b/>
                      <w:szCs w:val="28"/>
                    </w:rPr>
                  </w:pPr>
                  <w:r>
                    <w:rPr>
                      <w:rFonts w:hint="eastAsia"/>
                      <w:b/>
                      <w:szCs w:val="28"/>
                    </w:rPr>
                    <w:t>＜20（12.5）</w:t>
                  </w:r>
                </w:p>
              </w:tc>
              <w:tc>
                <w:tcPr>
                  <w:tcW w:w="849" w:type="pct"/>
                  <w:tcMar>
                    <w:left w:w="57" w:type="dxa"/>
                    <w:right w:w="57" w:type="dxa"/>
                  </w:tcMar>
                  <w:vAlign w:val="center"/>
                </w:tcPr>
                <w:p>
                  <w:pPr>
                    <w:adjustRightInd w:val="0"/>
                    <w:jc w:val="center"/>
                    <w:rPr>
                      <w:b/>
                      <w:szCs w:val="28"/>
                    </w:rPr>
                  </w:pPr>
                  <w:r>
                    <w:rPr>
                      <w:rFonts w:hint="eastAsia"/>
                      <w:b/>
                      <w:szCs w:val="28"/>
                    </w:rPr>
                    <w:t>＜40.5</w:t>
                  </w:r>
                </w:p>
              </w:tc>
              <w:tc>
                <w:tcPr>
                  <w:tcW w:w="640" w:type="pct"/>
                  <w:tcMar>
                    <w:left w:w="57" w:type="dxa"/>
                    <w:right w:w="57" w:type="dxa"/>
                  </w:tcMar>
                  <w:vAlign w:val="center"/>
                </w:tcPr>
                <w:p>
                  <w:pPr>
                    <w:adjustRightInd w:val="0"/>
                    <w:jc w:val="center"/>
                    <w:rPr>
                      <w:b/>
                      <w:szCs w:val="28"/>
                    </w:rPr>
                  </w:pPr>
                  <w:r>
                    <w:rPr>
                      <w:rFonts w:hint="eastAsia"/>
                      <w:b/>
                      <w:szCs w:val="28"/>
                    </w:rPr>
                    <w:t>＜0.120</w:t>
                  </w:r>
                </w:p>
              </w:tc>
              <w:tc>
                <w:tcPr>
                  <w:tcW w:w="795" w:type="pct"/>
                  <w:tcMar>
                    <w:left w:w="57" w:type="dxa"/>
                    <w:right w:w="57" w:type="dxa"/>
                  </w:tcMar>
                  <w:vAlign w:val="center"/>
                </w:tcPr>
                <w:p>
                  <w:pPr>
                    <w:adjustRightInd w:val="0"/>
                    <w:jc w:val="center"/>
                    <w:rPr>
                      <w:b/>
                      <w:szCs w:val="28"/>
                    </w:rPr>
                  </w:pPr>
                  <w:r>
                    <w:rPr>
                      <w:rFonts w:hint="eastAsia" w:eastAsia="等线"/>
                      <w:b/>
                      <w:bCs/>
                      <w:szCs w:val="21"/>
                    </w:rPr>
                    <w:t>11986</w:t>
                  </w:r>
                </w:p>
              </w:tc>
              <w:tc>
                <w:tcPr>
                  <w:tcW w:w="711" w:type="pct"/>
                  <w:tcMar>
                    <w:left w:w="57" w:type="dxa"/>
                    <w:right w:w="57" w:type="dxa"/>
                  </w:tcMar>
                  <w:vAlign w:val="center"/>
                </w:tcPr>
                <w:p>
                  <w:pPr>
                    <w:adjustRightInd w:val="0"/>
                    <w:jc w:val="center"/>
                    <w:rPr>
                      <w:rFonts w:eastAsia="等线"/>
                      <w:b/>
                      <w:bCs/>
                      <w:szCs w:val="21"/>
                    </w:rPr>
                  </w:pPr>
                  <w:r>
                    <w:rPr>
                      <w:rFonts w:hint="eastAsia" w:eastAsia="等线"/>
                      <w:b/>
                      <w:bCs/>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restart"/>
                  <w:tcMar>
                    <w:left w:w="57" w:type="dxa"/>
                    <w:right w:w="57" w:type="dxa"/>
                  </w:tcMar>
                  <w:vAlign w:val="center"/>
                </w:tcPr>
                <w:p>
                  <w:pPr>
                    <w:adjustRightInd w:val="0"/>
                    <w:jc w:val="center"/>
                    <w:rPr>
                      <w:bCs/>
                      <w:szCs w:val="28"/>
                    </w:rPr>
                  </w:pPr>
                  <w:r>
                    <w:rPr>
                      <w:rFonts w:hint="eastAsia"/>
                      <w:bCs/>
                      <w:szCs w:val="21"/>
                    </w:rPr>
                    <w:t>SO</w:t>
                  </w:r>
                  <w:r>
                    <w:rPr>
                      <w:rFonts w:hint="eastAsia"/>
                      <w:bCs/>
                      <w:szCs w:val="21"/>
                      <w:vertAlign w:val="subscript"/>
                    </w:rPr>
                    <w:t>2</w:t>
                  </w:r>
                </w:p>
              </w:tc>
              <w:tc>
                <w:tcPr>
                  <w:tcW w:w="495" w:type="pct"/>
                  <w:tcMar>
                    <w:left w:w="57" w:type="dxa"/>
                    <w:right w:w="57" w:type="dxa"/>
                  </w:tcMar>
                  <w:vAlign w:val="center"/>
                </w:tcPr>
                <w:p>
                  <w:pPr>
                    <w:adjustRightInd w:val="0"/>
                    <w:jc w:val="center"/>
                    <w:rPr>
                      <w:bCs/>
                      <w:szCs w:val="28"/>
                    </w:rPr>
                  </w:pPr>
                  <w:r>
                    <w:rPr>
                      <w:rFonts w:hint="eastAsia"/>
                      <w:bCs/>
                      <w:szCs w:val="28"/>
                    </w:rPr>
                    <w:t>2022.08</w:t>
                  </w:r>
                </w:p>
              </w:tc>
              <w:tc>
                <w:tcPr>
                  <w:tcW w:w="929" w:type="pct"/>
                  <w:tcMar>
                    <w:left w:w="57" w:type="dxa"/>
                    <w:right w:w="57" w:type="dxa"/>
                  </w:tcMar>
                  <w:vAlign w:val="center"/>
                </w:tcPr>
                <w:p>
                  <w:pPr>
                    <w:adjustRightInd w:val="0"/>
                    <w:jc w:val="center"/>
                    <w:rPr>
                      <w:bCs/>
                      <w:szCs w:val="28"/>
                    </w:rPr>
                  </w:pPr>
                  <w:r>
                    <w:rPr>
                      <w:rFonts w:hint="eastAsia"/>
                      <w:bCs/>
                      <w:szCs w:val="28"/>
                    </w:rPr>
                    <w:t>48</w:t>
                  </w:r>
                </w:p>
              </w:tc>
              <w:tc>
                <w:tcPr>
                  <w:tcW w:w="849" w:type="pct"/>
                  <w:tcMar>
                    <w:left w:w="57" w:type="dxa"/>
                    <w:right w:w="57" w:type="dxa"/>
                  </w:tcMar>
                  <w:vAlign w:val="center"/>
                </w:tcPr>
                <w:p>
                  <w:pPr>
                    <w:adjustRightInd w:val="0"/>
                    <w:jc w:val="center"/>
                    <w:rPr>
                      <w:bCs/>
                      <w:szCs w:val="28"/>
                    </w:rPr>
                  </w:pPr>
                  <w:r>
                    <w:rPr>
                      <w:rFonts w:hint="eastAsia"/>
                      <w:bCs/>
                      <w:szCs w:val="28"/>
                    </w:rPr>
                    <w:t>166</w:t>
                  </w:r>
                </w:p>
              </w:tc>
              <w:tc>
                <w:tcPr>
                  <w:tcW w:w="640" w:type="pct"/>
                  <w:tcMar>
                    <w:left w:w="57" w:type="dxa"/>
                    <w:right w:w="57" w:type="dxa"/>
                  </w:tcMar>
                  <w:vAlign w:val="center"/>
                </w:tcPr>
                <w:p>
                  <w:pPr>
                    <w:adjustRightInd w:val="0"/>
                    <w:jc w:val="center"/>
                    <w:rPr>
                      <w:bCs/>
                      <w:szCs w:val="28"/>
                    </w:rPr>
                  </w:pPr>
                  <w:r>
                    <w:rPr>
                      <w:rFonts w:hint="eastAsia"/>
                      <w:bCs/>
                      <w:szCs w:val="28"/>
                    </w:rPr>
                    <w:t>0.375</w:t>
                  </w:r>
                </w:p>
              </w:tc>
              <w:tc>
                <w:tcPr>
                  <w:tcW w:w="795" w:type="pct"/>
                  <w:tcMar>
                    <w:left w:w="57" w:type="dxa"/>
                    <w:right w:w="57" w:type="dxa"/>
                  </w:tcMar>
                  <w:vAlign w:val="center"/>
                </w:tcPr>
                <w:p>
                  <w:pPr>
                    <w:adjustRightInd w:val="0"/>
                    <w:jc w:val="center"/>
                    <w:rPr>
                      <w:bCs/>
                      <w:szCs w:val="28"/>
                    </w:rPr>
                  </w:pPr>
                  <w:r>
                    <w:rPr>
                      <w:rFonts w:hint="eastAsia"/>
                      <w:bCs/>
                      <w:szCs w:val="28"/>
                    </w:rPr>
                    <w:t>7759</w:t>
                  </w:r>
                </w:p>
              </w:tc>
              <w:tc>
                <w:tcPr>
                  <w:tcW w:w="711" w:type="pct"/>
                  <w:tcMar>
                    <w:left w:w="57" w:type="dxa"/>
                    <w:right w:w="57" w:type="dxa"/>
                  </w:tcMar>
                  <w:vAlign w:val="center"/>
                </w:tcPr>
                <w:p>
                  <w:pPr>
                    <w:adjustRightInd w:val="0"/>
                    <w:jc w:val="center"/>
                    <w:rPr>
                      <w:bCs/>
                      <w:szCs w:val="28"/>
                    </w:rPr>
                  </w:pPr>
                  <w:r>
                    <w:rPr>
                      <w:bCs/>
                      <w:szCs w:val="28"/>
                      <w:lang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2022.09</w:t>
                  </w:r>
                </w:p>
              </w:tc>
              <w:tc>
                <w:tcPr>
                  <w:tcW w:w="929" w:type="pct"/>
                  <w:tcMar>
                    <w:left w:w="57" w:type="dxa"/>
                    <w:right w:w="57" w:type="dxa"/>
                  </w:tcMar>
                  <w:vAlign w:val="center"/>
                </w:tcPr>
                <w:p>
                  <w:pPr>
                    <w:adjustRightInd w:val="0"/>
                    <w:jc w:val="center"/>
                    <w:rPr>
                      <w:bCs/>
                      <w:szCs w:val="28"/>
                    </w:rPr>
                  </w:pPr>
                  <w:r>
                    <w:rPr>
                      <w:rFonts w:hint="eastAsia"/>
                      <w:bCs/>
                      <w:szCs w:val="28"/>
                    </w:rPr>
                    <w:t>54</w:t>
                  </w:r>
                </w:p>
              </w:tc>
              <w:tc>
                <w:tcPr>
                  <w:tcW w:w="849" w:type="pct"/>
                  <w:tcMar>
                    <w:left w:w="57" w:type="dxa"/>
                    <w:right w:w="57" w:type="dxa"/>
                  </w:tcMar>
                  <w:vAlign w:val="center"/>
                </w:tcPr>
                <w:p>
                  <w:pPr>
                    <w:adjustRightInd w:val="0"/>
                    <w:jc w:val="center"/>
                    <w:rPr>
                      <w:bCs/>
                      <w:szCs w:val="28"/>
                    </w:rPr>
                  </w:pPr>
                  <w:r>
                    <w:rPr>
                      <w:rFonts w:hint="eastAsia"/>
                      <w:bCs/>
                      <w:szCs w:val="28"/>
                    </w:rPr>
                    <w:t>219</w:t>
                  </w:r>
                </w:p>
              </w:tc>
              <w:tc>
                <w:tcPr>
                  <w:tcW w:w="640" w:type="pct"/>
                  <w:tcMar>
                    <w:left w:w="57" w:type="dxa"/>
                    <w:right w:w="57" w:type="dxa"/>
                  </w:tcMar>
                  <w:vAlign w:val="center"/>
                </w:tcPr>
                <w:p>
                  <w:pPr>
                    <w:adjustRightInd w:val="0"/>
                    <w:jc w:val="center"/>
                    <w:rPr>
                      <w:bCs/>
                      <w:szCs w:val="28"/>
                    </w:rPr>
                  </w:pPr>
                  <w:r>
                    <w:rPr>
                      <w:rFonts w:hint="eastAsia"/>
                      <w:bCs/>
                      <w:szCs w:val="28"/>
                    </w:rPr>
                    <w:t>0.648</w:t>
                  </w:r>
                </w:p>
              </w:tc>
              <w:tc>
                <w:tcPr>
                  <w:tcW w:w="795" w:type="pct"/>
                  <w:tcMar>
                    <w:left w:w="57" w:type="dxa"/>
                    <w:right w:w="57" w:type="dxa"/>
                  </w:tcMar>
                  <w:vAlign w:val="center"/>
                </w:tcPr>
                <w:p>
                  <w:pPr>
                    <w:adjustRightInd w:val="0"/>
                    <w:jc w:val="center"/>
                    <w:rPr>
                      <w:bCs/>
                      <w:szCs w:val="28"/>
                    </w:rPr>
                  </w:pPr>
                  <w:r>
                    <w:rPr>
                      <w:rFonts w:hint="eastAsia"/>
                      <w:bCs/>
                      <w:szCs w:val="28"/>
                    </w:rPr>
                    <w:t>11986</w:t>
                  </w:r>
                </w:p>
              </w:tc>
              <w:tc>
                <w:tcPr>
                  <w:tcW w:w="711" w:type="pct"/>
                  <w:tcMar>
                    <w:left w:w="57" w:type="dxa"/>
                    <w:right w:w="57" w:type="dxa"/>
                  </w:tcMar>
                  <w:vAlign w:val="center"/>
                </w:tcPr>
                <w:p>
                  <w:pPr>
                    <w:adjustRightInd w:val="0"/>
                    <w:jc w:val="center"/>
                    <w:rPr>
                      <w:bCs/>
                      <w:szCs w:val="28"/>
                    </w:rPr>
                  </w:pPr>
                  <w:r>
                    <w:rPr>
                      <w:bCs/>
                      <w:szCs w:val="28"/>
                      <w:lang w:bidi="ar"/>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2022.10</w:t>
                  </w:r>
                </w:p>
              </w:tc>
              <w:tc>
                <w:tcPr>
                  <w:tcW w:w="929" w:type="pct"/>
                  <w:tcMar>
                    <w:left w:w="57" w:type="dxa"/>
                    <w:right w:w="57" w:type="dxa"/>
                  </w:tcMar>
                  <w:vAlign w:val="center"/>
                </w:tcPr>
                <w:p>
                  <w:pPr>
                    <w:adjustRightInd w:val="0"/>
                    <w:jc w:val="center"/>
                    <w:rPr>
                      <w:bCs/>
                      <w:szCs w:val="28"/>
                    </w:rPr>
                  </w:pPr>
                  <w:r>
                    <w:rPr>
                      <w:rFonts w:hint="eastAsia"/>
                      <w:bCs/>
                      <w:szCs w:val="28"/>
                    </w:rPr>
                    <w:t>57</w:t>
                  </w:r>
                </w:p>
              </w:tc>
              <w:tc>
                <w:tcPr>
                  <w:tcW w:w="849" w:type="pct"/>
                  <w:tcMar>
                    <w:left w:w="57" w:type="dxa"/>
                    <w:right w:w="57" w:type="dxa"/>
                  </w:tcMar>
                  <w:vAlign w:val="center"/>
                </w:tcPr>
                <w:p>
                  <w:pPr>
                    <w:adjustRightInd w:val="0"/>
                    <w:jc w:val="center"/>
                    <w:rPr>
                      <w:bCs/>
                      <w:szCs w:val="28"/>
                    </w:rPr>
                  </w:pPr>
                  <w:r>
                    <w:rPr>
                      <w:rFonts w:hint="eastAsia"/>
                      <w:bCs/>
                      <w:szCs w:val="28"/>
                    </w:rPr>
                    <w:t>224</w:t>
                  </w:r>
                </w:p>
              </w:tc>
              <w:tc>
                <w:tcPr>
                  <w:tcW w:w="640" w:type="pct"/>
                  <w:tcMar>
                    <w:left w:w="57" w:type="dxa"/>
                    <w:right w:w="57" w:type="dxa"/>
                  </w:tcMar>
                  <w:vAlign w:val="center"/>
                </w:tcPr>
                <w:p>
                  <w:pPr>
                    <w:adjustRightInd w:val="0"/>
                    <w:jc w:val="center"/>
                    <w:rPr>
                      <w:bCs/>
                      <w:szCs w:val="28"/>
                    </w:rPr>
                  </w:pPr>
                  <w:r>
                    <w:rPr>
                      <w:rFonts w:hint="eastAsia"/>
                      <w:bCs/>
                      <w:szCs w:val="28"/>
                    </w:rPr>
                    <w:t>0.651</w:t>
                  </w:r>
                </w:p>
              </w:tc>
              <w:tc>
                <w:tcPr>
                  <w:tcW w:w="795" w:type="pct"/>
                  <w:tcMar>
                    <w:left w:w="57" w:type="dxa"/>
                    <w:right w:w="57" w:type="dxa"/>
                  </w:tcMar>
                  <w:vAlign w:val="center"/>
                </w:tcPr>
                <w:p>
                  <w:pPr>
                    <w:adjustRightInd w:val="0"/>
                    <w:jc w:val="center"/>
                    <w:rPr>
                      <w:bCs/>
                      <w:szCs w:val="28"/>
                    </w:rPr>
                  </w:pPr>
                  <w:r>
                    <w:rPr>
                      <w:rFonts w:hint="eastAsia"/>
                      <w:bCs/>
                      <w:szCs w:val="28"/>
                    </w:rPr>
                    <w:t>11344</w:t>
                  </w:r>
                </w:p>
              </w:tc>
              <w:tc>
                <w:tcPr>
                  <w:tcW w:w="711" w:type="pct"/>
                  <w:tcMar>
                    <w:left w:w="57" w:type="dxa"/>
                    <w:right w:w="57" w:type="dxa"/>
                  </w:tcMar>
                  <w:vAlign w:val="center"/>
                </w:tcPr>
                <w:p>
                  <w:pPr>
                    <w:adjustRightInd w:val="0"/>
                    <w:jc w:val="center"/>
                    <w:rPr>
                      <w:bCs/>
                      <w:szCs w:val="28"/>
                    </w:rPr>
                  </w:pPr>
                  <w:r>
                    <w:rPr>
                      <w:bCs/>
                      <w:szCs w:val="28"/>
                      <w:lang w:bidi="ar"/>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2022.11</w:t>
                  </w:r>
                </w:p>
              </w:tc>
              <w:tc>
                <w:tcPr>
                  <w:tcW w:w="929" w:type="pct"/>
                  <w:tcMar>
                    <w:left w:w="57" w:type="dxa"/>
                    <w:right w:w="57" w:type="dxa"/>
                  </w:tcMar>
                  <w:vAlign w:val="center"/>
                </w:tcPr>
                <w:p>
                  <w:pPr>
                    <w:adjustRightInd w:val="0"/>
                    <w:jc w:val="center"/>
                    <w:rPr>
                      <w:bCs/>
                      <w:szCs w:val="28"/>
                    </w:rPr>
                  </w:pPr>
                  <w:r>
                    <w:rPr>
                      <w:rFonts w:hint="eastAsia"/>
                      <w:bCs/>
                      <w:szCs w:val="28"/>
                    </w:rPr>
                    <w:t>42</w:t>
                  </w:r>
                </w:p>
              </w:tc>
              <w:tc>
                <w:tcPr>
                  <w:tcW w:w="849" w:type="pct"/>
                  <w:tcMar>
                    <w:left w:w="57" w:type="dxa"/>
                    <w:right w:w="57" w:type="dxa"/>
                  </w:tcMar>
                  <w:vAlign w:val="center"/>
                </w:tcPr>
                <w:p>
                  <w:pPr>
                    <w:adjustRightInd w:val="0"/>
                    <w:jc w:val="center"/>
                    <w:rPr>
                      <w:bCs/>
                      <w:szCs w:val="28"/>
                    </w:rPr>
                  </w:pPr>
                  <w:r>
                    <w:rPr>
                      <w:rFonts w:hint="eastAsia"/>
                      <w:bCs/>
                      <w:szCs w:val="28"/>
                    </w:rPr>
                    <w:t>145</w:t>
                  </w:r>
                </w:p>
              </w:tc>
              <w:tc>
                <w:tcPr>
                  <w:tcW w:w="640" w:type="pct"/>
                  <w:tcMar>
                    <w:left w:w="57" w:type="dxa"/>
                    <w:right w:w="57" w:type="dxa"/>
                  </w:tcMar>
                  <w:vAlign w:val="center"/>
                </w:tcPr>
                <w:p>
                  <w:pPr>
                    <w:adjustRightInd w:val="0"/>
                    <w:jc w:val="center"/>
                    <w:rPr>
                      <w:bCs/>
                      <w:szCs w:val="28"/>
                    </w:rPr>
                  </w:pPr>
                  <w:r>
                    <w:rPr>
                      <w:rFonts w:hint="eastAsia"/>
                      <w:bCs/>
                      <w:szCs w:val="28"/>
                    </w:rPr>
                    <w:t>0.485</w:t>
                  </w:r>
                </w:p>
              </w:tc>
              <w:tc>
                <w:tcPr>
                  <w:tcW w:w="795" w:type="pct"/>
                  <w:tcMar>
                    <w:left w:w="57" w:type="dxa"/>
                    <w:right w:w="57" w:type="dxa"/>
                  </w:tcMar>
                  <w:vAlign w:val="center"/>
                </w:tcPr>
                <w:p>
                  <w:pPr>
                    <w:adjustRightInd w:val="0"/>
                    <w:jc w:val="center"/>
                    <w:rPr>
                      <w:bCs/>
                      <w:szCs w:val="28"/>
                    </w:rPr>
                  </w:pPr>
                  <w:r>
                    <w:rPr>
                      <w:rFonts w:hint="eastAsia"/>
                      <w:bCs/>
                      <w:szCs w:val="28"/>
                    </w:rPr>
                    <w:t>11468</w:t>
                  </w:r>
                </w:p>
              </w:tc>
              <w:tc>
                <w:tcPr>
                  <w:tcW w:w="711" w:type="pct"/>
                  <w:tcMar>
                    <w:left w:w="57" w:type="dxa"/>
                    <w:right w:w="57" w:type="dxa"/>
                  </w:tcMar>
                  <w:vAlign w:val="center"/>
                </w:tcPr>
                <w:p>
                  <w:pPr>
                    <w:adjustRightInd w:val="0"/>
                    <w:jc w:val="center"/>
                    <w:rPr>
                      <w:bCs/>
                      <w:szCs w:val="28"/>
                    </w:rPr>
                  </w:pPr>
                  <w:r>
                    <w:rPr>
                      <w:bCs/>
                      <w:szCs w:val="28"/>
                      <w:lang w:bidi="ar"/>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2022.12</w:t>
                  </w:r>
                </w:p>
              </w:tc>
              <w:tc>
                <w:tcPr>
                  <w:tcW w:w="929" w:type="pct"/>
                  <w:tcMar>
                    <w:left w:w="57" w:type="dxa"/>
                    <w:right w:w="57" w:type="dxa"/>
                  </w:tcMar>
                  <w:vAlign w:val="center"/>
                </w:tcPr>
                <w:p>
                  <w:pPr>
                    <w:adjustRightInd w:val="0"/>
                    <w:jc w:val="center"/>
                    <w:rPr>
                      <w:bCs/>
                      <w:szCs w:val="28"/>
                    </w:rPr>
                  </w:pPr>
                  <w:r>
                    <w:rPr>
                      <w:rFonts w:hint="eastAsia"/>
                      <w:bCs/>
                      <w:szCs w:val="28"/>
                    </w:rPr>
                    <w:t>50</w:t>
                  </w:r>
                </w:p>
              </w:tc>
              <w:tc>
                <w:tcPr>
                  <w:tcW w:w="849" w:type="pct"/>
                  <w:tcMar>
                    <w:left w:w="57" w:type="dxa"/>
                    <w:right w:w="57" w:type="dxa"/>
                  </w:tcMar>
                  <w:vAlign w:val="center"/>
                </w:tcPr>
                <w:p>
                  <w:pPr>
                    <w:adjustRightInd w:val="0"/>
                    <w:jc w:val="center"/>
                    <w:rPr>
                      <w:bCs/>
                      <w:szCs w:val="28"/>
                    </w:rPr>
                  </w:pPr>
                  <w:r>
                    <w:rPr>
                      <w:rFonts w:hint="eastAsia"/>
                      <w:bCs/>
                      <w:szCs w:val="28"/>
                    </w:rPr>
                    <w:t>194</w:t>
                  </w:r>
                </w:p>
              </w:tc>
              <w:tc>
                <w:tcPr>
                  <w:tcW w:w="640" w:type="pct"/>
                  <w:tcMar>
                    <w:left w:w="57" w:type="dxa"/>
                    <w:right w:w="57" w:type="dxa"/>
                  </w:tcMar>
                  <w:vAlign w:val="center"/>
                </w:tcPr>
                <w:p>
                  <w:pPr>
                    <w:adjustRightInd w:val="0"/>
                    <w:jc w:val="center"/>
                    <w:rPr>
                      <w:bCs/>
                      <w:szCs w:val="28"/>
                    </w:rPr>
                  </w:pPr>
                  <w:r>
                    <w:rPr>
                      <w:rFonts w:hint="eastAsia"/>
                      <w:bCs/>
                      <w:szCs w:val="28"/>
                    </w:rPr>
                    <w:t>0.584</w:t>
                  </w:r>
                </w:p>
              </w:tc>
              <w:tc>
                <w:tcPr>
                  <w:tcW w:w="795" w:type="pct"/>
                  <w:tcMar>
                    <w:left w:w="57" w:type="dxa"/>
                    <w:right w:w="57" w:type="dxa"/>
                  </w:tcMar>
                  <w:vAlign w:val="center"/>
                </w:tcPr>
                <w:p>
                  <w:pPr>
                    <w:adjustRightInd w:val="0"/>
                    <w:jc w:val="center"/>
                    <w:rPr>
                      <w:bCs/>
                      <w:szCs w:val="28"/>
                    </w:rPr>
                  </w:pPr>
                  <w:r>
                    <w:rPr>
                      <w:rFonts w:hint="eastAsia"/>
                      <w:bCs/>
                      <w:szCs w:val="28"/>
                    </w:rPr>
                    <w:t>11608</w:t>
                  </w:r>
                </w:p>
              </w:tc>
              <w:tc>
                <w:tcPr>
                  <w:tcW w:w="711" w:type="pct"/>
                  <w:tcMar>
                    <w:left w:w="57" w:type="dxa"/>
                    <w:right w:w="57" w:type="dxa"/>
                  </w:tcMar>
                  <w:vAlign w:val="center"/>
                </w:tcPr>
                <w:p>
                  <w:pPr>
                    <w:adjustRightInd w:val="0"/>
                    <w:jc w:val="center"/>
                    <w:rPr>
                      <w:bCs/>
                      <w:szCs w:val="28"/>
                    </w:rPr>
                  </w:pPr>
                  <w:r>
                    <w:rPr>
                      <w:bCs/>
                      <w:szCs w:val="28"/>
                      <w:lang w:bidi="ar"/>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pct"/>
                  <w:gridSpan w:val="2"/>
                  <w:tcMar>
                    <w:left w:w="57" w:type="dxa"/>
                    <w:right w:w="57" w:type="dxa"/>
                  </w:tcMar>
                  <w:vAlign w:val="center"/>
                </w:tcPr>
                <w:p>
                  <w:pPr>
                    <w:adjustRightInd w:val="0"/>
                    <w:jc w:val="center"/>
                    <w:rPr>
                      <w:bCs/>
                      <w:szCs w:val="28"/>
                    </w:rPr>
                  </w:pPr>
                  <w:r>
                    <w:rPr>
                      <w:rFonts w:hint="eastAsia"/>
                      <w:b/>
                      <w:szCs w:val="28"/>
                    </w:rPr>
                    <w:t>最大值</w:t>
                  </w:r>
                </w:p>
              </w:tc>
              <w:tc>
                <w:tcPr>
                  <w:tcW w:w="929" w:type="pct"/>
                  <w:tcMar>
                    <w:left w:w="57" w:type="dxa"/>
                    <w:right w:w="57" w:type="dxa"/>
                  </w:tcMar>
                  <w:vAlign w:val="center"/>
                </w:tcPr>
                <w:p>
                  <w:pPr>
                    <w:adjustRightInd w:val="0"/>
                    <w:jc w:val="center"/>
                    <w:rPr>
                      <w:b/>
                      <w:szCs w:val="28"/>
                    </w:rPr>
                  </w:pPr>
                  <w:r>
                    <w:rPr>
                      <w:rFonts w:hint="eastAsia"/>
                      <w:b/>
                      <w:szCs w:val="28"/>
                    </w:rPr>
                    <w:t>57</w:t>
                  </w:r>
                </w:p>
              </w:tc>
              <w:tc>
                <w:tcPr>
                  <w:tcW w:w="849" w:type="pct"/>
                  <w:tcMar>
                    <w:left w:w="57" w:type="dxa"/>
                    <w:right w:w="57" w:type="dxa"/>
                  </w:tcMar>
                  <w:vAlign w:val="center"/>
                </w:tcPr>
                <w:p>
                  <w:pPr>
                    <w:adjustRightInd w:val="0"/>
                    <w:jc w:val="center"/>
                    <w:rPr>
                      <w:b/>
                      <w:szCs w:val="28"/>
                    </w:rPr>
                  </w:pPr>
                  <w:r>
                    <w:rPr>
                      <w:rFonts w:hint="eastAsia"/>
                      <w:b/>
                      <w:szCs w:val="28"/>
                    </w:rPr>
                    <w:t>224</w:t>
                  </w:r>
                </w:p>
              </w:tc>
              <w:tc>
                <w:tcPr>
                  <w:tcW w:w="640" w:type="pct"/>
                  <w:tcMar>
                    <w:left w:w="57" w:type="dxa"/>
                    <w:right w:w="57" w:type="dxa"/>
                  </w:tcMar>
                  <w:vAlign w:val="center"/>
                </w:tcPr>
                <w:p>
                  <w:pPr>
                    <w:adjustRightInd w:val="0"/>
                    <w:jc w:val="center"/>
                    <w:rPr>
                      <w:b/>
                      <w:szCs w:val="28"/>
                    </w:rPr>
                  </w:pPr>
                  <w:r>
                    <w:rPr>
                      <w:rFonts w:hint="eastAsia"/>
                      <w:b/>
                      <w:szCs w:val="28"/>
                    </w:rPr>
                    <w:t>0.651</w:t>
                  </w:r>
                </w:p>
              </w:tc>
              <w:tc>
                <w:tcPr>
                  <w:tcW w:w="795" w:type="pct"/>
                  <w:tcMar>
                    <w:left w:w="57" w:type="dxa"/>
                    <w:right w:w="57" w:type="dxa"/>
                  </w:tcMar>
                  <w:vAlign w:val="center"/>
                </w:tcPr>
                <w:p>
                  <w:pPr>
                    <w:adjustRightInd w:val="0"/>
                    <w:jc w:val="center"/>
                    <w:rPr>
                      <w:b/>
                      <w:szCs w:val="28"/>
                    </w:rPr>
                  </w:pPr>
                  <w:r>
                    <w:rPr>
                      <w:rFonts w:hint="eastAsia" w:eastAsia="等线"/>
                      <w:b/>
                      <w:bCs/>
                      <w:szCs w:val="21"/>
                    </w:rPr>
                    <w:t>11986</w:t>
                  </w:r>
                </w:p>
              </w:tc>
              <w:tc>
                <w:tcPr>
                  <w:tcW w:w="711" w:type="pct"/>
                  <w:tcMar>
                    <w:left w:w="57" w:type="dxa"/>
                    <w:right w:w="57" w:type="dxa"/>
                  </w:tcMar>
                  <w:vAlign w:val="center"/>
                </w:tcPr>
                <w:p>
                  <w:pPr>
                    <w:adjustRightInd w:val="0"/>
                    <w:jc w:val="center"/>
                    <w:rPr>
                      <w:rFonts w:eastAsia="等线"/>
                      <w:b/>
                      <w:bCs/>
                      <w:szCs w:val="21"/>
                    </w:rPr>
                  </w:pPr>
                  <w:r>
                    <w:rPr>
                      <w:rFonts w:hint="eastAsia" w:eastAsia="等线"/>
                      <w:b/>
                      <w:bCs/>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restart"/>
                  <w:tcMar>
                    <w:left w:w="57" w:type="dxa"/>
                    <w:right w:w="57" w:type="dxa"/>
                  </w:tcMar>
                  <w:vAlign w:val="center"/>
                </w:tcPr>
                <w:p>
                  <w:pPr>
                    <w:adjustRightInd w:val="0"/>
                    <w:jc w:val="center"/>
                    <w:rPr>
                      <w:bCs/>
                      <w:szCs w:val="28"/>
                    </w:rPr>
                  </w:pPr>
                  <w:r>
                    <w:rPr>
                      <w:rFonts w:hint="eastAsia"/>
                      <w:bCs/>
                      <w:szCs w:val="21"/>
                    </w:rPr>
                    <w:t>NO</w:t>
                  </w:r>
                  <w:r>
                    <w:rPr>
                      <w:rFonts w:hint="eastAsia"/>
                      <w:bCs/>
                      <w:szCs w:val="21"/>
                      <w:vertAlign w:val="subscript"/>
                    </w:rPr>
                    <w:t>x</w:t>
                  </w:r>
                </w:p>
              </w:tc>
              <w:tc>
                <w:tcPr>
                  <w:tcW w:w="495" w:type="pct"/>
                  <w:tcMar>
                    <w:left w:w="57" w:type="dxa"/>
                    <w:right w:w="57" w:type="dxa"/>
                  </w:tcMar>
                  <w:vAlign w:val="center"/>
                </w:tcPr>
                <w:p>
                  <w:pPr>
                    <w:adjustRightInd w:val="0"/>
                    <w:jc w:val="center"/>
                    <w:rPr>
                      <w:bCs/>
                      <w:szCs w:val="28"/>
                    </w:rPr>
                  </w:pPr>
                  <w:r>
                    <w:rPr>
                      <w:rFonts w:hint="eastAsia"/>
                      <w:bCs/>
                      <w:szCs w:val="28"/>
                    </w:rPr>
                    <w:t>2022.08</w:t>
                  </w:r>
                </w:p>
              </w:tc>
              <w:tc>
                <w:tcPr>
                  <w:tcW w:w="929" w:type="pct"/>
                  <w:tcMar>
                    <w:left w:w="57" w:type="dxa"/>
                    <w:right w:w="57" w:type="dxa"/>
                  </w:tcMar>
                  <w:vAlign w:val="center"/>
                </w:tcPr>
                <w:p>
                  <w:pPr>
                    <w:adjustRightInd w:val="0"/>
                    <w:jc w:val="center"/>
                    <w:rPr>
                      <w:bCs/>
                      <w:szCs w:val="28"/>
                    </w:rPr>
                  </w:pPr>
                  <w:r>
                    <w:rPr>
                      <w:rFonts w:hint="eastAsia"/>
                      <w:bCs/>
                      <w:szCs w:val="28"/>
                    </w:rPr>
                    <w:t>68</w:t>
                  </w:r>
                </w:p>
              </w:tc>
              <w:tc>
                <w:tcPr>
                  <w:tcW w:w="849" w:type="pct"/>
                  <w:tcMar>
                    <w:left w:w="57" w:type="dxa"/>
                    <w:right w:w="57" w:type="dxa"/>
                  </w:tcMar>
                  <w:vAlign w:val="center"/>
                </w:tcPr>
                <w:p>
                  <w:pPr>
                    <w:adjustRightInd w:val="0"/>
                    <w:jc w:val="center"/>
                    <w:rPr>
                      <w:bCs/>
                      <w:szCs w:val="28"/>
                    </w:rPr>
                  </w:pPr>
                  <w:r>
                    <w:rPr>
                      <w:rFonts w:hint="eastAsia"/>
                      <w:bCs/>
                      <w:szCs w:val="28"/>
                    </w:rPr>
                    <w:t>232</w:t>
                  </w:r>
                </w:p>
              </w:tc>
              <w:tc>
                <w:tcPr>
                  <w:tcW w:w="640" w:type="pct"/>
                  <w:tcMar>
                    <w:left w:w="57" w:type="dxa"/>
                    <w:right w:w="57" w:type="dxa"/>
                  </w:tcMar>
                  <w:vAlign w:val="center"/>
                </w:tcPr>
                <w:p>
                  <w:pPr>
                    <w:adjustRightInd w:val="0"/>
                    <w:jc w:val="center"/>
                    <w:rPr>
                      <w:bCs/>
                      <w:szCs w:val="28"/>
                    </w:rPr>
                  </w:pPr>
                  <w:r>
                    <w:rPr>
                      <w:rFonts w:hint="eastAsia"/>
                      <w:bCs/>
                      <w:szCs w:val="28"/>
                    </w:rPr>
                    <w:t>0.525</w:t>
                  </w:r>
                </w:p>
              </w:tc>
              <w:tc>
                <w:tcPr>
                  <w:tcW w:w="795" w:type="pct"/>
                  <w:tcMar>
                    <w:left w:w="57" w:type="dxa"/>
                    <w:right w:w="57" w:type="dxa"/>
                  </w:tcMar>
                  <w:vAlign w:val="center"/>
                </w:tcPr>
                <w:p>
                  <w:pPr>
                    <w:adjustRightInd w:val="0"/>
                    <w:jc w:val="center"/>
                    <w:rPr>
                      <w:bCs/>
                      <w:szCs w:val="28"/>
                    </w:rPr>
                  </w:pPr>
                  <w:r>
                    <w:rPr>
                      <w:rFonts w:hint="eastAsia"/>
                      <w:bCs/>
                      <w:szCs w:val="28"/>
                    </w:rPr>
                    <w:t>7759</w:t>
                  </w:r>
                </w:p>
              </w:tc>
              <w:tc>
                <w:tcPr>
                  <w:tcW w:w="711" w:type="pct"/>
                  <w:tcMar>
                    <w:left w:w="57" w:type="dxa"/>
                    <w:right w:w="57" w:type="dxa"/>
                  </w:tcMar>
                  <w:vAlign w:val="center"/>
                </w:tcPr>
                <w:p>
                  <w:pPr>
                    <w:adjustRightInd w:val="0"/>
                    <w:jc w:val="center"/>
                    <w:rPr>
                      <w:bCs/>
                      <w:szCs w:val="28"/>
                    </w:rPr>
                  </w:pPr>
                  <w:r>
                    <w:rPr>
                      <w:bCs/>
                      <w:szCs w:val="28"/>
                      <w:lang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2022.09</w:t>
                  </w:r>
                </w:p>
              </w:tc>
              <w:tc>
                <w:tcPr>
                  <w:tcW w:w="929" w:type="pct"/>
                  <w:tcMar>
                    <w:left w:w="57" w:type="dxa"/>
                    <w:right w:w="57" w:type="dxa"/>
                  </w:tcMar>
                  <w:vAlign w:val="center"/>
                </w:tcPr>
                <w:p>
                  <w:pPr>
                    <w:adjustRightInd w:val="0"/>
                    <w:jc w:val="center"/>
                    <w:rPr>
                      <w:bCs/>
                      <w:szCs w:val="28"/>
                    </w:rPr>
                  </w:pPr>
                  <w:r>
                    <w:rPr>
                      <w:rFonts w:hint="eastAsia"/>
                      <w:bCs/>
                      <w:szCs w:val="28"/>
                    </w:rPr>
                    <w:t>47</w:t>
                  </w:r>
                </w:p>
              </w:tc>
              <w:tc>
                <w:tcPr>
                  <w:tcW w:w="849" w:type="pct"/>
                  <w:tcMar>
                    <w:left w:w="57" w:type="dxa"/>
                    <w:right w:w="57" w:type="dxa"/>
                  </w:tcMar>
                  <w:vAlign w:val="center"/>
                </w:tcPr>
                <w:p>
                  <w:pPr>
                    <w:adjustRightInd w:val="0"/>
                    <w:jc w:val="center"/>
                    <w:rPr>
                      <w:bCs/>
                      <w:szCs w:val="28"/>
                    </w:rPr>
                  </w:pPr>
                  <w:r>
                    <w:rPr>
                      <w:rFonts w:hint="eastAsia"/>
                      <w:bCs/>
                      <w:szCs w:val="28"/>
                    </w:rPr>
                    <w:t>188</w:t>
                  </w:r>
                </w:p>
              </w:tc>
              <w:tc>
                <w:tcPr>
                  <w:tcW w:w="640" w:type="pct"/>
                  <w:tcMar>
                    <w:left w:w="57" w:type="dxa"/>
                    <w:right w:w="57" w:type="dxa"/>
                  </w:tcMar>
                  <w:vAlign w:val="center"/>
                </w:tcPr>
                <w:p>
                  <w:pPr>
                    <w:adjustRightInd w:val="0"/>
                    <w:jc w:val="center"/>
                    <w:rPr>
                      <w:bCs/>
                      <w:szCs w:val="28"/>
                    </w:rPr>
                  </w:pPr>
                  <w:r>
                    <w:rPr>
                      <w:rFonts w:hint="eastAsia"/>
                      <w:bCs/>
                      <w:szCs w:val="28"/>
                    </w:rPr>
                    <w:t>0.559</w:t>
                  </w:r>
                </w:p>
              </w:tc>
              <w:tc>
                <w:tcPr>
                  <w:tcW w:w="795" w:type="pct"/>
                  <w:tcMar>
                    <w:left w:w="57" w:type="dxa"/>
                    <w:right w:w="57" w:type="dxa"/>
                  </w:tcMar>
                  <w:vAlign w:val="center"/>
                </w:tcPr>
                <w:p>
                  <w:pPr>
                    <w:adjustRightInd w:val="0"/>
                    <w:jc w:val="center"/>
                    <w:rPr>
                      <w:bCs/>
                      <w:szCs w:val="28"/>
                    </w:rPr>
                  </w:pPr>
                  <w:r>
                    <w:rPr>
                      <w:rFonts w:hint="eastAsia"/>
                      <w:bCs/>
                      <w:szCs w:val="28"/>
                    </w:rPr>
                    <w:t>11986</w:t>
                  </w:r>
                </w:p>
              </w:tc>
              <w:tc>
                <w:tcPr>
                  <w:tcW w:w="711" w:type="pct"/>
                  <w:tcMar>
                    <w:left w:w="57" w:type="dxa"/>
                    <w:right w:w="57" w:type="dxa"/>
                  </w:tcMar>
                  <w:vAlign w:val="center"/>
                </w:tcPr>
                <w:p>
                  <w:pPr>
                    <w:adjustRightInd w:val="0"/>
                    <w:jc w:val="center"/>
                    <w:rPr>
                      <w:bCs/>
                      <w:szCs w:val="28"/>
                    </w:rPr>
                  </w:pPr>
                  <w:r>
                    <w:rPr>
                      <w:bCs/>
                      <w:szCs w:val="28"/>
                      <w:lang w:bidi="ar"/>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2022.10</w:t>
                  </w:r>
                </w:p>
              </w:tc>
              <w:tc>
                <w:tcPr>
                  <w:tcW w:w="929" w:type="pct"/>
                  <w:tcMar>
                    <w:left w:w="57" w:type="dxa"/>
                    <w:right w:w="57" w:type="dxa"/>
                  </w:tcMar>
                  <w:vAlign w:val="center"/>
                </w:tcPr>
                <w:p>
                  <w:pPr>
                    <w:adjustRightInd w:val="0"/>
                    <w:jc w:val="center"/>
                    <w:rPr>
                      <w:bCs/>
                      <w:szCs w:val="28"/>
                    </w:rPr>
                  </w:pPr>
                  <w:r>
                    <w:rPr>
                      <w:rFonts w:hint="eastAsia"/>
                      <w:bCs/>
                      <w:szCs w:val="28"/>
                    </w:rPr>
                    <w:t>48</w:t>
                  </w:r>
                </w:p>
              </w:tc>
              <w:tc>
                <w:tcPr>
                  <w:tcW w:w="849" w:type="pct"/>
                  <w:tcMar>
                    <w:left w:w="57" w:type="dxa"/>
                    <w:right w:w="57" w:type="dxa"/>
                  </w:tcMar>
                  <w:vAlign w:val="center"/>
                </w:tcPr>
                <w:p>
                  <w:pPr>
                    <w:adjustRightInd w:val="0"/>
                    <w:jc w:val="center"/>
                    <w:rPr>
                      <w:bCs/>
                      <w:szCs w:val="28"/>
                    </w:rPr>
                  </w:pPr>
                  <w:r>
                    <w:rPr>
                      <w:rFonts w:hint="eastAsia"/>
                      <w:bCs/>
                      <w:szCs w:val="28"/>
                    </w:rPr>
                    <w:t>186</w:t>
                  </w:r>
                </w:p>
              </w:tc>
              <w:tc>
                <w:tcPr>
                  <w:tcW w:w="640" w:type="pct"/>
                  <w:tcMar>
                    <w:left w:w="57" w:type="dxa"/>
                    <w:right w:w="57" w:type="dxa"/>
                  </w:tcMar>
                  <w:vAlign w:val="center"/>
                </w:tcPr>
                <w:p>
                  <w:pPr>
                    <w:adjustRightInd w:val="0"/>
                    <w:jc w:val="center"/>
                    <w:rPr>
                      <w:bCs/>
                      <w:szCs w:val="28"/>
                    </w:rPr>
                  </w:pPr>
                  <w:r>
                    <w:rPr>
                      <w:rFonts w:hint="eastAsia"/>
                      <w:bCs/>
                      <w:szCs w:val="28"/>
                    </w:rPr>
                    <w:t>0.539</w:t>
                  </w:r>
                </w:p>
              </w:tc>
              <w:tc>
                <w:tcPr>
                  <w:tcW w:w="795" w:type="pct"/>
                  <w:tcMar>
                    <w:left w:w="57" w:type="dxa"/>
                    <w:right w:w="57" w:type="dxa"/>
                  </w:tcMar>
                  <w:vAlign w:val="center"/>
                </w:tcPr>
                <w:p>
                  <w:pPr>
                    <w:adjustRightInd w:val="0"/>
                    <w:jc w:val="center"/>
                    <w:rPr>
                      <w:bCs/>
                      <w:szCs w:val="28"/>
                    </w:rPr>
                  </w:pPr>
                  <w:r>
                    <w:rPr>
                      <w:rFonts w:hint="eastAsia"/>
                      <w:bCs/>
                      <w:szCs w:val="28"/>
                    </w:rPr>
                    <w:t>11344</w:t>
                  </w:r>
                </w:p>
              </w:tc>
              <w:tc>
                <w:tcPr>
                  <w:tcW w:w="711" w:type="pct"/>
                  <w:tcMar>
                    <w:left w:w="57" w:type="dxa"/>
                    <w:right w:w="57" w:type="dxa"/>
                  </w:tcMar>
                  <w:vAlign w:val="center"/>
                </w:tcPr>
                <w:p>
                  <w:pPr>
                    <w:adjustRightInd w:val="0"/>
                    <w:jc w:val="center"/>
                    <w:rPr>
                      <w:bCs/>
                      <w:szCs w:val="28"/>
                    </w:rPr>
                  </w:pPr>
                  <w:r>
                    <w:rPr>
                      <w:bCs/>
                      <w:szCs w:val="28"/>
                      <w:lang w:bidi="ar"/>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2022.11</w:t>
                  </w:r>
                </w:p>
              </w:tc>
              <w:tc>
                <w:tcPr>
                  <w:tcW w:w="929" w:type="pct"/>
                  <w:tcMar>
                    <w:left w:w="57" w:type="dxa"/>
                    <w:right w:w="57" w:type="dxa"/>
                  </w:tcMar>
                  <w:vAlign w:val="center"/>
                </w:tcPr>
                <w:p>
                  <w:pPr>
                    <w:adjustRightInd w:val="0"/>
                    <w:jc w:val="center"/>
                    <w:rPr>
                      <w:bCs/>
                      <w:szCs w:val="28"/>
                    </w:rPr>
                  </w:pPr>
                  <w:r>
                    <w:rPr>
                      <w:rFonts w:hint="eastAsia"/>
                      <w:bCs/>
                      <w:szCs w:val="28"/>
                    </w:rPr>
                    <w:t>53</w:t>
                  </w:r>
                </w:p>
              </w:tc>
              <w:tc>
                <w:tcPr>
                  <w:tcW w:w="849" w:type="pct"/>
                  <w:tcMar>
                    <w:left w:w="57" w:type="dxa"/>
                    <w:right w:w="57" w:type="dxa"/>
                  </w:tcMar>
                  <w:vAlign w:val="center"/>
                </w:tcPr>
                <w:p>
                  <w:pPr>
                    <w:adjustRightInd w:val="0"/>
                    <w:jc w:val="center"/>
                    <w:rPr>
                      <w:bCs/>
                      <w:szCs w:val="28"/>
                    </w:rPr>
                  </w:pPr>
                  <w:r>
                    <w:rPr>
                      <w:rFonts w:hint="eastAsia"/>
                      <w:bCs/>
                      <w:szCs w:val="28"/>
                    </w:rPr>
                    <w:t>181</w:t>
                  </w:r>
                </w:p>
              </w:tc>
              <w:tc>
                <w:tcPr>
                  <w:tcW w:w="640" w:type="pct"/>
                  <w:tcMar>
                    <w:left w:w="57" w:type="dxa"/>
                    <w:right w:w="57" w:type="dxa"/>
                  </w:tcMar>
                  <w:vAlign w:val="center"/>
                </w:tcPr>
                <w:p>
                  <w:pPr>
                    <w:adjustRightInd w:val="0"/>
                    <w:jc w:val="center"/>
                    <w:rPr>
                      <w:bCs/>
                      <w:szCs w:val="28"/>
                    </w:rPr>
                  </w:pPr>
                  <w:r>
                    <w:rPr>
                      <w:rFonts w:hint="eastAsia"/>
                      <w:bCs/>
                      <w:szCs w:val="28"/>
                    </w:rPr>
                    <w:t>0.604</w:t>
                  </w:r>
                </w:p>
              </w:tc>
              <w:tc>
                <w:tcPr>
                  <w:tcW w:w="795" w:type="pct"/>
                  <w:tcMar>
                    <w:left w:w="57" w:type="dxa"/>
                    <w:right w:w="57" w:type="dxa"/>
                  </w:tcMar>
                  <w:vAlign w:val="center"/>
                </w:tcPr>
                <w:p>
                  <w:pPr>
                    <w:adjustRightInd w:val="0"/>
                    <w:jc w:val="center"/>
                    <w:rPr>
                      <w:bCs/>
                      <w:szCs w:val="28"/>
                    </w:rPr>
                  </w:pPr>
                  <w:r>
                    <w:rPr>
                      <w:rFonts w:hint="eastAsia"/>
                      <w:bCs/>
                      <w:szCs w:val="28"/>
                    </w:rPr>
                    <w:t>11468</w:t>
                  </w:r>
                </w:p>
              </w:tc>
              <w:tc>
                <w:tcPr>
                  <w:tcW w:w="711" w:type="pct"/>
                  <w:tcMar>
                    <w:left w:w="57" w:type="dxa"/>
                    <w:right w:w="57" w:type="dxa"/>
                  </w:tcMar>
                  <w:vAlign w:val="center"/>
                </w:tcPr>
                <w:p>
                  <w:pPr>
                    <w:adjustRightInd w:val="0"/>
                    <w:jc w:val="center"/>
                    <w:rPr>
                      <w:bCs/>
                      <w:szCs w:val="28"/>
                    </w:rPr>
                  </w:pPr>
                  <w:r>
                    <w:rPr>
                      <w:bCs/>
                      <w:szCs w:val="28"/>
                      <w:lang w:bidi="ar"/>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pct"/>
                  <w:vMerge w:val="continue"/>
                  <w:tcMar>
                    <w:left w:w="57" w:type="dxa"/>
                    <w:right w:w="57" w:type="dxa"/>
                  </w:tcMar>
                  <w:vAlign w:val="center"/>
                </w:tcPr>
                <w:p>
                  <w:pPr>
                    <w:adjustRightInd w:val="0"/>
                    <w:jc w:val="center"/>
                    <w:rPr>
                      <w:bCs/>
                      <w:szCs w:val="28"/>
                    </w:rPr>
                  </w:pPr>
                </w:p>
              </w:tc>
              <w:tc>
                <w:tcPr>
                  <w:tcW w:w="495" w:type="pct"/>
                  <w:tcMar>
                    <w:left w:w="57" w:type="dxa"/>
                    <w:right w:w="57" w:type="dxa"/>
                  </w:tcMar>
                  <w:vAlign w:val="center"/>
                </w:tcPr>
                <w:p>
                  <w:pPr>
                    <w:adjustRightInd w:val="0"/>
                    <w:jc w:val="center"/>
                    <w:rPr>
                      <w:bCs/>
                      <w:szCs w:val="28"/>
                    </w:rPr>
                  </w:pPr>
                  <w:r>
                    <w:rPr>
                      <w:rFonts w:hint="eastAsia"/>
                      <w:bCs/>
                      <w:szCs w:val="28"/>
                    </w:rPr>
                    <w:t>2022.12</w:t>
                  </w:r>
                </w:p>
              </w:tc>
              <w:tc>
                <w:tcPr>
                  <w:tcW w:w="929" w:type="pct"/>
                  <w:tcMar>
                    <w:left w:w="57" w:type="dxa"/>
                    <w:right w:w="57" w:type="dxa"/>
                  </w:tcMar>
                  <w:vAlign w:val="center"/>
                </w:tcPr>
                <w:p>
                  <w:pPr>
                    <w:adjustRightInd w:val="0"/>
                    <w:jc w:val="center"/>
                    <w:rPr>
                      <w:bCs/>
                      <w:szCs w:val="28"/>
                    </w:rPr>
                  </w:pPr>
                  <w:r>
                    <w:rPr>
                      <w:rFonts w:hint="eastAsia"/>
                      <w:bCs/>
                      <w:szCs w:val="28"/>
                    </w:rPr>
                    <w:t>52</w:t>
                  </w:r>
                </w:p>
              </w:tc>
              <w:tc>
                <w:tcPr>
                  <w:tcW w:w="849" w:type="pct"/>
                  <w:tcMar>
                    <w:left w:w="57" w:type="dxa"/>
                    <w:right w:w="57" w:type="dxa"/>
                  </w:tcMar>
                  <w:vAlign w:val="center"/>
                </w:tcPr>
                <w:p>
                  <w:pPr>
                    <w:adjustRightInd w:val="0"/>
                    <w:jc w:val="center"/>
                    <w:rPr>
                      <w:bCs/>
                      <w:szCs w:val="28"/>
                    </w:rPr>
                  </w:pPr>
                  <w:r>
                    <w:rPr>
                      <w:rFonts w:hint="eastAsia"/>
                      <w:bCs/>
                      <w:szCs w:val="28"/>
                    </w:rPr>
                    <w:t>201</w:t>
                  </w:r>
                </w:p>
              </w:tc>
              <w:tc>
                <w:tcPr>
                  <w:tcW w:w="640" w:type="pct"/>
                  <w:tcMar>
                    <w:left w:w="57" w:type="dxa"/>
                    <w:right w:w="57" w:type="dxa"/>
                  </w:tcMar>
                  <w:vAlign w:val="center"/>
                </w:tcPr>
                <w:p>
                  <w:pPr>
                    <w:adjustRightInd w:val="0"/>
                    <w:jc w:val="center"/>
                    <w:rPr>
                      <w:bCs/>
                      <w:szCs w:val="28"/>
                    </w:rPr>
                  </w:pPr>
                  <w:r>
                    <w:rPr>
                      <w:rFonts w:hint="eastAsia"/>
                      <w:bCs/>
                      <w:szCs w:val="28"/>
                    </w:rPr>
                    <w:t>0.607</w:t>
                  </w:r>
                </w:p>
              </w:tc>
              <w:tc>
                <w:tcPr>
                  <w:tcW w:w="795" w:type="pct"/>
                  <w:tcMar>
                    <w:left w:w="57" w:type="dxa"/>
                    <w:right w:w="57" w:type="dxa"/>
                  </w:tcMar>
                  <w:vAlign w:val="center"/>
                </w:tcPr>
                <w:p>
                  <w:pPr>
                    <w:adjustRightInd w:val="0"/>
                    <w:jc w:val="center"/>
                    <w:rPr>
                      <w:bCs/>
                      <w:szCs w:val="28"/>
                    </w:rPr>
                  </w:pPr>
                  <w:r>
                    <w:rPr>
                      <w:rFonts w:hint="eastAsia"/>
                      <w:bCs/>
                      <w:szCs w:val="28"/>
                    </w:rPr>
                    <w:t>11608</w:t>
                  </w:r>
                </w:p>
              </w:tc>
              <w:tc>
                <w:tcPr>
                  <w:tcW w:w="711" w:type="pct"/>
                  <w:tcMar>
                    <w:left w:w="57" w:type="dxa"/>
                    <w:right w:w="57" w:type="dxa"/>
                  </w:tcMar>
                  <w:vAlign w:val="center"/>
                </w:tcPr>
                <w:p>
                  <w:pPr>
                    <w:adjustRightInd w:val="0"/>
                    <w:jc w:val="center"/>
                    <w:rPr>
                      <w:bCs/>
                      <w:szCs w:val="28"/>
                    </w:rPr>
                  </w:pPr>
                  <w:r>
                    <w:rPr>
                      <w:bCs/>
                      <w:szCs w:val="28"/>
                      <w:lang w:bidi="ar"/>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pct"/>
                  <w:gridSpan w:val="2"/>
                  <w:tcMar>
                    <w:left w:w="57" w:type="dxa"/>
                    <w:right w:w="57" w:type="dxa"/>
                  </w:tcMar>
                  <w:vAlign w:val="center"/>
                </w:tcPr>
                <w:p>
                  <w:pPr>
                    <w:adjustRightInd w:val="0"/>
                    <w:jc w:val="center"/>
                    <w:rPr>
                      <w:bCs/>
                      <w:szCs w:val="28"/>
                    </w:rPr>
                  </w:pPr>
                  <w:r>
                    <w:rPr>
                      <w:rFonts w:hint="eastAsia"/>
                      <w:b/>
                      <w:szCs w:val="28"/>
                    </w:rPr>
                    <w:t>最大值</w:t>
                  </w:r>
                </w:p>
              </w:tc>
              <w:tc>
                <w:tcPr>
                  <w:tcW w:w="929" w:type="pct"/>
                  <w:tcMar>
                    <w:left w:w="57" w:type="dxa"/>
                    <w:right w:w="57" w:type="dxa"/>
                  </w:tcMar>
                  <w:vAlign w:val="center"/>
                </w:tcPr>
                <w:p>
                  <w:pPr>
                    <w:adjustRightInd w:val="0"/>
                    <w:jc w:val="center"/>
                    <w:rPr>
                      <w:b/>
                      <w:szCs w:val="28"/>
                    </w:rPr>
                  </w:pPr>
                  <w:r>
                    <w:rPr>
                      <w:rFonts w:hint="eastAsia"/>
                      <w:b/>
                      <w:szCs w:val="28"/>
                    </w:rPr>
                    <w:t>68</w:t>
                  </w:r>
                </w:p>
              </w:tc>
              <w:tc>
                <w:tcPr>
                  <w:tcW w:w="849" w:type="pct"/>
                  <w:tcMar>
                    <w:left w:w="57" w:type="dxa"/>
                    <w:right w:w="57" w:type="dxa"/>
                  </w:tcMar>
                  <w:vAlign w:val="center"/>
                </w:tcPr>
                <w:p>
                  <w:pPr>
                    <w:adjustRightInd w:val="0"/>
                    <w:jc w:val="center"/>
                    <w:rPr>
                      <w:b/>
                      <w:szCs w:val="28"/>
                    </w:rPr>
                  </w:pPr>
                  <w:r>
                    <w:rPr>
                      <w:rFonts w:hint="eastAsia"/>
                      <w:b/>
                      <w:szCs w:val="28"/>
                    </w:rPr>
                    <w:t>232</w:t>
                  </w:r>
                </w:p>
              </w:tc>
              <w:tc>
                <w:tcPr>
                  <w:tcW w:w="640" w:type="pct"/>
                  <w:tcMar>
                    <w:left w:w="57" w:type="dxa"/>
                    <w:right w:w="57" w:type="dxa"/>
                  </w:tcMar>
                  <w:vAlign w:val="center"/>
                </w:tcPr>
                <w:p>
                  <w:pPr>
                    <w:adjustRightInd w:val="0"/>
                    <w:jc w:val="center"/>
                    <w:rPr>
                      <w:b/>
                      <w:szCs w:val="28"/>
                    </w:rPr>
                  </w:pPr>
                  <w:r>
                    <w:rPr>
                      <w:rFonts w:hint="eastAsia"/>
                      <w:b/>
                      <w:szCs w:val="28"/>
                    </w:rPr>
                    <w:t>0.607</w:t>
                  </w:r>
                </w:p>
              </w:tc>
              <w:tc>
                <w:tcPr>
                  <w:tcW w:w="795" w:type="pct"/>
                  <w:tcMar>
                    <w:left w:w="57" w:type="dxa"/>
                    <w:right w:w="57" w:type="dxa"/>
                  </w:tcMar>
                  <w:vAlign w:val="center"/>
                </w:tcPr>
                <w:p>
                  <w:pPr>
                    <w:adjustRightInd w:val="0"/>
                    <w:jc w:val="center"/>
                    <w:rPr>
                      <w:b/>
                      <w:szCs w:val="28"/>
                    </w:rPr>
                  </w:pPr>
                  <w:r>
                    <w:rPr>
                      <w:rFonts w:hint="eastAsia" w:eastAsia="等线"/>
                      <w:b/>
                      <w:bCs/>
                      <w:szCs w:val="21"/>
                    </w:rPr>
                    <w:t>11986</w:t>
                  </w:r>
                </w:p>
              </w:tc>
              <w:tc>
                <w:tcPr>
                  <w:tcW w:w="711" w:type="pct"/>
                  <w:tcMar>
                    <w:left w:w="57" w:type="dxa"/>
                    <w:right w:w="57" w:type="dxa"/>
                  </w:tcMar>
                  <w:vAlign w:val="center"/>
                </w:tcPr>
                <w:p>
                  <w:pPr>
                    <w:adjustRightInd w:val="0"/>
                    <w:jc w:val="center"/>
                    <w:rPr>
                      <w:rFonts w:eastAsia="等线"/>
                      <w:b/>
                      <w:bCs/>
                      <w:szCs w:val="21"/>
                    </w:rPr>
                  </w:pPr>
                  <w:r>
                    <w:rPr>
                      <w:rFonts w:hint="eastAsia" w:eastAsia="等线"/>
                      <w:b/>
                      <w:bCs/>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3" w:type="pct"/>
                  <w:gridSpan w:val="2"/>
                  <w:tcMar>
                    <w:left w:w="57" w:type="dxa"/>
                    <w:right w:w="57" w:type="dxa"/>
                  </w:tcMar>
                  <w:vAlign w:val="center"/>
                </w:tcPr>
                <w:p>
                  <w:pPr>
                    <w:adjustRightInd w:val="0"/>
                    <w:jc w:val="center"/>
                    <w:rPr>
                      <w:b/>
                      <w:szCs w:val="28"/>
                    </w:rPr>
                  </w:pPr>
                  <w:r>
                    <w:rPr>
                      <w:rFonts w:hint="eastAsia"/>
                      <w:bCs/>
                      <w:szCs w:val="28"/>
                    </w:rPr>
                    <w:t>备注</w:t>
                  </w:r>
                </w:p>
              </w:tc>
              <w:tc>
                <w:tcPr>
                  <w:tcW w:w="3926" w:type="pct"/>
                  <w:gridSpan w:val="5"/>
                  <w:tcMar>
                    <w:left w:w="57" w:type="dxa"/>
                    <w:right w:w="57" w:type="dxa"/>
                  </w:tcMar>
                  <w:vAlign w:val="center"/>
                </w:tcPr>
                <w:p>
                  <w:pPr>
                    <w:adjustRightInd w:val="0"/>
                    <w:jc w:val="center"/>
                    <w:rPr>
                      <w:bCs/>
                      <w:szCs w:val="28"/>
                    </w:rPr>
                  </w:pPr>
                  <w:r>
                    <w:rPr>
                      <w:rFonts w:hint="eastAsia"/>
                      <w:bCs/>
                      <w:szCs w:val="28"/>
                    </w:rPr>
                    <w:t>根据《固定污染源排气中颗粒物测定于气态污染物采样方法》（G</w:t>
                  </w:r>
                  <w:r>
                    <w:rPr>
                      <w:bCs/>
                      <w:szCs w:val="28"/>
                    </w:rPr>
                    <w:t>B/T16157-1996</w:t>
                  </w:r>
                  <w:r>
                    <w:rPr>
                      <w:rFonts w:hint="eastAsia"/>
                      <w:bCs/>
                      <w:szCs w:val="28"/>
                    </w:rPr>
                    <w:t>）修改单中增加的内容：采用本标准测定浓度小于等于2</w:t>
                  </w:r>
                  <w:r>
                    <w:rPr>
                      <w:bCs/>
                      <w:szCs w:val="28"/>
                    </w:rPr>
                    <w:t>0mg/m</w:t>
                  </w:r>
                  <w:r>
                    <w:rPr>
                      <w:bCs/>
                      <w:szCs w:val="28"/>
                      <w:vertAlign w:val="superscript"/>
                    </w:rPr>
                    <w:t>3</w:t>
                  </w:r>
                  <w:r>
                    <w:rPr>
                      <w:rFonts w:hint="eastAsia"/>
                      <w:bCs/>
                      <w:szCs w:val="28"/>
                    </w:rPr>
                    <w:t>时，测定结果表述为“＜2</w:t>
                  </w:r>
                  <w:r>
                    <w:rPr>
                      <w:bCs/>
                      <w:szCs w:val="28"/>
                    </w:rPr>
                    <w:t>0mg/m</w:t>
                  </w:r>
                  <w:r>
                    <w:rPr>
                      <w:bCs/>
                      <w:szCs w:val="28"/>
                      <w:vertAlign w:val="superscript"/>
                    </w:rPr>
                    <w:t>3</w:t>
                  </w:r>
                  <w:r>
                    <w:rPr>
                      <w:rFonts w:hint="eastAsia"/>
                      <w:bCs/>
                      <w:szCs w:val="28"/>
                    </w:rPr>
                    <w:t>”。</w:t>
                  </w:r>
                </w:p>
              </w:tc>
            </w:tr>
          </w:tbl>
          <w:p>
            <w:pPr>
              <w:adjustRightInd w:val="0"/>
              <w:spacing w:before="120" w:beforeLines="50" w:line="360" w:lineRule="auto"/>
              <w:ind w:firstLine="480" w:firstLineChars="200"/>
              <w:rPr>
                <w:bCs/>
                <w:sz w:val="24"/>
                <w:szCs w:val="28"/>
              </w:rPr>
            </w:pPr>
            <w:r>
              <w:rPr>
                <w:rFonts w:hint="eastAsia"/>
                <w:bCs/>
                <w:sz w:val="24"/>
                <w:szCs w:val="28"/>
              </w:rPr>
              <w:t>根据上表监测结果统计，本项目新增5</w:t>
            </w:r>
            <w:r>
              <w:rPr>
                <w:bCs/>
                <w:sz w:val="24"/>
                <w:szCs w:val="28"/>
              </w:rPr>
              <w:t>t/h</w:t>
            </w:r>
            <w:r>
              <w:rPr>
                <w:rFonts w:hint="eastAsia"/>
                <w:bCs/>
                <w:sz w:val="24"/>
                <w:szCs w:val="28"/>
              </w:rPr>
              <w:t>锅炉废气排放口颗粒物排放浓度40.5</w:t>
            </w:r>
            <w:r>
              <w:rPr>
                <w:bCs/>
                <w:sz w:val="24"/>
                <w:szCs w:val="28"/>
              </w:rPr>
              <w:t>m</w:t>
            </w:r>
            <w:r>
              <w:rPr>
                <w:rFonts w:hint="eastAsia"/>
                <w:bCs/>
                <w:sz w:val="24"/>
                <w:szCs w:val="28"/>
              </w:rPr>
              <w:t>g</w:t>
            </w:r>
            <w:r>
              <w:rPr>
                <w:bCs/>
                <w:sz w:val="24"/>
                <w:szCs w:val="28"/>
              </w:rPr>
              <w:t>/m</w:t>
            </w:r>
            <w:r>
              <w:rPr>
                <w:bCs/>
                <w:sz w:val="24"/>
                <w:szCs w:val="28"/>
                <w:vertAlign w:val="superscript"/>
              </w:rPr>
              <w:t>3</w:t>
            </w:r>
            <w:r>
              <w:rPr>
                <w:rFonts w:hint="eastAsia"/>
                <w:bCs/>
                <w:sz w:val="24"/>
                <w:szCs w:val="28"/>
              </w:rPr>
              <w:t>，SO</w:t>
            </w:r>
            <w:r>
              <w:rPr>
                <w:rFonts w:hint="eastAsia"/>
                <w:bCs/>
                <w:sz w:val="24"/>
                <w:szCs w:val="28"/>
                <w:vertAlign w:val="subscript"/>
              </w:rPr>
              <w:t>2</w:t>
            </w:r>
            <w:r>
              <w:rPr>
                <w:rFonts w:hint="eastAsia"/>
                <w:bCs/>
                <w:sz w:val="24"/>
                <w:szCs w:val="28"/>
              </w:rPr>
              <w:t>排放浓度为224</w:t>
            </w:r>
            <w:r>
              <w:rPr>
                <w:bCs/>
                <w:sz w:val="24"/>
                <w:szCs w:val="28"/>
              </w:rPr>
              <w:t>m</w:t>
            </w:r>
            <w:r>
              <w:rPr>
                <w:rFonts w:hint="eastAsia"/>
                <w:bCs/>
                <w:sz w:val="24"/>
                <w:szCs w:val="28"/>
              </w:rPr>
              <w:t>g</w:t>
            </w:r>
            <w:r>
              <w:rPr>
                <w:bCs/>
                <w:sz w:val="24"/>
                <w:szCs w:val="28"/>
              </w:rPr>
              <w:t>/m</w:t>
            </w:r>
            <w:r>
              <w:rPr>
                <w:bCs/>
                <w:sz w:val="24"/>
                <w:szCs w:val="28"/>
                <w:vertAlign w:val="superscript"/>
              </w:rPr>
              <w:t>3</w:t>
            </w:r>
            <w:r>
              <w:rPr>
                <w:rFonts w:hint="eastAsia"/>
                <w:bCs/>
                <w:sz w:val="24"/>
                <w:szCs w:val="28"/>
              </w:rPr>
              <w:t>，NO</w:t>
            </w:r>
            <w:r>
              <w:rPr>
                <w:rFonts w:hint="eastAsia"/>
                <w:bCs/>
                <w:sz w:val="24"/>
                <w:szCs w:val="28"/>
                <w:vertAlign w:val="subscript"/>
              </w:rPr>
              <w:t>x</w:t>
            </w:r>
            <w:r>
              <w:rPr>
                <w:rFonts w:hint="eastAsia"/>
                <w:bCs/>
                <w:sz w:val="24"/>
                <w:szCs w:val="28"/>
              </w:rPr>
              <w:t>排放浓度为232</w:t>
            </w:r>
            <w:r>
              <w:rPr>
                <w:bCs/>
                <w:sz w:val="24"/>
                <w:szCs w:val="28"/>
              </w:rPr>
              <w:t>m</w:t>
            </w:r>
            <w:r>
              <w:rPr>
                <w:rFonts w:hint="eastAsia"/>
                <w:bCs/>
                <w:sz w:val="24"/>
                <w:szCs w:val="28"/>
              </w:rPr>
              <w:t>g</w:t>
            </w:r>
            <w:r>
              <w:rPr>
                <w:bCs/>
                <w:sz w:val="24"/>
                <w:szCs w:val="28"/>
              </w:rPr>
              <w:t>/m</w:t>
            </w:r>
            <w:r>
              <w:rPr>
                <w:bCs/>
                <w:sz w:val="24"/>
                <w:szCs w:val="28"/>
                <w:vertAlign w:val="superscript"/>
              </w:rPr>
              <w:t>3</w:t>
            </w:r>
            <w:r>
              <w:rPr>
                <w:rFonts w:hint="eastAsia"/>
                <w:bCs/>
                <w:sz w:val="24"/>
                <w:szCs w:val="28"/>
              </w:rPr>
              <w:t>，能满足《锅炉大气污染物排放标准》（GB13271-2014）表2中燃煤锅炉标准要求，即：</w:t>
            </w:r>
            <w:r>
              <w:rPr>
                <w:bCs/>
                <w:sz w:val="24"/>
                <w:szCs w:val="28"/>
              </w:rPr>
              <w:t>颗粒物≤50mg/m</w:t>
            </w:r>
            <w:r>
              <w:rPr>
                <w:bCs/>
                <w:sz w:val="24"/>
                <w:szCs w:val="28"/>
                <w:vertAlign w:val="superscript"/>
              </w:rPr>
              <w:t>3</w:t>
            </w:r>
            <w:r>
              <w:rPr>
                <w:rFonts w:hint="eastAsia"/>
                <w:bCs/>
                <w:sz w:val="24"/>
                <w:szCs w:val="28"/>
              </w:rPr>
              <w:t>，NO</w:t>
            </w:r>
            <w:r>
              <w:rPr>
                <w:rFonts w:hint="eastAsia"/>
                <w:bCs/>
                <w:sz w:val="24"/>
                <w:szCs w:val="28"/>
                <w:vertAlign w:val="subscript"/>
              </w:rPr>
              <w:t>x</w:t>
            </w:r>
            <w:r>
              <w:rPr>
                <w:bCs/>
                <w:sz w:val="24"/>
                <w:szCs w:val="28"/>
              </w:rPr>
              <w:t>≤</w:t>
            </w:r>
            <w:r>
              <w:rPr>
                <w:rFonts w:hint="eastAsia"/>
                <w:bCs/>
                <w:sz w:val="24"/>
                <w:szCs w:val="28"/>
              </w:rPr>
              <w:t>3</w:t>
            </w:r>
            <w:r>
              <w:rPr>
                <w:bCs/>
                <w:sz w:val="24"/>
                <w:szCs w:val="28"/>
              </w:rPr>
              <w:t>00m</w:t>
            </w:r>
            <w:r>
              <w:rPr>
                <w:rFonts w:hint="eastAsia"/>
                <w:bCs/>
                <w:sz w:val="24"/>
                <w:szCs w:val="28"/>
              </w:rPr>
              <w:t>g</w:t>
            </w:r>
            <w:r>
              <w:rPr>
                <w:bCs/>
                <w:sz w:val="24"/>
                <w:szCs w:val="28"/>
              </w:rPr>
              <w:t>/m</w:t>
            </w:r>
            <w:r>
              <w:rPr>
                <w:bCs/>
                <w:sz w:val="24"/>
                <w:szCs w:val="28"/>
                <w:vertAlign w:val="superscript"/>
              </w:rPr>
              <w:t>3</w:t>
            </w:r>
            <w:r>
              <w:rPr>
                <w:rFonts w:hint="eastAsia"/>
                <w:bCs/>
                <w:sz w:val="24"/>
                <w:szCs w:val="28"/>
              </w:rPr>
              <w:t>，SO</w:t>
            </w:r>
            <w:r>
              <w:rPr>
                <w:rFonts w:hint="eastAsia"/>
                <w:bCs/>
                <w:sz w:val="24"/>
                <w:szCs w:val="28"/>
                <w:vertAlign w:val="subscript"/>
              </w:rPr>
              <w:t>2</w:t>
            </w:r>
            <w:r>
              <w:rPr>
                <w:bCs/>
                <w:sz w:val="24"/>
                <w:szCs w:val="28"/>
              </w:rPr>
              <w:t>≤300m</w:t>
            </w:r>
            <w:r>
              <w:rPr>
                <w:rFonts w:hint="eastAsia"/>
                <w:bCs/>
                <w:sz w:val="24"/>
                <w:szCs w:val="28"/>
              </w:rPr>
              <w:t>g</w:t>
            </w:r>
            <w:r>
              <w:rPr>
                <w:bCs/>
                <w:sz w:val="24"/>
                <w:szCs w:val="28"/>
              </w:rPr>
              <w:t>/m</w:t>
            </w:r>
            <w:r>
              <w:rPr>
                <w:bCs/>
                <w:sz w:val="24"/>
                <w:szCs w:val="28"/>
                <w:vertAlign w:val="superscript"/>
              </w:rPr>
              <w:t>3</w:t>
            </w:r>
            <w:r>
              <w:rPr>
                <w:rFonts w:hint="eastAsia"/>
                <w:bCs/>
                <w:sz w:val="24"/>
                <w:szCs w:val="28"/>
              </w:rPr>
              <w:t>；</w:t>
            </w:r>
          </w:p>
          <w:p>
            <w:pPr>
              <w:adjustRightInd w:val="0"/>
              <w:spacing w:line="360" w:lineRule="auto"/>
              <w:ind w:firstLine="480" w:firstLineChars="200"/>
              <w:rPr>
                <w:bCs/>
                <w:sz w:val="24"/>
                <w:szCs w:val="28"/>
              </w:rPr>
            </w:pPr>
            <w:r>
              <w:rPr>
                <w:rFonts w:hint="eastAsia"/>
                <w:bCs/>
                <w:sz w:val="24"/>
                <w:szCs w:val="28"/>
              </w:rPr>
              <w:t>颗粒物排放速率0.120</w:t>
            </w:r>
            <w:r>
              <w:rPr>
                <w:bCs/>
                <w:sz w:val="24"/>
                <w:szCs w:val="28"/>
              </w:rPr>
              <w:t>kg/h</w:t>
            </w:r>
            <w:r>
              <w:rPr>
                <w:rFonts w:hint="eastAsia"/>
                <w:bCs/>
                <w:sz w:val="24"/>
                <w:szCs w:val="28"/>
              </w:rPr>
              <w:t>，SO</w:t>
            </w:r>
            <w:r>
              <w:rPr>
                <w:rFonts w:hint="eastAsia"/>
                <w:bCs/>
                <w:sz w:val="24"/>
                <w:szCs w:val="28"/>
                <w:vertAlign w:val="subscript"/>
              </w:rPr>
              <w:t>2</w:t>
            </w:r>
            <w:r>
              <w:rPr>
                <w:rFonts w:hint="eastAsia"/>
                <w:bCs/>
                <w:sz w:val="24"/>
                <w:szCs w:val="28"/>
              </w:rPr>
              <w:t>排放速率0.651</w:t>
            </w:r>
            <w:r>
              <w:rPr>
                <w:bCs/>
                <w:sz w:val="24"/>
                <w:szCs w:val="28"/>
              </w:rPr>
              <w:t>kg/h</w:t>
            </w:r>
            <w:r>
              <w:rPr>
                <w:rFonts w:hint="eastAsia"/>
                <w:bCs/>
                <w:sz w:val="24"/>
                <w:szCs w:val="28"/>
              </w:rPr>
              <w:t>，NO</w:t>
            </w:r>
            <w:r>
              <w:rPr>
                <w:rFonts w:hint="eastAsia"/>
                <w:bCs/>
                <w:sz w:val="24"/>
                <w:szCs w:val="28"/>
                <w:vertAlign w:val="subscript"/>
              </w:rPr>
              <w:t>x</w:t>
            </w:r>
            <w:r>
              <w:rPr>
                <w:rFonts w:hint="eastAsia"/>
                <w:bCs/>
                <w:sz w:val="24"/>
                <w:szCs w:val="28"/>
              </w:rPr>
              <w:t>排放速率0.607</w:t>
            </w:r>
            <w:r>
              <w:rPr>
                <w:bCs/>
                <w:sz w:val="24"/>
                <w:szCs w:val="28"/>
              </w:rPr>
              <w:t>kg/h</w:t>
            </w:r>
            <w:r>
              <w:rPr>
                <w:rFonts w:hint="eastAsia"/>
                <w:bCs/>
                <w:sz w:val="24"/>
                <w:szCs w:val="28"/>
              </w:rPr>
              <w:t>，锅炉年运行时间为7</w:t>
            </w:r>
            <w:r>
              <w:rPr>
                <w:bCs/>
                <w:sz w:val="24"/>
                <w:szCs w:val="28"/>
              </w:rPr>
              <w:t>200h</w:t>
            </w:r>
            <w:r>
              <w:rPr>
                <w:rFonts w:hint="eastAsia"/>
                <w:bCs/>
                <w:sz w:val="24"/>
                <w:szCs w:val="28"/>
              </w:rPr>
              <w:t>，可计算出本项目新增5t/h锅炉颗粒物排放量为0.864t/a，SO</w:t>
            </w:r>
            <w:r>
              <w:rPr>
                <w:rFonts w:hint="eastAsia"/>
                <w:bCs/>
                <w:sz w:val="24"/>
                <w:szCs w:val="28"/>
                <w:vertAlign w:val="subscript"/>
              </w:rPr>
              <w:t>2</w:t>
            </w:r>
            <w:r>
              <w:rPr>
                <w:rFonts w:hint="eastAsia"/>
                <w:bCs/>
                <w:sz w:val="24"/>
                <w:szCs w:val="28"/>
              </w:rPr>
              <w:t>排放量为4.69t/a、NO</w:t>
            </w:r>
            <w:r>
              <w:rPr>
                <w:rFonts w:hint="eastAsia"/>
                <w:bCs/>
                <w:sz w:val="24"/>
                <w:szCs w:val="28"/>
                <w:vertAlign w:val="subscript"/>
              </w:rPr>
              <w:t>x</w:t>
            </w:r>
            <w:r>
              <w:rPr>
                <w:rFonts w:hint="eastAsia"/>
                <w:bCs/>
                <w:sz w:val="24"/>
                <w:szCs w:val="28"/>
              </w:rPr>
              <w:t>排放量为4.37t/a；</w:t>
            </w:r>
          </w:p>
          <w:p>
            <w:pPr>
              <w:adjustRightInd w:val="0"/>
              <w:spacing w:line="360" w:lineRule="auto"/>
              <w:ind w:firstLine="480" w:firstLineChars="200"/>
              <w:rPr>
                <w:bCs/>
                <w:sz w:val="24"/>
                <w:szCs w:val="28"/>
              </w:rPr>
            </w:pPr>
            <w:r>
              <w:rPr>
                <w:rFonts w:hint="eastAsia"/>
                <w:bCs/>
                <w:sz w:val="24"/>
                <w:szCs w:val="28"/>
              </w:rPr>
              <w:t>本项目5t/h锅炉设置“多管旋风除尘+水膜除尘”装置对废气进行处理，根据“4430工业锅炉（热力生产和供应行业）产污系数表-生物质工业锅炉”可知，末端治理技术采用“多管旋风除尘”法对颗粒物的去除效率为70%，水膜除尘属于湿处理，对颗粒物的去除效率为80%，项目废气处理装置对颗粒物的综合去除效率取</w:t>
            </w:r>
            <w:r>
              <w:rPr>
                <w:bCs/>
                <w:sz w:val="24"/>
                <w:szCs w:val="28"/>
              </w:rPr>
              <w:t>94</w:t>
            </w:r>
            <w:r>
              <w:rPr>
                <w:rFonts w:hint="eastAsia"/>
                <w:bCs/>
                <w:sz w:val="24"/>
                <w:szCs w:val="28"/>
              </w:rPr>
              <w:t>%；由此可知，本项目5t/h锅炉废气中颗粒物产生量为14.4t/a、产生速率2kg/h</w:t>
            </w:r>
            <w:r>
              <w:rPr>
                <w:rFonts w:hint="eastAsia"/>
                <w:bCs/>
                <w:sz w:val="24"/>
                <w:szCs w:val="28"/>
                <w:highlight w:val="green"/>
              </w:rPr>
              <w:t>，烟气流量为11986m</w:t>
            </w:r>
            <w:r>
              <w:rPr>
                <w:rFonts w:hint="eastAsia"/>
                <w:bCs/>
                <w:sz w:val="24"/>
                <w:szCs w:val="28"/>
                <w:highlight w:val="green"/>
                <w:vertAlign w:val="superscript"/>
              </w:rPr>
              <w:t>3</w:t>
            </w:r>
            <w:r>
              <w:rPr>
                <w:rFonts w:hint="eastAsia"/>
                <w:bCs/>
                <w:sz w:val="24"/>
                <w:szCs w:val="28"/>
                <w:highlight w:val="green"/>
              </w:rPr>
              <w:t>/h</w:t>
            </w:r>
            <w:r>
              <w:rPr>
                <w:rFonts w:hint="eastAsia"/>
                <w:bCs/>
                <w:sz w:val="24"/>
                <w:szCs w:val="28"/>
              </w:rPr>
              <w:t>，产生浓度166.86mg/m</w:t>
            </w:r>
            <w:r>
              <w:rPr>
                <w:rFonts w:hint="eastAsia"/>
                <w:bCs/>
                <w:sz w:val="24"/>
                <w:szCs w:val="28"/>
                <w:vertAlign w:val="superscript"/>
              </w:rPr>
              <w:t>3</w:t>
            </w:r>
            <w:r>
              <w:rPr>
                <w:rFonts w:hint="eastAsia"/>
                <w:bCs/>
                <w:sz w:val="24"/>
                <w:szCs w:val="28"/>
              </w:rPr>
              <w:t>；锅炉烟气处理设施对SO</w:t>
            </w:r>
            <w:r>
              <w:rPr>
                <w:rFonts w:hint="eastAsia"/>
                <w:bCs/>
                <w:sz w:val="24"/>
                <w:szCs w:val="28"/>
                <w:vertAlign w:val="subscript"/>
              </w:rPr>
              <w:t>2</w:t>
            </w:r>
            <w:r>
              <w:rPr>
                <w:rFonts w:hint="eastAsia"/>
                <w:bCs/>
                <w:sz w:val="24"/>
                <w:szCs w:val="28"/>
              </w:rPr>
              <w:t>、NO</w:t>
            </w:r>
            <w:r>
              <w:rPr>
                <w:rFonts w:hint="eastAsia"/>
                <w:bCs/>
                <w:sz w:val="24"/>
                <w:szCs w:val="28"/>
                <w:vertAlign w:val="subscript"/>
              </w:rPr>
              <w:t>x</w:t>
            </w:r>
            <w:r>
              <w:rPr>
                <w:rFonts w:hint="eastAsia"/>
                <w:bCs/>
                <w:sz w:val="24"/>
                <w:szCs w:val="28"/>
              </w:rPr>
              <w:t>不具有处理效率作用。</w:t>
            </w:r>
          </w:p>
          <w:p>
            <w:pPr>
              <w:widowControl/>
              <w:adjustRightInd w:val="0"/>
              <w:spacing w:line="360" w:lineRule="auto"/>
              <w:jc w:val="center"/>
              <w:rPr>
                <w:rFonts w:cs="宋体"/>
                <w:b/>
                <w:bCs/>
                <w:kern w:val="0"/>
                <w:sz w:val="24"/>
                <w:szCs w:val="20"/>
                <w:highlight w:val="green"/>
                <w:lang w:bidi="ar"/>
              </w:rPr>
            </w:pPr>
            <w:r>
              <w:rPr>
                <w:rFonts w:hint="eastAsia" w:cs="宋体"/>
                <w:b/>
                <w:bCs/>
                <w:kern w:val="0"/>
                <w:sz w:val="24"/>
                <w:szCs w:val="20"/>
                <w:highlight w:val="green"/>
                <w:lang w:bidi="ar"/>
              </w:rPr>
              <w:t>表4-4  本</w:t>
            </w:r>
            <w:r>
              <w:rPr>
                <w:rFonts w:cs="宋体"/>
                <w:b/>
                <w:bCs/>
                <w:kern w:val="0"/>
                <w:sz w:val="24"/>
                <w:szCs w:val="20"/>
                <w:highlight w:val="green"/>
                <w:lang w:bidi="ar"/>
              </w:rPr>
              <w:t>项目</w:t>
            </w:r>
            <w:r>
              <w:rPr>
                <w:rFonts w:hint="eastAsia" w:cs="宋体"/>
                <w:b/>
                <w:bCs/>
                <w:kern w:val="0"/>
                <w:sz w:val="24"/>
                <w:szCs w:val="20"/>
                <w:highlight w:val="green"/>
                <w:lang w:bidi="ar"/>
              </w:rPr>
              <w:t>废气</w:t>
            </w:r>
            <w:r>
              <w:rPr>
                <w:rFonts w:cs="宋体"/>
                <w:b/>
                <w:bCs/>
                <w:kern w:val="0"/>
                <w:sz w:val="24"/>
                <w:szCs w:val="20"/>
                <w:highlight w:val="green"/>
                <w:lang w:bidi="ar"/>
              </w:rPr>
              <w:t>污染物</w:t>
            </w:r>
            <w:r>
              <w:rPr>
                <w:rFonts w:hint="eastAsia" w:cs="宋体"/>
                <w:b/>
                <w:bCs/>
                <w:kern w:val="0"/>
                <w:sz w:val="24"/>
                <w:szCs w:val="20"/>
                <w:highlight w:val="green"/>
                <w:lang w:bidi="ar"/>
              </w:rPr>
              <w:t>正常</w:t>
            </w:r>
            <w:r>
              <w:rPr>
                <w:rFonts w:cs="宋体"/>
                <w:b/>
                <w:bCs/>
                <w:kern w:val="0"/>
                <w:sz w:val="24"/>
                <w:szCs w:val="20"/>
                <w:highlight w:val="green"/>
                <w:lang w:bidi="ar"/>
              </w:rPr>
              <w:t>排放情况一览表</w:t>
            </w:r>
          </w:p>
          <w:tbl>
            <w:tblPr>
              <w:tblStyle w:val="32"/>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572"/>
              <w:gridCol w:w="657"/>
              <w:gridCol w:w="709"/>
              <w:gridCol w:w="827"/>
              <w:gridCol w:w="819"/>
              <w:gridCol w:w="983"/>
              <w:gridCol w:w="1109"/>
              <w:gridCol w:w="608"/>
              <w:gridCol w:w="626"/>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32" w:type="pct"/>
                  <w:vMerge w:val="restart"/>
                  <w:tcMar>
                    <w:left w:w="57" w:type="dxa"/>
                    <w:right w:w="57" w:type="dxa"/>
                  </w:tcMar>
                  <w:vAlign w:val="center"/>
                </w:tcPr>
                <w:p>
                  <w:pPr>
                    <w:adjustRightInd w:val="0"/>
                    <w:jc w:val="center"/>
                    <w:rPr>
                      <w:b/>
                      <w:bCs/>
                      <w:szCs w:val="21"/>
                      <w:highlight w:val="green"/>
                    </w:rPr>
                  </w:pPr>
                  <w:r>
                    <w:rPr>
                      <w:rFonts w:hint="eastAsia"/>
                      <w:b/>
                      <w:bCs/>
                      <w:szCs w:val="21"/>
                      <w:highlight w:val="green"/>
                    </w:rPr>
                    <w:t>排放方式</w:t>
                  </w:r>
                </w:p>
              </w:tc>
              <w:tc>
                <w:tcPr>
                  <w:tcW w:w="349" w:type="pct"/>
                  <w:vMerge w:val="restart"/>
                  <w:tcMar>
                    <w:left w:w="57" w:type="dxa"/>
                    <w:right w:w="57" w:type="dxa"/>
                  </w:tcMar>
                  <w:vAlign w:val="center"/>
                </w:tcPr>
                <w:p>
                  <w:pPr>
                    <w:adjustRightInd w:val="0"/>
                    <w:jc w:val="center"/>
                    <w:rPr>
                      <w:b/>
                      <w:bCs/>
                      <w:szCs w:val="21"/>
                      <w:highlight w:val="green"/>
                    </w:rPr>
                  </w:pPr>
                  <w:r>
                    <w:rPr>
                      <w:b/>
                      <w:bCs/>
                      <w:szCs w:val="21"/>
                      <w:highlight w:val="green"/>
                    </w:rPr>
                    <w:t>污染源</w:t>
                  </w:r>
                </w:p>
              </w:tc>
              <w:tc>
                <w:tcPr>
                  <w:tcW w:w="401" w:type="pct"/>
                  <w:vMerge w:val="restart"/>
                  <w:tcMar>
                    <w:left w:w="57" w:type="dxa"/>
                    <w:right w:w="57" w:type="dxa"/>
                  </w:tcMar>
                  <w:vAlign w:val="center"/>
                </w:tcPr>
                <w:p>
                  <w:pPr>
                    <w:adjustRightInd w:val="0"/>
                    <w:jc w:val="center"/>
                    <w:rPr>
                      <w:b/>
                      <w:bCs/>
                      <w:szCs w:val="21"/>
                      <w:highlight w:val="green"/>
                    </w:rPr>
                  </w:pPr>
                  <w:r>
                    <w:rPr>
                      <w:b/>
                      <w:bCs/>
                      <w:szCs w:val="21"/>
                      <w:highlight w:val="green"/>
                    </w:rPr>
                    <w:t>污染因子</w:t>
                  </w:r>
                </w:p>
              </w:tc>
              <w:tc>
                <w:tcPr>
                  <w:tcW w:w="433" w:type="pct"/>
                  <w:vMerge w:val="restart"/>
                  <w:tcMar>
                    <w:left w:w="57" w:type="dxa"/>
                    <w:right w:w="57" w:type="dxa"/>
                  </w:tcMar>
                  <w:vAlign w:val="center"/>
                </w:tcPr>
                <w:p>
                  <w:pPr>
                    <w:adjustRightInd w:val="0"/>
                    <w:jc w:val="center"/>
                    <w:rPr>
                      <w:b/>
                      <w:bCs/>
                      <w:szCs w:val="21"/>
                      <w:highlight w:val="green"/>
                    </w:rPr>
                  </w:pPr>
                  <w:r>
                    <w:rPr>
                      <w:rFonts w:hint="eastAsia"/>
                      <w:b/>
                      <w:bCs/>
                      <w:szCs w:val="21"/>
                      <w:highlight w:val="green"/>
                    </w:rPr>
                    <w:t>废气流量（m</w:t>
                  </w:r>
                  <w:r>
                    <w:rPr>
                      <w:rFonts w:hint="eastAsia"/>
                      <w:b/>
                      <w:bCs/>
                      <w:szCs w:val="21"/>
                      <w:highlight w:val="green"/>
                      <w:vertAlign w:val="superscript"/>
                    </w:rPr>
                    <w:t>3</w:t>
                  </w:r>
                  <w:r>
                    <w:rPr>
                      <w:rFonts w:hint="eastAsia"/>
                      <w:b/>
                      <w:bCs/>
                      <w:szCs w:val="21"/>
                      <w:highlight w:val="green"/>
                    </w:rPr>
                    <w:t>/h）</w:t>
                  </w:r>
                </w:p>
              </w:tc>
              <w:tc>
                <w:tcPr>
                  <w:tcW w:w="1606" w:type="pct"/>
                  <w:gridSpan w:val="3"/>
                  <w:tcMar>
                    <w:left w:w="57" w:type="dxa"/>
                    <w:right w:w="57" w:type="dxa"/>
                  </w:tcMar>
                  <w:vAlign w:val="center"/>
                </w:tcPr>
                <w:p>
                  <w:pPr>
                    <w:adjustRightInd w:val="0"/>
                    <w:jc w:val="center"/>
                    <w:rPr>
                      <w:b/>
                      <w:bCs/>
                      <w:szCs w:val="21"/>
                      <w:highlight w:val="green"/>
                    </w:rPr>
                  </w:pPr>
                  <w:r>
                    <w:rPr>
                      <w:b/>
                      <w:bCs/>
                      <w:szCs w:val="21"/>
                      <w:highlight w:val="green"/>
                    </w:rPr>
                    <w:t>产生</w:t>
                  </w:r>
                  <w:r>
                    <w:rPr>
                      <w:rFonts w:hint="eastAsia"/>
                      <w:b/>
                      <w:bCs/>
                      <w:szCs w:val="21"/>
                      <w:highlight w:val="green"/>
                    </w:rPr>
                    <w:t>情况</w:t>
                  </w:r>
                </w:p>
              </w:tc>
              <w:tc>
                <w:tcPr>
                  <w:tcW w:w="678" w:type="pct"/>
                  <w:vMerge w:val="restart"/>
                  <w:tcMar>
                    <w:left w:w="57" w:type="dxa"/>
                    <w:right w:w="57" w:type="dxa"/>
                  </w:tcMar>
                  <w:vAlign w:val="center"/>
                </w:tcPr>
                <w:p>
                  <w:pPr>
                    <w:adjustRightInd w:val="0"/>
                    <w:jc w:val="center"/>
                    <w:rPr>
                      <w:b/>
                      <w:bCs/>
                      <w:szCs w:val="21"/>
                      <w:highlight w:val="green"/>
                    </w:rPr>
                  </w:pPr>
                  <w:r>
                    <w:rPr>
                      <w:rFonts w:hint="eastAsia"/>
                      <w:b/>
                      <w:bCs/>
                      <w:szCs w:val="21"/>
                      <w:highlight w:val="green"/>
                    </w:rPr>
                    <w:t>治理设施及效率（%）</w:t>
                  </w:r>
                </w:p>
              </w:tc>
              <w:tc>
                <w:tcPr>
                  <w:tcW w:w="1298" w:type="pct"/>
                  <w:gridSpan w:val="3"/>
                  <w:tcMar>
                    <w:left w:w="57" w:type="dxa"/>
                    <w:right w:w="57" w:type="dxa"/>
                  </w:tcMar>
                  <w:vAlign w:val="center"/>
                </w:tcPr>
                <w:p>
                  <w:pPr>
                    <w:adjustRightInd w:val="0"/>
                    <w:jc w:val="center"/>
                    <w:rPr>
                      <w:b/>
                      <w:bCs/>
                      <w:szCs w:val="21"/>
                      <w:highlight w:val="green"/>
                    </w:rPr>
                  </w:pPr>
                  <w:r>
                    <w:rPr>
                      <w:b/>
                      <w:bCs/>
                      <w:szCs w:val="21"/>
                      <w:highlight w:val="green"/>
                    </w:rPr>
                    <w:t>排放</w:t>
                  </w:r>
                  <w:r>
                    <w:rPr>
                      <w:rFonts w:hint="eastAsia"/>
                      <w:b/>
                      <w:bCs/>
                      <w:szCs w:val="21"/>
                      <w:highlight w:val="gree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232" w:type="pct"/>
                  <w:vMerge w:val="continue"/>
                  <w:tcMar>
                    <w:left w:w="57" w:type="dxa"/>
                    <w:right w:w="57" w:type="dxa"/>
                  </w:tcMar>
                  <w:vAlign w:val="center"/>
                </w:tcPr>
                <w:p>
                  <w:pPr>
                    <w:adjustRightInd w:val="0"/>
                    <w:jc w:val="center"/>
                    <w:rPr>
                      <w:highlight w:val="green"/>
                    </w:rPr>
                  </w:pPr>
                </w:p>
              </w:tc>
              <w:tc>
                <w:tcPr>
                  <w:tcW w:w="349" w:type="pct"/>
                  <w:vMerge w:val="continue"/>
                  <w:tcMar>
                    <w:left w:w="57" w:type="dxa"/>
                    <w:right w:w="57" w:type="dxa"/>
                  </w:tcMar>
                  <w:vAlign w:val="center"/>
                </w:tcPr>
                <w:p>
                  <w:pPr>
                    <w:adjustRightInd w:val="0"/>
                    <w:jc w:val="center"/>
                    <w:rPr>
                      <w:highlight w:val="green"/>
                    </w:rPr>
                  </w:pPr>
                </w:p>
              </w:tc>
              <w:tc>
                <w:tcPr>
                  <w:tcW w:w="401" w:type="pct"/>
                  <w:vMerge w:val="continue"/>
                  <w:tcMar>
                    <w:left w:w="57" w:type="dxa"/>
                    <w:right w:w="57" w:type="dxa"/>
                  </w:tcMar>
                  <w:vAlign w:val="center"/>
                </w:tcPr>
                <w:p>
                  <w:pPr>
                    <w:adjustRightInd w:val="0"/>
                    <w:jc w:val="center"/>
                    <w:rPr>
                      <w:highlight w:val="green"/>
                    </w:rPr>
                  </w:pPr>
                </w:p>
              </w:tc>
              <w:tc>
                <w:tcPr>
                  <w:tcW w:w="433" w:type="pct"/>
                  <w:vMerge w:val="continue"/>
                  <w:tcMar>
                    <w:left w:w="57" w:type="dxa"/>
                    <w:right w:w="57" w:type="dxa"/>
                  </w:tcMar>
                  <w:vAlign w:val="center"/>
                </w:tcPr>
                <w:p>
                  <w:pPr>
                    <w:adjustRightInd w:val="0"/>
                    <w:jc w:val="center"/>
                    <w:rPr>
                      <w:highlight w:val="green"/>
                    </w:rPr>
                  </w:pPr>
                </w:p>
              </w:tc>
              <w:tc>
                <w:tcPr>
                  <w:tcW w:w="505" w:type="pct"/>
                  <w:tcMar>
                    <w:left w:w="57" w:type="dxa"/>
                    <w:right w:w="57" w:type="dxa"/>
                  </w:tcMar>
                  <w:vAlign w:val="center"/>
                </w:tcPr>
                <w:p>
                  <w:pPr>
                    <w:adjustRightInd w:val="0"/>
                    <w:jc w:val="center"/>
                    <w:rPr>
                      <w:b/>
                      <w:bCs/>
                      <w:highlight w:val="green"/>
                    </w:rPr>
                  </w:pPr>
                  <w:r>
                    <w:rPr>
                      <w:rFonts w:hint="eastAsia"/>
                      <w:b/>
                      <w:bCs/>
                      <w:szCs w:val="21"/>
                      <w:highlight w:val="green"/>
                    </w:rPr>
                    <w:t>产生速率（</w:t>
                  </w:r>
                  <w:r>
                    <w:rPr>
                      <w:b/>
                      <w:bCs/>
                      <w:szCs w:val="21"/>
                      <w:highlight w:val="green"/>
                    </w:rPr>
                    <w:t>kg/h</w:t>
                  </w:r>
                  <w:r>
                    <w:rPr>
                      <w:rFonts w:hint="eastAsia"/>
                      <w:b/>
                      <w:bCs/>
                      <w:szCs w:val="21"/>
                      <w:highlight w:val="green"/>
                    </w:rPr>
                    <w:t>）</w:t>
                  </w:r>
                </w:p>
              </w:tc>
              <w:tc>
                <w:tcPr>
                  <w:tcW w:w="500" w:type="pct"/>
                  <w:tcMar>
                    <w:left w:w="57" w:type="dxa"/>
                    <w:right w:w="57" w:type="dxa"/>
                  </w:tcMar>
                  <w:vAlign w:val="center"/>
                </w:tcPr>
                <w:p>
                  <w:pPr>
                    <w:adjustRightInd w:val="0"/>
                    <w:jc w:val="center"/>
                    <w:rPr>
                      <w:b/>
                      <w:bCs/>
                      <w:highlight w:val="green"/>
                    </w:rPr>
                  </w:pPr>
                  <w:r>
                    <w:rPr>
                      <w:rFonts w:hint="eastAsia"/>
                      <w:b/>
                      <w:bCs/>
                      <w:szCs w:val="21"/>
                      <w:highlight w:val="green"/>
                    </w:rPr>
                    <w:t>产生量（</w:t>
                  </w:r>
                  <w:r>
                    <w:rPr>
                      <w:b/>
                      <w:bCs/>
                      <w:szCs w:val="21"/>
                      <w:highlight w:val="green"/>
                    </w:rPr>
                    <w:t>t/a</w:t>
                  </w:r>
                  <w:r>
                    <w:rPr>
                      <w:rFonts w:hint="eastAsia"/>
                      <w:b/>
                      <w:bCs/>
                      <w:szCs w:val="21"/>
                      <w:highlight w:val="green"/>
                    </w:rPr>
                    <w:t>）</w:t>
                  </w:r>
                </w:p>
              </w:tc>
              <w:tc>
                <w:tcPr>
                  <w:tcW w:w="600" w:type="pct"/>
                  <w:tcMar>
                    <w:left w:w="57" w:type="dxa"/>
                    <w:right w:w="57" w:type="dxa"/>
                  </w:tcMar>
                  <w:vAlign w:val="center"/>
                </w:tcPr>
                <w:p>
                  <w:pPr>
                    <w:adjustRightInd w:val="0"/>
                    <w:jc w:val="center"/>
                    <w:rPr>
                      <w:b/>
                      <w:bCs/>
                      <w:szCs w:val="21"/>
                      <w:highlight w:val="green"/>
                    </w:rPr>
                  </w:pPr>
                  <w:r>
                    <w:rPr>
                      <w:rFonts w:hint="eastAsia"/>
                      <w:b/>
                      <w:bCs/>
                      <w:szCs w:val="21"/>
                      <w:highlight w:val="green"/>
                    </w:rPr>
                    <w:t>产生浓度（mg/m</w:t>
                  </w:r>
                  <w:r>
                    <w:rPr>
                      <w:rFonts w:hint="eastAsia"/>
                      <w:b/>
                      <w:bCs/>
                      <w:szCs w:val="21"/>
                      <w:highlight w:val="green"/>
                      <w:vertAlign w:val="superscript"/>
                    </w:rPr>
                    <w:t>3</w:t>
                  </w:r>
                  <w:r>
                    <w:rPr>
                      <w:rFonts w:hint="eastAsia"/>
                      <w:b/>
                      <w:bCs/>
                      <w:szCs w:val="21"/>
                      <w:highlight w:val="green"/>
                    </w:rPr>
                    <w:t>）</w:t>
                  </w:r>
                </w:p>
              </w:tc>
              <w:tc>
                <w:tcPr>
                  <w:tcW w:w="678" w:type="pct"/>
                  <w:vMerge w:val="continue"/>
                  <w:tcMar>
                    <w:left w:w="57" w:type="dxa"/>
                    <w:right w:w="57" w:type="dxa"/>
                  </w:tcMar>
                  <w:vAlign w:val="center"/>
                </w:tcPr>
                <w:p>
                  <w:pPr>
                    <w:adjustRightInd w:val="0"/>
                    <w:jc w:val="center"/>
                    <w:rPr>
                      <w:szCs w:val="21"/>
                      <w:highlight w:val="green"/>
                    </w:rPr>
                  </w:pPr>
                </w:p>
              </w:tc>
              <w:tc>
                <w:tcPr>
                  <w:tcW w:w="372" w:type="pct"/>
                  <w:tcMar>
                    <w:left w:w="57" w:type="dxa"/>
                    <w:right w:w="57" w:type="dxa"/>
                  </w:tcMar>
                  <w:vAlign w:val="center"/>
                </w:tcPr>
                <w:p>
                  <w:pPr>
                    <w:adjustRightInd w:val="0"/>
                    <w:jc w:val="center"/>
                    <w:rPr>
                      <w:b/>
                      <w:bCs/>
                      <w:highlight w:val="green"/>
                    </w:rPr>
                  </w:pPr>
                  <w:r>
                    <w:rPr>
                      <w:rFonts w:hint="eastAsia"/>
                      <w:b/>
                      <w:bCs/>
                      <w:szCs w:val="21"/>
                      <w:highlight w:val="green"/>
                    </w:rPr>
                    <w:t>排放速率（</w:t>
                  </w:r>
                  <w:r>
                    <w:rPr>
                      <w:b/>
                      <w:bCs/>
                      <w:szCs w:val="21"/>
                      <w:highlight w:val="green"/>
                    </w:rPr>
                    <w:t>kg/h</w:t>
                  </w:r>
                  <w:r>
                    <w:rPr>
                      <w:rFonts w:hint="eastAsia"/>
                      <w:b/>
                      <w:bCs/>
                      <w:szCs w:val="21"/>
                      <w:highlight w:val="green"/>
                    </w:rPr>
                    <w:t>）</w:t>
                  </w:r>
                </w:p>
              </w:tc>
              <w:tc>
                <w:tcPr>
                  <w:tcW w:w="383" w:type="pct"/>
                  <w:tcMar>
                    <w:left w:w="57" w:type="dxa"/>
                    <w:right w:w="57" w:type="dxa"/>
                  </w:tcMar>
                  <w:vAlign w:val="center"/>
                </w:tcPr>
                <w:p>
                  <w:pPr>
                    <w:adjustRightInd w:val="0"/>
                    <w:jc w:val="center"/>
                    <w:rPr>
                      <w:b/>
                      <w:bCs/>
                      <w:highlight w:val="green"/>
                    </w:rPr>
                  </w:pPr>
                  <w:r>
                    <w:rPr>
                      <w:rFonts w:hint="eastAsia"/>
                      <w:b/>
                      <w:bCs/>
                      <w:szCs w:val="21"/>
                      <w:highlight w:val="green"/>
                    </w:rPr>
                    <w:t>排放量（</w:t>
                  </w:r>
                  <w:r>
                    <w:rPr>
                      <w:b/>
                      <w:bCs/>
                      <w:szCs w:val="21"/>
                      <w:highlight w:val="green"/>
                    </w:rPr>
                    <w:t>t/a</w:t>
                  </w:r>
                  <w:r>
                    <w:rPr>
                      <w:rFonts w:hint="eastAsia"/>
                      <w:b/>
                      <w:bCs/>
                      <w:szCs w:val="21"/>
                      <w:highlight w:val="green"/>
                    </w:rPr>
                    <w:t>）</w:t>
                  </w:r>
                </w:p>
              </w:tc>
              <w:tc>
                <w:tcPr>
                  <w:tcW w:w="542" w:type="pct"/>
                  <w:tcMar>
                    <w:left w:w="57" w:type="dxa"/>
                    <w:right w:w="57" w:type="dxa"/>
                  </w:tcMar>
                  <w:vAlign w:val="center"/>
                </w:tcPr>
                <w:p>
                  <w:pPr>
                    <w:adjustRightInd w:val="0"/>
                    <w:jc w:val="center"/>
                    <w:rPr>
                      <w:b/>
                      <w:bCs/>
                      <w:szCs w:val="21"/>
                      <w:highlight w:val="green"/>
                    </w:rPr>
                  </w:pPr>
                  <w:r>
                    <w:rPr>
                      <w:rFonts w:hint="eastAsia"/>
                      <w:b/>
                      <w:bCs/>
                      <w:szCs w:val="21"/>
                      <w:highlight w:val="green"/>
                    </w:rPr>
                    <w:t>排放浓度（mg/m</w:t>
                  </w:r>
                  <w:r>
                    <w:rPr>
                      <w:rFonts w:hint="eastAsia"/>
                      <w:b/>
                      <w:bCs/>
                      <w:szCs w:val="21"/>
                      <w:highlight w:val="green"/>
                      <w:vertAlign w:val="superscript"/>
                    </w:rPr>
                    <w:t>3</w:t>
                  </w:r>
                  <w:r>
                    <w:rPr>
                      <w:rFonts w:hint="eastAsia"/>
                      <w:b/>
                      <w:bCs/>
                      <w:szCs w:val="21"/>
                      <w:highlight w:val="gre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32" w:type="pct"/>
                  <w:vMerge w:val="restart"/>
                  <w:tcMar>
                    <w:left w:w="57" w:type="dxa"/>
                    <w:right w:w="57" w:type="dxa"/>
                  </w:tcMar>
                  <w:vAlign w:val="center"/>
                </w:tcPr>
                <w:p>
                  <w:pPr>
                    <w:adjustRightInd w:val="0"/>
                    <w:jc w:val="center"/>
                    <w:rPr>
                      <w:szCs w:val="21"/>
                      <w:highlight w:val="green"/>
                    </w:rPr>
                  </w:pPr>
                  <w:r>
                    <w:rPr>
                      <w:rFonts w:hint="eastAsia"/>
                      <w:szCs w:val="21"/>
                      <w:highlight w:val="green"/>
                    </w:rPr>
                    <w:t>有组织</w:t>
                  </w:r>
                </w:p>
              </w:tc>
              <w:tc>
                <w:tcPr>
                  <w:tcW w:w="349" w:type="pct"/>
                  <w:vMerge w:val="restart"/>
                  <w:tcMar>
                    <w:left w:w="57" w:type="dxa"/>
                    <w:right w:w="57" w:type="dxa"/>
                  </w:tcMar>
                  <w:vAlign w:val="center"/>
                </w:tcPr>
                <w:p>
                  <w:pPr>
                    <w:adjustRightInd w:val="0"/>
                    <w:jc w:val="center"/>
                    <w:rPr>
                      <w:szCs w:val="21"/>
                      <w:highlight w:val="green"/>
                    </w:rPr>
                  </w:pPr>
                  <w:r>
                    <w:rPr>
                      <w:rFonts w:hint="eastAsia"/>
                      <w:szCs w:val="21"/>
                      <w:highlight w:val="green"/>
                    </w:rPr>
                    <w:t>5t/h导热油锅炉DA001</w:t>
                  </w:r>
                </w:p>
              </w:tc>
              <w:tc>
                <w:tcPr>
                  <w:tcW w:w="401" w:type="pct"/>
                  <w:tcMar>
                    <w:left w:w="57" w:type="dxa"/>
                    <w:right w:w="57" w:type="dxa"/>
                  </w:tcMar>
                  <w:vAlign w:val="center"/>
                </w:tcPr>
                <w:p>
                  <w:pPr>
                    <w:adjustRightInd w:val="0"/>
                    <w:jc w:val="center"/>
                    <w:rPr>
                      <w:szCs w:val="21"/>
                      <w:highlight w:val="green"/>
                    </w:rPr>
                  </w:pPr>
                  <w:r>
                    <w:rPr>
                      <w:rFonts w:hint="eastAsia"/>
                      <w:szCs w:val="21"/>
                      <w:highlight w:val="green"/>
                    </w:rPr>
                    <w:t>颗粒物</w:t>
                  </w:r>
                </w:p>
              </w:tc>
              <w:tc>
                <w:tcPr>
                  <w:tcW w:w="433" w:type="pct"/>
                  <w:vMerge w:val="restart"/>
                  <w:tcMar>
                    <w:left w:w="57" w:type="dxa"/>
                    <w:right w:w="57" w:type="dxa"/>
                  </w:tcMar>
                  <w:vAlign w:val="center"/>
                </w:tcPr>
                <w:p>
                  <w:pPr>
                    <w:adjustRightInd w:val="0"/>
                    <w:jc w:val="center"/>
                    <w:rPr>
                      <w:szCs w:val="21"/>
                      <w:highlight w:val="green"/>
                    </w:rPr>
                  </w:pPr>
                  <w:r>
                    <w:rPr>
                      <w:rFonts w:hint="eastAsia"/>
                      <w:szCs w:val="21"/>
                      <w:highlight w:val="green"/>
                    </w:rPr>
                    <w:t>11986</w:t>
                  </w:r>
                </w:p>
              </w:tc>
              <w:tc>
                <w:tcPr>
                  <w:tcW w:w="505" w:type="pct"/>
                  <w:tcMar>
                    <w:left w:w="57" w:type="dxa"/>
                    <w:right w:w="57" w:type="dxa"/>
                  </w:tcMar>
                  <w:vAlign w:val="center"/>
                </w:tcPr>
                <w:p>
                  <w:pPr>
                    <w:jc w:val="center"/>
                    <w:rPr>
                      <w:szCs w:val="21"/>
                      <w:highlight w:val="green"/>
                    </w:rPr>
                  </w:pPr>
                  <w:r>
                    <w:rPr>
                      <w:rFonts w:hint="eastAsia"/>
                      <w:szCs w:val="21"/>
                      <w:highlight w:val="green"/>
                    </w:rPr>
                    <w:t>2</w:t>
                  </w:r>
                </w:p>
              </w:tc>
              <w:tc>
                <w:tcPr>
                  <w:tcW w:w="500" w:type="pct"/>
                  <w:tcMar>
                    <w:left w:w="57" w:type="dxa"/>
                    <w:right w:w="57" w:type="dxa"/>
                  </w:tcMar>
                  <w:vAlign w:val="center"/>
                </w:tcPr>
                <w:p>
                  <w:pPr>
                    <w:jc w:val="center"/>
                    <w:rPr>
                      <w:szCs w:val="21"/>
                      <w:highlight w:val="green"/>
                    </w:rPr>
                  </w:pPr>
                  <w:r>
                    <w:rPr>
                      <w:rFonts w:hint="eastAsia"/>
                      <w:szCs w:val="21"/>
                      <w:highlight w:val="green"/>
                    </w:rPr>
                    <w:t>14.4</w:t>
                  </w:r>
                </w:p>
              </w:tc>
              <w:tc>
                <w:tcPr>
                  <w:tcW w:w="600" w:type="pct"/>
                  <w:tcMar>
                    <w:left w:w="57" w:type="dxa"/>
                    <w:right w:w="57" w:type="dxa"/>
                  </w:tcMar>
                  <w:vAlign w:val="center"/>
                </w:tcPr>
                <w:p>
                  <w:pPr>
                    <w:jc w:val="center"/>
                    <w:rPr>
                      <w:szCs w:val="21"/>
                      <w:highlight w:val="green"/>
                    </w:rPr>
                  </w:pPr>
                  <w:r>
                    <w:rPr>
                      <w:rFonts w:hint="eastAsia"/>
                      <w:szCs w:val="21"/>
                      <w:highlight w:val="green"/>
                    </w:rPr>
                    <w:t>166.86</w:t>
                  </w:r>
                </w:p>
              </w:tc>
              <w:tc>
                <w:tcPr>
                  <w:tcW w:w="678" w:type="pct"/>
                  <w:vMerge w:val="restart"/>
                  <w:tcMar>
                    <w:left w:w="57" w:type="dxa"/>
                    <w:right w:w="57" w:type="dxa"/>
                  </w:tcMar>
                  <w:vAlign w:val="center"/>
                </w:tcPr>
                <w:p>
                  <w:pPr>
                    <w:jc w:val="center"/>
                    <w:rPr>
                      <w:szCs w:val="21"/>
                      <w:highlight w:val="green"/>
                    </w:rPr>
                  </w:pPr>
                  <w:r>
                    <w:rPr>
                      <w:rFonts w:hint="eastAsia"/>
                      <w:bCs/>
                      <w:kern w:val="0"/>
                      <w:szCs w:val="21"/>
                      <w:highlight w:val="green"/>
                    </w:rPr>
                    <w:t>多管旋风除尘+水膜除尘（对颗粒物去除效率为94%、对SO</w:t>
                  </w:r>
                  <w:r>
                    <w:rPr>
                      <w:rFonts w:hint="eastAsia"/>
                      <w:bCs/>
                      <w:kern w:val="0"/>
                      <w:szCs w:val="21"/>
                      <w:highlight w:val="green"/>
                      <w:vertAlign w:val="subscript"/>
                    </w:rPr>
                    <w:t>2</w:t>
                  </w:r>
                  <w:r>
                    <w:rPr>
                      <w:rFonts w:hint="eastAsia"/>
                      <w:bCs/>
                      <w:kern w:val="0"/>
                      <w:szCs w:val="21"/>
                      <w:highlight w:val="green"/>
                    </w:rPr>
                    <w:t>、NO</w:t>
                  </w:r>
                  <w:r>
                    <w:rPr>
                      <w:rFonts w:hint="eastAsia"/>
                      <w:bCs/>
                      <w:kern w:val="0"/>
                      <w:szCs w:val="21"/>
                      <w:highlight w:val="green"/>
                      <w:vertAlign w:val="subscript"/>
                    </w:rPr>
                    <w:t>x</w:t>
                  </w:r>
                  <w:r>
                    <w:rPr>
                      <w:rFonts w:hint="eastAsia"/>
                      <w:bCs/>
                      <w:kern w:val="0"/>
                      <w:szCs w:val="21"/>
                      <w:highlight w:val="green"/>
                    </w:rPr>
                    <w:t>去除效率为0）</w:t>
                  </w:r>
                </w:p>
              </w:tc>
              <w:tc>
                <w:tcPr>
                  <w:tcW w:w="372" w:type="pct"/>
                  <w:tcMar>
                    <w:left w:w="57" w:type="dxa"/>
                    <w:right w:w="57" w:type="dxa"/>
                  </w:tcMar>
                  <w:vAlign w:val="center"/>
                </w:tcPr>
                <w:p>
                  <w:pPr>
                    <w:jc w:val="center"/>
                    <w:rPr>
                      <w:szCs w:val="21"/>
                      <w:highlight w:val="green"/>
                    </w:rPr>
                  </w:pPr>
                  <w:r>
                    <w:rPr>
                      <w:rFonts w:hint="eastAsia"/>
                      <w:szCs w:val="21"/>
                      <w:highlight w:val="green"/>
                    </w:rPr>
                    <w:t>0.120</w:t>
                  </w:r>
                </w:p>
              </w:tc>
              <w:tc>
                <w:tcPr>
                  <w:tcW w:w="383" w:type="pct"/>
                  <w:tcMar>
                    <w:left w:w="57" w:type="dxa"/>
                    <w:right w:w="57" w:type="dxa"/>
                  </w:tcMar>
                  <w:vAlign w:val="center"/>
                </w:tcPr>
                <w:p>
                  <w:pPr>
                    <w:jc w:val="center"/>
                    <w:rPr>
                      <w:szCs w:val="21"/>
                      <w:highlight w:val="green"/>
                    </w:rPr>
                  </w:pPr>
                  <w:r>
                    <w:rPr>
                      <w:rFonts w:hint="eastAsia"/>
                      <w:szCs w:val="21"/>
                      <w:highlight w:val="green"/>
                    </w:rPr>
                    <w:t>0.864</w:t>
                  </w:r>
                </w:p>
              </w:tc>
              <w:tc>
                <w:tcPr>
                  <w:tcW w:w="542" w:type="pct"/>
                  <w:tcMar>
                    <w:left w:w="57" w:type="dxa"/>
                    <w:right w:w="57" w:type="dxa"/>
                  </w:tcMar>
                  <w:vAlign w:val="center"/>
                </w:tcPr>
                <w:p>
                  <w:pPr>
                    <w:jc w:val="center"/>
                    <w:rPr>
                      <w:szCs w:val="21"/>
                      <w:highlight w:val="green"/>
                    </w:rPr>
                  </w:pPr>
                  <w:r>
                    <w:rPr>
                      <w:rFonts w:hint="eastAsia"/>
                      <w:szCs w:val="21"/>
                      <w:highlight w:val="gree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32" w:type="pct"/>
                  <w:vMerge w:val="continue"/>
                  <w:tcMar>
                    <w:left w:w="57" w:type="dxa"/>
                    <w:right w:w="57" w:type="dxa"/>
                  </w:tcMar>
                  <w:vAlign w:val="center"/>
                </w:tcPr>
                <w:p>
                  <w:pPr>
                    <w:adjustRightInd w:val="0"/>
                    <w:jc w:val="center"/>
                    <w:rPr>
                      <w:szCs w:val="21"/>
                    </w:rPr>
                  </w:pPr>
                </w:p>
              </w:tc>
              <w:tc>
                <w:tcPr>
                  <w:tcW w:w="349" w:type="pct"/>
                  <w:vMerge w:val="continue"/>
                  <w:tcMar>
                    <w:left w:w="57" w:type="dxa"/>
                    <w:right w:w="57" w:type="dxa"/>
                  </w:tcMar>
                  <w:vAlign w:val="center"/>
                </w:tcPr>
                <w:p>
                  <w:pPr>
                    <w:adjustRightInd w:val="0"/>
                    <w:jc w:val="center"/>
                    <w:rPr>
                      <w:szCs w:val="21"/>
                    </w:rPr>
                  </w:pPr>
                </w:p>
              </w:tc>
              <w:tc>
                <w:tcPr>
                  <w:tcW w:w="401" w:type="pct"/>
                  <w:tcMar>
                    <w:left w:w="57" w:type="dxa"/>
                    <w:right w:w="57" w:type="dxa"/>
                  </w:tcMar>
                  <w:vAlign w:val="center"/>
                </w:tcPr>
                <w:p>
                  <w:pPr>
                    <w:adjustRightInd w:val="0"/>
                    <w:jc w:val="center"/>
                    <w:rPr>
                      <w:szCs w:val="21"/>
                      <w:highlight w:val="green"/>
                    </w:rPr>
                  </w:pPr>
                  <w:r>
                    <w:rPr>
                      <w:rFonts w:hint="eastAsia"/>
                      <w:szCs w:val="21"/>
                      <w:highlight w:val="green"/>
                    </w:rPr>
                    <w:t>S</w:t>
                  </w:r>
                  <w:r>
                    <w:rPr>
                      <w:szCs w:val="21"/>
                      <w:highlight w:val="green"/>
                    </w:rPr>
                    <w:t>O</w:t>
                  </w:r>
                  <w:r>
                    <w:rPr>
                      <w:szCs w:val="21"/>
                      <w:highlight w:val="green"/>
                      <w:vertAlign w:val="subscript"/>
                    </w:rPr>
                    <w:t>2</w:t>
                  </w:r>
                </w:p>
              </w:tc>
              <w:tc>
                <w:tcPr>
                  <w:tcW w:w="433" w:type="pct"/>
                  <w:vMerge w:val="continue"/>
                  <w:tcMar>
                    <w:left w:w="57" w:type="dxa"/>
                    <w:right w:w="57" w:type="dxa"/>
                  </w:tcMar>
                  <w:vAlign w:val="center"/>
                </w:tcPr>
                <w:p>
                  <w:pPr>
                    <w:adjustRightInd w:val="0"/>
                    <w:jc w:val="center"/>
                    <w:rPr>
                      <w:szCs w:val="21"/>
                    </w:rPr>
                  </w:pPr>
                </w:p>
              </w:tc>
              <w:tc>
                <w:tcPr>
                  <w:tcW w:w="505" w:type="pct"/>
                  <w:tcMar>
                    <w:left w:w="57" w:type="dxa"/>
                    <w:right w:w="57" w:type="dxa"/>
                  </w:tcMar>
                  <w:vAlign w:val="center"/>
                </w:tcPr>
                <w:p>
                  <w:pPr>
                    <w:jc w:val="center"/>
                    <w:rPr>
                      <w:szCs w:val="21"/>
                      <w:highlight w:val="green"/>
                    </w:rPr>
                  </w:pPr>
                  <w:r>
                    <w:rPr>
                      <w:rFonts w:hint="eastAsia"/>
                      <w:szCs w:val="21"/>
                      <w:highlight w:val="green"/>
                    </w:rPr>
                    <w:t>0.651</w:t>
                  </w:r>
                </w:p>
              </w:tc>
              <w:tc>
                <w:tcPr>
                  <w:tcW w:w="500" w:type="pct"/>
                  <w:tcMar>
                    <w:left w:w="57" w:type="dxa"/>
                    <w:right w:w="57" w:type="dxa"/>
                  </w:tcMar>
                  <w:vAlign w:val="center"/>
                </w:tcPr>
                <w:p>
                  <w:pPr>
                    <w:jc w:val="center"/>
                    <w:rPr>
                      <w:szCs w:val="21"/>
                      <w:highlight w:val="green"/>
                    </w:rPr>
                  </w:pPr>
                  <w:r>
                    <w:rPr>
                      <w:rFonts w:hint="eastAsia"/>
                      <w:szCs w:val="21"/>
                      <w:highlight w:val="green"/>
                    </w:rPr>
                    <w:t>4.69</w:t>
                  </w:r>
                </w:p>
              </w:tc>
              <w:tc>
                <w:tcPr>
                  <w:tcW w:w="600" w:type="pct"/>
                  <w:tcMar>
                    <w:left w:w="57" w:type="dxa"/>
                    <w:right w:w="57" w:type="dxa"/>
                  </w:tcMar>
                  <w:vAlign w:val="center"/>
                </w:tcPr>
                <w:p>
                  <w:pPr>
                    <w:jc w:val="center"/>
                    <w:rPr>
                      <w:szCs w:val="21"/>
                      <w:highlight w:val="green"/>
                    </w:rPr>
                  </w:pPr>
                  <w:r>
                    <w:rPr>
                      <w:rFonts w:hint="eastAsia"/>
                      <w:szCs w:val="21"/>
                      <w:highlight w:val="green"/>
                    </w:rPr>
                    <w:t>224</w:t>
                  </w:r>
                </w:p>
              </w:tc>
              <w:tc>
                <w:tcPr>
                  <w:tcW w:w="678" w:type="pct"/>
                  <w:vMerge w:val="continue"/>
                  <w:tcMar>
                    <w:left w:w="57" w:type="dxa"/>
                    <w:right w:w="57" w:type="dxa"/>
                  </w:tcMar>
                  <w:vAlign w:val="center"/>
                </w:tcPr>
                <w:p>
                  <w:pPr>
                    <w:jc w:val="center"/>
                    <w:rPr>
                      <w:szCs w:val="21"/>
                      <w:highlight w:val="green"/>
                    </w:rPr>
                  </w:pPr>
                </w:p>
              </w:tc>
              <w:tc>
                <w:tcPr>
                  <w:tcW w:w="372" w:type="pct"/>
                  <w:tcMar>
                    <w:left w:w="57" w:type="dxa"/>
                    <w:right w:w="57" w:type="dxa"/>
                  </w:tcMar>
                  <w:vAlign w:val="center"/>
                </w:tcPr>
                <w:p>
                  <w:pPr>
                    <w:jc w:val="center"/>
                    <w:rPr>
                      <w:szCs w:val="21"/>
                      <w:highlight w:val="green"/>
                    </w:rPr>
                  </w:pPr>
                  <w:r>
                    <w:rPr>
                      <w:rFonts w:hint="eastAsia"/>
                      <w:szCs w:val="21"/>
                      <w:highlight w:val="green"/>
                    </w:rPr>
                    <w:t>0.651</w:t>
                  </w:r>
                </w:p>
              </w:tc>
              <w:tc>
                <w:tcPr>
                  <w:tcW w:w="383" w:type="pct"/>
                  <w:tcMar>
                    <w:left w:w="57" w:type="dxa"/>
                    <w:right w:w="57" w:type="dxa"/>
                  </w:tcMar>
                  <w:vAlign w:val="center"/>
                </w:tcPr>
                <w:p>
                  <w:pPr>
                    <w:jc w:val="center"/>
                    <w:rPr>
                      <w:szCs w:val="21"/>
                      <w:highlight w:val="green"/>
                    </w:rPr>
                  </w:pPr>
                  <w:r>
                    <w:rPr>
                      <w:rFonts w:hint="eastAsia"/>
                      <w:szCs w:val="21"/>
                      <w:highlight w:val="green"/>
                    </w:rPr>
                    <w:t>4.69</w:t>
                  </w:r>
                </w:p>
              </w:tc>
              <w:tc>
                <w:tcPr>
                  <w:tcW w:w="542" w:type="pct"/>
                  <w:tcMar>
                    <w:left w:w="57" w:type="dxa"/>
                    <w:right w:w="57" w:type="dxa"/>
                  </w:tcMar>
                  <w:vAlign w:val="center"/>
                </w:tcPr>
                <w:p>
                  <w:pPr>
                    <w:jc w:val="center"/>
                    <w:rPr>
                      <w:szCs w:val="21"/>
                      <w:highlight w:val="green"/>
                    </w:rPr>
                  </w:pPr>
                  <w:r>
                    <w:rPr>
                      <w:rFonts w:hint="eastAsia"/>
                      <w:szCs w:val="21"/>
                      <w:highlight w:val="gree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32" w:type="pct"/>
                  <w:vMerge w:val="continue"/>
                  <w:tcMar>
                    <w:left w:w="57" w:type="dxa"/>
                    <w:right w:w="57" w:type="dxa"/>
                  </w:tcMar>
                  <w:vAlign w:val="center"/>
                </w:tcPr>
                <w:p>
                  <w:pPr>
                    <w:adjustRightInd w:val="0"/>
                    <w:jc w:val="center"/>
                    <w:rPr>
                      <w:szCs w:val="21"/>
                    </w:rPr>
                  </w:pPr>
                </w:p>
              </w:tc>
              <w:tc>
                <w:tcPr>
                  <w:tcW w:w="349" w:type="pct"/>
                  <w:vMerge w:val="continue"/>
                  <w:tcMar>
                    <w:left w:w="57" w:type="dxa"/>
                    <w:right w:w="57" w:type="dxa"/>
                  </w:tcMar>
                  <w:vAlign w:val="center"/>
                </w:tcPr>
                <w:p>
                  <w:pPr>
                    <w:adjustRightInd w:val="0"/>
                    <w:jc w:val="center"/>
                    <w:rPr>
                      <w:szCs w:val="21"/>
                    </w:rPr>
                  </w:pPr>
                </w:p>
              </w:tc>
              <w:tc>
                <w:tcPr>
                  <w:tcW w:w="401" w:type="pct"/>
                  <w:tcMar>
                    <w:left w:w="57" w:type="dxa"/>
                    <w:right w:w="57" w:type="dxa"/>
                  </w:tcMar>
                  <w:vAlign w:val="center"/>
                </w:tcPr>
                <w:p>
                  <w:pPr>
                    <w:adjustRightInd w:val="0"/>
                    <w:jc w:val="center"/>
                    <w:rPr>
                      <w:szCs w:val="21"/>
                      <w:highlight w:val="green"/>
                    </w:rPr>
                  </w:pPr>
                  <w:r>
                    <w:rPr>
                      <w:szCs w:val="21"/>
                      <w:highlight w:val="green"/>
                    </w:rPr>
                    <w:t>NO</w:t>
                  </w:r>
                  <w:r>
                    <w:rPr>
                      <w:szCs w:val="21"/>
                      <w:highlight w:val="green"/>
                      <w:vertAlign w:val="subscript"/>
                    </w:rPr>
                    <w:t>x</w:t>
                  </w:r>
                </w:p>
              </w:tc>
              <w:tc>
                <w:tcPr>
                  <w:tcW w:w="433" w:type="pct"/>
                  <w:vMerge w:val="continue"/>
                  <w:tcMar>
                    <w:left w:w="57" w:type="dxa"/>
                    <w:right w:w="57" w:type="dxa"/>
                  </w:tcMar>
                  <w:vAlign w:val="center"/>
                </w:tcPr>
                <w:p>
                  <w:pPr>
                    <w:adjustRightInd w:val="0"/>
                    <w:jc w:val="center"/>
                    <w:rPr>
                      <w:szCs w:val="21"/>
                    </w:rPr>
                  </w:pPr>
                </w:p>
              </w:tc>
              <w:tc>
                <w:tcPr>
                  <w:tcW w:w="505" w:type="pct"/>
                  <w:tcMar>
                    <w:left w:w="57" w:type="dxa"/>
                    <w:right w:w="57" w:type="dxa"/>
                  </w:tcMar>
                  <w:vAlign w:val="center"/>
                </w:tcPr>
                <w:p>
                  <w:pPr>
                    <w:jc w:val="center"/>
                    <w:rPr>
                      <w:szCs w:val="21"/>
                      <w:highlight w:val="green"/>
                    </w:rPr>
                  </w:pPr>
                  <w:r>
                    <w:rPr>
                      <w:rFonts w:hint="eastAsia"/>
                      <w:szCs w:val="21"/>
                      <w:highlight w:val="green"/>
                    </w:rPr>
                    <w:t>0.607</w:t>
                  </w:r>
                </w:p>
              </w:tc>
              <w:tc>
                <w:tcPr>
                  <w:tcW w:w="500" w:type="pct"/>
                  <w:tcMar>
                    <w:left w:w="57" w:type="dxa"/>
                    <w:right w:w="57" w:type="dxa"/>
                  </w:tcMar>
                  <w:vAlign w:val="center"/>
                </w:tcPr>
                <w:p>
                  <w:pPr>
                    <w:jc w:val="center"/>
                    <w:rPr>
                      <w:szCs w:val="21"/>
                      <w:highlight w:val="green"/>
                    </w:rPr>
                  </w:pPr>
                  <w:r>
                    <w:rPr>
                      <w:rFonts w:hint="eastAsia"/>
                      <w:szCs w:val="21"/>
                      <w:highlight w:val="green"/>
                    </w:rPr>
                    <w:t>4.37</w:t>
                  </w:r>
                </w:p>
              </w:tc>
              <w:tc>
                <w:tcPr>
                  <w:tcW w:w="600" w:type="pct"/>
                  <w:tcMar>
                    <w:left w:w="57" w:type="dxa"/>
                    <w:right w:w="57" w:type="dxa"/>
                  </w:tcMar>
                  <w:vAlign w:val="center"/>
                </w:tcPr>
                <w:p>
                  <w:pPr>
                    <w:jc w:val="center"/>
                    <w:rPr>
                      <w:szCs w:val="21"/>
                      <w:highlight w:val="green"/>
                    </w:rPr>
                  </w:pPr>
                  <w:r>
                    <w:rPr>
                      <w:rFonts w:hint="eastAsia"/>
                      <w:szCs w:val="21"/>
                      <w:highlight w:val="green"/>
                    </w:rPr>
                    <w:t>232</w:t>
                  </w:r>
                </w:p>
              </w:tc>
              <w:tc>
                <w:tcPr>
                  <w:tcW w:w="678" w:type="pct"/>
                  <w:vMerge w:val="continue"/>
                  <w:tcMar>
                    <w:left w:w="57" w:type="dxa"/>
                    <w:right w:w="57" w:type="dxa"/>
                  </w:tcMar>
                  <w:vAlign w:val="center"/>
                </w:tcPr>
                <w:p>
                  <w:pPr>
                    <w:jc w:val="center"/>
                    <w:rPr>
                      <w:szCs w:val="21"/>
                      <w:highlight w:val="green"/>
                    </w:rPr>
                  </w:pPr>
                </w:p>
              </w:tc>
              <w:tc>
                <w:tcPr>
                  <w:tcW w:w="372" w:type="pct"/>
                  <w:tcMar>
                    <w:left w:w="57" w:type="dxa"/>
                    <w:right w:w="57" w:type="dxa"/>
                  </w:tcMar>
                  <w:vAlign w:val="center"/>
                </w:tcPr>
                <w:p>
                  <w:pPr>
                    <w:jc w:val="center"/>
                    <w:rPr>
                      <w:szCs w:val="21"/>
                      <w:highlight w:val="green"/>
                    </w:rPr>
                  </w:pPr>
                  <w:r>
                    <w:rPr>
                      <w:rFonts w:hint="eastAsia"/>
                      <w:szCs w:val="21"/>
                      <w:highlight w:val="green"/>
                    </w:rPr>
                    <w:t>0.607</w:t>
                  </w:r>
                </w:p>
              </w:tc>
              <w:tc>
                <w:tcPr>
                  <w:tcW w:w="383" w:type="pct"/>
                  <w:tcMar>
                    <w:left w:w="57" w:type="dxa"/>
                    <w:right w:w="57" w:type="dxa"/>
                  </w:tcMar>
                  <w:vAlign w:val="center"/>
                </w:tcPr>
                <w:p>
                  <w:pPr>
                    <w:jc w:val="center"/>
                    <w:rPr>
                      <w:szCs w:val="21"/>
                      <w:highlight w:val="green"/>
                    </w:rPr>
                  </w:pPr>
                  <w:r>
                    <w:rPr>
                      <w:rFonts w:hint="eastAsia"/>
                      <w:szCs w:val="21"/>
                      <w:highlight w:val="green"/>
                    </w:rPr>
                    <w:t>4.37</w:t>
                  </w:r>
                </w:p>
              </w:tc>
              <w:tc>
                <w:tcPr>
                  <w:tcW w:w="542" w:type="pct"/>
                  <w:tcMar>
                    <w:left w:w="57" w:type="dxa"/>
                    <w:right w:w="57" w:type="dxa"/>
                  </w:tcMar>
                  <w:vAlign w:val="center"/>
                </w:tcPr>
                <w:p>
                  <w:pPr>
                    <w:jc w:val="center"/>
                    <w:rPr>
                      <w:szCs w:val="21"/>
                      <w:highlight w:val="green"/>
                    </w:rPr>
                  </w:pPr>
                  <w:r>
                    <w:rPr>
                      <w:rFonts w:hint="eastAsia"/>
                      <w:szCs w:val="21"/>
                      <w:highlight w:val="green"/>
                    </w:rPr>
                    <w:t>232</w:t>
                  </w:r>
                </w:p>
              </w:tc>
            </w:tr>
          </w:tbl>
          <w:p>
            <w:pPr>
              <w:adjustRightInd w:val="0"/>
              <w:spacing w:before="120" w:beforeLines="50" w:line="360" w:lineRule="auto"/>
              <w:ind w:firstLine="482" w:firstLineChars="200"/>
              <w:rPr>
                <w:b/>
                <w:snapToGrid w:val="0"/>
                <w:kern w:val="0"/>
                <w:sz w:val="24"/>
                <w:highlight w:val="green"/>
              </w:rPr>
            </w:pPr>
            <w:r>
              <w:rPr>
                <w:rFonts w:hint="eastAsia"/>
                <w:b/>
                <w:snapToGrid w:val="0"/>
                <w:kern w:val="0"/>
                <w:sz w:val="24"/>
                <w:highlight w:val="green"/>
              </w:rPr>
              <w:t>②本项目环保工程技改涉及工序技改后污染物变化情况核算</w:t>
            </w:r>
          </w:p>
          <w:p>
            <w:pPr>
              <w:adjustRightInd w:val="0"/>
              <w:spacing w:line="360" w:lineRule="auto"/>
              <w:ind w:firstLine="480" w:firstLineChars="200"/>
              <w:rPr>
                <w:sz w:val="24"/>
                <w:highlight w:val="green"/>
              </w:rPr>
            </w:pPr>
            <w:r>
              <w:rPr>
                <w:rFonts w:hint="eastAsia"/>
                <w:sz w:val="24"/>
                <w:highlight w:val="green"/>
              </w:rPr>
              <w:t>A、本项目环保工程技改对现有项目筛选打磨工序废气处理设施由“旋风除尘”改造为“旋风除尘+布袋除尘”处理后呈无组织形式排放；技改后2台筛选机共用1套旋风除尘+布袋除尘（除尘效率99%）。2台打磨机分别设置2套旋风除尘+布袋除尘（除尘效率99%）。</w:t>
            </w:r>
          </w:p>
          <w:p>
            <w:pPr>
              <w:adjustRightInd w:val="0"/>
              <w:spacing w:line="360" w:lineRule="auto"/>
              <w:ind w:firstLine="480" w:firstLineChars="200"/>
              <w:rPr>
                <w:sz w:val="24"/>
                <w:highlight w:val="green"/>
              </w:rPr>
            </w:pPr>
            <w:r>
              <w:rPr>
                <w:rFonts w:hint="eastAsia"/>
                <w:sz w:val="24"/>
                <w:highlight w:val="green"/>
              </w:rPr>
              <w:t>现有项目筛选打磨工序颗粒物无组织产生量为4.175t/a，技改后除尘效率为99%，颗粒物排放量为0.04175t/a。技改前筛选打磨工序无组织排放颗粒物为0.835t/a，技改后筛选打磨工序颗粒物无组织排放量较技改前削减0.79325t/a。</w:t>
            </w:r>
          </w:p>
          <w:p>
            <w:pPr>
              <w:numPr>
                <w:ilvl w:val="0"/>
                <w:numId w:val="8"/>
              </w:numPr>
              <w:adjustRightInd w:val="0"/>
              <w:spacing w:line="360" w:lineRule="auto"/>
              <w:ind w:firstLine="480" w:firstLineChars="200"/>
              <w:rPr>
                <w:sz w:val="24"/>
                <w:szCs w:val="21"/>
                <w:highlight w:val="green"/>
              </w:rPr>
            </w:pPr>
            <w:r>
              <w:rPr>
                <w:rFonts w:hint="eastAsia"/>
                <w:sz w:val="24"/>
                <w:highlight w:val="green"/>
              </w:rPr>
              <w:t>本项目环保工程技改对现有项目锅炉房</w:t>
            </w:r>
            <w:r>
              <w:rPr>
                <w:sz w:val="24"/>
                <w:szCs w:val="21"/>
                <w:highlight w:val="green"/>
              </w:rPr>
              <w:t>7t/h</w:t>
            </w:r>
            <w:r>
              <w:rPr>
                <w:rFonts w:hint="eastAsia"/>
                <w:sz w:val="24"/>
                <w:szCs w:val="21"/>
                <w:highlight w:val="green"/>
              </w:rPr>
              <w:t>导热油锅炉废气处理设施由“多管旋风除尘”改造为“多管旋风除尘+水膜除尘”；技改后对颗粒物去除效率为94%，对SO</w:t>
            </w:r>
            <w:r>
              <w:rPr>
                <w:rFonts w:hint="eastAsia"/>
                <w:sz w:val="24"/>
                <w:szCs w:val="21"/>
                <w:highlight w:val="green"/>
                <w:vertAlign w:val="subscript"/>
              </w:rPr>
              <w:t>2</w:t>
            </w:r>
            <w:r>
              <w:rPr>
                <w:rFonts w:hint="eastAsia"/>
                <w:sz w:val="24"/>
                <w:szCs w:val="21"/>
                <w:highlight w:val="green"/>
              </w:rPr>
              <w:t>、NOx去除效率为0。</w:t>
            </w:r>
          </w:p>
          <w:p>
            <w:pPr>
              <w:adjustRightInd w:val="0"/>
              <w:spacing w:before="120" w:beforeLines="50" w:line="360" w:lineRule="auto"/>
              <w:ind w:firstLine="480" w:firstLineChars="200"/>
              <w:rPr>
                <w:b/>
                <w:snapToGrid w:val="0"/>
                <w:kern w:val="0"/>
                <w:sz w:val="24"/>
                <w:highlight w:val="green"/>
              </w:rPr>
            </w:pPr>
            <w:r>
              <w:rPr>
                <w:rFonts w:hint="eastAsia"/>
                <w:sz w:val="24"/>
                <w:highlight w:val="green"/>
              </w:rPr>
              <w:t>现有项目7t/h导热油锅炉烟气颗粒物产生量为10.057t/a，SO</w:t>
            </w:r>
            <w:r>
              <w:rPr>
                <w:rFonts w:hint="eastAsia"/>
                <w:sz w:val="24"/>
                <w:highlight w:val="green"/>
                <w:vertAlign w:val="subscript"/>
              </w:rPr>
              <w:t>2</w:t>
            </w:r>
            <w:r>
              <w:rPr>
                <w:rFonts w:hint="eastAsia"/>
                <w:sz w:val="24"/>
                <w:highlight w:val="green"/>
              </w:rPr>
              <w:t>产生量为5.19t/a、NOx产生量为6.08t/a。</w:t>
            </w:r>
            <w:r>
              <w:rPr>
                <w:rFonts w:hint="eastAsia"/>
                <w:sz w:val="24"/>
                <w:szCs w:val="21"/>
                <w:highlight w:val="green"/>
              </w:rPr>
              <w:t>技改后对颗粒物去除效率为94%，对</w:t>
            </w:r>
            <w:r>
              <w:rPr>
                <w:rFonts w:hint="eastAsia"/>
                <w:sz w:val="24"/>
                <w:highlight w:val="green"/>
              </w:rPr>
              <w:t>SO</w:t>
            </w:r>
            <w:r>
              <w:rPr>
                <w:rFonts w:hint="eastAsia"/>
                <w:sz w:val="24"/>
                <w:highlight w:val="green"/>
                <w:vertAlign w:val="subscript"/>
              </w:rPr>
              <w:t>2</w:t>
            </w:r>
            <w:r>
              <w:rPr>
                <w:rFonts w:hint="eastAsia"/>
                <w:sz w:val="24"/>
                <w:szCs w:val="21"/>
                <w:highlight w:val="green"/>
              </w:rPr>
              <w:t>、NOx去除效率为0</w:t>
            </w:r>
            <w:r>
              <w:rPr>
                <w:rFonts w:hint="eastAsia"/>
                <w:sz w:val="24"/>
                <w:highlight w:val="green"/>
              </w:rPr>
              <w:t>，则颗粒物排放量为0.603t/a，SO</w:t>
            </w:r>
            <w:r>
              <w:rPr>
                <w:rFonts w:hint="eastAsia"/>
                <w:sz w:val="24"/>
                <w:highlight w:val="green"/>
                <w:vertAlign w:val="subscript"/>
              </w:rPr>
              <w:t>2</w:t>
            </w:r>
            <w:r>
              <w:rPr>
                <w:rFonts w:hint="eastAsia"/>
                <w:sz w:val="24"/>
                <w:highlight w:val="green"/>
              </w:rPr>
              <w:t>排放量为5.19t/a，NOx排放量为6.08t/a</w:t>
            </w:r>
            <w:r>
              <w:rPr>
                <w:rFonts w:hint="eastAsia"/>
                <w:sz w:val="24"/>
                <w:szCs w:val="21"/>
                <w:highlight w:val="green"/>
              </w:rPr>
              <w:t>。</w:t>
            </w:r>
          </w:p>
          <w:p>
            <w:pPr>
              <w:adjustRightInd w:val="0"/>
              <w:spacing w:line="360" w:lineRule="auto"/>
              <w:ind w:firstLine="480" w:firstLineChars="200"/>
              <w:rPr>
                <w:sz w:val="24"/>
                <w:highlight w:val="green"/>
              </w:rPr>
            </w:pPr>
            <w:r>
              <w:rPr>
                <w:rFonts w:hint="eastAsia"/>
                <w:sz w:val="24"/>
                <w:highlight w:val="green"/>
              </w:rPr>
              <w:t>技改前颗粒物排放量为3.017t/a，技改后7t/h导热油锅炉颗粒物排放量较技改前削减2.414t/a。</w:t>
            </w:r>
          </w:p>
          <w:p>
            <w:pPr>
              <w:adjustRightInd w:val="0"/>
              <w:spacing w:line="360" w:lineRule="auto"/>
              <w:ind w:firstLine="482" w:firstLineChars="200"/>
              <w:rPr>
                <w:b/>
                <w:snapToGrid w:val="0"/>
                <w:kern w:val="0"/>
                <w:sz w:val="24"/>
                <w:highlight w:val="green"/>
              </w:rPr>
            </w:pPr>
            <w:r>
              <w:rPr>
                <w:rFonts w:hint="eastAsia"/>
                <w:b/>
                <w:snapToGrid w:val="0"/>
                <w:kern w:val="0"/>
                <w:sz w:val="24"/>
                <w:highlight w:val="green"/>
              </w:rPr>
              <w:t>C、</w:t>
            </w:r>
            <w:r>
              <w:rPr>
                <w:rFonts w:hint="eastAsia"/>
                <w:bCs/>
                <w:snapToGrid w:val="0"/>
                <w:kern w:val="0"/>
                <w:sz w:val="24"/>
                <w:highlight w:val="green"/>
              </w:rPr>
              <w:t>本项目环保工程技改</w:t>
            </w:r>
            <w:r>
              <w:rPr>
                <w:rFonts w:hint="eastAsia"/>
                <w:sz w:val="24"/>
                <w:highlight w:val="green"/>
              </w:rPr>
              <w:t>对现有项目</w:t>
            </w:r>
            <w:r>
              <w:rPr>
                <w:rFonts w:hint="eastAsia"/>
                <w:sz w:val="24"/>
                <w:szCs w:val="21"/>
                <w:highlight w:val="green"/>
              </w:rPr>
              <w:t>热压、凉板环节产生的废气由“集气罩收集+15m高排气筒排放”技改为“集气罩收集+活性炭吸附装置+15m高排气筒”处理后排放。</w:t>
            </w:r>
            <w:r>
              <w:rPr>
                <w:rFonts w:hint="eastAsia"/>
                <w:sz w:val="24"/>
                <w:highlight w:val="green"/>
              </w:rPr>
              <w:t>集气罩收集效率为90%，活性炭吸附装置对非甲烷总烃、甲醛的去除效率为80%、对颗粒物去除效率为0；集气罩未收集到废气无组织排放。</w:t>
            </w:r>
          </w:p>
          <w:p>
            <w:pPr>
              <w:adjustRightInd w:val="0"/>
              <w:spacing w:before="120" w:beforeLines="50" w:line="360" w:lineRule="auto"/>
              <w:ind w:firstLine="480" w:firstLineChars="200"/>
              <w:rPr>
                <w:b/>
                <w:snapToGrid w:val="0"/>
                <w:kern w:val="0"/>
                <w:sz w:val="24"/>
                <w:highlight w:val="green"/>
              </w:rPr>
            </w:pPr>
            <w:r>
              <w:rPr>
                <w:rFonts w:hint="eastAsia"/>
                <w:sz w:val="24"/>
                <w:highlight w:val="green"/>
              </w:rPr>
              <w:t>现有项目热压凉板工序</w:t>
            </w:r>
            <w:r>
              <w:rPr>
                <w:rFonts w:hint="eastAsia"/>
                <w:bCs/>
                <w:sz w:val="24"/>
                <w:szCs w:val="28"/>
                <w:highlight w:val="green"/>
              </w:rPr>
              <w:t>颗粒物产生量为0.784t/a、甲醛产生量0.7t/a、非甲烷总烃产生量为1.588t/a，技改后有组织颗粒物排放量为</w:t>
            </w:r>
            <w:r>
              <w:rPr>
                <w:bCs/>
                <w:sz w:val="24"/>
                <w:szCs w:val="28"/>
                <w:highlight w:val="green"/>
              </w:rPr>
              <w:t>0.706</w:t>
            </w:r>
            <w:r>
              <w:rPr>
                <w:rFonts w:hint="eastAsia"/>
                <w:bCs/>
                <w:sz w:val="24"/>
                <w:szCs w:val="28"/>
                <w:highlight w:val="green"/>
              </w:rPr>
              <w:t>t/a，甲醛排放量为0.126t/a、非甲烷总烃排放量为0.286t/a。集气罩未收集无组织废气中颗粒物的产生量为0.0784t/a、甲醛产生量为0.07t/a、非甲烷总烃产生量为0.1588t/a。</w:t>
            </w:r>
          </w:p>
          <w:p>
            <w:pPr>
              <w:adjustRightInd w:val="0"/>
              <w:spacing w:line="360" w:lineRule="auto"/>
              <w:ind w:firstLine="480" w:firstLineChars="200"/>
              <w:rPr>
                <w:b/>
                <w:snapToGrid w:val="0"/>
                <w:kern w:val="0"/>
                <w:sz w:val="24"/>
              </w:rPr>
            </w:pPr>
            <w:r>
              <w:rPr>
                <w:rFonts w:hint="eastAsia"/>
                <w:sz w:val="24"/>
                <w:highlight w:val="green"/>
              </w:rPr>
              <w:t>技改前非甲烷总烃、甲醛排放量1.4292t/a，0.63t/a，技改后非甲烷总烃、甲醛排放量较技改前分别削减1.1432t/a、0.504t/a。</w:t>
            </w:r>
          </w:p>
          <w:p>
            <w:pPr>
              <w:adjustRightInd w:val="0"/>
              <w:spacing w:line="360" w:lineRule="auto"/>
              <w:ind w:firstLine="482" w:firstLineChars="200"/>
              <w:rPr>
                <w:b/>
                <w:snapToGrid w:val="0"/>
                <w:kern w:val="0"/>
                <w:sz w:val="24"/>
              </w:rPr>
            </w:pPr>
            <w:r>
              <w:rPr>
                <w:rFonts w:hint="eastAsia"/>
                <w:b/>
                <w:snapToGrid w:val="0"/>
                <w:kern w:val="0"/>
                <w:sz w:val="24"/>
              </w:rPr>
              <w:t>（4）本项目非正常工况</w:t>
            </w:r>
          </w:p>
          <w:p>
            <w:pPr>
              <w:adjustRightInd w:val="0"/>
              <w:spacing w:line="360" w:lineRule="auto"/>
              <w:ind w:firstLine="480" w:firstLineChars="200"/>
              <w:rPr>
                <w:bCs/>
                <w:kern w:val="0"/>
                <w:sz w:val="24"/>
                <w:szCs w:val="21"/>
              </w:rPr>
            </w:pPr>
            <w:r>
              <w:rPr>
                <w:rFonts w:hint="eastAsia"/>
                <w:sz w:val="24"/>
                <w:szCs w:val="21"/>
                <w:highlight w:val="green"/>
              </w:rPr>
              <w:t>本项目废气为供热工程技改新增5t/h导热油锅炉废气，环保技改新增环保设施不产生废气。</w:t>
            </w:r>
            <w:r>
              <w:rPr>
                <w:rFonts w:hint="eastAsia"/>
                <w:sz w:val="24"/>
                <w:szCs w:val="21"/>
              </w:rPr>
              <w:t>在废气处理装置出现故障导致处理效率降低时，可能导致废气超标排放。本项目废气非正常排放具体设置情况为</w:t>
            </w:r>
            <w:r>
              <w:rPr>
                <w:rFonts w:hint="eastAsia"/>
                <w:sz w:val="24"/>
                <w:szCs w:val="21"/>
                <w:highlight w:val="green"/>
              </w:rPr>
              <w:t>：新增5t/h锅炉“多管旋风除尘+水膜除尘装置”除尘效率降至30%，烟气处理设施仅对颗粒物有去除效率，不考虑</w:t>
            </w:r>
            <w:r>
              <w:rPr>
                <w:rFonts w:hint="eastAsia"/>
                <w:bCs/>
                <w:kern w:val="0"/>
                <w:sz w:val="24"/>
                <w:highlight w:val="green"/>
              </w:rPr>
              <w:t>SO</w:t>
            </w:r>
            <w:r>
              <w:rPr>
                <w:rFonts w:hint="eastAsia"/>
                <w:bCs/>
                <w:kern w:val="0"/>
                <w:sz w:val="24"/>
                <w:highlight w:val="green"/>
                <w:vertAlign w:val="subscript"/>
              </w:rPr>
              <w:t>2</w:t>
            </w:r>
            <w:r>
              <w:rPr>
                <w:rFonts w:hint="eastAsia"/>
                <w:bCs/>
                <w:kern w:val="0"/>
                <w:sz w:val="24"/>
                <w:highlight w:val="green"/>
              </w:rPr>
              <w:t>、NO</w:t>
            </w:r>
            <w:r>
              <w:rPr>
                <w:rFonts w:hint="eastAsia"/>
                <w:bCs/>
                <w:kern w:val="0"/>
                <w:szCs w:val="21"/>
                <w:highlight w:val="green"/>
                <w:vertAlign w:val="subscript"/>
              </w:rPr>
              <w:t>x</w:t>
            </w:r>
            <w:r>
              <w:rPr>
                <w:rFonts w:hint="eastAsia"/>
                <w:bCs/>
                <w:kern w:val="0"/>
                <w:sz w:val="24"/>
                <w:szCs w:val="21"/>
              </w:rPr>
              <w:t>；</w:t>
            </w:r>
          </w:p>
          <w:p>
            <w:pPr>
              <w:adjustRightInd w:val="0"/>
              <w:spacing w:line="360" w:lineRule="auto"/>
              <w:ind w:firstLine="480" w:firstLineChars="200"/>
              <w:rPr>
                <w:bCs/>
                <w:kern w:val="0"/>
                <w:sz w:val="24"/>
                <w:szCs w:val="21"/>
              </w:rPr>
            </w:pPr>
            <w:r>
              <w:rPr>
                <w:rFonts w:hint="eastAsia"/>
                <w:bCs/>
                <w:kern w:val="0"/>
                <w:sz w:val="24"/>
                <w:szCs w:val="21"/>
              </w:rPr>
              <w:t>则本项目非正常工况大气污染物排放情况见下表：</w:t>
            </w:r>
          </w:p>
          <w:p>
            <w:pPr>
              <w:widowControl/>
              <w:adjustRightInd w:val="0"/>
              <w:spacing w:line="360" w:lineRule="auto"/>
              <w:jc w:val="center"/>
              <w:rPr>
                <w:rFonts w:cs="宋体"/>
                <w:b/>
                <w:bCs/>
                <w:kern w:val="0"/>
                <w:sz w:val="24"/>
                <w:szCs w:val="20"/>
                <w:highlight w:val="green"/>
                <w:lang w:bidi="ar"/>
              </w:rPr>
            </w:pPr>
          </w:p>
          <w:p>
            <w:pPr>
              <w:widowControl/>
              <w:adjustRightInd w:val="0"/>
              <w:spacing w:line="360" w:lineRule="auto"/>
              <w:jc w:val="center"/>
              <w:rPr>
                <w:rFonts w:cs="宋体"/>
                <w:b/>
                <w:bCs/>
                <w:kern w:val="0"/>
                <w:sz w:val="24"/>
                <w:szCs w:val="20"/>
                <w:highlight w:val="green"/>
                <w:lang w:bidi="ar"/>
              </w:rPr>
            </w:pPr>
          </w:p>
          <w:p>
            <w:pPr>
              <w:widowControl/>
              <w:adjustRightInd w:val="0"/>
              <w:spacing w:line="360" w:lineRule="auto"/>
              <w:jc w:val="center"/>
              <w:rPr>
                <w:rFonts w:cs="宋体"/>
                <w:b/>
                <w:bCs/>
                <w:kern w:val="0"/>
                <w:sz w:val="24"/>
                <w:szCs w:val="20"/>
                <w:highlight w:val="green"/>
                <w:lang w:bidi="ar"/>
              </w:rPr>
            </w:pPr>
          </w:p>
          <w:p>
            <w:pPr>
              <w:widowControl/>
              <w:adjustRightInd w:val="0"/>
              <w:spacing w:before="120" w:beforeLines="50" w:line="360" w:lineRule="auto"/>
              <w:jc w:val="center"/>
              <w:rPr>
                <w:rFonts w:cs="宋体"/>
                <w:b/>
                <w:bCs/>
                <w:kern w:val="0"/>
                <w:sz w:val="24"/>
                <w:szCs w:val="20"/>
                <w:highlight w:val="green"/>
                <w:lang w:bidi="ar"/>
              </w:rPr>
            </w:pPr>
            <w:r>
              <w:rPr>
                <w:rFonts w:hint="eastAsia" w:cs="宋体"/>
                <w:b/>
                <w:bCs/>
                <w:kern w:val="0"/>
                <w:sz w:val="24"/>
                <w:szCs w:val="20"/>
                <w:highlight w:val="green"/>
                <w:lang w:bidi="ar"/>
              </w:rPr>
              <w:t xml:space="preserve">表4-5 </w:t>
            </w:r>
            <w:r>
              <w:rPr>
                <w:rFonts w:cs="宋体"/>
                <w:b/>
                <w:bCs/>
                <w:kern w:val="0"/>
                <w:sz w:val="24"/>
                <w:szCs w:val="20"/>
                <w:highlight w:val="green"/>
                <w:lang w:bidi="ar"/>
              </w:rPr>
              <w:t xml:space="preserve"> </w:t>
            </w:r>
            <w:r>
              <w:rPr>
                <w:rFonts w:hint="eastAsia" w:cs="宋体"/>
                <w:b/>
                <w:bCs/>
                <w:kern w:val="0"/>
                <w:sz w:val="24"/>
                <w:szCs w:val="20"/>
                <w:highlight w:val="green"/>
                <w:lang w:bidi="ar"/>
              </w:rPr>
              <w:t>本</w:t>
            </w:r>
            <w:r>
              <w:rPr>
                <w:rFonts w:cs="宋体"/>
                <w:b/>
                <w:bCs/>
                <w:kern w:val="0"/>
                <w:sz w:val="24"/>
                <w:szCs w:val="20"/>
                <w:highlight w:val="green"/>
                <w:lang w:bidi="ar"/>
              </w:rPr>
              <w:t>项目大气污染物</w:t>
            </w:r>
            <w:r>
              <w:rPr>
                <w:rFonts w:hint="eastAsia" w:cs="宋体"/>
                <w:b/>
                <w:bCs/>
                <w:kern w:val="0"/>
                <w:sz w:val="24"/>
                <w:szCs w:val="20"/>
                <w:highlight w:val="green"/>
                <w:lang w:bidi="ar"/>
              </w:rPr>
              <w:t>非正常</w:t>
            </w:r>
            <w:r>
              <w:rPr>
                <w:rFonts w:cs="宋体"/>
                <w:b/>
                <w:bCs/>
                <w:kern w:val="0"/>
                <w:sz w:val="24"/>
                <w:szCs w:val="20"/>
                <w:highlight w:val="green"/>
                <w:lang w:bidi="ar"/>
              </w:rPr>
              <w:t>排放情况一览表</w:t>
            </w:r>
          </w:p>
          <w:tbl>
            <w:tblPr>
              <w:tblStyle w:val="32"/>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522"/>
              <w:gridCol w:w="1282"/>
              <w:gridCol w:w="991"/>
              <w:gridCol w:w="785"/>
              <w:gridCol w:w="896"/>
              <w:gridCol w:w="905"/>
              <w:gridCol w:w="854"/>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866" w:type="dxa"/>
                  <w:vMerge w:val="restart"/>
                  <w:vAlign w:val="center"/>
                </w:tcPr>
                <w:p>
                  <w:pPr>
                    <w:adjustRightInd w:val="0"/>
                    <w:jc w:val="center"/>
                    <w:rPr>
                      <w:b/>
                      <w:bCs/>
                      <w:szCs w:val="21"/>
                      <w:highlight w:val="green"/>
                    </w:rPr>
                  </w:pPr>
                  <w:r>
                    <w:rPr>
                      <w:b/>
                      <w:bCs/>
                      <w:szCs w:val="21"/>
                      <w:highlight w:val="green"/>
                    </w:rPr>
                    <w:t>污染源</w:t>
                  </w:r>
                </w:p>
              </w:tc>
              <w:tc>
                <w:tcPr>
                  <w:tcW w:w="522" w:type="dxa"/>
                  <w:vMerge w:val="restart"/>
                  <w:vAlign w:val="center"/>
                </w:tcPr>
                <w:p>
                  <w:pPr>
                    <w:adjustRightInd w:val="0"/>
                    <w:jc w:val="center"/>
                    <w:rPr>
                      <w:b/>
                      <w:bCs/>
                      <w:szCs w:val="21"/>
                      <w:highlight w:val="green"/>
                    </w:rPr>
                  </w:pPr>
                  <w:r>
                    <w:rPr>
                      <w:b/>
                      <w:bCs/>
                      <w:szCs w:val="21"/>
                      <w:highlight w:val="green"/>
                    </w:rPr>
                    <w:t>污染因子</w:t>
                  </w:r>
                </w:p>
              </w:tc>
              <w:tc>
                <w:tcPr>
                  <w:tcW w:w="1282" w:type="dxa"/>
                  <w:vMerge w:val="restart"/>
                  <w:vAlign w:val="center"/>
                </w:tcPr>
                <w:p>
                  <w:pPr>
                    <w:adjustRightInd w:val="0"/>
                    <w:jc w:val="center"/>
                    <w:rPr>
                      <w:b/>
                      <w:bCs/>
                      <w:szCs w:val="21"/>
                      <w:highlight w:val="green"/>
                    </w:rPr>
                  </w:pPr>
                  <w:r>
                    <w:rPr>
                      <w:rFonts w:hint="eastAsia"/>
                      <w:b/>
                      <w:bCs/>
                      <w:szCs w:val="21"/>
                      <w:highlight w:val="green"/>
                    </w:rPr>
                    <w:t>非正常情况</w:t>
                  </w:r>
                </w:p>
              </w:tc>
              <w:tc>
                <w:tcPr>
                  <w:tcW w:w="2672" w:type="dxa"/>
                  <w:gridSpan w:val="3"/>
                  <w:vAlign w:val="center"/>
                </w:tcPr>
                <w:p>
                  <w:pPr>
                    <w:adjustRightInd w:val="0"/>
                    <w:jc w:val="center"/>
                    <w:rPr>
                      <w:b/>
                      <w:bCs/>
                      <w:szCs w:val="21"/>
                      <w:highlight w:val="green"/>
                    </w:rPr>
                  </w:pPr>
                  <w:r>
                    <w:rPr>
                      <w:b/>
                      <w:bCs/>
                      <w:szCs w:val="21"/>
                      <w:highlight w:val="green"/>
                    </w:rPr>
                    <w:t>产生</w:t>
                  </w:r>
                  <w:r>
                    <w:rPr>
                      <w:rFonts w:hint="eastAsia"/>
                      <w:b/>
                      <w:bCs/>
                      <w:szCs w:val="21"/>
                      <w:highlight w:val="green"/>
                    </w:rPr>
                    <w:t>情况</w:t>
                  </w:r>
                </w:p>
              </w:tc>
              <w:tc>
                <w:tcPr>
                  <w:tcW w:w="2795" w:type="dxa"/>
                  <w:gridSpan w:val="3"/>
                  <w:vAlign w:val="center"/>
                </w:tcPr>
                <w:p>
                  <w:pPr>
                    <w:adjustRightInd w:val="0"/>
                    <w:jc w:val="center"/>
                    <w:rPr>
                      <w:b/>
                      <w:bCs/>
                      <w:szCs w:val="21"/>
                      <w:highlight w:val="green"/>
                    </w:rPr>
                  </w:pPr>
                  <w:r>
                    <w:rPr>
                      <w:b/>
                      <w:bCs/>
                      <w:szCs w:val="21"/>
                      <w:highlight w:val="green"/>
                    </w:rPr>
                    <w:t>排放</w:t>
                  </w:r>
                  <w:r>
                    <w:rPr>
                      <w:rFonts w:hint="eastAsia"/>
                      <w:b/>
                      <w:bCs/>
                      <w:szCs w:val="21"/>
                      <w:highlight w:val="gree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866" w:type="dxa"/>
                  <w:vMerge w:val="continue"/>
                  <w:vAlign w:val="center"/>
                </w:tcPr>
                <w:p>
                  <w:pPr>
                    <w:adjustRightInd w:val="0"/>
                    <w:jc w:val="center"/>
                    <w:rPr>
                      <w:highlight w:val="green"/>
                    </w:rPr>
                  </w:pPr>
                </w:p>
              </w:tc>
              <w:tc>
                <w:tcPr>
                  <w:tcW w:w="522" w:type="dxa"/>
                  <w:vMerge w:val="continue"/>
                  <w:vAlign w:val="center"/>
                </w:tcPr>
                <w:p>
                  <w:pPr>
                    <w:adjustRightInd w:val="0"/>
                    <w:jc w:val="center"/>
                    <w:rPr>
                      <w:highlight w:val="green"/>
                    </w:rPr>
                  </w:pPr>
                </w:p>
              </w:tc>
              <w:tc>
                <w:tcPr>
                  <w:tcW w:w="1282" w:type="dxa"/>
                  <w:vMerge w:val="continue"/>
                  <w:vAlign w:val="center"/>
                </w:tcPr>
                <w:p>
                  <w:pPr>
                    <w:adjustRightInd w:val="0"/>
                    <w:jc w:val="center"/>
                    <w:rPr>
                      <w:highlight w:val="green"/>
                    </w:rPr>
                  </w:pPr>
                </w:p>
              </w:tc>
              <w:tc>
                <w:tcPr>
                  <w:tcW w:w="991" w:type="dxa"/>
                  <w:vAlign w:val="center"/>
                </w:tcPr>
                <w:p>
                  <w:pPr>
                    <w:adjustRightInd w:val="0"/>
                    <w:jc w:val="center"/>
                    <w:rPr>
                      <w:highlight w:val="green"/>
                    </w:rPr>
                  </w:pPr>
                  <w:r>
                    <w:rPr>
                      <w:rFonts w:hint="eastAsia"/>
                      <w:b/>
                      <w:bCs/>
                      <w:szCs w:val="21"/>
                      <w:highlight w:val="green"/>
                    </w:rPr>
                    <w:t>产生速率（</w:t>
                  </w:r>
                  <w:r>
                    <w:rPr>
                      <w:b/>
                      <w:bCs/>
                      <w:szCs w:val="21"/>
                      <w:highlight w:val="green"/>
                    </w:rPr>
                    <w:t>kg/h</w:t>
                  </w:r>
                  <w:r>
                    <w:rPr>
                      <w:rFonts w:hint="eastAsia"/>
                      <w:b/>
                      <w:bCs/>
                      <w:szCs w:val="21"/>
                      <w:highlight w:val="green"/>
                    </w:rPr>
                    <w:t>）</w:t>
                  </w:r>
                </w:p>
              </w:tc>
              <w:tc>
                <w:tcPr>
                  <w:tcW w:w="785" w:type="dxa"/>
                  <w:vAlign w:val="center"/>
                </w:tcPr>
                <w:p>
                  <w:pPr>
                    <w:adjustRightInd w:val="0"/>
                    <w:jc w:val="center"/>
                    <w:rPr>
                      <w:highlight w:val="green"/>
                    </w:rPr>
                  </w:pPr>
                  <w:r>
                    <w:rPr>
                      <w:rFonts w:hint="eastAsia"/>
                      <w:b/>
                      <w:bCs/>
                      <w:szCs w:val="21"/>
                      <w:highlight w:val="green"/>
                    </w:rPr>
                    <w:t>产生量（</w:t>
                  </w:r>
                  <w:r>
                    <w:rPr>
                      <w:b/>
                      <w:bCs/>
                      <w:szCs w:val="21"/>
                      <w:highlight w:val="green"/>
                    </w:rPr>
                    <w:t>t/a</w:t>
                  </w:r>
                  <w:r>
                    <w:rPr>
                      <w:rFonts w:hint="eastAsia"/>
                      <w:b/>
                      <w:bCs/>
                      <w:szCs w:val="21"/>
                      <w:highlight w:val="green"/>
                    </w:rPr>
                    <w:t>）</w:t>
                  </w:r>
                </w:p>
              </w:tc>
              <w:tc>
                <w:tcPr>
                  <w:tcW w:w="896" w:type="dxa"/>
                  <w:vAlign w:val="center"/>
                </w:tcPr>
                <w:p>
                  <w:pPr>
                    <w:adjustRightInd w:val="0"/>
                    <w:jc w:val="center"/>
                    <w:rPr>
                      <w:szCs w:val="21"/>
                      <w:highlight w:val="green"/>
                    </w:rPr>
                  </w:pPr>
                  <w:r>
                    <w:rPr>
                      <w:rFonts w:hint="eastAsia"/>
                      <w:b/>
                      <w:bCs/>
                      <w:szCs w:val="21"/>
                      <w:highlight w:val="green"/>
                    </w:rPr>
                    <w:t>产生浓度（mg/m</w:t>
                  </w:r>
                  <w:r>
                    <w:rPr>
                      <w:rFonts w:hint="eastAsia"/>
                      <w:b/>
                      <w:bCs/>
                      <w:szCs w:val="21"/>
                      <w:highlight w:val="green"/>
                      <w:vertAlign w:val="superscript"/>
                    </w:rPr>
                    <w:t>3</w:t>
                  </w:r>
                  <w:r>
                    <w:rPr>
                      <w:rFonts w:hint="eastAsia"/>
                      <w:b/>
                      <w:bCs/>
                      <w:szCs w:val="21"/>
                      <w:highlight w:val="green"/>
                    </w:rPr>
                    <w:t>）</w:t>
                  </w:r>
                </w:p>
              </w:tc>
              <w:tc>
                <w:tcPr>
                  <w:tcW w:w="905" w:type="dxa"/>
                  <w:vAlign w:val="center"/>
                </w:tcPr>
                <w:p>
                  <w:pPr>
                    <w:adjustRightInd w:val="0"/>
                    <w:jc w:val="center"/>
                    <w:rPr>
                      <w:highlight w:val="green"/>
                    </w:rPr>
                  </w:pPr>
                  <w:r>
                    <w:rPr>
                      <w:rFonts w:hint="eastAsia"/>
                      <w:b/>
                      <w:bCs/>
                      <w:szCs w:val="21"/>
                      <w:highlight w:val="green"/>
                    </w:rPr>
                    <w:t>排放速率（</w:t>
                  </w:r>
                  <w:r>
                    <w:rPr>
                      <w:b/>
                      <w:bCs/>
                      <w:szCs w:val="21"/>
                      <w:highlight w:val="green"/>
                    </w:rPr>
                    <w:t>kg/h</w:t>
                  </w:r>
                  <w:r>
                    <w:rPr>
                      <w:rFonts w:hint="eastAsia"/>
                      <w:b/>
                      <w:bCs/>
                      <w:szCs w:val="21"/>
                      <w:highlight w:val="green"/>
                    </w:rPr>
                    <w:t>）</w:t>
                  </w:r>
                </w:p>
              </w:tc>
              <w:tc>
                <w:tcPr>
                  <w:tcW w:w="854" w:type="dxa"/>
                  <w:vAlign w:val="center"/>
                </w:tcPr>
                <w:p>
                  <w:pPr>
                    <w:adjustRightInd w:val="0"/>
                    <w:jc w:val="center"/>
                    <w:rPr>
                      <w:highlight w:val="green"/>
                    </w:rPr>
                  </w:pPr>
                  <w:r>
                    <w:rPr>
                      <w:rFonts w:hint="eastAsia"/>
                      <w:b/>
                      <w:bCs/>
                      <w:szCs w:val="21"/>
                      <w:highlight w:val="green"/>
                    </w:rPr>
                    <w:t>排放量（</w:t>
                  </w:r>
                  <w:r>
                    <w:rPr>
                      <w:b/>
                      <w:bCs/>
                      <w:szCs w:val="21"/>
                      <w:highlight w:val="green"/>
                    </w:rPr>
                    <w:t>t/a</w:t>
                  </w:r>
                  <w:r>
                    <w:rPr>
                      <w:rFonts w:hint="eastAsia"/>
                      <w:b/>
                      <w:bCs/>
                      <w:szCs w:val="21"/>
                      <w:highlight w:val="green"/>
                    </w:rPr>
                    <w:t>）</w:t>
                  </w:r>
                </w:p>
              </w:tc>
              <w:tc>
                <w:tcPr>
                  <w:tcW w:w="1036" w:type="dxa"/>
                  <w:vAlign w:val="center"/>
                </w:tcPr>
                <w:p>
                  <w:pPr>
                    <w:adjustRightInd w:val="0"/>
                    <w:jc w:val="center"/>
                    <w:rPr>
                      <w:szCs w:val="21"/>
                      <w:highlight w:val="green"/>
                    </w:rPr>
                  </w:pPr>
                  <w:r>
                    <w:rPr>
                      <w:rFonts w:hint="eastAsia"/>
                      <w:b/>
                      <w:bCs/>
                      <w:szCs w:val="21"/>
                      <w:highlight w:val="green"/>
                    </w:rPr>
                    <w:t>排放浓度（mg/m</w:t>
                  </w:r>
                  <w:r>
                    <w:rPr>
                      <w:rFonts w:hint="eastAsia"/>
                      <w:b/>
                      <w:bCs/>
                      <w:szCs w:val="21"/>
                      <w:highlight w:val="green"/>
                      <w:vertAlign w:val="superscript"/>
                    </w:rPr>
                    <w:t>3</w:t>
                  </w:r>
                  <w:r>
                    <w:rPr>
                      <w:rFonts w:hint="eastAsia"/>
                      <w:b/>
                      <w:bCs/>
                      <w:szCs w:val="21"/>
                      <w:highlight w:val="gre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866" w:type="dxa"/>
                  <w:vAlign w:val="center"/>
                </w:tcPr>
                <w:p>
                  <w:pPr>
                    <w:adjustRightInd w:val="0"/>
                    <w:jc w:val="center"/>
                    <w:rPr>
                      <w:szCs w:val="21"/>
                      <w:highlight w:val="green"/>
                    </w:rPr>
                  </w:pPr>
                  <w:r>
                    <w:rPr>
                      <w:rFonts w:hint="eastAsia"/>
                      <w:szCs w:val="21"/>
                      <w:highlight w:val="green"/>
                    </w:rPr>
                    <w:t>5t/h导热油锅炉DA001</w:t>
                  </w:r>
                </w:p>
              </w:tc>
              <w:tc>
                <w:tcPr>
                  <w:tcW w:w="522" w:type="dxa"/>
                  <w:vAlign w:val="center"/>
                </w:tcPr>
                <w:p>
                  <w:pPr>
                    <w:adjustRightInd w:val="0"/>
                    <w:jc w:val="center"/>
                    <w:rPr>
                      <w:szCs w:val="21"/>
                      <w:highlight w:val="green"/>
                    </w:rPr>
                  </w:pPr>
                  <w:r>
                    <w:rPr>
                      <w:rFonts w:hint="eastAsia"/>
                      <w:szCs w:val="21"/>
                      <w:highlight w:val="green"/>
                    </w:rPr>
                    <w:t>颗粒物</w:t>
                  </w:r>
                </w:p>
              </w:tc>
              <w:tc>
                <w:tcPr>
                  <w:tcW w:w="1282" w:type="dxa"/>
                  <w:vAlign w:val="center"/>
                </w:tcPr>
                <w:p>
                  <w:pPr>
                    <w:adjustRightInd w:val="0"/>
                    <w:jc w:val="center"/>
                    <w:rPr>
                      <w:szCs w:val="21"/>
                      <w:highlight w:val="green"/>
                    </w:rPr>
                  </w:pPr>
                  <w:r>
                    <w:rPr>
                      <w:rFonts w:hint="eastAsia"/>
                      <w:bCs/>
                      <w:kern w:val="0"/>
                      <w:szCs w:val="21"/>
                      <w:highlight w:val="green"/>
                    </w:rPr>
                    <w:t>多管旋风除尘+水膜除尘（对颗粒物去除效率为</w:t>
                  </w:r>
                  <w:r>
                    <w:rPr>
                      <w:bCs/>
                      <w:kern w:val="0"/>
                      <w:szCs w:val="21"/>
                      <w:highlight w:val="green"/>
                    </w:rPr>
                    <w:t>30</w:t>
                  </w:r>
                  <w:r>
                    <w:rPr>
                      <w:rFonts w:hint="eastAsia"/>
                      <w:bCs/>
                      <w:kern w:val="0"/>
                      <w:szCs w:val="21"/>
                      <w:highlight w:val="green"/>
                    </w:rPr>
                    <w:t>%）</w:t>
                  </w:r>
                </w:p>
              </w:tc>
              <w:tc>
                <w:tcPr>
                  <w:tcW w:w="991" w:type="dxa"/>
                  <w:vAlign w:val="center"/>
                </w:tcPr>
                <w:p>
                  <w:pPr>
                    <w:jc w:val="center"/>
                    <w:rPr>
                      <w:szCs w:val="21"/>
                      <w:highlight w:val="green"/>
                    </w:rPr>
                  </w:pPr>
                  <w:r>
                    <w:rPr>
                      <w:rFonts w:hint="eastAsia"/>
                      <w:szCs w:val="21"/>
                      <w:highlight w:val="green"/>
                    </w:rPr>
                    <w:t>2</w:t>
                  </w:r>
                </w:p>
              </w:tc>
              <w:tc>
                <w:tcPr>
                  <w:tcW w:w="785" w:type="dxa"/>
                  <w:vAlign w:val="center"/>
                </w:tcPr>
                <w:p>
                  <w:pPr>
                    <w:jc w:val="center"/>
                    <w:rPr>
                      <w:szCs w:val="21"/>
                      <w:highlight w:val="green"/>
                    </w:rPr>
                  </w:pPr>
                  <w:r>
                    <w:rPr>
                      <w:rFonts w:hint="eastAsia"/>
                      <w:szCs w:val="21"/>
                      <w:highlight w:val="green"/>
                    </w:rPr>
                    <w:t>14.4</w:t>
                  </w:r>
                </w:p>
              </w:tc>
              <w:tc>
                <w:tcPr>
                  <w:tcW w:w="896" w:type="dxa"/>
                  <w:vAlign w:val="center"/>
                </w:tcPr>
                <w:p>
                  <w:pPr>
                    <w:jc w:val="center"/>
                    <w:rPr>
                      <w:szCs w:val="21"/>
                      <w:highlight w:val="green"/>
                    </w:rPr>
                  </w:pPr>
                  <w:r>
                    <w:rPr>
                      <w:rFonts w:hint="eastAsia"/>
                      <w:szCs w:val="21"/>
                      <w:highlight w:val="green"/>
                    </w:rPr>
                    <w:t>166.86</w:t>
                  </w:r>
                </w:p>
              </w:tc>
              <w:tc>
                <w:tcPr>
                  <w:tcW w:w="905" w:type="dxa"/>
                  <w:vAlign w:val="center"/>
                </w:tcPr>
                <w:p>
                  <w:pPr>
                    <w:adjustRightInd w:val="0"/>
                    <w:jc w:val="center"/>
                    <w:rPr>
                      <w:szCs w:val="21"/>
                      <w:highlight w:val="green"/>
                    </w:rPr>
                  </w:pPr>
                  <w:r>
                    <w:rPr>
                      <w:rFonts w:hint="eastAsia"/>
                      <w:szCs w:val="21"/>
                      <w:highlight w:val="green"/>
                    </w:rPr>
                    <w:t>1.4</w:t>
                  </w:r>
                </w:p>
              </w:tc>
              <w:tc>
                <w:tcPr>
                  <w:tcW w:w="854" w:type="dxa"/>
                  <w:vAlign w:val="center"/>
                </w:tcPr>
                <w:p>
                  <w:pPr>
                    <w:adjustRightInd w:val="0"/>
                    <w:jc w:val="center"/>
                    <w:rPr>
                      <w:szCs w:val="21"/>
                      <w:highlight w:val="green"/>
                    </w:rPr>
                  </w:pPr>
                  <w:r>
                    <w:rPr>
                      <w:rFonts w:hint="eastAsia"/>
                      <w:szCs w:val="21"/>
                      <w:highlight w:val="green"/>
                    </w:rPr>
                    <w:t>10.08</w:t>
                  </w:r>
                </w:p>
              </w:tc>
              <w:tc>
                <w:tcPr>
                  <w:tcW w:w="1036" w:type="dxa"/>
                  <w:vAlign w:val="center"/>
                </w:tcPr>
                <w:p>
                  <w:pPr>
                    <w:adjustRightInd w:val="0"/>
                    <w:jc w:val="center"/>
                    <w:rPr>
                      <w:szCs w:val="21"/>
                      <w:highlight w:val="green"/>
                    </w:rPr>
                  </w:pPr>
                  <w:r>
                    <w:rPr>
                      <w:rFonts w:hint="eastAsia"/>
                      <w:szCs w:val="21"/>
                      <w:highlight w:val="green"/>
                    </w:rPr>
                    <w:t>116.80</w:t>
                  </w:r>
                </w:p>
              </w:tc>
            </w:tr>
          </w:tbl>
          <w:p>
            <w:pPr>
              <w:spacing w:before="120" w:beforeLines="50" w:line="360" w:lineRule="auto"/>
              <w:ind w:firstLine="482" w:firstLineChars="200"/>
              <w:rPr>
                <w:b/>
                <w:sz w:val="24"/>
              </w:rPr>
            </w:pPr>
            <w:r>
              <w:rPr>
                <w:rFonts w:hint="eastAsia"/>
                <w:b/>
                <w:sz w:val="24"/>
              </w:rPr>
              <w:t>2、废气防治措施</w:t>
            </w:r>
          </w:p>
          <w:p>
            <w:pPr>
              <w:adjustRightInd w:val="0"/>
              <w:spacing w:line="360" w:lineRule="auto"/>
              <w:ind w:firstLine="480" w:firstLineChars="200"/>
              <w:rPr>
                <w:sz w:val="24"/>
              </w:rPr>
            </w:pPr>
            <w:r>
              <w:rPr>
                <w:rFonts w:hint="eastAsia"/>
                <w:sz w:val="24"/>
              </w:rPr>
              <w:t>（</w:t>
            </w:r>
            <w:r>
              <w:rPr>
                <w:sz w:val="24"/>
              </w:rPr>
              <w:t>1</w:t>
            </w:r>
            <w:r>
              <w:rPr>
                <w:rFonts w:hint="eastAsia"/>
                <w:sz w:val="24"/>
              </w:rPr>
              <w:t>）5t/h导热油锅炉</w:t>
            </w:r>
            <w:r>
              <w:rPr>
                <w:sz w:val="24"/>
              </w:rPr>
              <w:t>废气</w:t>
            </w:r>
            <w:r>
              <w:rPr>
                <w:rFonts w:hint="eastAsia"/>
                <w:sz w:val="24"/>
              </w:rPr>
              <w:t>由</w:t>
            </w:r>
            <w:r>
              <w:rPr>
                <w:sz w:val="24"/>
              </w:rPr>
              <w:t>1</w:t>
            </w:r>
            <w:r>
              <w:rPr>
                <w:rFonts w:hint="eastAsia"/>
                <w:sz w:val="24"/>
              </w:rPr>
              <w:t>套“多管旋风除尘+水膜除尘”处理后</w:t>
            </w:r>
            <w:r>
              <w:rPr>
                <w:sz w:val="24"/>
              </w:rPr>
              <w:t>通过1</w:t>
            </w:r>
            <w:r>
              <w:rPr>
                <w:rFonts w:hint="eastAsia"/>
                <w:sz w:val="24"/>
              </w:rPr>
              <w:t>根</w:t>
            </w:r>
            <w:r>
              <w:rPr>
                <w:sz w:val="24"/>
              </w:rPr>
              <w:t>35m高的排气筒排放</w:t>
            </w:r>
            <w:r>
              <w:rPr>
                <w:sz w:val="24"/>
                <w:szCs w:val="22"/>
              </w:rPr>
              <w:t>。</w:t>
            </w:r>
          </w:p>
          <w:p>
            <w:pPr>
              <w:adjustRightInd w:val="0"/>
              <w:spacing w:line="360" w:lineRule="auto"/>
              <w:ind w:firstLine="480" w:firstLineChars="200"/>
              <w:rPr>
                <w:sz w:val="24"/>
              </w:rPr>
            </w:pPr>
            <w:r>
              <w:rPr>
                <w:rFonts w:hint="eastAsia"/>
                <w:sz w:val="24"/>
              </w:rPr>
              <w:t>（2）</w:t>
            </w:r>
            <w:r>
              <w:rPr>
                <w:sz w:val="24"/>
              </w:rPr>
              <w:t>7</w:t>
            </w:r>
            <w:r>
              <w:rPr>
                <w:rFonts w:hint="eastAsia"/>
                <w:sz w:val="24"/>
              </w:rPr>
              <w:t>t/h导热油锅炉</w:t>
            </w:r>
            <w:r>
              <w:rPr>
                <w:sz w:val="24"/>
              </w:rPr>
              <w:t>废气</w:t>
            </w:r>
            <w:r>
              <w:rPr>
                <w:rFonts w:hint="eastAsia"/>
                <w:sz w:val="24"/>
              </w:rPr>
              <w:t>由</w:t>
            </w:r>
            <w:r>
              <w:rPr>
                <w:sz w:val="24"/>
              </w:rPr>
              <w:t>1</w:t>
            </w:r>
            <w:r>
              <w:rPr>
                <w:rFonts w:hint="eastAsia"/>
                <w:sz w:val="24"/>
              </w:rPr>
              <w:t>套“多管旋风除尘+水膜除尘”处理后</w:t>
            </w:r>
            <w:r>
              <w:rPr>
                <w:sz w:val="24"/>
              </w:rPr>
              <w:t>通过1</w:t>
            </w:r>
            <w:r>
              <w:rPr>
                <w:rFonts w:hint="eastAsia"/>
                <w:sz w:val="24"/>
              </w:rPr>
              <w:t>根</w:t>
            </w:r>
            <w:r>
              <w:rPr>
                <w:sz w:val="24"/>
              </w:rPr>
              <w:t>35m高的排气筒排放</w:t>
            </w:r>
            <w:r>
              <w:rPr>
                <w:sz w:val="24"/>
                <w:szCs w:val="22"/>
              </w:rPr>
              <w:t>。</w:t>
            </w:r>
          </w:p>
          <w:p>
            <w:pPr>
              <w:adjustRightInd w:val="0"/>
              <w:spacing w:line="360" w:lineRule="auto"/>
              <w:ind w:firstLine="480" w:firstLineChars="200"/>
              <w:rPr>
                <w:sz w:val="24"/>
              </w:rPr>
            </w:pPr>
            <w:r>
              <w:rPr>
                <w:sz w:val="24"/>
              </w:rPr>
              <w:t>（3）热压</w:t>
            </w:r>
            <w:r>
              <w:rPr>
                <w:rFonts w:hint="eastAsia"/>
                <w:sz w:val="24"/>
              </w:rPr>
              <w:t>、凉板工序中</w:t>
            </w:r>
            <w:r>
              <w:rPr>
                <w:sz w:val="24"/>
              </w:rPr>
              <w:t>的含</w:t>
            </w:r>
            <w:r>
              <w:rPr>
                <w:rFonts w:hint="eastAsia"/>
                <w:sz w:val="24"/>
              </w:rPr>
              <w:t>非甲烷总烃、</w:t>
            </w:r>
            <w:r>
              <w:rPr>
                <w:sz w:val="24"/>
              </w:rPr>
              <w:t>甲醛废气经</w:t>
            </w:r>
            <w:r>
              <w:rPr>
                <w:rFonts w:hint="eastAsia"/>
                <w:sz w:val="24"/>
              </w:rPr>
              <w:t>集气罩收集后，经1套三级活性炭吸附装置处理后通过1根</w:t>
            </w:r>
            <w:r>
              <w:rPr>
                <w:sz w:val="24"/>
              </w:rPr>
              <w:t>高度</w:t>
            </w:r>
            <w:r>
              <w:rPr>
                <w:rFonts w:hint="eastAsia"/>
                <w:sz w:val="24"/>
              </w:rPr>
              <w:t>为15</w:t>
            </w:r>
            <w:r>
              <w:rPr>
                <w:sz w:val="24"/>
              </w:rPr>
              <w:t>m</w:t>
            </w:r>
            <w:r>
              <w:rPr>
                <w:rFonts w:hint="eastAsia"/>
                <w:sz w:val="24"/>
              </w:rPr>
              <w:t>的</w:t>
            </w:r>
            <w:r>
              <w:rPr>
                <w:sz w:val="24"/>
              </w:rPr>
              <w:t>排气筒</w:t>
            </w:r>
            <w:r>
              <w:rPr>
                <w:rFonts w:hint="eastAsia"/>
                <w:sz w:val="24"/>
              </w:rPr>
              <w:t>排放。</w:t>
            </w:r>
          </w:p>
          <w:p>
            <w:pPr>
              <w:adjustRightInd w:val="0"/>
              <w:spacing w:line="360" w:lineRule="auto"/>
              <w:ind w:firstLine="480" w:firstLineChars="200"/>
              <w:rPr>
                <w:sz w:val="24"/>
              </w:rPr>
            </w:pPr>
            <w:r>
              <w:rPr>
                <w:sz w:val="24"/>
              </w:rPr>
              <w:t>（4）</w:t>
            </w:r>
            <w:r>
              <w:rPr>
                <w:rFonts w:hint="eastAsia"/>
                <w:sz w:val="24"/>
              </w:rPr>
              <w:t>筛选工序、打磨工序废气经“旋风除尘+布袋除尘”处理后呈无组织形式排放；</w:t>
            </w:r>
          </w:p>
          <w:p>
            <w:pPr>
              <w:autoSpaceDE w:val="0"/>
              <w:autoSpaceDN w:val="0"/>
              <w:adjustRightInd w:val="0"/>
              <w:spacing w:line="360" w:lineRule="auto"/>
              <w:ind w:firstLine="482" w:firstLineChars="200"/>
              <w:rPr>
                <w:b/>
                <w:kern w:val="0"/>
                <w:sz w:val="24"/>
              </w:rPr>
            </w:pPr>
            <w:r>
              <w:rPr>
                <w:rFonts w:hint="eastAsia"/>
                <w:b/>
                <w:kern w:val="0"/>
                <w:sz w:val="24"/>
              </w:rPr>
              <w:t>3、大气环境影响分析</w:t>
            </w:r>
          </w:p>
          <w:p>
            <w:pPr>
              <w:adjustRightInd w:val="0"/>
              <w:spacing w:line="360" w:lineRule="auto"/>
              <w:ind w:firstLine="482" w:firstLineChars="200"/>
              <w:rPr>
                <w:b/>
                <w:bCs/>
                <w:sz w:val="24"/>
                <w:highlight w:val="green"/>
              </w:rPr>
            </w:pPr>
            <w:r>
              <w:rPr>
                <w:rFonts w:hint="eastAsia"/>
                <w:b/>
                <w:bCs/>
                <w:sz w:val="24"/>
                <w:highlight w:val="green"/>
              </w:rPr>
              <w:t>（1）本项目供热工程技改新增的5t/h导热油锅炉排气筒排放污染物大气影响分析</w:t>
            </w:r>
          </w:p>
          <w:p>
            <w:pPr>
              <w:adjustRightInd w:val="0"/>
              <w:spacing w:line="360" w:lineRule="auto"/>
              <w:ind w:firstLine="482" w:firstLineChars="200"/>
              <w:rPr>
                <w:b/>
                <w:bCs/>
                <w:sz w:val="24"/>
              </w:rPr>
            </w:pPr>
            <w:r>
              <w:rPr>
                <w:rFonts w:hint="eastAsia"/>
                <w:b/>
                <w:bCs/>
                <w:sz w:val="24"/>
              </w:rPr>
              <w:t>①预测模式</w:t>
            </w:r>
          </w:p>
          <w:p>
            <w:pPr>
              <w:adjustRightInd w:val="0"/>
              <w:spacing w:line="360" w:lineRule="auto"/>
              <w:ind w:firstLine="480" w:firstLineChars="200"/>
              <w:rPr>
                <w:sz w:val="24"/>
              </w:rPr>
            </w:pPr>
            <w:r>
              <w:rPr>
                <w:rFonts w:hint="eastAsia"/>
                <w:sz w:val="24"/>
              </w:rPr>
              <w:t>根据HJ2.2-2018《环境影响评价技术导则大气环境》要求，本环评采用式AERSCREEN模型估算项目建成后排放的污染物对周围环境的影响，估算模式为国家环境保护部工程评估中心环境质量模拟重点实验室提供。</w:t>
            </w:r>
          </w:p>
          <w:p>
            <w:pPr>
              <w:adjustRightInd w:val="0"/>
              <w:spacing w:line="360" w:lineRule="auto"/>
              <w:ind w:firstLine="482" w:firstLineChars="200"/>
              <w:rPr>
                <w:b/>
                <w:bCs/>
                <w:sz w:val="24"/>
              </w:rPr>
            </w:pPr>
            <w:r>
              <w:rPr>
                <w:rFonts w:hint="eastAsia"/>
                <w:b/>
                <w:bCs/>
                <w:sz w:val="24"/>
              </w:rPr>
              <w:t>②</w:t>
            </w:r>
            <w:r>
              <w:rPr>
                <w:b/>
                <w:bCs/>
                <w:sz w:val="24"/>
              </w:rPr>
              <w:t>估算模型参数</w:t>
            </w:r>
          </w:p>
          <w:p>
            <w:pPr>
              <w:spacing w:line="360" w:lineRule="auto"/>
              <w:ind w:firstLine="480" w:firstLineChars="200"/>
              <w:rPr>
                <w:b/>
                <w:snapToGrid w:val="0"/>
                <w:sz w:val="24"/>
              </w:rPr>
            </w:pPr>
            <w:r>
              <w:rPr>
                <w:sz w:val="24"/>
              </w:rPr>
              <w:t>本次环境空气预测采用《环境影响评价技术导则大气环境》（HJ2.2-2018）附录A推荐的估算模型AERSCREEN进行预测。估算模型参数见表</w:t>
            </w:r>
            <w:r>
              <w:rPr>
                <w:rFonts w:hint="eastAsia"/>
                <w:sz w:val="24"/>
              </w:rPr>
              <w:t>4-6</w:t>
            </w:r>
            <w:r>
              <w:rPr>
                <w:sz w:val="24"/>
              </w:rPr>
              <w:t>。</w:t>
            </w:r>
          </w:p>
          <w:p>
            <w:pPr>
              <w:widowControl/>
              <w:adjustRightInd w:val="0"/>
              <w:spacing w:line="360" w:lineRule="auto"/>
              <w:jc w:val="center"/>
              <w:rPr>
                <w:rFonts w:cs="宋体"/>
                <w:b/>
                <w:bCs/>
                <w:kern w:val="0"/>
                <w:sz w:val="24"/>
                <w:szCs w:val="20"/>
                <w:lang w:bidi="ar"/>
              </w:rPr>
            </w:pPr>
          </w:p>
          <w:p>
            <w:pPr>
              <w:widowControl/>
              <w:adjustRightInd w:val="0"/>
              <w:spacing w:before="120" w:beforeLines="50"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4-6</w:t>
            </w:r>
            <w:r>
              <w:rPr>
                <w:rFonts w:cs="宋体"/>
                <w:b/>
                <w:bCs/>
                <w:kern w:val="0"/>
                <w:sz w:val="24"/>
                <w:szCs w:val="20"/>
                <w:lang w:bidi="ar"/>
              </w:rPr>
              <w:t xml:space="preserve">  估算模型参数表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2930"/>
              <w:gridCol w:w="3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6" w:type="pct"/>
                  <w:gridSpan w:val="2"/>
                  <w:vAlign w:val="center"/>
                </w:tcPr>
                <w:p>
                  <w:pPr>
                    <w:autoSpaceDE w:val="0"/>
                    <w:autoSpaceDN w:val="0"/>
                    <w:jc w:val="center"/>
                    <w:rPr>
                      <w:kern w:val="0"/>
                      <w:szCs w:val="21"/>
                    </w:rPr>
                  </w:pPr>
                  <w:r>
                    <w:rPr>
                      <w:kern w:val="0"/>
                      <w:szCs w:val="21"/>
                    </w:rPr>
                    <w:t>参数</w:t>
                  </w:r>
                </w:p>
              </w:tc>
              <w:tc>
                <w:tcPr>
                  <w:tcW w:w="1994" w:type="pct"/>
                  <w:vAlign w:val="center"/>
                </w:tcPr>
                <w:p>
                  <w:pPr>
                    <w:autoSpaceDE w:val="0"/>
                    <w:autoSpaceDN w:val="0"/>
                    <w:jc w:val="center"/>
                    <w:rPr>
                      <w:kern w:val="0"/>
                      <w:szCs w:val="21"/>
                    </w:rPr>
                  </w:pPr>
                  <w:r>
                    <w:rPr>
                      <w:kern w:val="0"/>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9" w:type="pct"/>
                  <w:vMerge w:val="restart"/>
                  <w:vAlign w:val="center"/>
                </w:tcPr>
                <w:p>
                  <w:pPr>
                    <w:autoSpaceDE w:val="0"/>
                    <w:autoSpaceDN w:val="0"/>
                    <w:jc w:val="center"/>
                    <w:rPr>
                      <w:kern w:val="0"/>
                      <w:szCs w:val="21"/>
                    </w:rPr>
                  </w:pPr>
                  <w:r>
                    <w:rPr>
                      <w:kern w:val="0"/>
                      <w:szCs w:val="21"/>
                    </w:rPr>
                    <w:t>城市/农村选项</w:t>
                  </w:r>
                </w:p>
              </w:tc>
              <w:tc>
                <w:tcPr>
                  <w:tcW w:w="1788" w:type="pct"/>
                  <w:vAlign w:val="center"/>
                </w:tcPr>
                <w:p>
                  <w:pPr>
                    <w:autoSpaceDE w:val="0"/>
                    <w:autoSpaceDN w:val="0"/>
                    <w:jc w:val="center"/>
                    <w:rPr>
                      <w:kern w:val="0"/>
                      <w:szCs w:val="21"/>
                    </w:rPr>
                  </w:pPr>
                  <w:r>
                    <w:rPr>
                      <w:kern w:val="0"/>
                      <w:szCs w:val="21"/>
                    </w:rPr>
                    <w:t>城市/农村</w:t>
                  </w:r>
                </w:p>
              </w:tc>
              <w:tc>
                <w:tcPr>
                  <w:tcW w:w="1994" w:type="pct"/>
                  <w:vAlign w:val="center"/>
                </w:tcPr>
                <w:p>
                  <w:pPr>
                    <w:autoSpaceDE w:val="0"/>
                    <w:autoSpaceDN w:val="0"/>
                    <w:jc w:val="center"/>
                    <w:rPr>
                      <w:kern w:val="0"/>
                      <w:szCs w:val="21"/>
                    </w:rPr>
                  </w:pPr>
                  <w:r>
                    <w:rPr>
                      <w:rFonts w:hint="eastAsia"/>
                      <w:kern w:val="0"/>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9" w:type="pct"/>
                  <w:vMerge w:val="continue"/>
                  <w:vAlign w:val="center"/>
                </w:tcPr>
                <w:p>
                  <w:pPr>
                    <w:widowControl/>
                    <w:jc w:val="left"/>
                    <w:rPr>
                      <w:kern w:val="0"/>
                      <w:szCs w:val="21"/>
                    </w:rPr>
                  </w:pPr>
                </w:p>
              </w:tc>
              <w:tc>
                <w:tcPr>
                  <w:tcW w:w="1788" w:type="pct"/>
                  <w:vAlign w:val="center"/>
                </w:tcPr>
                <w:p>
                  <w:pPr>
                    <w:autoSpaceDE w:val="0"/>
                    <w:autoSpaceDN w:val="0"/>
                    <w:jc w:val="center"/>
                    <w:rPr>
                      <w:kern w:val="0"/>
                      <w:szCs w:val="21"/>
                    </w:rPr>
                  </w:pPr>
                  <w:r>
                    <w:rPr>
                      <w:kern w:val="0"/>
                      <w:szCs w:val="21"/>
                    </w:rPr>
                    <w:t>人口数（城市选项时）</w:t>
                  </w:r>
                </w:p>
              </w:tc>
              <w:tc>
                <w:tcPr>
                  <w:tcW w:w="1994" w:type="pct"/>
                  <w:vAlign w:val="center"/>
                </w:tcPr>
                <w:p>
                  <w:pPr>
                    <w:autoSpaceDE w:val="0"/>
                    <w:autoSpaceDN w:val="0"/>
                    <w:jc w:val="center"/>
                    <w:rPr>
                      <w:kern w:val="0"/>
                      <w:szCs w:val="21"/>
                    </w:rPr>
                  </w:pP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6" w:type="pct"/>
                  <w:gridSpan w:val="2"/>
                  <w:vAlign w:val="center"/>
                </w:tcPr>
                <w:p>
                  <w:pPr>
                    <w:autoSpaceDE w:val="0"/>
                    <w:autoSpaceDN w:val="0"/>
                    <w:jc w:val="center"/>
                    <w:rPr>
                      <w:kern w:val="0"/>
                      <w:szCs w:val="21"/>
                    </w:rPr>
                  </w:pPr>
                  <w:r>
                    <w:rPr>
                      <w:kern w:val="0"/>
                      <w:szCs w:val="21"/>
                    </w:rPr>
                    <w:t>最高环境温度/℃</w:t>
                  </w:r>
                </w:p>
              </w:tc>
              <w:tc>
                <w:tcPr>
                  <w:tcW w:w="1994" w:type="pct"/>
                  <w:vAlign w:val="center"/>
                </w:tcPr>
                <w:p>
                  <w:pPr>
                    <w:autoSpaceDE w:val="0"/>
                    <w:autoSpaceDN w:val="0"/>
                    <w:jc w:val="center"/>
                    <w:rPr>
                      <w:kern w:val="0"/>
                      <w:szCs w:val="21"/>
                    </w:rPr>
                  </w:pPr>
                  <w:r>
                    <w:rPr>
                      <w:kern w:val="0"/>
                      <w:szCs w:val="21"/>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6" w:type="pct"/>
                  <w:gridSpan w:val="2"/>
                  <w:vAlign w:val="center"/>
                </w:tcPr>
                <w:p>
                  <w:pPr>
                    <w:autoSpaceDE w:val="0"/>
                    <w:autoSpaceDN w:val="0"/>
                    <w:jc w:val="center"/>
                    <w:rPr>
                      <w:kern w:val="0"/>
                      <w:szCs w:val="21"/>
                    </w:rPr>
                  </w:pPr>
                  <w:r>
                    <w:rPr>
                      <w:kern w:val="0"/>
                      <w:szCs w:val="21"/>
                    </w:rPr>
                    <w:t>最低环境温度/℃</w:t>
                  </w:r>
                </w:p>
              </w:tc>
              <w:tc>
                <w:tcPr>
                  <w:tcW w:w="1994" w:type="pct"/>
                  <w:vAlign w:val="center"/>
                </w:tcPr>
                <w:p>
                  <w:pPr>
                    <w:autoSpaceDE w:val="0"/>
                    <w:autoSpaceDN w:val="0"/>
                    <w:jc w:val="center"/>
                    <w:rPr>
                      <w:kern w:val="0"/>
                      <w:szCs w:val="21"/>
                    </w:rPr>
                  </w:pPr>
                  <w:r>
                    <w:rPr>
                      <w:kern w:val="0"/>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6" w:type="pct"/>
                  <w:gridSpan w:val="2"/>
                  <w:vAlign w:val="center"/>
                </w:tcPr>
                <w:p>
                  <w:pPr>
                    <w:autoSpaceDE w:val="0"/>
                    <w:autoSpaceDN w:val="0"/>
                    <w:jc w:val="center"/>
                    <w:rPr>
                      <w:kern w:val="0"/>
                      <w:szCs w:val="21"/>
                    </w:rPr>
                  </w:pPr>
                  <w:r>
                    <w:rPr>
                      <w:kern w:val="0"/>
                      <w:szCs w:val="21"/>
                    </w:rPr>
                    <w:t>土地利用类型</w:t>
                  </w:r>
                </w:p>
              </w:tc>
              <w:tc>
                <w:tcPr>
                  <w:tcW w:w="1994" w:type="pct"/>
                  <w:vAlign w:val="center"/>
                </w:tcPr>
                <w:p>
                  <w:pPr>
                    <w:autoSpaceDE w:val="0"/>
                    <w:autoSpaceDN w:val="0"/>
                    <w:jc w:val="center"/>
                    <w:rPr>
                      <w:kern w:val="0"/>
                      <w:szCs w:val="21"/>
                    </w:rPr>
                  </w:pPr>
                  <w:r>
                    <w:rPr>
                      <w:rFonts w:hint="eastAsia"/>
                      <w:kern w:val="0"/>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6" w:type="pct"/>
                  <w:gridSpan w:val="2"/>
                  <w:vAlign w:val="center"/>
                </w:tcPr>
                <w:p>
                  <w:pPr>
                    <w:autoSpaceDE w:val="0"/>
                    <w:autoSpaceDN w:val="0"/>
                    <w:jc w:val="center"/>
                    <w:rPr>
                      <w:kern w:val="0"/>
                      <w:szCs w:val="21"/>
                    </w:rPr>
                  </w:pPr>
                  <w:r>
                    <w:rPr>
                      <w:kern w:val="0"/>
                      <w:szCs w:val="21"/>
                    </w:rPr>
                    <w:t>区域湿度条件</w:t>
                  </w:r>
                </w:p>
              </w:tc>
              <w:tc>
                <w:tcPr>
                  <w:tcW w:w="1994" w:type="pct"/>
                  <w:vAlign w:val="center"/>
                </w:tcPr>
                <w:p>
                  <w:pPr>
                    <w:autoSpaceDE w:val="0"/>
                    <w:autoSpaceDN w:val="0"/>
                    <w:jc w:val="center"/>
                    <w:rPr>
                      <w:kern w:val="0"/>
                      <w:szCs w:val="21"/>
                    </w:rPr>
                  </w:pPr>
                  <w:r>
                    <w:rPr>
                      <w:rFonts w:hint="eastAsia"/>
                      <w:kern w:val="0"/>
                      <w:szCs w:val="2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9" w:type="pct"/>
                  <w:vMerge w:val="restart"/>
                  <w:vAlign w:val="center"/>
                </w:tcPr>
                <w:p>
                  <w:pPr>
                    <w:autoSpaceDE w:val="0"/>
                    <w:autoSpaceDN w:val="0"/>
                    <w:jc w:val="center"/>
                    <w:rPr>
                      <w:kern w:val="0"/>
                      <w:szCs w:val="21"/>
                    </w:rPr>
                  </w:pPr>
                  <w:r>
                    <w:rPr>
                      <w:kern w:val="0"/>
                      <w:szCs w:val="21"/>
                    </w:rPr>
                    <w:t>是否考虑地形</w:t>
                  </w:r>
                </w:p>
              </w:tc>
              <w:tc>
                <w:tcPr>
                  <w:tcW w:w="1788" w:type="pct"/>
                  <w:vAlign w:val="center"/>
                </w:tcPr>
                <w:p>
                  <w:pPr>
                    <w:autoSpaceDE w:val="0"/>
                    <w:autoSpaceDN w:val="0"/>
                    <w:jc w:val="center"/>
                    <w:rPr>
                      <w:kern w:val="0"/>
                      <w:szCs w:val="21"/>
                    </w:rPr>
                  </w:pPr>
                  <w:r>
                    <w:rPr>
                      <w:kern w:val="0"/>
                      <w:szCs w:val="21"/>
                    </w:rPr>
                    <w:t>考虑地形</w:t>
                  </w:r>
                </w:p>
              </w:tc>
              <w:tc>
                <w:tcPr>
                  <w:tcW w:w="1994" w:type="pct"/>
                  <w:vAlign w:val="center"/>
                </w:tcPr>
                <w:p>
                  <w:pPr>
                    <w:autoSpaceDE w:val="0"/>
                    <w:autoSpaceDN w:val="0"/>
                    <w:jc w:val="center"/>
                    <w:rPr>
                      <w:kern w:val="0"/>
                      <w:szCs w:val="21"/>
                    </w:rPr>
                  </w:pPr>
                  <w:r>
                    <w:rPr>
                      <w:kern w:val="0"/>
                      <w:szCs w:val="21"/>
                    </w:rPr>
                    <w:sym w:font="Wingdings 2" w:char="00A3"/>
                  </w:r>
                  <w:r>
                    <w:rPr>
                      <w:kern w:val="0"/>
                      <w:szCs w:val="21"/>
                    </w:rPr>
                    <w:t xml:space="preserve">是       </w:t>
                  </w:r>
                  <w:r>
                    <w:rPr>
                      <w:kern w:val="0"/>
                      <w:szCs w:val="21"/>
                    </w:rPr>
                    <w:sym w:font="Wingdings 2" w:char="0052"/>
                  </w:r>
                  <w:r>
                    <w:rPr>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9" w:type="pct"/>
                  <w:vMerge w:val="continue"/>
                  <w:vAlign w:val="center"/>
                </w:tcPr>
                <w:p>
                  <w:pPr>
                    <w:widowControl/>
                    <w:jc w:val="left"/>
                    <w:rPr>
                      <w:kern w:val="0"/>
                      <w:szCs w:val="21"/>
                    </w:rPr>
                  </w:pPr>
                </w:p>
              </w:tc>
              <w:tc>
                <w:tcPr>
                  <w:tcW w:w="1788" w:type="pct"/>
                  <w:vAlign w:val="center"/>
                </w:tcPr>
                <w:p>
                  <w:pPr>
                    <w:autoSpaceDE w:val="0"/>
                    <w:autoSpaceDN w:val="0"/>
                    <w:jc w:val="center"/>
                    <w:rPr>
                      <w:kern w:val="0"/>
                      <w:szCs w:val="21"/>
                    </w:rPr>
                  </w:pPr>
                  <w:r>
                    <w:rPr>
                      <w:kern w:val="0"/>
                      <w:szCs w:val="21"/>
                    </w:rPr>
                    <w:t>地形数据分辨率/m</w:t>
                  </w:r>
                </w:p>
              </w:tc>
              <w:tc>
                <w:tcPr>
                  <w:tcW w:w="1994" w:type="pct"/>
                  <w:vAlign w:val="center"/>
                </w:tcPr>
                <w:p>
                  <w:pPr>
                    <w:autoSpaceDE w:val="0"/>
                    <w:autoSpaceDN w:val="0"/>
                    <w:jc w:val="center"/>
                    <w:rPr>
                      <w:kern w:val="0"/>
                      <w:szCs w:val="21"/>
                    </w:rPr>
                  </w:pP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9" w:type="pct"/>
                  <w:vMerge w:val="restart"/>
                  <w:vAlign w:val="center"/>
                </w:tcPr>
                <w:p>
                  <w:pPr>
                    <w:autoSpaceDE w:val="0"/>
                    <w:autoSpaceDN w:val="0"/>
                    <w:jc w:val="center"/>
                    <w:rPr>
                      <w:kern w:val="0"/>
                      <w:szCs w:val="21"/>
                    </w:rPr>
                  </w:pPr>
                  <w:r>
                    <w:rPr>
                      <w:kern w:val="0"/>
                      <w:szCs w:val="21"/>
                    </w:rPr>
                    <w:t>是否考虑岸线熏烟</w:t>
                  </w:r>
                </w:p>
              </w:tc>
              <w:tc>
                <w:tcPr>
                  <w:tcW w:w="1788" w:type="pct"/>
                  <w:vAlign w:val="center"/>
                </w:tcPr>
                <w:p>
                  <w:pPr>
                    <w:autoSpaceDE w:val="0"/>
                    <w:autoSpaceDN w:val="0"/>
                    <w:jc w:val="center"/>
                    <w:rPr>
                      <w:kern w:val="0"/>
                      <w:szCs w:val="21"/>
                    </w:rPr>
                  </w:pPr>
                  <w:r>
                    <w:rPr>
                      <w:kern w:val="0"/>
                      <w:szCs w:val="21"/>
                    </w:rPr>
                    <w:t>考虑岸线熏烟</w:t>
                  </w:r>
                </w:p>
              </w:tc>
              <w:tc>
                <w:tcPr>
                  <w:tcW w:w="1994" w:type="pct"/>
                  <w:vAlign w:val="center"/>
                </w:tcPr>
                <w:p>
                  <w:pPr>
                    <w:autoSpaceDE w:val="0"/>
                    <w:autoSpaceDN w:val="0"/>
                    <w:jc w:val="center"/>
                    <w:rPr>
                      <w:kern w:val="0"/>
                      <w:szCs w:val="21"/>
                    </w:rPr>
                  </w:pPr>
                  <w:r>
                    <w:rPr>
                      <w:kern w:val="0"/>
                      <w:szCs w:val="21"/>
                    </w:rPr>
                    <w:sym w:font="Wingdings 2" w:char="00A3"/>
                  </w:r>
                  <w:r>
                    <w:rPr>
                      <w:kern w:val="0"/>
                      <w:szCs w:val="21"/>
                    </w:rPr>
                    <w:t xml:space="preserve">是       </w:t>
                  </w:r>
                  <w:r>
                    <w:rPr>
                      <w:kern w:val="0"/>
                      <w:szCs w:val="21"/>
                    </w:rPr>
                    <w:sym w:font="Wingdings 2" w:char="0052"/>
                  </w:r>
                  <w:r>
                    <w:rPr>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9" w:type="pct"/>
                  <w:vMerge w:val="continue"/>
                  <w:vAlign w:val="center"/>
                </w:tcPr>
                <w:p>
                  <w:pPr>
                    <w:widowControl/>
                    <w:jc w:val="left"/>
                    <w:rPr>
                      <w:kern w:val="0"/>
                      <w:szCs w:val="21"/>
                    </w:rPr>
                  </w:pPr>
                </w:p>
              </w:tc>
              <w:tc>
                <w:tcPr>
                  <w:tcW w:w="1788" w:type="pct"/>
                  <w:vAlign w:val="center"/>
                </w:tcPr>
                <w:p>
                  <w:pPr>
                    <w:autoSpaceDE w:val="0"/>
                    <w:autoSpaceDN w:val="0"/>
                    <w:jc w:val="center"/>
                    <w:rPr>
                      <w:kern w:val="0"/>
                      <w:szCs w:val="21"/>
                    </w:rPr>
                  </w:pPr>
                  <w:r>
                    <w:rPr>
                      <w:kern w:val="0"/>
                      <w:szCs w:val="21"/>
                    </w:rPr>
                    <w:t>岸线距离/km</w:t>
                  </w:r>
                </w:p>
              </w:tc>
              <w:tc>
                <w:tcPr>
                  <w:tcW w:w="1994" w:type="pct"/>
                  <w:vAlign w:val="center"/>
                </w:tcPr>
                <w:p>
                  <w:pPr>
                    <w:autoSpaceDE w:val="0"/>
                    <w:autoSpaceDN w:val="0"/>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9" w:type="pct"/>
                  <w:vMerge w:val="continue"/>
                  <w:vAlign w:val="center"/>
                </w:tcPr>
                <w:p>
                  <w:pPr>
                    <w:widowControl/>
                    <w:jc w:val="left"/>
                    <w:rPr>
                      <w:kern w:val="0"/>
                      <w:szCs w:val="21"/>
                    </w:rPr>
                  </w:pPr>
                </w:p>
              </w:tc>
              <w:tc>
                <w:tcPr>
                  <w:tcW w:w="1788" w:type="pct"/>
                  <w:vAlign w:val="center"/>
                </w:tcPr>
                <w:p>
                  <w:pPr>
                    <w:autoSpaceDE w:val="0"/>
                    <w:autoSpaceDN w:val="0"/>
                    <w:jc w:val="center"/>
                    <w:rPr>
                      <w:kern w:val="0"/>
                      <w:szCs w:val="21"/>
                    </w:rPr>
                  </w:pPr>
                  <w:r>
                    <w:rPr>
                      <w:kern w:val="0"/>
                      <w:szCs w:val="21"/>
                    </w:rPr>
                    <w:t>岸线方向/°</w:t>
                  </w:r>
                </w:p>
              </w:tc>
              <w:tc>
                <w:tcPr>
                  <w:tcW w:w="1994" w:type="pct"/>
                  <w:vAlign w:val="center"/>
                </w:tcPr>
                <w:p>
                  <w:pPr>
                    <w:autoSpaceDE w:val="0"/>
                    <w:autoSpaceDN w:val="0"/>
                    <w:jc w:val="center"/>
                    <w:rPr>
                      <w:kern w:val="0"/>
                      <w:szCs w:val="21"/>
                    </w:rPr>
                  </w:pPr>
                  <w:r>
                    <w:rPr>
                      <w:kern w:val="0"/>
                      <w:szCs w:val="21"/>
                    </w:rPr>
                    <w:t>/</w:t>
                  </w:r>
                </w:p>
              </w:tc>
            </w:tr>
          </w:tbl>
          <w:p>
            <w:pPr>
              <w:adjustRightInd w:val="0"/>
              <w:spacing w:before="120" w:beforeLines="50" w:line="360" w:lineRule="auto"/>
              <w:ind w:firstLine="482" w:firstLineChars="200"/>
              <w:rPr>
                <w:b/>
                <w:sz w:val="24"/>
              </w:rPr>
            </w:pPr>
            <w:r>
              <w:rPr>
                <w:rFonts w:hint="eastAsia"/>
                <w:b/>
                <w:sz w:val="24"/>
              </w:rPr>
              <w:t>③污染源强参数</w:t>
            </w:r>
          </w:p>
          <w:p>
            <w:pPr>
              <w:spacing w:line="360" w:lineRule="auto"/>
              <w:ind w:firstLine="480" w:firstLineChars="200"/>
              <w:rPr>
                <w:sz w:val="24"/>
                <w:highlight w:val="green"/>
              </w:rPr>
            </w:pPr>
            <w:r>
              <w:rPr>
                <w:rFonts w:hint="eastAsia"/>
                <w:sz w:val="24"/>
                <w:szCs w:val="21"/>
                <w:highlight w:val="green"/>
              </w:rPr>
              <w:t>本项目</w:t>
            </w:r>
            <w:r>
              <w:rPr>
                <w:rFonts w:hint="eastAsia" w:cs="宋体"/>
                <w:kern w:val="0"/>
                <w:sz w:val="24"/>
                <w:szCs w:val="21"/>
                <w:highlight w:val="green"/>
              </w:rPr>
              <w:t>供热工程技改新增的5</w:t>
            </w:r>
            <w:r>
              <w:rPr>
                <w:rFonts w:cs="宋体"/>
                <w:kern w:val="0"/>
                <w:sz w:val="24"/>
                <w:szCs w:val="21"/>
                <w:highlight w:val="green"/>
              </w:rPr>
              <w:t>t/h</w:t>
            </w:r>
            <w:r>
              <w:rPr>
                <w:rFonts w:hint="eastAsia" w:cs="宋体"/>
                <w:kern w:val="0"/>
                <w:sz w:val="24"/>
                <w:szCs w:val="21"/>
                <w:highlight w:val="green"/>
              </w:rPr>
              <w:t>导热油锅炉排气筒排放的废气（DA001）</w:t>
            </w:r>
            <w:r>
              <w:rPr>
                <w:sz w:val="24"/>
                <w:szCs w:val="21"/>
                <w:highlight w:val="green"/>
              </w:rPr>
              <w:t>估算模式采用的污染源参数见</w:t>
            </w:r>
            <w:r>
              <w:rPr>
                <w:rFonts w:hint="eastAsia" w:cs="宋体"/>
                <w:kern w:val="0"/>
                <w:sz w:val="24"/>
                <w:szCs w:val="21"/>
                <w:highlight w:val="green"/>
              </w:rPr>
              <w:t>表4-7</w:t>
            </w:r>
            <w:r>
              <w:rPr>
                <w:sz w:val="24"/>
                <w:highlight w:val="green"/>
              </w:rPr>
              <w:t>：</w:t>
            </w:r>
          </w:p>
          <w:p>
            <w:pPr>
              <w:spacing w:line="360" w:lineRule="auto"/>
              <w:ind w:firstLine="482" w:firstLineChars="200"/>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4-7  本项目有组织</w:t>
            </w:r>
            <w:r>
              <w:rPr>
                <w:rFonts w:cs="宋体"/>
                <w:b/>
                <w:bCs/>
                <w:kern w:val="0"/>
                <w:sz w:val="24"/>
                <w:szCs w:val="20"/>
                <w:lang w:bidi="ar"/>
              </w:rPr>
              <w:t>污染源</w:t>
            </w:r>
            <w:r>
              <w:rPr>
                <w:rFonts w:hint="eastAsia" w:cs="宋体"/>
                <w:b/>
                <w:bCs/>
                <w:kern w:val="0"/>
                <w:sz w:val="24"/>
                <w:szCs w:val="20"/>
                <w:lang w:bidi="ar"/>
              </w:rPr>
              <w:t>正常</w:t>
            </w:r>
            <w:r>
              <w:rPr>
                <w:rFonts w:cs="宋体"/>
                <w:b/>
                <w:bCs/>
                <w:kern w:val="0"/>
                <w:sz w:val="24"/>
                <w:szCs w:val="20"/>
                <w:lang w:bidi="ar"/>
              </w:rPr>
              <w:t>排污情况汇总表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586"/>
              <w:gridCol w:w="773"/>
              <w:gridCol w:w="787"/>
              <w:gridCol w:w="671"/>
              <w:gridCol w:w="643"/>
              <w:gridCol w:w="572"/>
              <w:gridCol w:w="627"/>
              <w:gridCol w:w="657"/>
              <w:gridCol w:w="554"/>
              <w:gridCol w:w="826"/>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18" w:type="pct"/>
                  <w:vMerge w:val="restart"/>
                  <w:tcMar>
                    <w:left w:w="57" w:type="dxa"/>
                    <w:right w:w="57" w:type="dxa"/>
                  </w:tcMar>
                  <w:vAlign w:val="center"/>
                </w:tcPr>
                <w:p>
                  <w:pPr>
                    <w:pStyle w:val="8"/>
                    <w:adjustRightInd w:val="0"/>
                    <w:ind w:firstLine="0" w:firstLineChars="0"/>
                    <w:jc w:val="center"/>
                    <w:rPr>
                      <w:b/>
                      <w:szCs w:val="21"/>
                    </w:rPr>
                  </w:pPr>
                  <w:r>
                    <w:rPr>
                      <w:rFonts w:hint="eastAsia"/>
                      <w:b/>
                      <w:szCs w:val="21"/>
                    </w:rPr>
                    <w:t>编号</w:t>
                  </w:r>
                </w:p>
              </w:tc>
              <w:tc>
                <w:tcPr>
                  <w:tcW w:w="357" w:type="pct"/>
                  <w:vMerge w:val="restart"/>
                  <w:tcMar>
                    <w:left w:w="57" w:type="dxa"/>
                    <w:right w:w="57" w:type="dxa"/>
                  </w:tcMar>
                  <w:vAlign w:val="center"/>
                </w:tcPr>
                <w:p>
                  <w:pPr>
                    <w:pStyle w:val="8"/>
                    <w:adjustRightInd w:val="0"/>
                    <w:ind w:firstLine="0" w:firstLineChars="0"/>
                    <w:jc w:val="center"/>
                    <w:rPr>
                      <w:b/>
                      <w:szCs w:val="21"/>
                    </w:rPr>
                  </w:pPr>
                  <w:r>
                    <w:rPr>
                      <w:b/>
                      <w:szCs w:val="21"/>
                    </w:rPr>
                    <w:t>污染源</w:t>
                  </w:r>
                </w:p>
              </w:tc>
              <w:tc>
                <w:tcPr>
                  <w:tcW w:w="951" w:type="pct"/>
                  <w:gridSpan w:val="2"/>
                  <w:tcMar>
                    <w:left w:w="57" w:type="dxa"/>
                    <w:right w:w="57" w:type="dxa"/>
                  </w:tcMar>
                  <w:vAlign w:val="center"/>
                </w:tcPr>
                <w:p>
                  <w:pPr>
                    <w:pStyle w:val="8"/>
                    <w:adjustRightInd w:val="0"/>
                    <w:ind w:firstLine="0" w:firstLineChars="0"/>
                    <w:jc w:val="center"/>
                    <w:rPr>
                      <w:b/>
                      <w:szCs w:val="21"/>
                    </w:rPr>
                  </w:pPr>
                  <w:r>
                    <w:rPr>
                      <w:rFonts w:hint="eastAsia"/>
                      <w:b/>
                      <w:szCs w:val="21"/>
                    </w:rPr>
                    <w:t>排气筒底部中心坐标/</w:t>
                  </w:r>
                </w:p>
              </w:tc>
              <w:tc>
                <w:tcPr>
                  <w:tcW w:w="409" w:type="pct"/>
                  <w:vMerge w:val="restart"/>
                  <w:tcMar>
                    <w:left w:w="57" w:type="dxa"/>
                    <w:right w:w="57" w:type="dxa"/>
                  </w:tcMar>
                  <w:vAlign w:val="center"/>
                </w:tcPr>
                <w:p>
                  <w:pPr>
                    <w:pStyle w:val="8"/>
                    <w:adjustRightInd w:val="0"/>
                    <w:ind w:firstLine="0" w:firstLineChars="0"/>
                    <w:jc w:val="center"/>
                    <w:rPr>
                      <w:b/>
                      <w:szCs w:val="21"/>
                    </w:rPr>
                  </w:pPr>
                  <w:r>
                    <w:rPr>
                      <w:rFonts w:hint="eastAsia"/>
                      <w:b/>
                      <w:szCs w:val="21"/>
                    </w:rPr>
                    <w:t>排气筒底部海拔高度</w:t>
                  </w:r>
                  <w:r>
                    <w:rPr>
                      <w:b/>
                      <w:szCs w:val="21"/>
                    </w:rPr>
                    <w:t>/m</w:t>
                  </w:r>
                </w:p>
              </w:tc>
              <w:tc>
                <w:tcPr>
                  <w:tcW w:w="392" w:type="pct"/>
                  <w:vMerge w:val="restart"/>
                  <w:tcMar>
                    <w:left w:w="57" w:type="dxa"/>
                    <w:right w:w="57" w:type="dxa"/>
                  </w:tcMar>
                  <w:vAlign w:val="center"/>
                </w:tcPr>
                <w:p>
                  <w:pPr>
                    <w:pStyle w:val="8"/>
                    <w:adjustRightInd w:val="0"/>
                    <w:ind w:firstLine="0" w:firstLineChars="0"/>
                    <w:jc w:val="center"/>
                    <w:rPr>
                      <w:b/>
                      <w:szCs w:val="21"/>
                    </w:rPr>
                  </w:pPr>
                  <w:r>
                    <w:rPr>
                      <w:b/>
                      <w:szCs w:val="21"/>
                    </w:rPr>
                    <w:t>排气量</w:t>
                  </w:r>
                </w:p>
                <w:p>
                  <w:pPr>
                    <w:pStyle w:val="8"/>
                    <w:adjustRightInd w:val="0"/>
                    <w:ind w:firstLine="0" w:firstLineChars="0"/>
                    <w:jc w:val="center"/>
                    <w:rPr>
                      <w:b/>
                      <w:szCs w:val="21"/>
                    </w:rPr>
                  </w:pPr>
                  <w:r>
                    <w:rPr>
                      <w:b/>
                      <w:szCs w:val="21"/>
                    </w:rPr>
                    <w:t>(m</w:t>
                  </w:r>
                  <w:r>
                    <w:rPr>
                      <w:b/>
                      <w:szCs w:val="21"/>
                      <w:vertAlign w:val="superscript"/>
                    </w:rPr>
                    <w:t>3</w:t>
                  </w:r>
                  <w:r>
                    <w:rPr>
                      <w:b/>
                      <w:szCs w:val="21"/>
                    </w:rPr>
                    <w:t>/h)</w:t>
                  </w:r>
                </w:p>
              </w:tc>
              <w:tc>
                <w:tcPr>
                  <w:tcW w:w="349" w:type="pct"/>
                  <w:vMerge w:val="restart"/>
                  <w:tcMar>
                    <w:left w:w="57" w:type="dxa"/>
                    <w:right w:w="57" w:type="dxa"/>
                  </w:tcMar>
                  <w:vAlign w:val="center"/>
                </w:tcPr>
                <w:p>
                  <w:pPr>
                    <w:pStyle w:val="8"/>
                    <w:adjustRightInd w:val="0"/>
                    <w:ind w:firstLine="0" w:firstLineChars="0"/>
                    <w:jc w:val="center"/>
                    <w:rPr>
                      <w:b/>
                      <w:szCs w:val="21"/>
                    </w:rPr>
                  </w:pPr>
                  <w:r>
                    <w:rPr>
                      <w:b/>
                      <w:szCs w:val="21"/>
                    </w:rPr>
                    <w:t>排放高</w:t>
                  </w:r>
                  <w:r>
                    <w:rPr>
                      <w:rFonts w:hint="eastAsia"/>
                      <w:b/>
                      <w:szCs w:val="21"/>
                    </w:rPr>
                    <w:t>度</w:t>
                  </w:r>
                  <w:r>
                    <w:rPr>
                      <w:b/>
                      <w:szCs w:val="21"/>
                    </w:rPr>
                    <w:t>（m）</w:t>
                  </w:r>
                </w:p>
              </w:tc>
              <w:tc>
                <w:tcPr>
                  <w:tcW w:w="383" w:type="pct"/>
                  <w:vMerge w:val="restart"/>
                  <w:tcMar>
                    <w:left w:w="57" w:type="dxa"/>
                    <w:right w:w="57" w:type="dxa"/>
                  </w:tcMar>
                  <w:vAlign w:val="center"/>
                </w:tcPr>
                <w:p>
                  <w:pPr>
                    <w:pStyle w:val="8"/>
                    <w:adjustRightInd w:val="0"/>
                    <w:ind w:firstLine="0" w:firstLineChars="0"/>
                    <w:jc w:val="center"/>
                    <w:rPr>
                      <w:b/>
                      <w:szCs w:val="21"/>
                    </w:rPr>
                  </w:pPr>
                  <w:r>
                    <w:rPr>
                      <w:b/>
                      <w:szCs w:val="21"/>
                    </w:rPr>
                    <w:t>出口内径(m)</w:t>
                  </w:r>
                </w:p>
              </w:tc>
              <w:tc>
                <w:tcPr>
                  <w:tcW w:w="401" w:type="pct"/>
                  <w:vMerge w:val="restart"/>
                  <w:tcMar>
                    <w:left w:w="57" w:type="dxa"/>
                    <w:right w:w="57" w:type="dxa"/>
                  </w:tcMar>
                  <w:vAlign w:val="center"/>
                </w:tcPr>
                <w:p>
                  <w:pPr>
                    <w:pStyle w:val="8"/>
                    <w:adjustRightInd w:val="0"/>
                    <w:ind w:firstLine="0" w:firstLineChars="0"/>
                    <w:jc w:val="center"/>
                    <w:rPr>
                      <w:b/>
                      <w:szCs w:val="21"/>
                    </w:rPr>
                  </w:pPr>
                  <w:r>
                    <w:rPr>
                      <w:b/>
                      <w:szCs w:val="21"/>
                    </w:rPr>
                    <w:t>烟气出口温度(℃)</w:t>
                  </w:r>
                </w:p>
              </w:tc>
              <w:tc>
                <w:tcPr>
                  <w:tcW w:w="338" w:type="pct"/>
                  <w:vMerge w:val="restart"/>
                  <w:tcMar>
                    <w:left w:w="57" w:type="dxa"/>
                    <w:right w:w="57" w:type="dxa"/>
                  </w:tcMar>
                  <w:vAlign w:val="center"/>
                </w:tcPr>
                <w:p>
                  <w:pPr>
                    <w:pStyle w:val="8"/>
                    <w:adjustRightInd w:val="0"/>
                    <w:ind w:firstLine="0" w:firstLineChars="0"/>
                    <w:jc w:val="center"/>
                    <w:rPr>
                      <w:b/>
                      <w:szCs w:val="21"/>
                    </w:rPr>
                  </w:pPr>
                  <w:r>
                    <w:rPr>
                      <w:rFonts w:hint="eastAsia"/>
                      <w:b/>
                      <w:szCs w:val="21"/>
                    </w:rPr>
                    <w:t>年排放小时/h</w:t>
                  </w:r>
                </w:p>
              </w:tc>
              <w:tc>
                <w:tcPr>
                  <w:tcW w:w="1098" w:type="pct"/>
                  <w:gridSpan w:val="2"/>
                  <w:vMerge w:val="restart"/>
                  <w:tcMar>
                    <w:left w:w="57" w:type="dxa"/>
                    <w:right w:w="57" w:type="dxa"/>
                  </w:tcMar>
                  <w:vAlign w:val="center"/>
                </w:tcPr>
                <w:p>
                  <w:pPr>
                    <w:pStyle w:val="8"/>
                    <w:adjustRightInd w:val="0"/>
                    <w:ind w:firstLine="0" w:firstLineChars="0"/>
                    <w:jc w:val="center"/>
                    <w:rPr>
                      <w:b/>
                      <w:szCs w:val="21"/>
                    </w:rPr>
                  </w:pPr>
                  <w:r>
                    <w:rPr>
                      <w:b/>
                      <w:szCs w:val="21"/>
                    </w:rPr>
                    <w:t>排放速率</w:t>
                  </w:r>
                </w:p>
                <w:p>
                  <w:pPr>
                    <w:pStyle w:val="8"/>
                    <w:adjustRightInd w:val="0"/>
                    <w:ind w:firstLine="0" w:firstLineChars="0"/>
                    <w:jc w:val="center"/>
                    <w:rPr>
                      <w:b/>
                      <w:szCs w:val="21"/>
                    </w:rPr>
                  </w:pPr>
                  <w:r>
                    <w:rPr>
                      <w:b/>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18" w:type="pct"/>
                  <w:vMerge w:val="continue"/>
                  <w:tcMar>
                    <w:left w:w="57" w:type="dxa"/>
                    <w:right w:w="57" w:type="dxa"/>
                  </w:tcMar>
                  <w:vAlign w:val="center"/>
                </w:tcPr>
                <w:p>
                  <w:pPr>
                    <w:pStyle w:val="8"/>
                    <w:adjustRightInd w:val="0"/>
                    <w:ind w:firstLine="0" w:firstLineChars="0"/>
                    <w:jc w:val="center"/>
                  </w:pPr>
                </w:p>
              </w:tc>
              <w:tc>
                <w:tcPr>
                  <w:tcW w:w="357" w:type="pct"/>
                  <w:vMerge w:val="continue"/>
                  <w:tcMar>
                    <w:left w:w="57" w:type="dxa"/>
                    <w:right w:w="57" w:type="dxa"/>
                  </w:tcMar>
                  <w:vAlign w:val="center"/>
                </w:tcPr>
                <w:p>
                  <w:pPr>
                    <w:pStyle w:val="8"/>
                    <w:adjustRightInd w:val="0"/>
                    <w:ind w:firstLine="0" w:firstLineChars="0"/>
                    <w:jc w:val="center"/>
                  </w:pPr>
                </w:p>
              </w:tc>
              <w:tc>
                <w:tcPr>
                  <w:tcW w:w="471" w:type="pct"/>
                  <w:tcMar>
                    <w:left w:w="57" w:type="dxa"/>
                    <w:right w:w="57" w:type="dxa"/>
                  </w:tcMar>
                  <w:vAlign w:val="center"/>
                </w:tcPr>
                <w:p>
                  <w:pPr>
                    <w:pStyle w:val="8"/>
                    <w:adjustRightInd w:val="0"/>
                    <w:ind w:firstLine="0" w:firstLineChars="0"/>
                    <w:jc w:val="center"/>
                  </w:pPr>
                  <w:r>
                    <w:rPr>
                      <w:rFonts w:hint="eastAsia"/>
                    </w:rPr>
                    <w:t>E</w:t>
                  </w:r>
                </w:p>
              </w:tc>
              <w:tc>
                <w:tcPr>
                  <w:tcW w:w="479" w:type="pct"/>
                  <w:tcMar>
                    <w:left w:w="57" w:type="dxa"/>
                    <w:right w:w="57" w:type="dxa"/>
                  </w:tcMar>
                  <w:vAlign w:val="center"/>
                </w:tcPr>
                <w:p>
                  <w:pPr>
                    <w:pStyle w:val="8"/>
                    <w:adjustRightInd w:val="0"/>
                    <w:ind w:firstLine="0" w:firstLineChars="0"/>
                    <w:jc w:val="center"/>
                    <w:rPr>
                      <w:b/>
                      <w:szCs w:val="21"/>
                    </w:rPr>
                  </w:pPr>
                  <w:r>
                    <w:rPr>
                      <w:rFonts w:hint="eastAsia"/>
                      <w:b/>
                      <w:szCs w:val="21"/>
                    </w:rPr>
                    <w:t>N</w:t>
                  </w:r>
                </w:p>
              </w:tc>
              <w:tc>
                <w:tcPr>
                  <w:tcW w:w="409" w:type="pct"/>
                  <w:vMerge w:val="continue"/>
                  <w:tcMar>
                    <w:left w:w="57" w:type="dxa"/>
                    <w:right w:w="57" w:type="dxa"/>
                  </w:tcMar>
                  <w:vAlign w:val="center"/>
                </w:tcPr>
                <w:p>
                  <w:pPr>
                    <w:pStyle w:val="8"/>
                    <w:adjustRightInd w:val="0"/>
                    <w:ind w:firstLine="0" w:firstLineChars="0"/>
                    <w:jc w:val="center"/>
                    <w:rPr>
                      <w:b/>
                      <w:szCs w:val="21"/>
                    </w:rPr>
                  </w:pPr>
                </w:p>
              </w:tc>
              <w:tc>
                <w:tcPr>
                  <w:tcW w:w="392" w:type="pct"/>
                  <w:vMerge w:val="continue"/>
                  <w:tcMar>
                    <w:left w:w="57" w:type="dxa"/>
                    <w:right w:w="57" w:type="dxa"/>
                  </w:tcMar>
                  <w:vAlign w:val="center"/>
                </w:tcPr>
                <w:p>
                  <w:pPr>
                    <w:pStyle w:val="8"/>
                    <w:adjustRightInd w:val="0"/>
                    <w:ind w:firstLine="0" w:firstLineChars="0"/>
                    <w:jc w:val="center"/>
                    <w:rPr>
                      <w:b/>
                      <w:szCs w:val="21"/>
                    </w:rPr>
                  </w:pPr>
                </w:p>
              </w:tc>
              <w:tc>
                <w:tcPr>
                  <w:tcW w:w="349" w:type="pct"/>
                  <w:vMerge w:val="continue"/>
                  <w:tcMar>
                    <w:left w:w="57" w:type="dxa"/>
                    <w:right w:w="57" w:type="dxa"/>
                  </w:tcMar>
                  <w:vAlign w:val="center"/>
                </w:tcPr>
                <w:p>
                  <w:pPr>
                    <w:pStyle w:val="8"/>
                    <w:adjustRightInd w:val="0"/>
                    <w:ind w:firstLine="0" w:firstLineChars="0"/>
                    <w:jc w:val="center"/>
                    <w:rPr>
                      <w:b/>
                      <w:szCs w:val="21"/>
                    </w:rPr>
                  </w:pPr>
                </w:p>
              </w:tc>
              <w:tc>
                <w:tcPr>
                  <w:tcW w:w="383" w:type="pct"/>
                  <w:vMerge w:val="continue"/>
                  <w:tcMar>
                    <w:left w:w="57" w:type="dxa"/>
                    <w:right w:w="57" w:type="dxa"/>
                  </w:tcMar>
                  <w:vAlign w:val="center"/>
                </w:tcPr>
                <w:p>
                  <w:pPr>
                    <w:pStyle w:val="8"/>
                    <w:adjustRightInd w:val="0"/>
                    <w:ind w:firstLine="0" w:firstLineChars="0"/>
                    <w:jc w:val="center"/>
                    <w:rPr>
                      <w:b/>
                      <w:szCs w:val="21"/>
                    </w:rPr>
                  </w:pPr>
                </w:p>
              </w:tc>
              <w:tc>
                <w:tcPr>
                  <w:tcW w:w="401" w:type="pct"/>
                  <w:vMerge w:val="continue"/>
                  <w:tcMar>
                    <w:left w:w="57" w:type="dxa"/>
                    <w:right w:w="57" w:type="dxa"/>
                  </w:tcMar>
                  <w:vAlign w:val="center"/>
                </w:tcPr>
                <w:p>
                  <w:pPr>
                    <w:pStyle w:val="8"/>
                    <w:adjustRightInd w:val="0"/>
                    <w:ind w:firstLine="0" w:firstLineChars="0"/>
                    <w:jc w:val="center"/>
                    <w:rPr>
                      <w:b/>
                      <w:szCs w:val="21"/>
                    </w:rPr>
                  </w:pPr>
                </w:p>
              </w:tc>
              <w:tc>
                <w:tcPr>
                  <w:tcW w:w="338" w:type="pct"/>
                  <w:vMerge w:val="continue"/>
                  <w:tcMar>
                    <w:left w:w="57" w:type="dxa"/>
                    <w:right w:w="57" w:type="dxa"/>
                  </w:tcMar>
                  <w:vAlign w:val="center"/>
                </w:tcPr>
                <w:p>
                  <w:pPr>
                    <w:pStyle w:val="8"/>
                    <w:adjustRightInd w:val="0"/>
                    <w:ind w:firstLine="0" w:firstLineChars="0"/>
                    <w:jc w:val="center"/>
                    <w:rPr>
                      <w:b/>
                      <w:szCs w:val="21"/>
                    </w:rPr>
                  </w:pPr>
                </w:p>
              </w:tc>
              <w:tc>
                <w:tcPr>
                  <w:tcW w:w="1098" w:type="pct"/>
                  <w:gridSpan w:val="2"/>
                  <w:vMerge w:val="continue"/>
                  <w:tcMar>
                    <w:left w:w="57" w:type="dxa"/>
                    <w:right w:w="57" w:type="dxa"/>
                  </w:tcMar>
                  <w:vAlign w:val="center"/>
                </w:tcPr>
                <w:p>
                  <w:pPr>
                    <w:pStyle w:val="8"/>
                    <w:adjustRightInd w:val="0"/>
                    <w:ind w:firstLine="0" w:firstLineChars="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exact"/>
                <w:jc w:val="center"/>
              </w:trPr>
              <w:tc>
                <w:tcPr>
                  <w:tcW w:w="318" w:type="pct"/>
                  <w:vMerge w:val="restart"/>
                  <w:tcMar>
                    <w:left w:w="57" w:type="dxa"/>
                    <w:right w:w="57" w:type="dxa"/>
                  </w:tcMar>
                  <w:vAlign w:val="center"/>
                </w:tcPr>
                <w:p>
                  <w:pPr>
                    <w:jc w:val="center"/>
                    <w:rPr>
                      <w:szCs w:val="21"/>
                    </w:rPr>
                  </w:pPr>
                  <w:r>
                    <w:rPr>
                      <w:rFonts w:hint="eastAsia"/>
                      <w:szCs w:val="21"/>
                    </w:rPr>
                    <w:t>DA001</w:t>
                  </w:r>
                </w:p>
              </w:tc>
              <w:tc>
                <w:tcPr>
                  <w:tcW w:w="357" w:type="pct"/>
                  <w:vMerge w:val="restart"/>
                  <w:tcMar>
                    <w:left w:w="57" w:type="dxa"/>
                    <w:right w:w="57" w:type="dxa"/>
                  </w:tcMar>
                  <w:vAlign w:val="center"/>
                </w:tcPr>
                <w:p>
                  <w:pPr>
                    <w:jc w:val="center"/>
                    <w:rPr>
                      <w:szCs w:val="21"/>
                    </w:rPr>
                  </w:pPr>
                  <w:r>
                    <w:rPr>
                      <w:rFonts w:hint="eastAsia"/>
                      <w:szCs w:val="21"/>
                    </w:rPr>
                    <w:t>5t/h锅炉废气排放口</w:t>
                  </w:r>
                </w:p>
              </w:tc>
              <w:tc>
                <w:tcPr>
                  <w:tcW w:w="471" w:type="pct"/>
                  <w:vMerge w:val="restart"/>
                  <w:tcMar>
                    <w:left w:w="57" w:type="dxa"/>
                    <w:right w:w="57" w:type="dxa"/>
                  </w:tcMar>
                  <w:vAlign w:val="center"/>
                </w:tcPr>
                <w:p>
                  <w:pPr>
                    <w:adjustRightInd w:val="0"/>
                    <w:jc w:val="center"/>
                    <w:rPr>
                      <w:szCs w:val="21"/>
                    </w:rPr>
                  </w:pPr>
                  <w:r>
                    <w:rPr>
                      <w:szCs w:val="21"/>
                    </w:rPr>
                    <w:t>103°</w:t>
                  </w:r>
                  <w:r>
                    <w:rPr>
                      <w:rFonts w:hint="eastAsia"/>
                      <w:szCs w:val="21"/>
                    </w:rPr>
                    <w:t>09</w:t>
                  </w:r>
                  <w:r>
                    <w:rPr>
                      <w:szCs w:val="21"/>
                    </w:rPr>
                    <w:t>′</w:t>
                  </w:r>
                  <w:r>
                    <w:rPr>
                      <w:rFonts w:hint="eastAsia"/>
                      <w:szCs w:val="21"/>
                    </w:rPr>
                    <w:t>19.367</w:t>
                  </w:r>
                  <w:r>
                    <w:rPr>
                      <w:szCs w:val="21"/>
                    </w:rPr>
                    <w:t>ʺ</w:t>
                  </w:r>
                </w:p>
              </w:tc>
              <w:tc>
                <w:tcPr>
                  <w:tcW w:w="479" w:type="pct"/>
                  <w:vMerge w:val="restart"/>
                  <w:tcMar>
                    <w:left w:w="57" w:type="dxa"/>
                    <w:right w:w="57" w:type="dxa"/>
                  </w:tcMar>
                  <w:vAlign w:val="center"/>
                </w:tcPr>
                <w:p>
                  <w:pPr>
                    <w:adjustRightInd w:val="0"/>
                    <w:jc w:val="center"/>
                    <w:rPr>
                      <w:szCs w:val="21"/>
                    </w:rPr>
                  </w:pPr>
                  <w:r>
                    <w:rPr>
                      <w:szCs w:val="21"/>
                    </w:rPr>
                    <w:t>25°</w:t>
                  </w:r>
                  <w:r>
                    <w:rPr>
                      <w:rFonts w:hint="eastAsia"/>
                      <w:szCs w:val="21"/>
                    </w:rPr>
                    <w:t>27</w:t>
                  </w:r>
                  <w:r>
                    <w:rPr>
                      <w:szCs w:val="21"/>
                    </w:rPr>
                    <w:t>′5</w:t>
                  </w:r>
                  <w:r>
                    <w:rPr>
                      <w:rFonts w:hint="eastAsia"/>
                      <w:szCs w:val="21"/>
                    </w:rPr>
                    <w:t>0.229</w:t>
                  </w:r>
                  <w:r>
                    <w:rPr>
                      <w:szCs w:val="21"/>
                    </w:rPr>
                    <w:t>ʺ</w:t>
                  </w:r>
                </w:p>
              </w:tc>
              <w:tc>
                <w:tcPr>
                  <w:tcW w:w="409" w:type="pct"/>
                  <w:vMerge w:val="restart"/>
                  <w:tcMar>
                    <w:left w:w="57" w:type="dxa"/>
                    <w:right w:w="57" w:type="dxa"/>
                  </w:tcMar>
                  <w:vAlign w:val="center"/>
                </w:tcPr>
                <w:p>
                  <w:pPr>
                    <w:pStyle w:val="8"/>
                    <w:adjustRightInd w:val="0"/>
                    <w:ind w:firstLine="0" w:firstLineChars="0"/>
                    <w:jc w:val="center"/>
                    <w:rPr>
                      <w:szCs w:val="21"/>
                    </w:rPr>
                  </w:pPr>
                  <w:r>
                    <w:rPr>
                      <w:rFonts w:hint="eastAsia"/>
                      <w:szCs w:val="21"/>
                    </w:rPr>
                    <w:t>1979</w:t>
                  </w:r>
                </w:p>
              </w:tc>
              <w:tc>
                <w:tcPr>
                  <w:tcW w:w="392" w:type="pct"/>
                  <w:vMerge w:val="restart"/>
                  <w:tcMar>
                    <w:left w:w="57" w:type="dxa"/>
                    <w:right w:w="57" w:type="dxa"/>
                  </w:tcMar>
                  <w:vAlign w:val="center"/>
                </w:tcPr>
                <w:p>
                  <w:pPr>
                    <w:pStyle w:val="8"/>
                    <w:adjustRightInd w:val="0"/>
                    <w:ind w:firstLine="0" w:firstLineChars="0"/>
                    <w:jc w:val="center"/>
                    <w:rPr>
                      <w:szCs w:val="21"/>
                    </w:rPr>
                  </w:pPr>
                  <w:r>
                    <w:rPr>
                      <w:szCs w:val="21"/>
                    </w:rPr>
                    <w:t>11986</w:t>
                  </w:r>
                </w:p>
              </w:tc>
              <w:tc>
                <w:tcPr>
                  <w:tcW w:w="349" w:type="pct"/>
                  <w:vMerge w:val="restart"/>
                  <w:tcMar>
                    <w:left w:w="57" w:type="dxa"/>
                    <w:right w:w="57" w:type="dxa"/>
                  </w:tcMar>
                  <w:vAlign w:val="center"/>
                </w:tcPr>
                <w:p>
                  <w:pPr>
                    <w:pStyle w:val="8"/>
                    <w:adjustRightInd w:val="0"/>
                    <w:ind w:firstLine="0" w:firstLineChars="0"/>
                    <w:jc w:val="center"/>
                    <w:rPr>
                      <w:szCs w:val="21"/>
                    </w:rPr>
                  </w:pPr>
                  <w:r>
                    <w:rPr>
                      <w:rFonts w:hint="eastAsia"/>
                      <w:szCs w:val="21"/>
                    </w:rPr>
                    <w:t>35</w:t>
                  </w:r>
                </w:p>
              </w:tc>
              <w:tc>
                <w:tcPr>
                  <w:tcW w:w="383" w:type="pct"/>
                  <w:vMerge w:val="restart"/>
                  <w:tcMar>
                    <w:left w:w="57" w:type="dxa"/>
                    <w:right w:w="57" w:type="dxa"/>
                  </w:tcMar>
                  <w:vAlign w:val="center"/>
                </w:tcPr>
                <w:p>
                  <w:pPr>
                    <w:adjustRightInd w:val="0"/>
                    <w:jc w:val="center"/>
                    <w:rPr>
                      <w:szCs w:val="21"/>
                    </w:rPr>
                  </w:pPr>
                  <w:r>
                    <w:rPr>
                      <w:rFonts w:hint="eastAsia"/>
                      <w:szCs w:val="21"/>
                    </w:rPr>
                    <w:t>0</w:t>
                  </w:r>
                  <w:r>
                    <w:rPr>
                      <w:szCs w:val="21"/>
                    </w:rPr>
                    <w:t>.65</w:t>
                  </w:r>
                </w:p>
              </w:tc>
              <w:tc>
                <w:tcPr>
                  <w:tcW w:w="401" w:type="pct"/>
                  <w:vMerge w:val="restart"/>
                  <w:tcMar>
                    <w:left w:w="57" w:type="dxa"/>
                    <w:right w:w="57" w:type="dxa"/>
                  </w:tcMar>
                  <w:vAlign w:val="center"/>
                </w:tcPr>
                <w:p>
                  <w:pPr>
                    <w:adjustRightInd w:val="0"/>
                    <w:jc w:val="center"/>
                    <w:rPr>
                      <w:szCs w:val="21"/>
                    </w:rPr>
                  </w:pPr>
                  <w:r>
                    <w:rPr>
                      <w:szCs w:val="21"/>
                    </w:rPr>
                    <w:t>56.7</w:t>
                  </w:r>
                </w:p>
              </w:tc>
              <w:tc>
                <w:tcPr>
                  <w:tcW w:w="338" w:type="pct"/>
                  <w:vMerge w:val="restart"/>
                  <w:tcMar>
                    <w:left w:w="57" w:type="dxa"/>
                    <w:right w:w="57" w:type="dxa"/>
                  </w:tcMar>
                  <w:vAlign w:val="center"/>
                </w:tcPr>
                <w:p>
                  <w:pPr>
                    <w:adjustRightInd w:val="0"/>
                    <w:jc w:val="center"/>
                    <w:rPr>
                      <w:szCs w:val="21"/>
                    </w:rPr>
                  </w:pPr>
                  <w:r>
                    <w:rPr>
                      <w:rFonts w:hint="eastAsia"/>
                      <w:szCs w:val="21"/>
                    </w:rPr>
                    <w:t>7200</w:t>
                  </w:r>
                </w:p>
              </w:tc>
              <w:tc>
                <w:tcPr>
                  <w:tcW w:w="504" w:type="pct"/>
                  <w:tcMar>
                    <w:left w:w="57" w:type="dxa"/>
                    <w:right w:w="57" w:type="dxa"/>
                  </w:tcMar>
                  <w:vAlign w:val="center"/>
                </w:tcPr>
                <w:p>
                  <w:pPr>
                    <w:adjustRightInd w:val="0"/>
                    <w:jc w:val="center"/>
                    <w:rPr>
                      <w:szCs w:val="21"/>
                    </w:rPr>
                  </w:pPr>
                  <w:r>
                    <w:rPr>
                      <w:rFonts w:hint="eastAsia"/>
                      <w:szCs w:val="21"/>
                    </w:rPr>
                    <w:t>颗粒物</w:t>
                  </w:r>
                </w:p>
              </w:tc>
              <w:tc>
                <w:tcPr>
                  <w:tcW w:w="593" w:type="pct"/>
                  <w:vAlign w:val="center"/>
                </w:tcPr>
                <w:p>
                  <w:pPr>
                    <w:jc w:val="center"/>
                    <w:rPr>
                      <w:szCs w:val="21"/>
                      <w:highlight w:val="green"/>
                    </w:rPr>
                  </w:pPr>
                  <w:r>
                    <w:rPr>
                      <w:rFonts w:hint="eastAsia"/>
                      <w:szCs w:val="21"/>
                      <w:highlight w:val="green"/>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318" w:type="pct"/>
                  <w:vMerge w:val="continue"/>
                  <w:tcMar>
                    <w:left w:w="57" w:type="dxa"/>
                    <w:right w:w="57" w:type="dxa"/>
                  </w:tcMar>
                  <w:vAlign w:val="center"/>
                </w:tcPr>
                <w:p>
                  <w:pPr>
                    <w:jc w:val="center"/>
                    <w:rPr>
                      <w:szCs w:val="21"/>
                    </w:rPr>
                  </w:pPr>
                </w:p>
              </w:tc>
              <w:tc>
                <w:tcPr>
                  <w:tcW w:w="357" w:type="pct"/>
                  <w:vMerge w:val="continue"/>
                  <w:tcMar>
                    <w:left w:w="57" w:type="dxa"/>
                    <w:right w:w="57" w:type="dxa"/>
                  </w:tcMar>
                  <w:vAlign w:val="center"/>
                </w:tcPr>
                <w:p>
                  <w:pPr>
                    <w:jc w:val="center"/>
                    <w:rPr>
                      <w:szCs w:val="21"/>
                    </w:rPr>
                  </w:pPr>
                </w:p>
              </w:tc>
              <w:tc>
                <w:tcPr>
                  <w:tcW w:w="471" w:type="pct"/>
                  <w:vMerge w:val="continue"/>
                  <w:tcMar>
                    <w:left w:w="57" w:type="dxa"/>
                    <w:right w:w="57" w:type="dxa"/>
                  </w:tcMar>
                  <w:vAlign w:val="center"/>
                </w:tcPr>
                <w:p>
                  <w:pPr>
                    <w:adjustRightInd w:val="0"/>
                    <w:jc w:val="center"/>
                    <w:rPr>
                      <w:szCs w:val="21"/>
                    </w:rPr>
                  </w:pPr>
                </w:p>
              </w:tc>
              <w:tc>
                <w:tcPr>
                  <w:tcW w:w="479" w:type="pct"/>
                  <w:vMerge w:val="continue"/>
                  <w:tcMar>
                    <w:left w:w="57" w:type="dxa"/>
                    <w:right w:w="57" w:type="dxa"/>
                  </w:tcMar>
                  <w:vAlign w:val="center"/>
                </w:tcPr>
                <w:p>
                  <w:pPr>
                    <w:adjustRightInd w:val="0"/>
                    <w:jc w:val="center"/>
                    <w:rPr>
                      <w:szCs w:val="21"/>
                    </w:rPr>
                  </w:pPr>
                </w:p>
              </w:tc>
              <w:tc>
                <w:tcPr>
                  <w:tcW w:w="409" w:type="pct"/>
                  <w:vMerge w:val="continue"/>
                  <w:tcMar>
                    <w:left w:w="57" w:type="dxa"/>
                    <w:right w:w="57" w:type="dxa"/>
                  </w:tcMar>
                  <w:vAlign w:val="center"/>
                </w:tcPr>
                <w:p>
                  <w:pPr>
                    <w:pStyle w:val="8"/>
                    <w:adjustRightInd w:val="0"/>
                    <w:ind w:firstLine="0" w:firstLineChars="0"/>
                    <w:jc w:val="center"/>
                    <w:rPr>
                      <w:szCs w:val="21"/>
                    </w:rPr>
                  </w:pPr>
                </w:p>
              </w:tc>
              <w:tc>
                <w:tcPr>
                  <w:tcW w:w="392" w:type="pct"/>
                  <w:vMerge w:val="continue"/>
                  <w:tcMar>
                    <w:left w:w="57" w:type="dxa"/>
                    <w:right w:w="57" w:type="dxa"/>
                  </w:tcMar>
                  <w:vAlign w:val="center"/>
                </w:tcPr>
                <w:p>
                  <w:pPr>
                    <w:pStyle w:val="8"/>
                    <w:adjustRightInd w:val="0"/>
                    <w:jc w:val="center"/>
                    <w:rPr>
                      <w:szCs w:val="21"/>
                    </w:rPr>
                  </w:pPr>
                </w:p>
              </w:tc>
              <w:tc>
                <w:tcPr>
                  <w:tcW w:w="349" w:type="pct"/>
                  <w:vMerge w:val="continue"/>
                  <w:tcMar>
                    <w:left w:w="57" w:type="dxa"/>
                    <w:right w:w="57" w:type="dxa"/>
                  </w:tcMar>
                  <w:vAlign w:val="center"/>
                </w:tcPr>
                <w:p>
                  <w:pPr>
                    <w:pStyle w:val="8"/>
                    <w:adjustRightInd w:val="0"/>
                    <w:jc w:val="center"/>
                    <w:rPr>
                      <w:szCs w:val="21"/>
                    </w:rPr>
                  </w:pPr>
                </w:p>
              </w:tc>
              <w:tc>
                <w:tcPr>
                  <w:tcW w:w="383" w:type="pct"/>
                  <w:vMerge w:val="continue"/>
                  <w:tcMar>
                    <w:left w:w="57" w:type="dxa"/>
                    <w:right w:w="57" w:type="dxa"/>
                  </w:tcMar>
                  <w:vAlign w:val="center"/>
                </w:tcPr>
                <w:p>
                  <w:pPr>
                    <w:adjustRightInd w:val="0"/>
                    <w:jc w:val="center"/>
                    <w:rPr>
                      <w:szCs w:val="21"/>
                    </w:rPr>
                  </w:pPr>
                </w:p>
              </w:tc>
              <w:tc>
                <w:tcPr>
                  <w:tcW w:w="401" w:type="pct"/>
                  <w:vMerge w:val="continue"/>
                  <w:tcMar>
                    <w:left w:w="57" w:type="dxa"/>
                    <w:right w:w="57" w:type="dxa"/>
                  </w:tcMar>
                  <w:vAlign w:val="center"/>
                </w:tcPr>
                <w:p>
                  <w:pPr>
                    <w:adjustRightInd w:val="0"/>
                    <w:jc w:val="center"/>
                    <w:rPr>
                      <w:szCs w:val="21"/>
                    </w:rPr>
                  </w:pPr>
                </w:p>
              </w:tc>
              <w:tc>
                <w:tcPr>
                  <w:tcW w:w="338" w:type="pct"/>
                  <w:vMerge w:val="continue"/>
                  <w:tcMar>
                    <w:left w:w="57" w:type="dxa"/>
                    <w:right w:w="57" w:type="dxa"/>
                  </w:tcMar>
                  <w:vAlign w:val="center"/>
                </w:tcPr>
                <w:p>
                  <w:pPr>
                    <w:adjustRightInd w:val="0"/>
                    <w:jc w:val="center"/>
                    <w:rPr>
                      <w:szCs w:val="21"/>
                    </w:rPr>
                  </w:pPr>
                </w:p>
              </w:tc>
              <w:tc>
                <w:tcPr>
                  <w:tcW w:w="504" w:type="pct"/>
                  <w:tcMar>
                    <w:left w:w="57" w:type="dxa"/>
                    <w:right w:w="57" w:type="dxa"/>
                  </w:tcMar>
                  <w:vAlign w:val="center"/>
                </w:tcPr>
                <w:p>
                  <w:pPr>
                    <w:adjustRightInd w:val="0"/>
                    <w:jc w:val="center"/>
                    <w:rPr>
                      <w:szCs w:val="21"/>
                    </w:rPr>
                  </w:pPr>
                  <w:r>
                    <w:rPr>
                      <w:rFonts w:hint="eastAsia"/>
                      <w:szCs w:val="21"/>
                    </w:rPr>
                    <w:t>S</w:t>
                  </w:r>
                  <w:r>
                    <w:rPr>
                      <w:szCs w:val="21"/>
                    </w:rPr>
                    <w:t>O</w:t>
                  </w:r>
                  <w:r>
                    <w:rPr>
                      <w:szCs w:val="21"/>
                      <w:vertAlign w:val="subscript"/>
                    </w:rPr>
                    <w:t>2</w:t>
                  </w:r>
                </w:p>
              </w:tc>
              <w:tc>
                <w:tcPr>
                  <w:tcW w:w="593" w:type="pct"/>
                  <w:vAlign w:val="center"/>
                </w:tcPr>
                <w:p>
                  <w:pPr>
                    <w:jc w:val="center"/>
                    <w:rPr>
                      <w:szCs w:val="21"/>
                      <w:highlight w:val="green"/>
                    </w:rPr>
                  </w:pPr>
                  <w:r>
                    <w:rPr>
                      <w:rFonts w:hint="eastAsia"/>
                      <w:szCs w:val="21"/>
                      <w:highlight w:val="green"/>
                    </w:rPr>
                    <w:t>0.651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318" w:type="pct"/>
                  <w:vMerge w:val="continue"/>
                  <w:tcMar>
                    <w:left w:w="57" w:type="dxa"/>
                    <w:right w:w="57" w:type="dxa"/>
                  </w:tcMar>
                  <w:vAlign w:val="center"/>
                </w:tcPr>
                <w:p>
                  <w:pPr>
                    <w:jc w:val="center"/>
                    <w:rPr>
                      <w:szCs w:val="21"/>
                    </w:rPr>
                  </w:pPr>
                </w:p>
              </w:tc>
              <w:tc>
                <w:tcPr>
                  <w:tcW w:w="357" w:type="pct"/>
                  <w:vMerge w:val="continue"/>
                  <w:tcMar>
                    <w:left w:w="57" w:type="dxa"/>
                    <w:right w:w="57" w:type="dxa"/>
                  </w:tcMar>
                  <w:vAlign w:val="center"/>
                </w:tcPr>
                <w:p>
                  <w:pPr>
                    <w:jc w:val="center"/>
                    <w:rPr>
                      <w:szCs w:val="21"/>
                    </w:rPr>
                  </w:pPr>
                </w:p>
              </w:tc>
              <w:tc>
                <w:tcPr>
                  <w:tcW w:w="471" w:type="pct"/>
                  <w:vMerge w:val="continue"/>
                  <w:tcMar>
                    <w:left w:w="57" w:type="dxa"/>
                    <w:right w:w="57" w:type="dxa"/>
                  </w:tcMar>
                  <w:vAlign w:val="center"/>
                </w:tcPr>
                <w:p>
                  <w:pPr>
                    <w:adjustRightInd w:val="0"/>
                    <w:jc w:val="center"/>
                    <w:rPr>
                      <w:szCs w:val="21"/>
                    </w:rPr>
                  </w:pPr>
                </w:p>
              </w:tc>
              <w:tc>
                <w:tcPr>
                  <w:tcW w:w="479" w:type="pct"/>
                  <w:vMerge w:val="continue"/>
                  <w:tcMar>
                    <w:left w:w="57" w:type="dxa"/>
                    <w:right w:w="57" w:type="dxa"/>
                  </w:tcMar>
                  <w:vAlign w:val="center"/>
                </w:tcPr>
                <w:p>
                  <w:pPr>
                    <w:adjustRightInd w:val="0"/>
                    <w:jc w:val="center"/>
                    <w:rPr>
                      <w:szCs w:val="21"/>
                    </w:rPr>
                  </w:pPr>
                </w:p>
              </w:tc>
              <w:tc>
                <w:tcPr>
                  <w:tcW w:w="409" w:type="pct"/>
                  <w:vMerge w:val="continue"/>
                  <w:tcMar>
                    <w:left w:w="57" w:type="dxa"/>
                    <w:right w:w="57" w:type="dxa"/>
                  </w:tcMar>
                  <w:vAlign w:val="center"/>
                </w:tcPr>
                <w:p>
                  <w:pPr>
                    <w:pStyle w:val="8"/>
                    <w:adjustRightInd w:val="0"/>
                    <w:ind w:firstLine="0" w:firstLineChars="0"/>
                    <w:jc w:val="center"/>
                    <w:rPr>
                      <w:szCs w:val="21"/>
                    </w:rPr>
                  </w:pPr>
                </w:p>
              </w:tc>
              <w:tc>
                <w:tcPr>
                  <w:tcW w:w="392" w:type="pct"/>
                  <w:vMerge w:val="continue"/>
                  <w:tcMar>
                    <w:left w:w="57" w:type="dxa"/>
                    <w:right w:w="57" w:type="dxa"/>
                  </w:tcMar>
                  <w:vAlign w:val="center"/>
                </w:tcPr>
                <w:p>
                  <w:pPr>
                    <w:pStyle w:val="8"/>
                    <w:adjustRightInd w:val="0"/>
                    <w:jc w:val="center"/>
                    <w:rPr>
                      <w:szCs w:val="21"/>
                    </w:rPr>
                  </w:pPr>
                </w:p>
              </w:tc>
              <w:tc>
                <w:tcPr>
                  <w:tcW w:w="349" w:type="pct"/>
                  <w:vMerge w:val="continue"/>
                  <w:tcMar>
                    <w:left w:w="57" w:type="dxa"/>
                    <w:right w:w="57" w:type="dxa"/>
                  </w:tcMar>
                  <w:vAlign w:val="center"/>
                </w:tcPr>
                <w:p>
                  <w:pPr>
                    <w:pStyle w:val="8"/>
                    <w:adjustRightInd w:val="0"/>
                    <w:jc w:val="center"/>
                    <w:rPr>
                      <w:szCs w:val="21"/>
                    </w:rPr>
                  </w:pPr>
                </w:p>
              </w:tc>
              <w:tc>
                <w:tcPr>
                  <w:tcW w:w="383" w:type="pct"/>
                  <w:vMerge w:val="continue"/>
                  <w:tcMar>
                    <w:left w:w="57" w:type="dxa"/>
                    <w:right w:w="57" w:type="dxa"/>
                  </w:tcMar>
                  <w:vAlign w:val="center"/>
                </w:tcPr>
                <w:p>
                  <w:pPr>
                    <w:adjustRightInd w:val="0"/>
                    <w:jc w:val="center"/>
                    <w:rPr>
                      <w:szCs w:val="21"/>
                    </w:rPr>
                  </w:pPr>
                </w:p>
              </w:tc>
              <w:tc>
                <w:tcPr>
                  <w:tcW w:w="401" w:type="pct"/>
                  <w:vMerge w:val="continue"/>
                  <w:tcMar>
                    <w:left w:w="57" w:type="dxa"/>
                    <w:right w:w="57" w:type="dxa"/>
                  </w:tcMar>
                  <w:vAlign w:val="center"/>
                </w:tcPr>
                <w:p>
                  <w:pPr>
                    <w:adjustRightInd w:val="0"/>
                    <w:jc w:val="center"/>
                    <w:rPr>
                      <w:szCs w:val="21"/>
                    </w:rPr>
                  </w:pPr>
                </w:p>
              </w:tc>
              <w:tc>
                <w:tcPr>
                  <w:tcW w:w="338" w:type="pct"/>
                  <w:vMerge w:val="continue"/>
                  <w:tcMar>
                    <w:left w:w="57" w:type="dxa"/>
                    <w:right w:w="57" w:type="dxa"/>
                  </w:tcMar>
                  <w:vAlign w:val="center"/>
                </w:tcPr>
                <w:p>
                  <w:pPr>
                    <w:adjustRightInd w:val="0"/>
                    <w:jc w:val="center"/>
                    <w:rPr>
                      <w:szCs w:val="21"/>
                    </w:rPr>
                  </w:pPr>
                </w:p>
              </w:tc>
              <w:tc>
                <w:tcPr>
                  <w:tcW w:w="504" w:type="pct"/>
                  <w:tcMar>
                    <w:left w:w="57" w:type="dxa"/>
                    <w:right w:w="57" w:type="dxa"/>
                  </w:tcMar>
                  <w:vAlign w:val="center"/>
                </w:tcPr>
                <w:p>
                  <w:pPr>
                    <w:adjustRightInd w:val="0"/>
                    <w:jc w:val="center"/>
                    <w:rPr>
                      <w:szCs w:val="21"/>
                    </w:rPr>
                  </w:pPr>
                  <w:r>
                    <w:rPr>
                      <w:szCs w:val="21"/>
                    </w:rPr>
                    <w:t>NO</w:t>
                  </w:r>
                  <w:r>
                    <w:rPr>
                      <w:szCs w:val="21"/>
                      <w:vertAlign w:val="subscript"/>
                    </w:rPr>
                    <w:t>x</w:t>
                  </w:r>
                </w:p>
              </w:tc>
              <w:tc>
                <w:tcPr>
                  <w:tcW w:w="593" w:type="pct"/>
                  <w:vAlign w:val="center"/>
                </w:tcPr>
                <w:p>
                  <w:pPr>
                    <w:jc w:val="center"/>
                    <w:rPr>
                      <w:szCs w:val="21"/>
                      <w:highlight w:val="green"/>
                    </w:rPr>
                  </w:pPr>
                  <w:r>
                    <w:rPr>
                      <w:rFonts w:hint="eastAsia"/>
                      <w:szCs w:val="21"/>
                      <w:highlight w:val="green"/>
                    </w:rPr>
                    <w:t>0.607</w:t>
                  </w:r>
                </w:p>
              </w:tc>
            </w:tr>
          </w:tbl>
          <w:p>
            <w:pPr>
              <w:widowControl/>
              <w:adjustRightInd w:val="0"/>
              <w:spacing w:before="120" w:beforeLines="50"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4-8  本项目有组织</w:t>
            </w:r>
            <w:r>
              <w:rPr>
                <w:rFonts w:cs="宋体"/>
                <w:b/>
                <w:bCs/>
                <w:kern w:val="0"/>
                <w:sz w:val="24"/>
                <w:szCs w:val="20"/>
                <w:lang w:bidi="ar"/>
              </w:rPr>
              <w:t>污染源</w:t>
            </w:r>
            <w:r>
              <w:rPr>
                <w:rFonts w:hint="eastAsia" w:cs="宋体"/>
                <w:b/>
                <w:bCs/>
                <w:kern w:val="0"/>
                <w:sz w:val="24"/>
                <w:szCs w:val="20"/>
                <w:lang w:bidi="ar"/>
              </w:rPr>
              <w:t>非正常排放</w:t>
            </w:r>
            <w:r>
              <w:rPr>
                <w:rFonts w:cs="宋体"/>
                <w:b/>
                <w:bCs/>
                <w:kern w:val="0"/>
                <w:sz w:val="24"/>
                <w:szCs w:val="20"/>
                <w:lang w:bidi="ar"/>
              </w:rPr>
              <w:t>污染源排污情况汇总表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012"/>
              <w:gridCol w:w="874"/>
              <w:gridCol w:w="817"/>
              <w:gridCol w:w="624"/>
              <w:gridCol w:w="546"/>
              <w:gridCol w:w="782"/>
              <w:gridCol w:w="624"/>
              <w:gridCol w:w="718"/>
              <w:gridCol w:w="590"/>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63" w:type="pct"/>
                  <w:vMerge w:val="restart"/>
                  <w:tcMar>
                    <w:left w:w="57" w:type="dxa"/>
                    <w:right w:w="57" w:type="dxa"/>
                  </w:tcMar>
                  <w:vAlign w:val="center"/>
                </w:tcPr>
                <w:p>
                  <w:pPr>
                    <w:pStyle w:val="8"/>
                    <w:adjustRightInd w:val="0"/>
                    <w:ind w:firstLine="0" w:firstLineChars="0"/>
                    <w:jc w:val="center"/>
                    <w:rPr>
                      <w:b/>
                      <w:szCs w:val="21"/>
                    </w:rPr>
                  </w:pPr>
                  <w:r>
                    <w:rPr>
                      <w:rFonts w:hint="eastAsia"/>
                      <w:b/>
                      <w:szCs w:val="21"/>
                    </w:rPr>
                    <w:t>编号</w:t>
                  </w:r>
                </w:p>
              </w:tc>
              <w:tc>
                <w:tcPr>
                  <w:tcW w:w="616" w:type="pct"/>
                  <w:vMerge w:val="restart"/>
                  <w:tcMar>
                    <w:left w:w="57" w:type="dxa"/>
                    <w:right w:w="57" w:type="dxa"/>
                  </w:tcMar>
                  <w:vAlign w:val="center"/>
                </w:tcPr>
                <w:p>
                  <w:pPr>
                    <w:pStyle w:val="8"/>
                    <w:adjustRightInd w:val="0"/>
                    <w:ind w:firstLine="0" w:firstLineChars="0"/>
                    <w:jc w:val="center"/>
                    <w:rPr>
                      <w:b/>
                      <w:szCs w:val="21"/>
                    </w:rPr>
                  </w:pPr>
                  <w:r>
                    <w:rPr>
                      <w:b/>
                      <w:szCs w:val="21"/>
                    </w:rPr>
                    <w:t>污染源</w:t>
                  </w:r>
                </w:p>
              </w:tc>
              <w:tc>
                <w:tcPr>
                  <w:tcW w:w="1030" w:type="pct"/>
                  <w:gridSpan w:val="2"/>
                  <w:tcMar>
                    <w:left w:w="57" w:type="dxa"/>
                    <w:right w:w="57" w:type="dxa"/>
                  </w:tcMar>
                  <w:vAlign w:val="center"/>
                </w:tcPr>
                <w:p>
                  <w:pPr>
                    <w:pStyle w:val="8"/>
                    <w:adjustRightInd w:val="0"/>
                    <w:ind w:firstLine="0" w:firstLineChars="0"/>
                    <w:jc w:val="center"/>
                    <w:rPr>
                      <w:b/>
                      <w:szCs w:val="21"/>
                    </w:rPr>
                  </w:pPr>
                  <w:r>
                    <w:rPr>
                      <w:rFonts w:hint="eastAsia"/>
                      <w:b/>
                      <w:szCs w:val="21"/>
                    </w:rPr>
                    <w:t>排气筒底部中心坐标/</w:t>
                  </w:r>
                </w:p>
              </w:tc>
              <w:tc>
                <w:tcPr>
                  <w:tcW w:w="381" w:type="pct"/>
                  <w:vMerge w:val="restart"/>
                  <w:tcMar>
                    <w:left w:w="57" w:type="dxa"/>
                    <w:right w:w="57" w:type="dxa"/>
                  </w:tcMar>
                  <w:vAlign w:val="center"/>
                </w:tcPr>
                <w:p>
                  <w:pPr>
                    <w:pStyle w:val="8"/>
                    <w:adjustRightInd w:val="0"/>
                    <w:ind w:firstLine="0" w:firstLineChars="0"/>
                    <w:jc w:val="center"/>
                    <w:rPr>
                      <w:b/>
                      <w:szCs w:val="21"/>
                    </w:rPr>
                  </w:pPr>
                  <w:r>
                    <w:rPr>
                      <w:rFonts w:hint="eastAsia"/>
                      <w:b/>
                      <w:szCs w:val="21"/>
                    </w:rPr>
                    <w:t>排气筒底部海拔高度</w:t>
                  </w:r>
                  <w:r>
                    <w:rPr>
                      <w:b/>
                      <w:szCs w:val="21"/>
                    </w:rPr>
                    <w:t>/m</w:t>
                  </w:r>
                </w:p>
              </w:tc>
              <w:tc>
                <w:tcPr>
                  <w:tcW w:w="333" w:type="pct"/>
                  <w:vMerge w:val="restart"/>
                  <w:tcMar>
                    <w:left w:w="57" w:type="dxa"/>
                    <w:right w:w="57" w:type="dxa"/>
                  </w:tcMar>
                  <w:vAlign w:val="center"/>
                </w:tcPr>
                <w:p>
                  <w:pPr>
                    <w:pStyle w:val="8"/>
                    <w:adjustRightInd w:val="0"/>
                    <w:ind w:firstLine="0" w:firstLineChars="0"/>
                    <w:jc w:val="center"/>
                    <w:rPr>
                      <w:b/>
                      <w:szCs w:val="21"/>
                    </w:rPr>
                  </w:pPr>
                  <w:r>
                    <w:rPr>
                      <w:b/>
                      <w:szCs w:val="21"/>
                    </w:rPr>
                    <w:t>排气量</w:t>
                  </w:r>
                </w:p>
                <w:p>
                  <w:pPr>
                    <w:pStyle w:val="8"/>
                    <w:adjustRightInd w:val="0"/>
                    <w:ind w:firstLine="0" w:firstLineChars="0"/>
                    <w:jc w:val="center"/>
                    <w:rPr>
                      <w:b/>
                      <w:szCs w:val="21"/>
                    </w:rPr>
                  </w:pPr>
                  <w:r>
                    <w:rPr>
                      <w:b/>
                      <w:szCs w:val="21"/>
                    </w:rPr>
                    <w:t>(m</w:t>
                  </w:r>
                  <w:r>
                    <w:rPr>
                      <w:b/>
                      <w:szCs w:val="21"/>
                      <w:vertAlign w:val="superscript"/>
                    </w:rPr>
                    <w:t>3</w:t>
                  </w:r>
                  <w:r>
                    <w:rPr>
                      <w:b/>
                      <w:szCs w:val="21"/>
                    </w:rPr>
                    <w:t>/h)</w:t>
                  </w:r>
                </w:p>
              </w:tc>
              <w:tc>
                <w:tcPr>
                  <w:tcW w:w="477" w:type="pct"/>
                  <w:vMerge w:val="restart"/>
                  <w:tcMar>
                    <w:left w:w="57" w:type="dxa"/>
                    <w:right w:w="57" w:type="dxa"/>
                  </w:tcMar>
                  <w:vAlign w:val="center"/>
                </w:tcPr>
                <w:p>
                  <w:pPr>
                    <w:pStyle w:val="8"/>
                    <w:adjustRightInd w:val="0"/>
                    <w:ind w:firstLine="0" w:firstLineChars="0"/>
                    <w:jc w:val="center"/>
                    <w:rPr>
                      <w:b/>
                      <w:szCs w:val="21"/>
                    </w:rPr>
                  </w:pPr>
                  <w:r>
                    <w:rPr>
                      <w:b/>
                      <w:szCs w:val="21"/>
                    </w:rPr>
                    <w:t>排放高</w:t>
                  </w:r>
                  <w:r>
                    <w:rPr>
                      <w:rFonts w:hint="eastAsia"/>
                      <w:b/>
                      <w:szCs w:val="21"/>
                    </w:rPr>
                    <w:t>度</w:t>
                  </w:r>
                  <w:r>
                    <w:rPr>
                      <w:b/>
                      <w:szCs w:val="21"/>
                    </w:rPr>
                    <w:t>（m）</w:t>
                  </w:r>
                </w:p>
              </w:tc>
              <w:tc>
                <w:tcPr>
                  <w:tcW w:w="381" w:type="pct"/>
                  <w:vMerge w:val="restart"/>
                  <w:tcMar>
                    <w:left w:w="57" w:type="dxa"/>
                    <w:right w:w="57" w:type="dxa"/>
                  </w:tcMar>
                  <w:vAlign w:val="center"/>
                </w:tcPr>
                <w:p>
                  <w:pPr>
                    <w:pStyle w:val="8"/>
                    <w:adjustRightInd w:val="0"/>
                    <w:ind w:firstLine="0" w:firstLineChars="0"/>
                    <w:jc w:val="center"/>
                    <w:rPr>
                      <w:b/>
                      <w:szCs w:val="21"/>
                    </w:rPr>
                  </w:pPr>
                  <w:r>
                    <w:rPr>
                      <w:b/>
                      <w:szCs w:val="21"/>
                    </w:rPr>
                    <w:t>出口内径(m)</w:t>
                  </w:r>
                </w:p>
              </w:tc>
              <w:tc>
                <w:tcPr>
                  <w:tcW w:w="438" w:type="pct"/>
                  <w:vMerge w:val="restart"/>
                  <w:tcMar>
                    <w:left w:w="57" w:type="dxa"/>
                    <w:right w:w="57" w:type="dxa"/>
                  </w:tcMar>
                  <w:vAlign w:val="center"/>
                </w:tcPr>
                <w:p>
                  <w:pPr>
                    <w:pStyle w:val="8"/>
                    <w:adjustRightInd w:val="0"/>
                    <w:ind w:firstLine="0" w:firstLineChars="0"/>
                    <w:jc w:val="center"/>
                    <w:rPr>
                      <w:b/>
                      <w:szCs w:val="21"/>
                    </w:rPr>
                  </w:pPr>
                  <w:r>
                    <w:rPr>
                      <w:b/>
                      <w:szCs w:val="21"/>
                    </w:rPr>
                    <w:t>烟气出口温度(℃)</w:t>
                  </w:r>
                </w:p>
              </w:tc>
              <w:tc>
                <w:tcPr>
                  <w:tcW w:w="876" w:type="pct"/>
                  <w:gridSpan w:val="2"/>
                  <w:vMerge w:val="restart"/>
                  <w:tcMar>
                    <w:left w:w="57" w:type="dxa"/>
                    <w:right w:w="57" w:type="dxa"/>
                  </w:tcMar>
                  <w:vAlign w:val="center"/>
                </w:tcPr>
                <w:p>
                  <w:pPr>
                    <w:pStyle w:val="8"/>
                    <w:adjustRightInd w:val="0"/>
                    <w:ind w:firstLine="0" w:firstLineChars="0"/>
                    <w:jc w:val="center"/>
                    <w:rPr>
                      <w:b/>
                      <w:szCs w:val="21"/>
                    </w:rPr>
                  </w:pPr>
                  <w:r>
                    <w:rPr>
                      <w:b/>
                      <w:szCs w:val="21"/>
                    </w:rPr>
                    <w:t>排放速率</w:t>
                  </w:r>
                </w:p>
                <w:p>
                  <w:pPr>
                    <w:pStyle w:val="8"/>
                    <w:adjustRightInd w:val="0"/>
                    <w:ind w:firstLine="0" w:firstLineChars="0"/>
                    <w:jc w:val="center"/>
                    <w:rPr>
                      <w:b/>
                      <w:szCs w:val="21"/>
                    </w:rPr>
                  </w:pPr>
                  <w:r>
                    <w:rPr>
                      <w:b/>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63" w:type="pct"/>
                  <w:vMerge w:val="continue"/>
                  <w:tcMar>
                    <w:left w:w="57" w:type="dxa"/>
                    <w:right w:w="57" w:type="dxa"/>
                  </w:tcMar>
                  <w:vAlign w:val="center"/>
                </w:tcPr>
                <w:p>
                  <w:pPr>
                    <w:pStyle w:val="8"/>
                    <w:adjustRightInd w:val="0"/>
                    <w:ind w:firstLine="0" w:firstLineChars="0"/>
                    <w:jc w:val="center"/>
                  </w:pPr>
                </w:p>
              </w:tc>
              <w:tc>
                <w:tcPr>
                  <w:tcW w:w="616" w:type="pct"/>
                  <w:vMerge w:val="continue"/>
                  <w:tcMar>
                    <w:left w:w="57" w:type="dxa"/>
                    <w:right w:w="57" w:type="dxa"/>
                  </w:tcMar>
                  <w:vAlign w:val="center"/>
                </w:tcPr>
                <w:p>
                  <w:pPr>
                    <w:pStyle w:val="8"/>
                    <w:adjustRightInd w:val="0"/>
                    <w:ind w:firstLine="0" w:firstLineChars="0"/>
                    <w:jc w:val="center"/>
                  </w:pPr>
                </w:p>
              </w:tc>
              <w:tc>
                <w:tcPr>
                  <w:tcW w:w="532" w:type="pct"/>
                  <w:tcMar>
                    <w:left w:w="57" w:type="dxa"/>
                    <w:right w:w="57" w:type="dxa"/>
                  </w:tcMar>
                  <w:vAlign w:val="center"/>
                </w:tcPr>
                <w:p>
                  <w:pPr>
                    <w:adjustRightInd w:val="0"/>
                    <w:jc w:val="center"/>
                  </w:pPr>
                  <w:r>
                    <w:rPr>
                      <w:b/>
                      <w:szCs w:val="21"/>
                      <w:lang w:bidi="ar"/>
                    </w:rPr>
                    <w:t>经度</w:t>
                  </w:r>
                </w:p>
              </w:tc>
              <w:tc>
                <w:tcPr>
                  <w:tcW w:w="497" w:type="pct"/>
                  <w:tcMar>
                    <w:left w:w="57" w:type="dxa"/>
                    <w:right w:w="57" w:type="dxa"/>
                  </w:tcMar>
                  <w:vAlign w:val="center"/>
                </w:tcPr>
                <w:p>
                  <w:pPr>
                    <w:adjustRightInd w:val="0"/>
                    <w:jc w:val="center"/>
                    <w:rPr>
                      <w:b/>
                      <w:szCs w:val="21"/>
                    </w:rPr>
                  </w:pPr>
                  <w:r>
                    <w:rPr>
                      <w:b/>
                      <w:szCs w:val="21"/>
                      <w:lang w:bidi="ar"/>
                    </w:rPr>
                    <w:t>维度</w:t>
                  </w:r>
                </w:p>
              </w:tc>
              <w:tc>
                <w:tcPr>
                  <w:tcW w:w="381" w:type="pct"/>
                  <w:vMerge w:val="continue"/>
                  <w:tcMar>
                    <w:left w:w="57" w:type="dxa"/>
                    <w:right w:w="57" w:type="dxa"/>
                  </w:tcMar>
                  <w:vAlign w:val="center"/>
                </w:tcPr>
                <w:p>
                  <w:pPr>
                    <w:pStyle w:val="8"/>
                    <w:adjustRightInd w:val="0"/>
                    <w:ind w:firstLine="0" w:firstLineChars="0"/>
                    <w:jc w:val="center"/>
                    <w:rPr>
                      <w:b/>
                      <w:szCs w:val="21"/>
                    </w:rPr>
                  </w:pPr>
                </w:p>
              </w:tc>
              <w:tc>
                <w:tcPr>
                  <w:tcW w:w="333" w:type="pct"/>
                  <w:vMerge w:val="continue"/>
                  <w:tcMar>
                    <w:left w:w="57" w:type="dxa"/>
                    <w:right w:w="57" w:type="dxa"/>
                  </w:tcMar>
                  <w:vAlign w:val="center"/>
                </w:tcPr>
                <w:p>
                  <w:pPr>
                    <w:pStyle w:val="8"/>
                    <w:adjustRightInd w:val="0"/>
                    <w:ind w:firstLine="0" w:firstLineChars="0"/>
                    <w:jc w:val="center"/>
                    <w:rPr>
                      <w:b/>
                      <w:szCs w:val="21"/>
                    </w:rPr>
                  </w:pPr>
                </w:p>
              </w:tc>
              <w:tc>
                <w:tcPr>
                  <w:tcW w:w="477" w:type="pct"/>
                  <w:vMerge w:val="continue"/>
                  <w:tcMar>
                    <w:left w:w="57" w:type="dxa"/>
                    <w:right w:w="57" w:type="dxa"/>
                  </w:tcMar>
                  <w:vAlign w:val="center"/>
                </w:tcPr>
                <w:p>
                  <w:pPr>
                    <w:pStyle w:val="8"/>
                    <w:adjustRightInd w:val="0"/>
                    <w:ind w:firstLine="0" w:firstLineChars="0"/>
                    <w:jc w:val="center"/>
                    <w:rPr>
                      <w:b/>
                      <w:szCs w:val="21"/>
                    </w:rPr>
                  </w:pPr>
                </w:p>
              </w:tc>
              <w:tc>
                <w:tcPr>
                  <w:tcW w:w="381" w:type="pct"/>
                  <w:vMerge w:val="continue"/>
                  <w:tcMar>
                    <w:left w:w="57" w:type="dxa"/>
                    <w:right w:w="57" w:type="dxa"/>
                  </w:tcMar>
                  <w:vAlign w:val="center"/>
                </w:tcPr>
                <w:p>
                  <w:pPr>
                    <w:pStyle w:val="8"/>
                    <w:adjustRightInd w:val="0"/>
                    <w:ind w:firstLine="0" w:firstLineChars="0"/>
                    <w:jc w:val="center"/>
                    <w:rPr>
                      <w:b/>
                      <w:szCs w:val="21"/>
                    </w:rPr>
                  </w:pPr>
                </w:p>
              </w:tc>
              <w:tc>
                <w:tcPr>
                  <w:tcW w:w="438" w:type="pct"/>
                  <w:vMerge w:val="continue"/>
                  <w:tcMar>
                    <w:left w:w="57" w:type="dxa"/>
                    <w:right w:w="57" w:type="dxa"/>
                  </w:tcMar>
                  <w:vAlign w:val="center"/>
                </w:tcPr>
                <w:p>
                  <w:pPr>
                    <w:pStyle w:val="8"/>
                    <w:adjustRightInd w:val="0"/>
                    <w:ind w:firstLine="0" w:firstLineChars="0"/>
                    <w:jc w:val="center"/>
                    <w:rPr>
                      <w:b/>
                      <w:szCs w:val="21"/>
                    </w:rPr>
                  </w:pPr>
                </w:p>
              </w:tc>
              <w:tc>
                <w:tcPr>
                  <w:tcW w:w="876" w:type="pct"/>
                  <w:gridSpan w:val="2"/>
                  <w:vMerge w:val="continue"/>
                  <w:tcMar>
                    <w:left w:w="57" w:type="dxa"/>
                    <w:right w:w="57" w:type="dxa"/>
                  </w:tcMar>
                  <w:vAlign w:val="center"/>
                </w:tcPr>
                <w:p>
                  <w:pPr>
                    <w:pStyle w:val="8"/>
                    <w:adjustRightInd w:val="0"/>
                    <w:ind w:firstLine="0" w:firstLineChars="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463" w:type="pct"/>
                  <w:tcMar>
                    <w:left w:w="57" w:type="dxa"/>
                    <w:right w:w="57" w:type="dxa"/>
                  </w:tcMar>
                  <w:vAlign w:val="center"/>
                </w:tcPr>
                <w:p>
                  <w:pPr>
                    <w:jc w:val="center"/>
                    <w:rPr>
                      <w:szCs w:val="21"/>
                    </w:rPr>
                  </w:pPr>
                  <w:r>
                    <w:rPr>
                      <w:rFonts w:hint="eastAsia"/>
                      <w:szCs w:val="21"/>
                    </w:rPr>
                    <w:t>DA001</w:t>
                  </w:r>
                </w:p>
              </w:tc>
              <w:tc>
                <w:tcPr>
                  <w:tcW w:w="616" w:type="pct"/>
                  <w:tcMar>
                    <w:left w:w="57" w:type="dxa"/>
                    <w:right w:w="57" w:type="dxa"/>
                  </w:tcMar>
                  <w:vAlign w:val="center"/>
                </w:tcPr>
                <w:p>
                  <w:pPr>
                    <w:jc w:val="center"/>
                    <w:rPr>
                      <w:szCs w:val="21"/>
                    </w:rPr>
                  </w:pPr>
                  <w:r>
                    <w:rPr>
                      <w:rFonts w:hint="eastAsia"/>
                      <w:szCs w:val="21"/>
                    </w:rPr>
                    <w:t>5t/h锅炉废气排放口</w:t>
                  </w:r>
                </w:p>
              </w:tc>
              <w:tc>
                <w:tcPr>
                  <w:tcW w:w="532" w:type="pct"/>
                  <w:tcMar>
                    <w:left w:w="57" w:type="dxa"/>
                    <w:right w:w="57" w:type="dxa"/>
                  </w:tcMar>
                  <w:vAlign w:val="center"/>
                </w:tcPr>
                <w:p>
                  <w:pPr>
                    <w:adjustRightInd w:val="0"/>
                    <w:jc w:val="center"/>
                    <w:rPr>
                      <w:szCs w:val="21"/>
                    </w:rPr>
                  </w:pPr>
                  <w:r>
                    <w:rPr>
                      <w:szCs w:val="21"/>
                    </w:rPr>
                    <w:t>103°</w:t>
                  </w:r>
                  <w:r>
                    <w:rPr>
                      <w:rFonts w:hint="eastAsia"/>
                      <w:szCs w:val="21"/>
                    </w:rPr>
                    <w:t>09</w:t>
                  </w:r>
                  <w:r>
                    <w:rPr>
                      <w:szCs w:val="21"/>
                    </w:rPr>
                    <w:t>′</w:t>
                  </w:r>
                  <w:r>
                    <w:rPr>
                      <w:rFonts w:hint="eastAsia"/>
                      <w:szCs w:val="21"/>
                    </w:rPr>
                    <w:t>19.367</w:t>
                  </w:r>
                  <w:r>
                    <w:rPr>
                      <w:szCs w:val="21"/>
                    </w:rPr>
                    <w:t>ʺ</w:t>
                  </w:r>
                </w:p>
              </w:tc>
              <w:tc>
                <w:tcPr>
                  <w:tcW w:w="497" w:type="pct"/>
                  <w:tcMar>
                    <w:left w:w="57" w:type="dxa"/>
                    <w:right w:w="57" w:type="dxa"/>
                  </w:tcMar>
                  <w:vAlign w:val="center"/>
                </w:tcPr>
                <w:p>
                  <w:pPr>
                    <w:adjustRightInd w:val="0"/>
                    <w:jc w:val="center"/>
                    <w:rPr>
                      <w:szCs w:val="21"/>
                    </w:rPr>
                  </w:pPr>
                  <w:r>
                    <w:rPr>
                      <w:szCs w:val="21"/>
                    </w:rPr>
                    <w:t>25°</w:t>
                  </w:r>
                  <w:r>
                    <w:rPr>
                      <w:rFonts w:hint="eastAsia"/>
                      <w:szCs w:val="21"/>
                    </w:rPr>
                    <w:t>27</w:t>
                  </w:r>
                  <w:r>
                    <w:rPr>
                      <w:szCs w:val="21"/>
                    </w:rPr>
                    <w:t>′5</w:t>
                  </w:r>
                  <w:r>
                    <w:rPr>
                      <w:rFonts w:hint="eastAsia"/>
                      <w:szCs w:val="21"/>
                    </w:rPr>
                    <w:t>0.229</w:t>
                  </w:r>
                  <w:r>
                    <w:rPr>
                      <w:szCs w:val="21"/>
                    </w:rPr>
                    <w:t>ʺ</w:t>
                  </w:r>
                </w:p>
              </w:tc>
              <w:tc>
                <w:tcPr>
                  <w:tcW w:w="381" w:type="pct"/>
                  <w:tcMar>
                    <w:left w:w="57" w:type="dxa"/>
                    <w:right w:w="57" w:type="dxa"/>
                  </w:tcMar>
                  <w:vAlign w:val="center"/>
                </w:tcPr>
                <w:p>
                  <w:pPr>
                    <w:pStyle w:val="8"/>
                    <w:adjustRightInd w:val="0"/>
                    <w:ind w:firstLine="0" w:firstLineChars="0"/>
                    <w:jc w:val="center"/>
                    <w:rPr>
                      <w:szCs w:val="21"/>
                    </w:rPr>
                  </w:pPr>
                  <w:r>
                    <w:rPr>
                      <w:rFonts w:hint="eastAsia"/>
                      <w:szCs w:val="21"/>
                    </w:rPr>
                    <w:t>1979</w:t>
                  </w:r>
                </w:p>
              </w:tc>
              <w:tc>
                <w:tcPr>
                  <w:tcW w:w="333" w:type="pct"/>
                  <w:tcMar>
                    <w:left w:w="57" w:type="dxa"/>
                    <w:right w:w="57" w:type="dxa"/>
                  </w:tcMar>
                  <w:vAlign w:val="center"/>
                </w:tcPr>
                <w:p>
                  <w:pPr>
                    <w:pStyle w:val="8"/>
                    <w:adjustRightInd w:val="0"/>
                    <w:ind w:firstLine="0" w:firstLineChars="0"/>
                    <w:jc w:val="center"/>
                    <w:rPr>
                      <w:szCs w:val="21"/>
                    </w:rPr>
                  </w:pPr>
                  <w:r>
                    <w:rPr>
                      <w:szCs w:val="21"/>
                    </w:rPr>
                    <w:t>11986</w:t>
                  </w:r>
                </w:p>
              </w:tc>
              <w:tc>
                <w:tcPr>
                  <w:tcW w:w="477" w:type="pct"/>
                  <w:tcMar>
                    <w:left w:w="57" w:type="dxa"/>
                    <w:right w:w="57" w:type="dxa"/>
                  </w:tcMar>
                  <w:vAlign w:val="center"/>
                </w:tcPr>
                <w:p>
                  <w:pPr>
                    <w:pStyle w:val="8"/>
                    <w:adjustRightInd w:val="0"/>
                    <w:ind w:firstLine="0" w:firstLineChars="0"/>
                    <w:jc w:val="center"/>
                    <w:rPr>
                      <w:szCs w:val="21"/>
                    </w:rPr>
                  </w:pPr>
                  <w:r>
                    <w:rPr>
                      <w:rFonts w:hint="eastAsia"/>
                      <w:szCs w:val="21"/>
                    </w:rPr>
                    <w:t>35</w:t>
                  </w:r>
                </w:p>
              </w:tc>
              <w:tc>
                <w:tcPr>
                  <w:tcW w:w="381" w:type="pct"/>
                  <w:tcMar>
                    <w:left w:w="57" w:type="dxa"/>
                    <w:right w:w="57" w:type="dxa"/>
                  </w:tcMar>
                  <w:vAlign w:val="center"/>
                </w:tcPr>
                <w:p>
                  <w:pPr>
                    <w:adjustRightInd w:val="0"/>
                    <w:jc w:val="center"/>
                    <w:rPr>
                      <w:szCs w:val="21"/>
                    </w:rPr>
                  </w:pPr>
                  <w:r>
                    <w:rPr>
                      <w:rFonts w:hint="eastAsia"/>
                      <w:szCs w:val="21"/>
                    </w:rPr>
                    <w:t>0</w:t>
                  </w:r>
                  <w:r>
                    <w:rPr>
                      <w:szCs w:val="21"/>
                    </w:rPr>
                    <w:t>.65</w:t>
                  </w:r>
                </w:p>
              </w:tc>
              <w:tc>
                <w:tcPr>
                  <w:tcW w:w="438" w:type="pct"/>
                  <w:tcMar>
                    <w:left w:w="57" w:type="dxa"/>
                    <w:right w:w="57" w:type="dxa"/>
                  </w:tcMar>
                  <w:vAlign w:val="center"/>
                </w:tcPr>
                <w:p>
                  <w:pPr>
                    <w:adjustRightInd w:val="0"/>
                    <w:jc w:val="center"/>
                    <w:rPr>
                      <w:szCs w:val="21"/>
                    </w:rPr>
                  </w:pPr>
                  <w:r>
                    <w:rPr>
                      <w:szCs w:val="21"/>
                    </w:rPr>
                    <w:t>56.7</w:t>
                  </w:r>
                </w:p>
              </w:tc>
              <w:tc>
                <w:tcPr>
                  <w:tcW w:w="360" w:type="pct"/>
                  <w:tcMar>
                    <w:left w:w="57" w:type="dxa"/>
                    <w:right w:w="57" w:type="dxa"/>
                  </w:tcMar>
                  <w:vAlign w:val="center"/>
                </w:tcPr>
                <w:p>
                  <w:pPr>
                    <w:adjustRightInd w:val="0"/>
                    <w:jc w:val="center"/>
                    <w:rPr>
                      <w:szCs w:val="21"/>
                    </w:rPr>
                  </w:pPr>
                  <w:r>
                    <w:rPr>
                      <w:rFonts w:hint="eastAsia"/>
                      <w:szCs w:val="21"/>
                    </w:rPr>
                    <w:t>颗粒物</w:t>
                  </w:r>
                </w:p>
              </w:tc>
              <w:tc>
                <w:tcPr>
                  <w:tcW w:w="516" w:type="pct"/>
                  <w:vAlign w:val="center"/>
                </w:tcPr>
                <w:p>
                  <w:pPr>
                    <w:adjustRightInd w:val="0"/>
                    <w:jc w:val="center"/>
                    <w:rPr>
                      <w:szCs w:val="21"/>
                    </w:rPr>
                  </w:pPr>
                  <w:r>
                    <w:rPr>
                      <w:rFonts w:hint="eastAsia"/>
                      <w:szCs w:val="21"/>
                    </w:rPr>
                    <w:t>1.4</w:t>
                  </w:r>
                </w:p>
              </w:tc>
            </w:tr>
          </w:tbl>
          <w:p>
            <w:pPr>
              <w:adjustRightInd w:val="0"/>
              <w:spacing w:before="120" w:beforeLines="50" w:line="360" w:lineRule="auto"/>
              <w:ind w:firstLine="482" w:firstLineChars="200"/>
              <w:rPr>
                <w:b/>
                <w:bCs/>
                <w:sz w:val="24"/>
                <w:szCs w:val="21"/>
              </w:rPr>
            </w:pPr>
            <w:r>
              <w:rPr>
                <w:rFonts w:hint="eastAsia"/>
                <w:b/>
                <w:bCs/>
                <w:sz w:val="24"/>
                <w:szCs w:val="21"/>
              </w:rPr>
              <w:t>④评价因子及评价标准</w:t>
            </w:r>
          </w:p>
          <w:p>
            <w:pPr>
              <w:widowControl/>
              <w:adjustRightInd w:val="0"/>
              <w:spacing w:before="120" w:beforeLines="50"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 xml:space="preserve">4-8 </w:t>
            </w:r>
            <w:r>
              <w:rPr>
                <w:rFonts w:cs="宋体"/>
                <w:b/>
                <w:bCs/>
                <w:kern w:val="0"/>
                <w:sz w:val="24"/>
                <w:szCs w:val="20"/>
                <w:lang w:bidi="ar"/>
              </w:rPr>
              <w:t xml:space="preserve"> </w:t>
            </w:r>
            <w:r>
              <w:rPr>
                <w:rFonts w:hint="eastAsia" w:cs="宋体"/>
                <w:b/>
                <w:bCs/>
                <w:kern w:val="0"/>
                <w:sz w:val="24"/>
                <w:szCs w:val="20"/>
                <w:lang w:bidi="ar"/>
              </w:rPr>
              <w:t>评价因子及</w:t>
            </w:r>
            <w:r>
              <w:rPr>
                <w:rFonts w:cs="宋体"/>
                <w:b/>
                <w:bCs/>
                <w:kern w:val="0"/>
                <w:sz w:val="24"/>
                <w:szCs w:val="20"/>
                <w:lang w:bidi="ar"/>
              </w:rPr>
              <w:t>评价标准</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064"/>
              <w:gridCol w:w="1944"/>
              <w:gridCol w:w="3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rFonts w:hint="eastAsia"/>
                      <w:b/>
                      <w:bCs/>
                      <w:szCs w:val="21"/>
                    </w:rPr>
                    <w:t>评价因子</w:t>
                  </w:r>
                </w:p>
              </w:tc>
              <w:tc>
                <w:tcPr>
                  <w:tcW w:w="649" w:type="pct"/>
                  <w:tcBorders>
                    <w:top w:val="single" w:color="auto" w:sz="4" w:space="0"/>
                    <w:left w:val="nil"/>
                    <w:bottom w:val="single" w:color="auto" w:sz="4" w:space="0"/>
                    <w:right w:val="single" w:color="auto" w:sz="4" w:space="0"/>
                  </w:tcBorders>
                  <w:vAlign w:val="center"/>
                </w:tcPr>
                <w:p>
                  <w:pPr>
                    <w:jc w:val="center"/>
                    <w:rPr>
                      <w:b/>
                      <w:bCs/>
                      <w:szCs w:val="21"/>
                    </w:rPr>
                  </w:pPr>
                  <w:r>
                    <w:rPr>
                      <w:b/>
                      <w:bCs/>
                      <w:szCs w:val="21"/>
                    </w:rPr>
                    <w:t>取值时间</w:t>
                  </w:r>
                </w:p>
              </w:tc>
              <w:tc>
                <w:tcPr>
                  <w:tcW w:w="1186" w:type="pct"/>
                  <w:tcBorders>
                    <w:top w:val="single" w:color="auto" w:sz="4" w:space="0"/>
                    <w:left w:val="nil"/>
                    <w:bottom w:val="single" w:color="auto" w:sz="4" w:space="0"/>
                    <w:right w:val="single" w:color="auto" w:sz="4" w:space="0"/>
                  </w:tcBorders>
                  <w:vAlign w:val="center"/>
                </w:tcPr>
                <w:p>
                  <w:pPr>
                    <w:jc w:val="center"/>
                    <w:rPr>
                      <w:b/>
                      <w:bCs/>
                      <w:szCs w:val="21"/>
                    </w:rPr>
                  </w:pPr>
                  <w:r>
                    <w:rPr>
                      <w:b/>
                      <w:bCs/>
                      <w:szCs w:val="21"/>
                    </w:rPr>
                    <w:t>标准值（μg/m</w:t>
                  </w:r>
                  <w:r>
                    <w:rPr>
                      <w:b/>
                      <w:bCs/>
                      <w:szCs w:val="21"/>
                      <w:vertAlign w:val="superscript"/>
                    </w:rPr>
                    <w:t>3</w:t>
                  </w:r>
                  <w:r>
                    <w:rPr>
                      <w:b/>
                      <w:bCs/>
                      <w:szCs w:val="21"/>
                    </w:rPr>
                    <w:t>）</w:t>
                  </w:r>
                </w:p>
              </w:tc>
              <w:tc>
                <w:tcPr>
                  <w:tcW w:w="2092" w:type="pct"/>
                  <w:tcBorders>
                    <w:top w:val="single" w:color="auto" w:sz="4" w:space="0"/>
                    <w:left w:val="nil"/>
                    <w:bottom w:val="single" w:color="auto" w:sz="4" w:space="0"/>
                    <w:right w:val="single" w:color="auto" w:sz="4" w:space="0"/>
                  </w:tcBorders>
                  <w:vAlign w:val="center"/>
                </w:tcPr>
                <w:p>
                  <w:pPr>
                    <w:jc w:val="center"/>
                    <w:rPr>
                      <w:b/>
                      <w:bCs/>
                      <w:szCs w:val="21"/>
                    </w:rPr>
                  </w:pPr>
                  <w:r>
                    <w:rPr>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PM</w:t>
                  </w:r>
                  <w:r>
                    <w:rPr>
                      <w:rFonts w:hint="eastAsia"/>
                      <w:szCs w:val="21"/>
                      <w:vertAlign w:val="subscript"/>
                    </w:rPr>
                    <w:t>10</w:t>
                  </w:r>
                  <w:r>
                    <w:rPr>
                      <w:rFonts w:hint="eastAsia"/>
                      <w:szCs w:val="21"/>
                      <w:vertAlign w:val="superscript"/>
                    </w:rPr>
                    <w:t>①</w:t>
                  </w:r>
                </w:p>
              </w:tc>
              <w:tc>
                <w:tcPr>
                  <w:tcW w:w="649" w:type="pct"/>
                  <w:tcBorders>
                    <w:top w:val="single" w:color="auto" w:sz="4" w:space="0"/>
                    <w:left w:val="nil"/>
                    <w:bottom w:val="single" w:color="auto" w:sz="4" w:space="0"/>
                    <w:right w:val="single" w:color="auto" w:sz="4" w:space="0"/>
                  </w:tcBorders>
                  <w:vAlign w:val="center"/>
                </w:tcPr>
                <w:p>
                  <w:pPr>
                    <w:jc w:val="center"/>
                    <w:rPr>
                      <w:szCs w:val="21"/>
                    </w:rPr>
                  </w:pPr>
                  <w:r>
                    <w:rPr>
                      <w:szCs w:val="21"/>
                    </w:rPr>
                    <w:t>1h平均</w:t>
                  </w:r>
                </w:p>
              </w:tc>
              <w:tc>
                <w:tcPr>
                  <w:tcW w:w="1186"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450</w:t>
                  </w:r>
                </w:p>
              </w:tc>
              <w:tc>
                <w:tcPr>
                  <w:tcW w:w="2092" w:type="pct"/>
                  <w:vMerge w:val="restart"/>
                  <w:tcBorders>
                    <w:top w:val="nil"/>
                    <w:left w:val="nil"/>
                    <w:right w:val="single" w:color="auto" w:sz="4" w:space="0"/>
                  </w:tcBorders>
                  <w:vAlign w:val="center"/>
                </w:tcPr>
                <w:p>
                  <w:pPr>
                    <w:jc w:val="center"/>
                    <w:rPr>
                      <w:szCs w:val="21"/>
                    </w:rPr>
                  </w:pPr>
                  <w:r>
                    <w:rPr>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SO</w:t>
                  </w:r>
                  <w:r>
                    <w:rPr>
                      <w:rFonts w:hint="eastAsia"/>
                      <w:szCs w:val="21"/>
                      <w:vertAlign w:val="subscript"/>
                    </w:rPr>
                    <w:t>2</w:t>
                  </w:r>
                </w:p>
              </w:tc>
              <w:tc>
                <w:tcPr>
                  <w:tcW w:w="649" w:type="pct"/>
                  <w:tcBorders>
                    <w:top w:val="single" w:color="auto" w:sz="4" w:space="0"/>
                    <w:left w:val="nil"/>
                    <w:bottom w:val="single" w:color="auto" w:sz="4" w:space="0"/>
                    <w:right w:val="single" w:color="auto" w:sz="4" w:space="0"/>
                  </w:tcBorders>
                  <w:vAlign w:val="center"/>
                </w:tcPr>
                <w:p>
                  <w:pPr>
                    <w:jc w:val="center"/>
                    <w:rPr>
                      <w:szCs w:val="21"/>
                    </w:rPr>
                  </w:pPr>
                  <w:r>
                    <w:rPr>
                      <w:szCs w:val="21"/>
                    </w:rPr>
                    <w:t>1h平均</w:t>
                  </w:r>
                </w:p>
              </w:tc>
              <w:tc>
                <w:tcPr>
                  <w:tcW w:w="1186"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500</w:t>
                  </w:r>
                </w:p>
              </w:tc>
              <w:tc>
                <w:tcPr>
                  <w:tcW w:w="2092" w:type="pct"/>
                  <w:vMerge w:val="continue"/>
                  <w:tcBorders>
                    <w:left w:val="nil"/>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NO</w:t>
                  </w:r>
                  <w:r>
                    <w:rPr>
                      <w:rFonts w:hint="eastAsia"/>
                      <w:szCs w:val="21"/>
                      <w:vertAlign w:val="subscript"/>
                    </w:rPr>
                    <w:t>X</w:t>
                  </w:r>
                </w:p>
              </w:tc>
              <w:tc>
                <w:tcPr>
                  <w:tcW w:w="649" w:type="pct"/>
                  <w:tcBorders>
                    <w:top w:val="single" w:color="auto" w:sz="4" w:space="0"/>
                    <w:left w:val="nil"/>
                    <w:bottom w:val="single" w:color="auto" w:sz="4" w:space="0"/>
                    <w:right w:val="single" w:color="auto" w:sz="4" w:space="0"/>
                  </w:tcBorders>
                  <w:vAlign w:val="center"/>
                </w:tcPr>
                <w:p>
                  <w:pPr>
                    <w:jc w:val="center"/>
                    <w:rPr>
                      <w:szCs w:val="21"/>
                    </w:rPr>
                  </w:pPr>
                  <w:r>
                    <w:rPr>
                      <w:szCs w:val="21"/>
                    </w:rPr>
                    <w:t>1h平均</w:t>
                  </w:r>
                </w:p>
              </w:tc>
              <w:tc>
                <w:tcPr>
                  <w:tcW w:w="1186" w:type="pc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250</w:t>
                  </w:r>
                </w:p>
              </w:tc>
              <w:tc>
                <w:tcPr>
                  <w:tcW w:w="2092" w:type="pct"/>
                  <w:vMerge w:val="continue"/>
                  <w:tcBorders>
                    <w:left w:val="nil"/>
                    <w:bottom w:val="single" w:color="auto" w:sz="4" w:space="0"/>
                    <w:right w:val="single" w:color="auto" w:sz="4"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widowControl/>
                    <w:rPr>
                      <w:szCs w:val="21"/>
                    </w:rPr>
                  </w:pPr>
                  <w:r>
                    <w:rPr>
                      <w:rFonts w:hint="eastAsia"/>
                      <w:szCs w:val="21"/>
                    </w:rPr>
                    <w:t>①PM</w:t>
                  </w:r>
                  <w:r>
                    <w:rPr>
                      <w:rFonts w:hint="eastAsia"/>
                      <w:szCs w:val="21"/>
                      <w:vertAlign w:val="subscript"/>
                    </w:rPr>
                    <w:t>10</w:t>
                  </w:r>
                  <w:r>
                    <w:rPr>
                      <w:rFonts w:hint="eastAsia"/>
                      <w:szCs w:val="21"/>
                    </w:rPr>
                    <w:t>的1小时平均浓度按24小时平均标准值的3倍进行换算；</w:t>
                  </w:r>
                </w:p>
              </w:tc>
            </w:tr>
          </w:tbl>
          <w:p>
            <w:pPr>
              <w:adjustRightInd w:val="0"/>
              <w:spacing w:before="120" w:beforeLines="50" w:line="360" w:lineRule="auto"/>
              <w:ind w:firstLine="482" w:firstLineChars="200"/>
              <w:rPr>
                <w:b/>
                <w:bCs/>
                <w:snapToGrid w:val="0"/>
                <w:kern w:val="0"/>
                <w:sz w:val="24"/>
                <w:szCs w:val="21"/>
              </w:rPr>
            </w:pPr>
            <w:r>
              <w:rPr>
                <w:rFonts w:hint="eastAsia"/>
                <w:b/>
                <w:bCs/>
                <w:snapToGrid w:val="0"/>
                <w:kern w:val="0"/>
                <w:sz w:val="24"/>
                <w:szCs w:val="21"/>
              </w:rPr>
              <w:t>⑤估算模式计算结果输出</w:t>
            </w:r>
          </w:p>
          <w:p>
            <w:pPr>
              <w:adjustRightInd w:val="0"/>
              <w:spacing w:line="360" w:lineRule="auto"/>
              <w:ind w:firstLine="480" w:firstLineChars="200"/>
              <w:rPr>
                <w:sz w:val="24"/>
                <w:szCs w:val="21"/>
              </w:rPr>
            </w:pPr>
            <w:r>
              <w:rPr>
                <w:sz w:val="24"/>
                <w:szCs w:val="21"/>
              </w:rPr>
              <w:t>采用估算模式，项目排放的污染物下风向</w:t>
            </w:r>
            <w:r>
              <w:rPr>
                <w:rFonts w:hint="eastAsia"/>
                <w:sz w:val="24"/>
                <w:szCs w:val="21"/>
              </w:rPr>
              <w:t>评价</w:t>
            </w:r>
            <w:r>
              <w:rPr>
                <w:sz w:val="24"/>
                <w:szCs w:val="21"/>
              </w:rPr>
              <w:t>范围内地面最大浓度值，结果列于表</w:t>
            </w:r>
            <w:r>
              <w:rPr>
                <w:rFonts w:hint="eastAsia"/>
                <w:sz w:val="24"/>
                <w:szCs w:val="21"/>
              </w:rPr>
              <w:t>4-9~表4-10。</w:t>
            </w:r>
          </w:p>
          <w:p>
            <w:pPr>
              <w:widowControl/>
              <w:adjustRightInd w:val="0"/>
              <w:spacing w:line="360" w:lineRule="auto"/>
              <w:ind w:firstLine="482" w:firstLineChars="200"/>
              <w:textAlignment w:val="center"/>
              <w:rPr>
                <w:b/>
                <w:sz w:val="24"/>
                <w:lang w:bidi="ar"/>
              </w:rPr>
            </w:pPr>
            <w:r>
              <w:rPr>
                <w:b/>
                <w:sz w:val="24"/>
                <w:lang w:bidi="ar"/>
              </w:rPr>
              <w:t>Ⅰ、正常工况：</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4-9</w:t>
            </w:r>
            <w:r>
              <w:rPr>
                <w:rFonts w:cs="宋体"/>
                <w:b/>
                <w:bCs/>
                <w:kern w:val="0"/>
                <w:sz w:val="24"/>
                <w:szCs w:val="20"/>
                <w:lang w:bidi="ar"/>
              </w:rPr>
              <w:t xml:space="preserve"> </w:t>
            </w:r>
            <w:r>
              <w:rPr>
                <w:rFonts w:hint="eastAsia" w:cs="宋体"/>
                <w:b/>
                <w:bCs/>
                <w:kern w:val="0"/>
                <w:sz w:val="24"/>
                <w:szCs w:val="20"/>
                <w:lang w:bidi="ar"/>
              </w:rPr>
              <w:t xml:space="preserve"> 本项目5t</w:t>
            </w:r>
            <w:r>
              <w:rPr>
                <w:rFonts w:cs="宋体"/>
                <w:b/>
                <w:bCs/>
                <w:kern w:val="0"/>
                <w:sz w:val="24"/>
                <w:szCs w:val="20"/>
                <w:lang w:bidi="ar"/>
              </w:rPr>
              <w:t>/h</w:t>
            </w:r>
            <w:r>
              <w:rPr>
                <w:rFonts w:hint="eastAsia" w:cs="宋体"/>
                <w:b/>
                <w:bCs/>
                <w:kern w:val="0"/>
                <w:sz w:val="24"/>
                <w:szCs w:val="20"/>
                <w:lang w:bidi="ar"/>
              </w:rPr>
              <w:t>锅炉</w:t>
            </w:r>
            <w:r>
              <w:rPr>
                <w:rFonts w:cs="宋体"/>
                <w:b/>
                <w:bCs/>
                <w:kern w:val="0"/>
                <w:sz w:val="24"/>
                <w:szCs w:val="20"/>
                <w:lang w:bidi="ar"/>
              </w:rPr>
              <w:t>有组织点源</w:t>
            </w:r>
            <w:r>
              <w:rPr>
                <w:rFonts w:hint="eastAsia" w:cs="宋体"/>
                <w:b/>
                <w:bCs/>
                <w:kern w:val="0"/>
                <w:sz w:val="24"/>
                <w:szCs w:val="20"/>
                <w:lang w:bidi="ar"/>
              </w:rPr>
              <w:t>（</w:t>
            </w:r>
            <w:r>
              <w:rPr>
                <w:rFonts w:cs="宋体"/>
                <w:b/>
                <w:bCs/>
                <w:kern w:val="0"/>
                <w:sz w:val="24"/>
                <w:szCs w:val="20"/>
                <w:lang w:bidi="ar"/>
              </w:rPr>
              <w:t>DA001</w:t>
            </w:r>
            <w:r>
              <w:rPr>
                <w:rFonts w:hint="eastAsia" w:cs="宋体"/>
                <w:b/>
                <w:bCs/>
                <w:kern w:val="0"/>
                <w:sz w:val="24"/>
                <w:szCs w:val="20"/>
                <w:lang w:bidi="ar"/>
              </w:rPr>
              <w:t>）</w:t>
            </w:r>
            <w:r>
              <w:rPr>
                <w:rFonts w:cs="宋体"/>
                <w:b/>
                <w:bCs/>
                <w:kern w:val="0"/>
                <w:sz w:val="24"/>
                <w:szCs w:val="20"/>
                <w:lang w:bidi="ar"/>
              </w:rPr>
              <w:t>估算模式计算结果</w:t>
            </w:r>
          </w:p>
          <w:tbl>
            <w:tblPr>
              <w:tblStyle w:val="32"/>
              <w:tblW w:w="8077" w:type="dxa"/>
              <w:jc w:val="center"/>
              <w:tblLayout w:type="fixed"/>
              <w:tblCellMar>
                <w:top w:w="0" w:type="dxa"/>
                <w:left w:w="0" w:type="dxa"/>
                <w:bottom w:w="0" w:type="dxa"/>
                <w:right w:w="0" w:type="dxa"/>
              </w:tblCellMar>
            </w:tblPr>
            <w:tblGrid>
              <w:gridCol w:w="867"/>
              <w:gridCol w:w="1337"/>
              <w:gridCol w:w="980"/>
              <w:gridCol w:w="1328"/>
              <w:gridCol w:w="1146"/>
              <w:gridCol w:w="1399"/>
              <w:gridCol w:w="1020"/>
            </w:tblGrid>
            <w:tr>
              <w:tblPrEx>
                <w:tblCellMar>
                  <w:top w:w="0" w:type="dxa"/>
                  <w:left w:w="0" w:type="dxa"/>
                  <w:bottom w:w="0" w:type="dxa"/>
                  <w:right w:w="0" w:type="dxa"/>
                </w:tblCellMar>
              </w:tblPrEx>
              <w:trPr>
                <w:trHeight w:val="302" w:hRule="atLeast"/>
                <w:jc w:val="center"/>
              </w:trPr>
              <w:tc>
                <w:tcPr>
                  <w:tcW w:w="867"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textAlignment w:val="center"/>
                    <w:rPr>
                      <w:b/>
                      <w:bCs/>
                      <w:kern w:val="0"/>
                      <w:szCs w:val="21"/>
                      <w:lang w:bidi="ar"/>
                    </w:rPr>
                  </w:pPr>
                  <w:r>
                    <w:rPr>
                      <w:b/>
                      <w:bCs/>
                      <w:kern w:val="0"/>
                      <w:szCs w:val="21"/>
                      <w:lang w:bidi="ar"/>
                    </w:rPr>
                    <w:t>距源中心下风向距离（m）</w:t>
                  </w:r>
                </w:p>
              </w:tc>
              <w:tc>
                <w:tcPr>
                  <w:tcW w:w="231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szCs w:val="21"/>
                      <w:lang w:bidi="ar"/>
                    </w:rPr>
                  </w:pPr>
                  <w:r>
                    <w:rPr>
                      <w:b/>
                      <w:bCs/>
                    </w:rPr>
                    <w:t>SO</w:t>
                  </w:r>
                  <w:r>
                    <w:rPr>
                      <w:b/>
                      <w:bCs/>
                      <w:vertAlign w:val="subscript"/>
                    </w:rPr>
                    <w:t>2</w:t>
                  </w:r>
                </w:p>
              </w:tc>
              <w:tc>
                <w:tcPr>
                  <w:tcW w:w="2474" w:type="dxa"/>
                  <w:gridSpan w:val="2"/>
                  <w:tcBorders>
                    <w:top w:val="single" w:color="000000" w:sz="4" w:space="0"/>
                    <w:left w:val="single" w:color="000000" w:sz="4" w:space="0"/>
                    <w:bottom w:val="single" w:color="000000" w:sz="4" w:space="0"/>
                    <w:right w:val="single" w:color="000000" w:sz="4" w:space="0"/>
                  </w:tcBorders>
                  <w:vAlign w:val="center"/>
                </w:tcPr>
                <w:p>
                  <w:pPr>
                    <w:jc w:val="center"/>
                    <w:rPr>
                      <w:b/>
                      <w:bCs/>
                      <w:szCs w:val="21"/>
                      <w:lang w:bidi="ar"/>
                    </w:rPr>
                  </w:pPr>
                  <w:r>
                    <w:rPr>
                      <w:rFonts w:hint="eastAsia"/>
                      <w:b/>
                      <w:bCs/>
                    </w:rPr>
                    <w:t>NOx</w:t>
                  </w:r>
                </w:p>
              </w:tc>
              <w:tc>
                <w:tcPr>
                  <w:tcW w:w="2419" w:type="dxa"/>
                  <w:gridSpan w:val="2"/>
                  <w:tcBorders>
                    <w:top w:val="single" w:color="000000" w:sz="4" w:space="0"/>
                    <w:left w:val="single" w:color="000000" w:sz="4" w:space="0"/>
                    <w:bottom w:val="single" w:color="000000" w:sz="4" w:space="0"/>
                    <w:right w:val="single" w:color="000000" w:sz="4" w:space="0"/>
                  </w:tcBorders>
                  <w:vAlign w:val="center"/>
                </w:tcPr>
                <w:p>
                  <w:pPr>
                    <w:jc w:val="center"/>
                    <w:rPr>
                      <w:b/>
                      <w:bCs/>
                    </w:rPr>
                  </w:pPr>
                  <w:r>
                    <w:rPr>
                      <w:rFonts w:hint="eastAsia"/>
                      <w:b/>
                      <w:bCs/>
                    </w:rPr>
                    <w:t>PM</w:t>
                  </w:r>
                  <w:r>
                    <w:rPr>
                      <w:rFonts w:hint="eastAsia"/>
                      <w:b/>
                      <w:bCs/>
                      <w:vertAlign w:val="subscript"/>
                    </w:rPr>
                    <w:t>10</w:t>
                  </w:r>
                </w:p>
              </w:tc>
            </w:tr>
            <w:tr>
              <w:tblPrEx>
                <w:tblCellMar>
                  <w:top w:w="0" w:type="dxa"/>
                  <w:left w:w="0" w:type="dxa"/>
                  <w:bottom w:w="0" w:type="dxa"/>
                  <w:right w:w="0" w:type="dxa"/>
                </w:tblCellMar>
              </w:tblPrEx>
              <w:trPr>
                <w:trHeight w:val="579" w:hRule="atLeast"/>
                <w:jc w:val="center"/>
              </w:trPr>
              <w:tc>
                <w:tcPr>
                  <w:tcW w:w="867"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szCs w:val="21"/>
                    </w:rPr>
                  </w:pPr>
                  <w:r>
                    <w:rPr>
                      <w:b/>
                      <w:szCs w:val="21"/>
                      <w:lang w:bidi="ar"/>
                    </w:rPr>
                    <w:t>最大小时筛选浓度(ug/m</w:t>
                  </w:r>
                  <w:r>
                    <w:rPr>
                      <w:b/>
                      <w:szCs w:val="21"/>
                      <w:vertAlign w:val="superscript"/>
                      <w:lang w:bidi="ar"/>
                    </w:rPr>
                    <w:t>3</w:t>
                  </w:r>
                  <w:r>
                    <w:rPr>
                      <w:b/>
                      <w:szCs w:val="21"/>
                      <w:lang w:bidi="ar"/>
                    </w:rPr>
                    <w:t>)</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szCs w:val="21"/>
                    </w:rPr>
                  </w:pPr>
                  <w:r>
                    <w:rPr>
                      <w:b/>
                      <w:szCs w:val="21"/>
                      <w:lang w:bidi="ar"/>
                    </w:rPr>
                    <w:t>浓度占标率Pi(%)</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最大小时筛选浓度(ug/m</w:t>
                  </w:r>
                  <w:r>
                    <w:rPr>
                      <w:b/>
                      <w:szCs w:val="21"/>
                      <w:vertAlign w:val="superscript"/>
                      <w:lang w:bidi="ar"/>
                    </w:rPr>
                    <w:t>3</w:t>
                  </w:r>
                  <w:r>
                    <w:rPr>
                      <w:b/>
                      <w:szCs w:val="21"/>
                      <w:lang w:bidi="ar"/>
                    </w:rPr>
                    <w:t>)</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浓度占标率Pi(%)</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最大小时筛选浓度(ug/m</w:t>
                  </w:r>
                  <w:r>
                    <w:rPr>
                      <w:b/>
                      <w:szCs w:val="21"/>
                      <w:vertAlign w:val="superscript"/>
                      <w:lang w:bidi="ar"/>
                    </w:rPr>
                    <w:t>3</w:t>
                  </w:r>
                  <w:r>
                    <w:rPr>
                      <w:b/>
                      <w:szCs w:val="21"/>
                      <w:lang w:bidi="ar"/>
                    </w:rPr>
                    <w:t>)</w:t>
                  </w: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浓度占标率Pi(%)</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t>0.000113</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eastAsia="等线"/>
                      <w:color w:val="000000"/>
                      <w:szCs w:val="21"/>
                    </w:rPr>
                    <w:t>0.000023</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pPr>
                  <w:r>
                    <w:t>0.000105</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0.000042</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pPr>
                  <w:r>
                    <w:t>0.000021</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pPr>
                  <w:r>
                    <w:rPr>
                      <w:rFonts w:eastAsia="等线"/>
                      <w:color w:val="000000"/>
                      <w:szCs w:val="21"/>
                    </w:rPr>
                    <w:t>4.66667E-06</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25</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t>0.50708</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eastAsia="等线"/>
                      <w:color w:val="000000"/>
                      <w:szCs w:val="21"/>
                    </w:rPr>
                    <w:t>0.10</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pPr>
                  <w:r>
                    <w:t>0.472807</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0.19</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pPr>
                  <w:r>
                    <w:t>0.093471</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pPr>
                  <w:r>
                    <w:rPr>
                      <w:rFonts w:eastAsia="等线"/>
                      <w:color w:val="000000"/>
                      <w:szCs w:val="21"/>
                    </w:rPr>
                    <w:t>0.02</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t>2.4265</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eastAsia="等线"/>
                      <w:color w:val="000000"/>
                      <w:szCs w:val="21"/>
                    </w:rPr>
                    <w:t>0.49</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pPr>
                  <w:r>
                    <w:t>2.262497</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0.90</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pPr>
                  <w:r>
                    <w:t>0.447281</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pPr>
                  <w:r>
                    <w:rPr>
                      <w:rFonts w:eastAsia="等线"/>
                      <w:color w:val="000000"/>
                      <w:szCs w:val="21"/>
                    </w:rPr>
                    <w:t>0.10</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75</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t>3.4957</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eastAsia="等线"/>
                      <w:color w:val="000000"/>
                      <w:szCs w:val="21"/>
                    </w:rPr>
                    <w:t>0.70</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pPr>
                  <w:r>
                    <w:t>3.259431</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1.30</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pPr>
                  <w:r>
                    <w:t>0.644369</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pPr>
                  <w:r>
                    <w:rPr>
                      <w:rFonts w:eastAsia="等线"/>
                      <w:color w:val="000000"/>
                      <w:szCs w:val="21"/>
                    </w:rPr>
                    <w:t>0.14</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t>4.2875</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eastAsia="等线"/>
                      <w:color w:val="000000"/>
                      <w:szCs w:val="21"/>
                    </w:rPr>
                    <w:t>0.86</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pPr>
                  <w:r>
                    <w:t>3.997715</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1.60</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pPr>
                  <w:r>
                    <w:t>0.790323</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pPr>
                  <w:r>
                    <w:rPr>
                      <w:rFonts w:eastAsia="等线"/>
                      <w:color w:val="000000"/>
                      <w:szCs w:val="21"/>
                    </w:rPr>
                    <w:t>0.18</w:t>
                  </w:r>
                </w:p>
              </w:tc>
            </w:tr>
            <w:tr>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kern w:val="0"/>
                      <w:szCs w:val="21"/>
                      <w:lang w:bidi="ar"/>
                    </w:rPr>
                  </w:pPr>
                  <w:r>
                    <w:rPr>
                      <w:rFonts w:hint="eastAsia"/>
                    </w:rPr>
                    <w:t>200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Cs/>
                    </w:rPr>
                  </w:pPr>
                  <w:r>
                    <w:rPr>
                      <w:rFonts w:hint="eastAsia"/>
                      <w:bCs/>
                    </w:rPr>
                    <w:t>8</w:t>
                  </w:r>
                  <w:r>
                    <w:rPr>
                      <w:bCs/>
                    </w:rPr>
                    <w:t>.1075</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Cs/>
                    </w:rPr>
                  </w:pPr>
                  <w:r>
                    <w:rPr>
                      <w:rFonts w:eastAsia="等线"/>
                      <w:color w:val="000000"/>
                      <w:szCs w:val="21"/>
                    </w:rPr>
                    <w:t>1.62</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rPr>
                      <w:bCs/>
                    </w:rPr>
                  </w:pPr>
                  <w:r>
                    <w:rPr>
                      <w:bCs/>
                    </w:rPr>
                    <w:t>7.559527</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rPr>
                      <w:bCs/>
                    </w:rPr>
                  </w:pPr>
                  <w:r>
                    <w:rPr>
                      <w:rFonts w:eastAsia="等线"/>
                      <w:color w:val="000000"/>
                      <w:szCs w:val="21"/>
                    </w:rPr>
                    <w:t>3.02</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rPr>
                      <w:bCs/>
                    </w:rPr>
                  </w:pPr>
                  <w:r>
                    <w:rPr>
                      <w:bCs/>
                    </w:rPr>
                    <w:t>1.49447</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bCs/>
                    </w:rPr>
                  </w:pPr>
                  <w:r>
                    <w:rPr>
                      <w:rFonts w:eastAsia="等线"/>
                      <w:color w:val="000000"/>
                      <w:szCs w:val="21"/>
                    </w:rPr>
                    <w:t>0.33</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rPr>
                  </w:pPr>
                  <w:r>
                    <w:rPr>
                      <w:rFonts w:hint="eastAsia"/>
                      <w:b/>
                      <w:bCs/>
                    </w:rPr>
                    <w:t>2</w:t>
                  </w:r>
                  <w:r>
                    <w:rPr>
                      <w:b/>
                      <w:bCs/>
                    </w:rPr>
                    <w:t>60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bCs/>
                    </w:rPr>
                  </w:pPr>
                  <w:r>
                    <w:rPr>
                      <w:rFonts w:hint="eastAsia"/>
                      <w:b/>
                      <w:bCs/>
                    </w:rPr>
                    <w:t>8</w:t>
                  </w:r>
                  <w:r>
                    <w:rPr>
                      <w:b/>
                      <w:bCs/>
                    </w:rPr>
                    <w:t>.8717</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bCs/>
                    </w:rPr>
                  </w:pPr>
                  <w:r>
                    <w:rPr>
                      <w:rFonts w:eastAsia="等线"/>
                      <w:b/>
                      <w:bCs/>
                      <w:color w:val="000000"/>
                      <w:szCs w:val="21"/>
                    </w:rPr>
                    <w:t>1.77</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rPr>
                      <w:b/>
                      <w:bCs/>
                    </w:rPr>
                    <w:t>8.272077</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rPr>
                      <w:rFonts w:eastAsia="等线"/>
                      <w:b/>
                      <w:bCs/>
                      <w:color w:val="000000"/>
                      <w:szCs w:val="21"/>
                    </w:rPr>
                    <w:t>3.31</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rPr>
                      <w:b/>
                      <w:bCs/>
                    </w:rPr>
                    <w:t>1.635336</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b/>
                      <w:bCs/>
                      <w:color w:val="000000"/>
                      <w:kern w:val="0"/>
                      <w:szCs w:val="21"/>
                      <w:lang w:bidi="ar"/>
                    </w:rPr>
                  </w:pPr>
                  <w:r>
                    <w:rPr>
                      <w:rFonts w:eastAsia="等线"/>
                      <w:b/>
                      <w:bCs/>
                      <w:color w:val="000000"/>
                      <w:szCs w:val="21"/>
                    </w:rPr>
                    <w:t>0.36</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300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hint="eastAsia"/>
                    </w:rPr>
                    <w:t>8</w:t>
                  </w:r>
                  <w:r>
                    <w:t>.672401</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eastAsia="等线"/>
                      <w:color w:val="000000"/>
                      <w:szCs w:val="21"/>
                    </w:rPr>
                    <w:t>1.73</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pPr>
                  <w:r>
                    <w:t>8.086246</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3.23</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pPr>
                  <w:r>
                    <w:t>1.598599</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pPr>
                  <w:r>
                    <w:rPr>
                      <w:rFonts w:eastAsia="等线"/>
                      <w:color w:val="000000"/>
                      <w:szCs w:val="21"/>
                    </w:rPr>
                    <w:t>0.36</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400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hint="eastAsia"/>
                    </w:rPr>
                    <w:t>7</w:t>
                  </w:r>
                  <w:r>
                    <w:t>.7417</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eastAsia="等线"/>
                      <w:color w:val="000000"/>
                      <w:szCs w:val="21"/>
                    </w:rPr>
                    <w:t>1.55</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pPr>
                  <w:r>
                    <w:t>7.218451</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2.89</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pPr>
                  <w:r>
                    <w:t>1.427041</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pPr>
                  <w:r>
                    <w:rPr>
                      <w:rFonts w:eastAsia="等线"/>
                      <w:color w:val="000000"/>
                      <w:szCs w:val="21"/>
                    </w:rPr>
                    <w:t>0.32</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hint="eastAsia"/>
                    </w:rPr>
                    <w:t>6</w:t>
                  </w:r>
                  <w:r>
                    <w:t>.769101</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eastAsia="等线"/>
                      <w:color w:val="000000"/>
                      <w:szCs w:val="21"/>
                    </w:rPr>
                    <w:t>1.35</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pPr>
                  <w:r>
                    <w:t>6.311588</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2.52</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pPr>
                  <w:r>
                    <w:t>1.24776</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pPr>
                  <w:r>
                    <w:rPr>
                      <w:rFonts w:eastAsia="等线"/>
                      <w:color w:val="000000"/>
                      <w:szCs w:val="21"/>
                    </w:rPr>
                    <w:t>0.28</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1000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t>3.979</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pPr>
                  <w:r>
                    <w:rPr>
                      <w:rFonts w:eastAsia="等线"/>
                      <w:color w:val="000000"/>
                      <w:szCs w:val="21"/>
                    </w:rPr>
                    <w:t>0.80</w:t>
                  </w:r>
                </w:p>
              </w:tc>
              <w:tc>
                <w:tcPr>
                  <w:tcW w:w="1328" w:type="dxa"/>
                  <w:tcBorders>
                    <w:top w:val="single" w:color="000000" w:sz="4" w:space="0"/>
                    <w:left w:val="single" w:color="000000" w:sz="4" w:space="0"/>
                    <w:bottom w:val="single" w:color="000000" w:sz="4" w:space="0"/>
                    <w:right w:val="single" w:color="000000" w:sz="4" w:space="0"/>
                  </w:tcBorders>
                  <w:vAlign w:val="center"/>
                </w:tcPr>
                <w:p>
                  <w:pPr>
                    <w:jc w:val="center"/>
                  </w:pPr>
                  <w:r>
                    <w:t>3.710066</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1.48</w:t>
                  </w:r>
                </w:p>
              </w:tc>
              <w:tc>
                <w:tcPr>
                  <w:tcW w:w="1399" w:type="dxa"/>
                  <w:tcBorders>
                    <w:top w:val="single" w:color="000000" w:sz="4" w:space="0"/>
                    <w:left w:val="single" w:color="000000" w:sz="4" w:space="0"/>
                    <w:bottom w:val="single" w:color="000000" w:sz="4" w:space="0"/>
                    <w:right w:val="single" w:color="000000" w:sz="4" w:space="0"/>
                  </w:tcBorders>
                  <w:vAlign w:val="center"/>
                </w:tcPr>
                <w:p>
                  <w:pPr>
                    <w:jc w:val="center"/>
                  </w:pPr>
                  <w:r>
                    <w:t>0.733456</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pPr>
                  <w:r>
                    <w:rPr>
                      <w:rFonts w:eastAsia="等线"/>
                      <w:color w:val="000000"/>
                      <w:szCs w:val="21"/>
                    </w:rPr>
                    <w:t>0.16</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2000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kern w:val="0"/>
                      <w:szCs w:val="21"/>
                      <w:lang w:bidi="ar"/>
                    </w:rPr>
                    <w:t>2.8342</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eastAsia="等线"/>
                      <w:color w:val="000000"/>
                      <w:szCs w:val="21"/>
                    </w:rPr>
                    <w:t>0.57</w:t>
                  </w:r>
                </w:p>
              </w:tc>
              <w:tc>
                <w:tcPr>
                  <w:tcW w:w="13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2.642641</w:t>
                  </w:r>
                </w:p>
              </w:tc>
              <w:tc>
                <w:tcPr>
                  <w:tcW w:w="11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rFonts w:eastAsia="等线"/>
                      <w:color w:val="000000"/>
                      <w:szCs w:val="21"/>
                    </w:rPr>
                    <w:t>1.06</w:t>
                  </w:r>
                </w:p>
              </w:tc>
              <w:tc>
                <w:tcPr>
                  <w:tcW w:w="13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0.522433</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kern w:val="0"/>
                      <w:szCs w:val="21"/>
                      <w:lang w:bidi="ar"/>
                    </w:rPr>
                  </w:pPr>
                  <w:r>
                    <w:rPr>
                      <w:rFonts w:eastAsia="等线"/>
                      <w:color w:val="000000"/>
                      <w:szCs w:val="21"/>
                    </w:rPr>
                    <w:t>0.12</w:t>
                  </w:r>
                </w:p>
              </w:tc>
            </w:tr>
            <w:tr>
              <w:tblPrEx>
                <w:tblCellMar>
                  <w:top w:w="0" w:type="dxa"/>
                  <w:left w:w="0" w:type="dxa"/>
                  <w:bottom w:w="0" w:type="dxa"/>
                  <w:right w:w="0" w:type="dxa"/>
                </w:tblCellMar>
              </w:tblPrEx>
              <w:trPr>
                <w:trHeight w:val="270"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2500</w:t>
                  </w:r>
                </w:p>
              </w:tc>
              <w:tc>
                <w:tcPr>
                  <w:tcW w:w="13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kern w:val="0"/>
                      <w:szCs w:val="21"/>
                      <w:lang w:bidi="ar"/>
                    </w:rPr>
                    <w:t>2.3949</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eastAsia="等线"/>
                      <w:color w:val="000000"/>
                      <w:szCs w:val="21"/>
                    </w:rPr>
                    <w:t>0.48</w:t>
                  </w:r>
                </w:p>
              </w:tc>
              <w:tc>
                <w:tcPr>
                  <w:tcW w:w="13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2.233033</w:t>
                  </w:r>
                </w:p>
              </w:tc>
              <w:tc>
                <w:tcPr>
                  <w:tcW w:w="11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rFonts w:eastAsia="等线"/>
                      <w:color w:val="000000"/>
                      <w:szCs w:val="21"/>
                    </w:rPr>
                    <w:t>0.89</w:t>
                  </w:r>
                </w:p>
              </w:tc>
              <w:tc>
                <w:tcPr>
                  <w:tcW w:w="13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0.441456</w:t>
                  </w:r>
                </w:p>
              </w:tc>
              <w:tc>
                <w:tcPr>
                  <w:tcW w:w="10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kern w:val="0"/>
                      <w:szCs w:val="21"/>
                      <w:lang w:bidi="ar"/>
                    </w:rPr>
                  </w:pPr>
                  <w:r>
                    <w:rPr>
                      <w:rFonts w:eastAsia="等线"/>
                      <w:color w:val="000000"/>
                      <w:szCs w:val="21"/>
                    </w:rPr>
                    <w:t>0.10</w:t>
                  </w:r>
                </w:p>
              </w:tc>
            </w:tr>
            <w:tr>
              <w:tblPrEx>
                <w:tblCellMar>
                  <w:top w:w="0" w:type="dxa"/>
                  <w:left w:w="0" w:type="dxa"/>
                  <w:bottom w:w="0" w:type="dxa"/>
                  <w:right w:w="0" w:type="dxa"/>
                </w:tblCellMar>
              </w:tblPrEx>
              <w:trPr>
                <w:trHeight w:val="557" w:hRule="atLeast"/>
                <w:jc w:val="center"/>
              </w:trPr>
              <w:tc>
                <w:tcPr>
                  <w:tcW w:w="8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评价</w:t>
                  </w:r>
                </w:p>
              </w:tc>
              <w:tc>
                <w:tcPr>
                  <w:tcW w:w="231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bCs/>
                      <w:spacing w:val="-4"/>
                      <w:szCs w:val="21"/>
                      <w:lang w:bidi="ar"/>
                    </w:rPr>
                  </w:pPr>
                  <w:r>
                    <w:rPr>
                      <w:b/>
                      <w:bCs/>
                      <w:spacing w:val="-4"/>
                      <w:szCs w:val="21"/>
                      <w:lang w:bidi="ar"/>
                    </w:rPr>
                    <w:t>C</w:t>
                  </w:r>
                  <w:r>
                    <w:rPr>
                      <w:b/>
                      <w:bCs/>
                      <w:spacing w:val="-4"/>
                      <w:szCs w:val="21"/>
                      <w:vertAlign w:val="subscript"/>
                      <w:lang w:bidi="ar"/>
                    </w:rPr>
                    <w:t>max</w:t>
                  </w:r>
                  <w:r>
                    <w:rPr>
                      <w:b/>
                      <w:bCs/>
                      <w:spacing w:val="-4"/>
                      <w:szCs w:val="21"/>
                      <w:lang w:bidi="ar"/>
                    </w:rPr>
                    <w:t>=8.8717</w:t>
                  </w:r>
                  <w:r>
                    <w:rPr>
                      <w:b/>
                      <w:bCs/>
                      <w:szCs w:val="21"/>
                      <w:lang w:bidi="ar"/>
                    </w:rPr>
                    <w:t>ug/m</w:t>
                  </w:r>
                  <w:r>
                    <w:rPr>
                      <w:b/>
                      <w:bCs/>
                      <w:szCs w:val="21"/>
                      <w:vertAlign w:val="superscript"/>
                      <w:lang w:bidi="ar"/>
                    </w:rPr>
                    <w:t>3</w:t>
                  </w:r>
                  <w:r>
                    <w:rPr>
                      <w:b/>
                      <w:bCs/>
                      <w:szCs w:val="21"/>
                      <w:lang w:bidi="ar"/>
                    </w:rPr>
                    <w:t>，P</w:t>
                  </w:r>
                  <w:r>
                    <w:rPr>
                      <w:b/>
                      <w:bCs/>
                      <w:szCs w:val="21"/>
                      <w:vertAlign w:val="subscript"/>
                      <w:lang w:bidi="ar"/>
                    </w:rPr>
                    <w:t>max</w:t>
                  </w:r>
                  <w:r>
                    <w:rPr>
                      <w:b/>
                      <w:bCs/>
                      <w:szCs w:val="21"/>
                      <w:lang w:bidi="ar"/>
                    </w:rPr>
                    <w:t>=1.77%</w:t>
                  </w:r>
                </w:p>
              </w:tc>
              <w:tc>
                <w:tcPr>
                  <w:tcW w:w="2474" w:type="dxa"/>
                  <w:gridSpan w:val="2"/>
                  <w:tcBorders>
                    <w:top w:val="single" w:color="000000" w:sz="4" w:space="0"/>
                    <w:left w:val="single" w:color="000000" w:sz="4" w:space="0"/>
                    <w:bottom w:val="single" w:color="000000" w:sz="4" w:space="0"/>
                    <w:right w:val="single" w:color="000000" w:sz="4" w:space="0"/>
                  </w:tcBorders>
                  <w:vAlign w:val="center"/>
                </w:tcPr>
                <w:p>
                  <w:pPr>
                    <w:jc w:val="center"/>
                    <w:rPr>
                      <w:b/>
                      <w:bCs/>
                      <w:spacing w:val="-4"/>
                      <w:szCs w:val="21"/>
                      <w:lang w:bidi="ar"/>
                    </w:rPr>
                  </w:pPr>
                  <w:r>
                    <w:rPr>
                      <w:b/>
                      <w:bCs/>
                      <w:spacing w:val="-4"/>
                      <w:szCs w:val="21"/>
                      <w:lang w:bidi="ar"/>
                    </w:rPr>
                    <w:t>C</w:t>
                  </w:r>
                  <w:r>
                    <w:rPr>
                      <w:b/>
                      <w:bCs/>
                      <w:spacing w:val="-4"/>
                      <w:szCs w:val="21"/>
                      <w:vertAlign w:val="subscript"/>
                      <w:lang w:bidi="ar"/>
                    </w:rPr>
                    <w:t>max</w:t>
                  </w:r>
                  <w:r>
                    <w:rPr>
                      <w:b/>
                      <w:bCs/>
                      <w:spacing w:val="-4"/>
                      <w:szCs w:val="21"/>
                      <w:lang w:bidi="ar"/>
                    </w:rPr>
                    <w:t>=8.272077</w:t>
                  </w:r>
                  <w:r>
                    <w:rPr>
                      <w:b/>
                      <w:bCs/>
                      <w:szCs w:val="21"/>
                      <w:lang w:bidi="ar"/>
                    </w:rPr>
                    <w:t>ug/m</w:t>
                  </w:r>
                  <w:r>
                    <w:rPr>
                      <w:b/>
                      <w:bCs/>
                      <w:szCs w:val="21"/>
                      <w:vertAlign w:val="superscript"/>
                      <w:lang w:bidi="ar"/>
                    </w:rPr>
                    <w:t>3</w:t>
                  </w:r>
                  <w:r>
                    <w:rPr>
                      <w:b/>
                      <w:bCs/>
                      <w:szCs w:val="21"/>
                      <w:lang w:bidi="ar"/>
                    </w:rPr>
                    <w:t>，P</w:t>
                  </w:r>
                  <w:r>
                    <w:rPr>
                      <w:b/>
                      <w:bCs/>
                      <w:szCs w:val="21"/>
                      <w:vertAlign w:val="subscript"/>
                      <w:lang w:bidi="ar"/>
                    </w:rPr>
                    <w:t>max</w:t>
                  </w:r>
                  <w:r>
                    <w:rPr>
                      <w:b/>
                      <w:bCs/>
                      <w:szCs w:val="21"/>
                      <w:lang w:bidi="ar"/>
                    </w:rPr>
                    <w:t>=3.31%</w:t>
                  </w:r>
                </w:p>
              </w:tc>
              <w:tc>
                <w:tcPr>
                  <w:tcW w:w="2419"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bCs/>
                      <w:kern w:val="0"/>
                      <w:szCs w:val="21"/>
                      <w:lang w:bidi="ar"/>
                    </w:rPr>
                  </w:pPr>
                  <w:r>
                    <w:rPr>
                      <w:b/>
                      <w:bCs/>
                      <w:spacing w:val="-4"/>
                      <w:szCs w:val="21"/>
                      <w:lang w:bidi="ar"/>
                    </w:rPr>
                    <w:t>C</w:t>
                  </w:r>
                  <w:r>
                    <w:rPr>
                      <w:b/>
                      <w:bCs/>
                      <w:spacing w:val="-4"/>
                      <w:szCs w:val="21"/>
                      <w:vertAlign w:val="subscript"/>
                      <w:lang w:bidi="ar"/>
                    </w:rPr>
                    <w:t>max</w:t>
                  </w:r>
                  <w:r>
                    <w:rPr>
                      <w:b/>
                      <w:bCs/>
                      <w:spacing w:val="-4"/>
                      <w:szCs w:val="21"/>
                      <w:lang w:bidi="ar"/>
                    </w:rPr>
                    <w:t>=1.635336</w:t>
                  </w:r>
                  <w:r>
                    <w:rPr>
                      <w:b/>
                      <w:bCs/>
                      <w:szCs w:val="21"/>
                      <w:lang w:bidi="ar"/>
                    </w:rPr>
                    <w:t>ug/m</w:t>
                  </w:r>
                  <w:r>
                    <w:rPr>
                      <w:b/>
                      <w:bCs/>
                      <w:szCs w:val="21"/>
                      <w:vertAlign w:val="superscript"/>
                      <w:lang w:bidi="ar"/>
                    </w:rPr>
                    <w:t>3</w:t>
                  </w:r>
                  <w:r>
                    <w:rPr>
                      <w:b/>
                      <w:bCs/>
                      <w:szCs w:val="21"/>
                      <w:lang w:bidi="ar"/>
                    </w:rPr>
                    <w:t>，P</w:t>
                  </w:r>
                  <w:r>
                    <w:rPr>
                      <w:b/>
                      <w:bCs/>
                      <w:szCs w:val="21"/>
                      <w:vertAlign w:val="subscript"/>
                      <w:lang w:bidi="ar"/>
                    </w:rPr>
                    <w:t>max</w:t>
                  </w:r>
                  <w:r>
                    <w:rPr>
                      <w:b/>
                      <w:bCs/>
                      <w:szCs w:val="21"/>
                      <w:lang w:bidi="ar"/>
                    </w:rPr>
                    <w:t>=0.36%</w:t>
                  </w:r>
                </w:p>
              </w:tc>
            </w:tr>
          </w:tbl>
          <w:p>
            <w:pPr>
              <w:adjustRightInd w:val="0"/>
              <w:spacing w:before="120" w:beforeLines="50" w:line="360" w:lineRule="auto"/>
              <w:ind w:firstLine="480" w:firstLineChars="200"/>
              <w:rPr>
                <w:sz w:val="24"/>
              </w:rPr>
            </w:pPr>
            <w:r>
              <w:rPr>
                <w:sz w:val="24"/>
              </w:rPr>
              <w:t>根据估算结果，项目</w:t>
            </w:r>
            <w:r>
              <w:rPr>
                <w:rFonts w:hint="eastAsia"/>
                <w:sz w:val="24"/>
              </w:rPr>
              <w:t>DA001</w:t>
            </w:r>
            <w:r>
              <w:rPr>
                <w:sz w:val="24"/>
              </w:rPr>
              <w:t>排气筒排放的</w:t>
            </w:r>
            <w:r>
              <w:rPr>
                <w:rFonts w:hint="eastAsia"/>
                <w:sz w:val="24"/>
              </w:rPr>
              <w:t>SO</w:t>
            </w:r>
            <w:r>
              <w:rPr>
                <w:rFonts w:hint="eastAsia"/>
                <w:sz w:val="24"/>
                <w:vertAlign w:val="subscript"/>
              </w:rPr>
              <w:t>2</w:t>
            </w:r>
            <w:r>
              <w:rPr>
                <w:rFonts w:hint="eastAsia"/>
                <w:sz w:val="24"/>
              </w:rPr>
              <w:t>、NO</w:t>
            </w:r>
            <w:r>
              <w:rPr>
                <w:rFonts w:hint="eastAsia"/>
                <w:sz w:val="24"/>
                <w:vertAlign w:val="subscript"/>
              </w:rPr>
              <w:t>x</w:t>
            </w:r>
            <w:r>
              <w:rPr>
                <w:rFonts w:hint="eastAsia"/>
                <w:sz w:val="24"/>
              </w:rPr>
              <w:t>、</w:t>
            </w:r>
            <w:r>
              <w:rPr>
                <w:sz w:val="24"/>
              </w:rPr>
              <w:t>颗粒物的下风向最大落地浓度最大值分别为8.8717ug/m</w:t>
            </w:r>
            <w:r>
              <w:rPr>
                <w:sz w:val="24"/>
                <w:vertAlign w:val="superscript"/>
              </w:rPr>
              <w:t>3</w:t>
            </w:r>
            <w:r>
              <w:rPr>
                <w:sz w:val="24"/>
              </w:rPr>
              <w:t>、8.272077ug/m</w:t>
            </w:r>
            <w:r>
              <w:rPr>
                <w:sz w:val="24"/>
                <w:vertAlign w:val="superscript"/>
              </w:rPr>
              <w:t>3</w:t>
            </w:r>
            <w:r>
              <w:rPr>
                <w:sz w:val="24"/>
              </w:rPr>
              <w:t>、1.635336ug/m</w:t>
            </w:r>
            <w:r>
              <w:rPr>
                <w:sz w:val="24"/>
                <w:vertAlign w:val="superscript"/>
              </w:rPr>
              <w:t>3</w:t>
            </w:r>
            <w:r>
              <w:rPr>
                <w:sz w:val="24"/>
              </w:rPr>
              <w:t>，最大浓度占标率为1.77%、3.31%、0.36%，位于下风向260m处</w:t>
            </w:r>
            <w:r>
              <w:rPr>
                <w:rFonts w:hint="eastAsia"/>
                <w:sz w:val="24"/>
              </w:rPr>
              <w:t>，均能</w:t>
            </w:r>
            <w:r>
              <w:rPr>
                <w:sz w:val="24"/>
              </w:rPr>
              <w:t>满足《环境空气质量标准》（GB3095-2012）中二级标准要求</w:t>
            </w:r>
            <w:r>
              <w:rPr>
                <w:rFonts w:hint="eastAsia" w:cs="宋体"/>
                <w:kern w:val="0"/>
                <w:sz w:val="24"/>
                <w:lang w:bidi="ar"/>
              </w:rPr>
              <w:t>。</w:t>
            </w:r>
            <w:r>
              <w:rPr>
                <w:sz w:val="24"/>
              </w:rPr>
              <w:t>因此本项目</w:t>
            </w:r>
            <w:r>
              <w:rPr>
                <w:rFonts w:hint="eastAsia"/>
                <w:sz w:val="24"/>
              </w:rPr>
              <w:t>供热工程技改新增5t/h导热油锅炉</w:t>
            </w:r>
            <w:r>
              <w:rPr>
                <w:sz w:val="24"/>
              </w:rPr>
              <w:t>废气</w:t>
            </w:r>
            <w:r>
              <w:rPr>
                <w:rFonts w:hint="eastAsia"/>
                <w:sz w:val="24"/>
              </w:rPr>
              <w:t>排放</w:t>
            </w:r>
            <w:r>
              <w:rPr>
                <w:sz w:val="24"/>
              </w:rPr>
              <w:t>对周边大气环境影响较小。</w:t>
            </w:r>
          </w:p>
          <w:p>
            <w:pPr>
              <w:widowControl/>
              <w:spacing w:line="360" w:lineRule="auto"/>
              <w:ind w:firstLine="482" w:firstLineChars="200"/>
              <w:textAlignment w:val="center"/>
              <w:rPr>
                <w:b/>
                <w:sz w:val="24"/>
                <w:lang w:bidi="ar"/>
              </w:rPr>
            </w:pPr>
            <w:r>
              <w:rPr>
                <w:b/>
                <w:sz w:val="24"/>
                <w:lang w:bidi="ar"/>
              </w:rPr>
              <w:t>Ⅱ、</w:t>
            </w:r>
            <w:r>
              <w:rPr>
                <w:rFonts w:hint="eastAsia"/>
                <w:b/>
                <w:sz w:val="24"/>
                <w:lang w:bidi="ar"/>
              </w:rPr>
              <w:t>非</w:t>
            </w:r>
            <w:r>
              <w:rPr>
                <w:b/>
                <w:sz w:val="24"/>
                <w:lang w:bidi="ar"/>
              </w:rPr>
              <w:t>正常工况：</w:t>
            </w:r>
          </w:p>
          <w:p>
            <w:pPr>
              <w:adjustRightInd w:val="0"/>
              <w:spacing w:line="360" w:lineRule="auto"/>
              <w:ind w:firstLine="480" w:firstLineChars="200"/>
              <w:rPr>
                <w:sz w:val="24"/>
              </w:rPr>
            </w:pPr>
            <w:r>
              <w:rPr>
                <w:rFonts w:hint="eastAsia"/>
                <w:sz w:val="24"/>
              </w:rPr>
              <w:t>考虑到本项目供热工程技改新增5t/h导热油锅炉废气排气筒DA001废气处理装置仅对颗粒物去除有影响，因此本次非正常情况下排气筒DA001只对颗粒物进行估算，具体估算结果详见下表：</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4-10</w:t>
            </w:r>
            <w:r>
              <w:rPr>
                <w:rFonts w:cs="宋体"/>
                <w:b/>
                <w:bCs/>
                <w:kern w:val="0"/>
                <w:sz w:val="24"/>
                <w:szCs w:val="20"/>
                <w:lang w:bidi="ar"/>
              </w:rPr>
              <w:t xml:space="preserve">  </w:t>
            </w:r>
            <w:r>
              <w:rPr>
                <w:rFonts w:hint="eastAsia" w:cs="宋体"/>
                <w:b/>
                <w:bCs/>
                <w:kern w:val="0"/>
                <w:sz w:val="24"/>
                <w:szCs w:val="20"/>
                <w:lang w:bidi="ar"/>
              </w:rPr>
              <w:t>本项目5t</w:t>
            </w:r>
            <w:r>
              <w:rPr>
                <w:rFonts w:cs="宋体"/>
                <w:b/>
                <w:bCs/>
                <w:kern w:val="0"/>
                <w:sz w:val="24"/>
                <w:szCs w:val="20"/>
                <w:lang w:bidi="ar"/>
              </w:rPr>
              <w:t>/h</w:t>
            </w:r>
            <w:r>
              <w:rPr>
                <w:rFonts w:hint="eastAsia" w:cs="宋体"/>
                <w:b/>
                <w:bCs/>
                <w:kern w:val="0"/>
                <w:sz w:val="24"/>
                <w:szCs w:val="20"/>
                <w:lang w:bidi="ar"/>
              </w:rPr>
              <w:t>锅炉</w:t>
            </w:r>
            <w:r>
              <w:rPr>
                <w:rFonts w:cs="宋体"/>
                <w:b/>
                <w:bCs/>
                <w:kern w:val="0"/>
                <w:sz w:val="24"/>
                <w:szCs w:val="20"/>
                <w:lang w:bidi="ar"/>
              </w:rPr>
              <w:t>有组织点源</w:t>
            </w:r>
            <w:r>
              <w:rPr>
                <w:rFonts w:hint="eastAsia" w:cs="宋体"/>
                <w:b/>
                <w:bCs/>
                <w:kern w:val="0"/>
                <w:sz w:val="24"/>
                <w:szCs w:val="20"/>
                <w:lang w:bidi="ar"/>
              </w:rPr>
              <w:t>（</w:t>
            </w:r>
            <w:r>
              <w:rPr>
                <w:rFonts w:cs="宋体"/>
                <w:b/>
                <w:bCs/>
                <w:kern w:val="0"/>
                <w:sz w:val="24"/>
                <w:szCs w:val="20"/>
                <w:lang w:bidi="ar"/>
              </w:rPr>
              <w:t>DA001</w:t>
            </w:r>
            <w:r>
              <w:rPr>
                <w:rFonts w:hint="eastAsia" w:cs="宋体"/>
                <w:b/>
                <w:bCs/>
                <w:kern w:val="0"/>
                <w:sz w:val="24"/>
                <w:szCs w:val="20"/>
                <w:lang w:bidi="ar"/>
              </w:rPr>
              <w:t>）非正常排放</w:t>
            </w:r>
            <w:r>
              <w:rPr>
                <w:rFonts w:cs="宋体"/>
                <w:b/>
                <w:bCs/>
                <w:kern w:val="0"/>
                <w:sz w:val="24"/>
                <w:szCs w:val="20"/>
                <w:lang w:bidi="ar"/>
              </w:rPr>
              <w:t>估算模式计算结果</w:t>
            </w:r>
          </w:p>
          <w:tbl>
            <w:tblPr>
              <w:tblStyle w:val="32"/>
              <w:tblW w:w="4966" w:type="pct"/>
              <w:jc w:val="center"/>
              <w:tblLayout w:type="fixed"/>
              <w:tblCellMar>
                <w:top w:w="0" w:type="dxa"/>
                <w:left w:w="0" w:type="dxa"/>
                <w:bottom w:w="0" w:type="dxa"/>
                <w:right w:w="0" w:type="dxa"/>
              </w:tblCellMar>
            </w:tblPr>
            <w:tblGrid>
              <w:gridCol w:w="2450"/>
              <w:gridCol w:w="3418"/>
              <w:gridCol w:w="2280"/>
            </w:tblGrid>
            <w:tr>
              <w:tblPrEx>
                <w:tblCellMar>
                  <w:top w:w="0" w:type="dxa"/>
                  <w:left w:w="0" w:type="dxa"/>
                  <w:bottom w:w="0" w:type="dxa"/>
                  <w:right w:w="0" w:type="dxa"/>
                </w:tblCellMar>
              </w:tblPrEx>
              <w:trPr>
                <w:trHeight w:val="296" w:hRule="atLeast"/>
                <w:jc w:val="center"/>
              </w:trPr>
              <w:tc>
                <w:tcPr>
                  <w:tcW w:w="1503"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textAlignment w:val="center"/>
                    <w:rPr>
                      <w:b/>
                      <w:bCs/>
                      <w:kern w:val="0"/>
                      <w:szCs w:val="21"/>
                      <w:lang w:bidi="ar"/>
                    </w:rPr>
                  </w:pPr>
                  <w:r>
                    <w:rPr>
                      <w:b/>
                      <w:bCs/>
                      <w:kern w:val="0"/>
                      <w:szCs w:val="21"/>
                      <w:lang w:bidi="ar"/>
                    </w:rPr>
                    <w:t>距源中心下风向距离（m）</w:t>
                  </w:r>
                </w:p>
              </w:tc>
              <w:tc>
                <w:tcPr>
                  <w:tcW w:w="3496"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szCs w:val="21"/>
                      <w:lang w:bidi="ar"/>
                    </w:rPr>
                  </w:pPr>
                  <w:r>
                    <w:rPr>
                      <w:rFonts w:hint="eastAsia"/>
                      <w:b/>
                      <w:bCs/>
                    </w:rPr>
                    <w:t>DA001颗粒物</w:t>
                  </w:r>
                </w:p>
              </w:tc>
            </w:tr>
            <w:tr>
              <w:tblPrEx>
                <w:tblCellMar>
                  <w:top w:w="0" w:type="dxa"/>
                  <w:left w:w="0" w:type="dxa"/>
                  <w:bottom w:w="0" w:type="dxa"/>
                  <w:right w:w="0" w:type="dxa"/>
                </w:tblCellMar>
              </w:tblPrEx>
              <w:trPr>
                <w:trHeight w:val="296" w:hRule="atLeast"/>
                <w:jc w:val="center"/>
              </w:trPr>
              <w:tc>
                <w:tcPr>
                  <w:tcW w:w="1503"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szCs w:val="21"/>
                    </w:rPr>
                  </w:pPr>
                  <w:r>
                    <w:rPr>
                      <w:b/>
                      <w:szCs w:val="21"/>
                      <w:lang w:bidi="ar"/>
                    </w:rPr>
                    <w:t>最大小时筛选浓度(ug/m</w:t>
                  </w:r>
                  <w:r>
                    <w:rPr>
                      <w:b/>
                      <w:szCs w:val="21"/>
                      <w:vertAlign w:val="superscript"/>
                      <w:lang w:bidi="ar"/>
                    </w:rPr>
                    <w:t>3</w:t>
                  </w:r>
                  <w:r>
                    <w:rPr>
                      <w:b/>
                      <w:szCs w:val="21"/>
                      <w:lang w:bidi="ar"/>
                    </w:rPr>
                    <w:t>)</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szCs w:val="21"/>
                    </w:rPr>
                  </w:pPr>
                  <w:r>
                    <w:rPr>
                      <w:b/>
                      <w:szCs w:val="21"/>
                      <w:lang w:bidi="ar"/>
                    </w:rPr>
                    <w:t>浓度占标率Pi(%)</w:t>
                  </w:r>
                </w:p>
              </w:tc>
            </w:tr>
            <w:tr>
              <w:tblPrEx>
                <w:tblCellMar>
                  <w:top w:w="0" w:type="dxa"/>
                  <w:left w:w="0" w:type="dxa"/>
                  <w:bottom w:w="0" w:type="dxa"/>
                  <w:right w:w="0" w:type="dxa"/>
                </w:tblCellMar>
              </w:tblPrEx>
              <w:trPr>
                <w:trHeight w:val="222"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0.000242</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0.000054 </w:t>
                  </w:r>
                </w:p>
              </w:tc>
            </w:tr>
            <w:tr>
              <w:tblPrEx>
                <w:tblCellMar>
                  <w:top w:w="0" w:type="dxa"/>
                  <w:left w:w="0" w:type="dxa"/>
                  <w:bottom w:w="0" w:type="dxa"/>
                  <w:right w:w="0" w:type="dxa"/>
                </w:tblCellMar>
              </w:tblPrEx>
              <w:trPr>
                <w:trHeight w:val="90"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25</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1.0907</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0.24 </w:t>
                  </w:r>
                </w:p>
              </w:tc>
            </w:tr>
            <w:tr>
              <w:tblPrEx>
                <w:tblCellMar>
                  <w:top w:w="0" w:type="dxa"/>
                  <w:left w:w="0" w:type="dxa"/>
                  <w:bottom w:w="0" w:type="dxa"/>
                  <w:right w:w="0" w:type="dxa"/>
                </w:tblCellMar>
              </w:tblPrEx>
              <w:trPr>
                <w:trHeight w:val="265"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5.2193</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1.16 </w:t>
                  </w:r>
                </w:p>
              </w:tc>
            </w:tr>
            <w:tr>
              <w:tblPrEx>
                <w:tblCellMar>
                  <w:top w:w="0" w:type="dxa"/>
                  <w:left w:w="0" w:type="dxa"/>
                  <w:bottom w:w="0" w:type="dxa"/>
                  <w:right w:w="0" w:type="dxa"/>
                </w:tblCellMar>
              </w:tblPrEx>
              <w:trPr>
                <w:trHeight w:val="265"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75</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7.5191</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1.67 </w:t>
                  </w:r>
                </w:p>
              </w:tc>
            </w:tr>
            <w:tr>
              <w:tblPrEx>
                <w:tblCellMar>
                  <w:top w:w="0" w:type="dxa"/>
                  <w:left w:w="0" w:type="dxa"/>
                  <w:bottom w:w="0" w:type="dxa"/>
                  <w:right w:w="0" w:type="dxa"/>
                </w:tblCellMar>
              </w:tblPrEx>
              <w:trPr>
                <w:trHeight w:val="222"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9.222401</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2.05 </w:t>
                  </w:r>
                </w:p>
              </w:tc>
            </w:tr>
            <w:tr>
              <w:tblPrEx>
                <w:tblCellMar>
                  <w:top w:w="0" w:type="dxa"/>
                  <w:left w:w="0" w:type="dxa"/>
                  <w:bottom w:w="0" w:type="dxa"/>
                  <w:right w:w="0" w:type="dxa"/>
                </w:tblCellMar>
              </w:tblPrEx>
              <w:trPr>
                <w:trHeight w:val="176"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kern w:val="0"/>
                      <w:szCs w:val="21"/>
                      <w:lang w:bidi="ar"/>
                    </w:rPr>
                  </w:pPr>
                  <w:r>
                    <w:rPr>
                      <w:rFonts w:hint="eastAsia"/>
                    </w:rPr>
                    <w:t>200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17.439</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3.88 </w:t>
                  </w:r>
                </w:p>
              </w:tc>
            </w:tr>
            <w:tr>
              <w:tblPrEx>
                <w:tblCellMar>
                  <w:top w:w="0" w:type="dxa"/>
                  <w:left w:w="0" w:type="dxa"/>
                  <w:bottom w:w="0" w:type="dxa"/>
                  <w:right w:w="0" w:type="dxa"/>
                </w:tblCellMar>
              </w:tblPrEx>
              <w:trPr>
                <w:trHeight w:val="265"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rPr>
                  </w:pPr>
                  <w:r>
                    <w:rPr>
                      <w:rFonts w:hint="eastAsia"/>
                      <w:b/>
                      <w:bCs/>
                    </w:rPr>
                    <w:t>2</w:t>
                  </w:r>
                  <w:r>
                    <w:rPr>
                      <w:b/>
                      <w:bCs/>
                    </w:rPr>
                    <w:t>60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rPr>
                      <w:b/>
                      <w:bCs/>
                    </w:rPr>
                  </w:pPr>
                  <w:r>
                    <w:rPr>
                      <w:b/>
                      <w:bCs/>
                    </w:rPr>
                    <w:t>19.083</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rPr>
                      <w:b/>
                      <w:bCs/>
                      <w:color w:val="000000"/>
                      <w:kern w:val="0"/>
                      <w:szCs w:val="21"/>
                      <w:lang w:bidi="ar"/>
                    </w:rPr>
                  </w:pPr>
                  <w:r>
                    <w:rPr>
                      <w:rFonts w:eastAsia="等线"/>
                      <w:b/>
                      <w:bCs/>
                      <w:color w:val="000000"/>
                      <w:szCs w:val="21"/>
                    </w:rPr>
                    <w:t xml:space="preserve">4.24 </w:t>
                  </w:r>
                </w:p>
              </w:tc>
            </w:tr>
            <w:tr>
              <w:tblPrEx>
                <w:tblCellMar>
                  <w:top w:w="0" w:type="dxa"/>
                  <w:left w:w="0" w:type="dxa"/>
                  <w:bottom w:w="0" w:type="dxa"/>
                  <w:right w:w="0" w:type="dxa"/>
                </w:tblCellMar>
              </w:tblPrEx>
              <w:trPr>
                <w:trHeight w:val="265"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300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18.654</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4.15 </w:t>
                  </w:r>
                </w:p>
              </w:tc>
            </w:tr>
            <w:tr>
              <w:tblPrEx>
                <w:tblCellMar>
                  <w:top w:w="0" w:type="dxa"/>
                  <w:left w:w="0" w:type="dxa"/>
                  <w:bottom w:w="0" w:type="dxa"/>
                  <w:right w:w="0" w:type="dxa"/>
                </w:tblCellMar>
              </w:tblPrEx>
              <w:trPr>
                <w:trHeight w:val="265"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r>
                    <w:rPr>
                      <w:rFonts w:hint="eastAsia"/>
                    </w:rPr>
                    <w:t>400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16.652</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3.70 </w:t>
                  </w:r>
                </w:p>
              </w:tc>
            </w:tr>
            <w:tr>
              <w:tblPrEx>
                <w:tblCellMar>
                  <w:top w:w="0" w:type="dxa"/>
                  <w:left w:w="0" w:type="dxa"/>
                  <w:bottom w:w="0" w:type="dxa"/>
                  <w:right w:w="0" w:type="dxa"/>
                </w:tblCellMar>
              </w:tblPrEx>
              <w:trPr>
                <w:trHeight w:val="144"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14.56</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3.24 </w:t>
                  </w:r>
                </w:p>
              </w:tc>
            </w:tr>
            <w:tr>
              <w:tblPrEx>
                <w:tblCellMar>
                  <w:top w:w="0" w:type="dxa"/>
                  <w:left w:w="0" w:type="dxa"/>
                  <w:bottom w:w="0" w:type="dxa"/>
                  <w:right w:w="0" w:type="dxa"/>
                </w:tblCellMar>
              </w:tblPrEx>
              <w:trPr>
                <w:trHeight w:val="175"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1000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jc w:val="center"/>
                  </w:pPr>
                  <w:r>
                    <w:t>8.558801</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pPr>
                  <w:r>
                    <w:rPr>
                      <w:rFonts w:eastAsia="等线"/>
                      <w:color w:val="000000"/>
                      <w:szCs w:val="21"/>
                    </w:rPr>
                    <w:t xml:space="preserve">1.90 </w:t>
                  </w:r>
                </w:p>
              </w:tc>
            </w:tr>
            <w:tr>
              <w:tblPrEx>
                <w:tblCellMar>
                  <w:top w:w="0" w:type="dxa"/>
                  <w:left w:w="0" w:type="dxa"/>
                  <w:bottom w:w="0" w:type="dxa"/>
                  <w:right w:w="0" w:type="dxa"/>
                </w:tblCellMar>
              </w:tblPrEx>
              <w:trPr>
                <w:trHeight w:val="265"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2000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kern w:val="0"/>
                      <w:szCs w:val="21"/>
                      <w:lang w:bidi="ar"/>
                    </w:rPr>
                    <w:t>6.0963</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rPr>
                      <w:kern w:val="0"/>
                      <w:szCs w:val="21"/>
                      <w:lang w:bidi="ar"/>
                    </w:rPr>
                  </w:pPr>
                  <w:r>
                    <w:rPr>
                      <w:rFonts w:eastAsia="等线"/>
                      <w:color w:val="000000"/>
                      <w:szCs w:val="21"/>
                    </w:rPr>
                    <w:t xml:space="preserve">1.35 </w:t>
                  </w:r>
                </w:p>
              </w:tc>
            </w:tr>
            <w:tr>
              <w:tblPrEx>
                <w:tblCellMar>
                  <w:top w:w="0" w:type="dxa"/>
                  <w:left w:w="0" w:type="dxa"/>
                  <w:bottom w:w="0" w:type="dxa"/>
                  <w:right w:w="0" w:type="dxa"/>
                </w:tblCellMar>
              </w:tblPrEx>
              <w:trPr>
                <w:trHeight w:val="275" w:hRule="atLeast"/>
                <w:jc w:val="center"/>
              </w:trPr>
              <w:tc>
                <w:tcPr>
                  <w:tcW w:w="15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2500</w:t>
                  </w:r>
                </w:p>
              </w:tc>
              <w:tc>
                <w:tcPr>
                  <w:tcW w:w="20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kern w:val="0"/>
                      <w:szCs w:val="21"/>
                      <w:lang w:bidi="ar"/>
                    </w:rPr>
                    <w:t>5.151401</w:t>
                  </w:r>
                </w:p>
              </w:tc>
              <w:tc>
                <w:tcPr>
                  <w:tcW w:w="13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rPr>
                      <w:kern w:val="0"/>
                      <w:szCs w:val="21"/>
                      <w:lang w:bidi="ar"/>
                    </w:rPr>
                  </w:pPr>
                  <w:r>
                    <w:rPr>
                      <w:rFonts w:eastAsia="等线"/>
                      <w:color w:val="000000"/>
                      <w:szCs w:val="21"/>
                    </w:rPr>
                    <w:t xml:space="preserve">1.14 </w:t>
                  </w:r>
                </w:p>
              </w:tc>
            </w:tr>
          </w:tbl>
          <w:p>
            <w:pPr>
              <w:adjustRightInd w:val="0"/>
              <w:spacing w:before="120" w:beforeLines="50" w:line="360" w:lineRule="auto"/>
              <w:ind w:firstLine="480" w:firstLineChars="200"/>
              <w:rPr>
                <w:bCs/>
                <w:sz w:val="24"/>
              </w:rPr>
            </w:pPr>
            <w:r>
              <w:rPr>
                <w:bCs/>
                <w:sz w:val="24"/>
                <w:highlight w:val="green"/>
              </w:rPr>
              <w:t>非正常工况下，</w:t>
            </w:r>
            <w:r>
              <w:rPr>
                <w:rFonts w:hint="eastAsia"/>
                <w:bCs/>
                <w:sz w:val="24"/>
                <w:highlight w:val="green"/>
              </w:rPr>
              <w:t>本</w:t>
            </w:r>
            <w:r>
              <w:rPr>
                <w:bCs/>
                <w:sz w:val="24"/>
                <w:highlight w:val="green"/>
              </w:rPr>
              <w:t>项目</w:t>
            </w:r>
            <w:r>
              <w:rPr>
                <w:rFonts w:hint="eastAsia"/>
                <w:bCs/>
                <w:sz w:val="24"/>
                <w:highlight w:val="green"/>
              </w:rPr>
              <w:t>供热工程技改新增5t/h导热油锅炉废气排气筒</w:t>
            </w:r>
            <w:r>
              <w:rPr>
                <w:bCs/>
                <w:sz w:val="24"/>
                <w:highlight w:val="green"/>
              </w:rPr>
              <w:t>DA001排放颗粒物最大落地浓度分别为19.083μg/m</w:t>
            </w:r>
            <w:r>
              <w:rPr>
                <w:bCs/>
                <w:sz w:val="24"/>
                <w:highlight w:val="green"/>
                <w:vertAlign w:val="superscript"/>
              </w:rPr>
              <w:t>3</w:t>
            </w:r>
            <w:r>
              <w:rPr>
                <w:bCs/>
                <w:sz w:val="24"/>
                <w:highlight w:val="green"/>
              </w:rPr>
              <w:t>，最大占标率分别为4.24%</w:t>
            </w:r>
            <w:r>
              <w:rPr>
                <w:rFonts w:hint="eastAsia"/>
                <w:bCs/>
                <w:sz w:val="24"/>
                <w:highlight w:val="green"/>
              </w:rPr>
              <w:t>，</w:t>
            </w:r>
            <w:r>
              <w:rPr>
                <w:bCs/>
                <w:sz w:val="24"/>
                <w:highlight w:val="green"/>
              </w:rPr>
              <w:t>位于下风向260</w:t>
            </w:r>
            <w:r>
              <w:rPr>
                <w:rFonts w:hint="eastAsia"/>
                <w:bCs/>
                <w:sz w:val="24"/>
                <w:highlight w:val="green"/>
              </w:rPr>
              <w:t>m。</w:t>
            </w:r>
            <w:r>
              <w:rPr>
                <w:bCs/>
                <w:sz w:val="24"/>
              </w:rPr>
              <w:t>由此可见，</w:t>
            </w:r>
            <w:r>
              <w:rPr>
                <w:rFonts w:hint="eastAsia"/>
                <w:bCs/>
                <w:sz w:val="24"/>
              </w:rPr>
              <w:t>本</w:t>
            </w:r>
            <w:r>
              <w:rPr>
                <w:bCs/>
                <w:sz w:val="24"/>
              </w:rPr>
              <w:t>项目</w:t>
            </w:r>
            <w:r>
              <w:rPr>
                <w:rFonts w:hint="eastAsia"/>
                <w:bCs/>
                <w:sz w:val="24"/>
              </w:rPr>
              <w:t>供热工程技改新增5t/h导热油锅炉</w:t>
            </w:r>
            <w:r>
              <w:rPr>
                <w:bCs/>
                <w:sz w:val="24"/>
              </w:rPr>
              <w:t>废气治理设施运行不正常时，项目下风向</w:t>
            </w:r>
            <w:r>
              <w:rPr>
                <w:rFonts w:hint="eastAsia"/>
                <w:bCs/>
                <w:sz w:val="24"/>
              </w:rPr>
              <w:t>颗粒物</w:t>
            </w:r>
            <w:r>
              <w:rPr>
                <w:bCs/>
                <w:sz w:val="24"/>
              </w:rPr>
              <w:t>最大落地浓度虽均能满足《环境空气质量标准》（GB3095-2012）中的二级标准，但较正常工况下增加较大，对区域环境空气质量的影响加重。</w:t>
            </w:r>
          </w:p>
          <w:p>
            <w:pPr>
              <w:adjustRightInd w:val="0"/>
              <w:spacing w:line="360" w:lineRule="auto"/>
              <w:ind w:firstLine="480" w:firstLineChars="200"/>
              <w:rPr>
                <w:sz w:val="24"/>
                <w:szCs w:val="20"/>
              </w:rPr>
            </w:pPr>
            <w:r>
              <w:rPr>
                <w:bCs/>
                <w:sz w:val="24"/>
              </w:rPr>
              <w:t>因此，建设单位要做好废气处理系统维护保养工作，确保处于正常运转状态，一旦处理设施发生故障，应立即停止生产进行检修，待处理设施恢复正常工作再恢复生产</w:t>
            </w:r>
            <w:r>
              <w:rPr>
                <w:rFonts w:hint="eastAsia"/>
                <w:bCs/>
                <w:sz w:val="24"/>
              </w:rPr>
              <w:t>。</w:t>
            </w:r>
            <w:r>
              <w:rPr>
                <w:sz w:val="24"/>
                <w:szCs w:val="20"/>
              </w:rPr>
              <w:t>在生产过程中，为防止非正常排放情况下废气对周围环境的影响，本次环评提出以下要求：</w:t>
            </w:r>
          </w:p>
          <w:p>
            <w:pPr>
              <w:adjustRightInd w:val="0"/>
              <w:spacing w:line="360" w:lineRule="auto"/>
              <w:ind w:firstLine="480" w:firstLineChars="200"/>
              <w:rPr>
                <w:sz w:val="24"/>
                <w:szCs w:val="20"/>
              </w:rPr>
            </w:pPr>
            <w:r>
              <w:rPr>
                <w:rFonts w:hint="eastAsia"/>
                <w:sz w:val="24"/>
                <w:szCs w:val="20"/>
              </w:rPr>
              <w:t>①</w:t>
            </w:r>
            <w:r>
              <w:rPr>
                <w:sz w:val="24"/>
                <w:szCs w:val="20"/>
              </w:rPr>
              <w:t>开</w:t>
            </w:r>
            <w:r>
              <w:rPr>
                <w:rFonts w:hint="eastAsia"/>
                <w:sz w:val="24"/>
                <w:szCs w:val="20"/>
              </w:rPr>
              <w:t>车</w:t>
            </w:r>
            <w:r>
              <w:rPr>
                <w:sz w:val="24"/>
                <w:szCs w:val="20"/>
              </w:rPr>
              <w:t>前，首先运行所有的废气处理设备，然后再开启各生产设备，使生产中产生的废气都能得到有效治理；</w:t>
            </w:r>
          </w:p>
          <w:p>
            <w:pPr>
              <w:adjustRightInd w:val="0"/>
              <w:spacing w:line="360" w:lineRule="auto"/>
              <w:ind w:firstLine="480" w:firstLineChars="200"/>
              <w:rPr>
                <w:sz w:val="24"/>
                <w:szCs w:val="20"/>
              </w:rPr>
            </w:pPr>
            <w:r>
              <w:rPr>
                <w:rFonts w:hint="eastAsia"/>
                <w:sz w:val="24"/>
                <w:szCs w:val="20"/>
              </w:rPr>
              <w:t>②</w:t>
            </w:r>
            <w:r>
              <w:rPr>
                <w:sz w:val="24"/>
                <w:szCs w:val="20"/>
              </w:rPr>
              <w:t>停车前首先逐步停止生产设备的运行，同时继续保持环保治理设备的运转，待废气全部排出后方可停止运行，采取以上措施后，能确保生产设备在开停</w:t>
            </w:r>
            <w:r>
              <w:rPr>
                <w:rFonts w:hint="eastAsia"/>
                <w:sz w:val="24"/>
                <w:szCs w:val="20"/>
              </w:rPr>
              <w:t>机</w:t>
            </w:r>
            <w:r>
              <w:rPr>
                <w:sz w:val="24"/>
                <w:szCs w:val="20"/>
              </w:rPr>
              <w:t>时排</w:t>
            </w:r>
            <w:r>
              <w:rPr>
                <w:kern w:val="0"/>
                <w:sz w:val="24"/>
              </w:rPr>
              <w:t>出的污染物均得到有效治理。</w:t>
            </w:r>
          </w:p>
          <w:p>
            <w:pPr>
              <w:adjustRightInd w:val="0"/>
              <w:spacing w:line="360" w:lineRule="auto"/>
              <w:ind w:firstLine="480" w:firstLineChars="200"/>
              <w:rPr>
                <w:sz w:val="24"/>
                <w:szCs w:val="20"/>
              </w:rPr>
            </w:pPr>
            <w:r>
              <w:rPr>
                <w:rFonts w:hint="eastAsia"/>
                <w:sz w:val="24"/>
                <w:szCs w:val="20"/>
              </w:rPr>
              <w:t>③</w:t>
            </w:r>
            <w:r>
              <w:rPr>
                <w:sz w:val="24"/>
                <w:szCs w:val="20"/>
              </w:rPr>
              <w:t>计划停电一般均提前通知，同时企业配备双回路电源，避免突发性停电对正常生产造成影响。</w:t>
            </w:r>
          </w:p>
          <w:p>
            <w:pPr>
              <w:adjustRightInd w:val="0"/>
              <w:spacing w:line="360" w:lineRule="auto"/>
              <w:ind w:firstLine="480" w:firstLineChars="200"/>
              <w:rPr>
                <w:sz w:val="24"/>
                <w:szCs w:val="20"/>
              </w:rPr>
            </w:pPr>
            <w:r>
              <w:rPr>
                <w:rFonts w:hint="eastAsia"/>
                <w:sz w:val="24"/>
                <w:szCs w:val="20"/>
              </w:rPr>
              <w:t>④</w:t>
            </w:r>
            <w:r>
              <w:rPr>
                <w:sz w:val="24"/>
                <w:szCs w:val="20"/>
              </w:rPr>
              <w:t>设专人管理环保设施，定期检查各环保设施运行情况，一旦发现故障，立即停止相关工段作业组织检修。</w:t>
            </w:r>
          </w:p>
          <w:p>
            <w:pPr>
              <w:adjustRightInd w:val="0"/>
              <w:spacing w:line="360" w:lineRule="auto"/>
              <w:ind w:firstLine="480" w:firstLineChars="200"/>
              <w:rPr>
                <w:sz w:val="24"/>
                <w:szCs w:val="20"/>
              </w:rPr>
            </w:pPr>
            <w:r>
              <w:rPr>
                <w:rFonts w:hint="eastAsia"/>
                <w:sz w:val="24"/>
                <w:szCs w:val="20"/>
              </w:rPr>
              <w:t>⑤</w:t>
            </w:r>
            <w:r>
              <w:rPr>
                <w:sz w:val="24"/>
                <w:szCs w:val="20"/>
              </w:rPr>
              <w:t>定期检查风机的运行情况，一旦发现故障，立即停止相关工段作业组织检修。由专人负责管理记录台账，定期监测进出口并记录。</w:t>
            </w:r>
          </w:p>
          <w:p>
            <w:pPr>
              <w:adjustRightInd w:val="0"/>
              <w:spacing w:line="360" w:lineRule="auto"/>
              <w:ind w:firstLine="482" w:firstLineChars="200"/>
              <w:rPr>
                <w:b/>
                <w:bCs/>
                <w:sz w:val="24"/>
                <w:highlight w:val="green"/>
              </w:rPr>
            </w:pPr>
            <w:r>
              <w:rPr>
                <w:rFonts w:hint="eastAsia"/>
                <w:b/>
                <w:bCs/>
                <w:sz w:val="24"/>
                <w:highlight w:val="green"/>
              </w:rPr>
              <w:t>②本项目环保工程技改大气环境影响分析</w:t>
            </w:r>
          </w:p>
          <w:p>
            <w:pPr>
              <w:spacing w:line="360" w:lineRule="auto"/>
              <w:ind w:firstLine="480" w:firstLineChars="200"/>
              <w:rPr>
                <w:b/>
                <w:bCs/>
                <w:sz w:val="24"/>
              </w:rPr>
            </w:pPr>
            <w:r>
              <w:rPr>
                <w:rFonts w:hint="eastAsia" w:cs="宋体"/>
                <w:kern w:val="0"/>
                <w:sz w:val="24"/>
                <w:szCs w:val="21"/>
                <w:highlight w:val="green"/>
              </w:rPr>
              <w:t>本项目环保工程技改中</w:t>
            </w:r>
            <w:r>
              <w:rPr>
                <w:rFonts w:hint="eastAsia"/>
                <w:sz w:val="24"/>
                <w:highlight w:val="green"/>
              </w:rPr>
              <w:t>现有7</w:t>
            </w:r>
            <w:r>
              <w:rPr>
                <w:sz w:val="24"/>
                <w:highlight w:val="green"/>
              </w:rPr>
              <w:t>t/h</w:t>
            </w:r>
            <w:r>
              <w:rPr>
                <w:rFonts w:hint="eastAsia"/>
                <w:sz w:val="24"/>
                <w:highlight w:val="green"/>
              </w:rPr>
              <w:t>导热油锅炉烟气治理设施新增的水膜除尘装置及筛选工序、打磨工序、热压凉板工序配套的废气治理设施新增的布袋除尘装置运行过程中不产生废气，主要对现有7</w:t>
            </w:r>
            <w:r>
              <w:rPr>
                <w:sz w:val="24"/>
                <w:highlight w:val="green"/>
              </w:rPr>
              <w:t>t/h</w:t>
            </w:r>
            <w:r>
              <w:rPr>
                <w:rFonts w:hint="eastAsia"/>
                <w:sz w:val="24"/>
                <w:highlight w:val="green"/>
              </w:rPr>
              <w:t>导热油锅炉、筛选工序、打磨工序、热压及凉板工序污染物排放量进行了削减。</w:t>
            </w:r>
          </w:p>
          <w:p>
            <w:pPr>
              <w:adjustRightInd w:val="0"/>
              <w:spacing w:line="360" w:lineRule="auto"/>
              <w:ind w:firstLine="480" w:firstLineChars="200"/>
              <w:rPr>
                <w:sz w:val="24"/>
                <w:highlight w:val="green"/>
              </w:rPr>
            </w:pPr>
            <w:r>
              <w:rPr>
                <w:rFonts w:hint="eastAsia"/>
                <w:sz w:val="24"/>
                <w:highlight w:val="green"/>
              </w:rPr>
              <w:t>本项目环保工程技改对现有项目锅炉房</w:t>
            </w:r>
            <w:r>
              <w:rPr>
                <w:sz w:val="24"/>
                <w:szCs w:val="21"/>
                <w:highlight w:val="green"/>
              </w:rPr>
              <w:t>7t/h</w:t>
            </w:r>
            <w:r>
              <w:rPr>
                <w:rFonts w:hint="eastAsia"/>
                <w:sz w:val="24"/>
                <w:szCs w:val="21"/>
                <w:highlight w:val="green"/>
              </w:rPr>
              <w:t>导热油锅炉废气处理设施技改后，</w:t>
            </w:r>
            <w:r>
              <w:rPr>
                <w:rFonts w:hint="eastAsia"/>
                <w:sz w:val="24"/>
                <w:highlight w:val="green"/>
              </w:rPr>
              <w:t>7t/h导热油锅炉颗粒物排放量较技改前削减2.414t/a；</w:t>
            </w:r>
            <w:r>
              <w:rPr>
                <w:rFonts w:hint="eastAsia"/>
                <w:bCs/>
                <w:snapToGrid w:val="0"/>
                <w:kern w:val="0"/>
                <w:sz w:val="24"/>
                <w:highlight w:val="green"/>
              </w:rPr>
              <w:t>本项目环保工程技改</w:t>
            </w:r>
            <w:r>
              <w:rPr>
                <w:rFonts w:hint="eastAsia"/>
                <w:sz w:val="24"/>
                <w:highlight w:val="green"/>
              </w:rPr>
              <w:t>对现有项目</w:t>
            </w:r>
            <w:r>
              <w:rPr>
                <w:rFonts w:hint="eastAsia"/>
                <w:sz w:val="24"/>
                <w:szCs w:val="21"/>
                <w:highlight w:val="green"/>
              </w:rPr>
              <w:t>热压、凉板环节废气治理设施技改后，</w:t>
            </w:r>
            <w:r>
              <w:rPr>
                <w:rFonts w:hint="eastAsia"/>
                <w:sz w:val="24"/>
                <w:highlight w:val="green"/>
              </w:rPr>
              <w:t>非甲烷总烃、甲醛排放量较技改前分别削减1.1432t/a、0.504t/a。本项目环保工程技改对现有项目筛选打磨工序废气处理设施技改后，无组织排放量较技改前削减0.79325t/a。</w:t>
            </w:r>
          </w:p>
          <w:p>
            <w:pPr>
              <w:adjustRightInd w:val="0"/>
              <w:spacing w:line="360" w:lineRule="auto"/>
              <w:ind w:firstLine="480" w:firstLineChars="200"/>
              <w:rPr>
                <w:bCs/>
                <w:snapToGrid w:val="0"/>
                <w:kern w:val="0"/>
                <w:sz w:val="24"/>
                <w:highlight w:val="green"/>
              </w:rPr>
            </w:pPr>
            <w:r>
              <w:rPr>
                <w:rFonts w:hint="eastAsia"/>
                <w:bCs/>
                <w:snapToGrid w:val="0"/>
                <w:kern w:val="0"/>
                <w:sz w:val="24"/>
                <w:highlight w:val="green"/>
              </w:rPr>
              <w:t>本项目环保工程技改削减了污染物排放量，本次评价以被削减排放量的污染物削减后的排放速率进行预测分析污染物排放量削减后对环境的影响。</w:t>
            </w:r>
          </w:p>
          <w:p>
            <w:pPr>
              <w:spacing w:line="360" w:lineRule="auto"/>
              <w:ind w:firstLine="480" w:firstLineChars="200"/>
              <w:rPr>
                <w:sz w:val="24"/>
              </w:rPr>
            </w:pPr>
            <w:r>
              <w:rPr>
                <w:rFonts w:hint="eastAsia"/>
                <w:sz w:val="24"/>
              </w:rPr>
              <w:t>本项目环保工程技改涉及有组织污染源</w:t>
            </w:r>
            <w:r>
              <w:rPr>
                <w:sz w:val="24"/>
              </w:rPr>
              <w:t>废气</w:t>
            </w:r>
            <w:r>
              <w:rPr>
                <w:rFonts w:hint="eastAsia"/>
                <w:sz w:val="24"/>
              </w:rPr>
              <w:t>排放基本信息见下表4-11</w:t>
            </w:r>
            <w:r>
              <w:rPr>
                <w:sz w:val="24"/>
              </w:rPr>
              <w:t>：</w:t>
            </w:r>
          </w:p>
          <w:p>
            <w:pPr>
              <w:spacing w:line="360" w:lineRule="auto"/>
              <w:ind w:firstLine="482" w:firstLineChars="200"/>
              <w:jc w:val="center"/>
              <w:rPr>
                <w:rFonts w:cs="宋体"/>
                <w:b/>
                <w:bCs/>
                <w:kern w:val="0"/>
                <w:sz w:val="24"/>
                <w:szCs w:val="20"/>
                <w:lang w:bidi="ar"/>
              </w:rPr>
            </w:pPr>
          </w:p>
          <w:p>
            <w:pPr>
              <w:spacing w:line="360" w:lineRule="auto"/>
              <w:ind w:firstLine="482" w:firstLineChars="200"/>
              <w:jc w:val="center"/>
              <w:rPr>
                <w:rFonts w:cs="宋体"/>
                <w:b/>
                <w:bCs/>
                <w:kern w:val="0"/>
                <w:sz w:val="24"/>
                <w:szCs w:val="20"/>
                <w:lang w:bidi="ar"/>
              </w:rPr>
            </w:pPr>
          </w:p>
          <w:p>
            <w:pPr>
              <w:spacing w:line="360" w:lineRule="auto"/>
              <w:ind w:firstLine="482" w:firstLineChars="200"/>
              <w:jc w:val="center"/>
              <w:rPr>
                <w:rFonts w:cs="宋体"/>
                <w:b/>
                <w:bCs/>
                <w:kern w:val="0"/>
                <w:sz w:val="24"/>
                <w:szCs w:val="20"/>
                <w:lang w:bidi="ar"/>
              </w:rPr>
            </w:pPr>
          </w:p>
          <w:p>
            <w:pPr>
              <w:spacing w:line="360" w:lineRule="auto"/>
              <w:ind w:firstLine="482" w:firstLineChars="200"/>
              <w:jc w:val="center"/>
              <w:rPr>
                <w:rFonts w:cs="宋体"/>
                <w:b/>
                <w:bCs/>
                <w:kern w:val="0"/>
                <w:sz w:val="24"/>
                <w:szCs w:val="20"/>
                <w:lang w:bidi="ar"/>
              </w:rPr>
            </w:pPr>
          </w:p>
          <w:p>
            <w:pPr>
              <w:spacing w:line="360" w:lineRule="auto"/>
              <w:ind w:firstLine="482" w:firstLineChars="200"/>
              <w:jc w:val="center"/>
              <w:rPr>
                <w:rFonts w:cs="宋体"/>
                <w:b/>
                <w:bCs/>
                <w:kern w:val="0"/>
                <w:sz w:val="24"/>
                <w:szCs w:val="20"/>
                <w:lang w:bidi="ar"/>
              </w:rPr>
            </w:pPr>
          </w:p>
          <w:p>
            <w:pPr>
              <w:spacing w:line="360" w:lineRule="auto"/>
              <w:ind w:firstLine="482" w:firstLineChars="200"/>
              <w:jc w:val="center"/>
              <w:rPr>
                <w:rFonts w:cs="宋体"/>
                <w:b/>
                <w:bCs/>
                <w:kern w:val="0"/>
                <w:sz w:val="24"/>
                <w:szCs w:val="20"/>
                <w:lang w:bidi="ar"/>
              </w:rPr>
            </w:pPr>
          </w:p>
          <w:p>
            <w:pPr>
              <w:spacing w:line="360" w:lineRule="auto"/>
              <w:ind w:firstLine="482" w:firstLineChars="200"/>
              <w:jc w:val="center"/>
              <w:rPr>
                <w:rFonts w:cs="宋体"/>
                <w:b/>
                <w:bCs/>
                <w:kern w:val="0"/>
                <w:sz w:val="24"/>
                <w:szCs w:val="20"/>
                <w:lang w:bidi="ar"/>
              </w:rPr>
            </w:pPr>
          </w:p>
          <w:p>
            <w:pPr>
              <w:spacing w:before="120" w:beforeLines="50" w:line="360" w:lineRule="auto"/>
              <w:ind w:firstLine="482" w:firstLineChars="200"/>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 xml:space="preserve">4-11  </w:t>
            </w:r>
            <w:r>
              <w:rPr>
                <w:rFonts w:hint="eastAsia" w:cs="宋体"/>
                <w:b/>
                <w:bCs/>
                <w:kern w:val="0"/>
                <w:sz w:val="24"/>
                <w:szCs w:val="20"/>
                <w:highlight w:val="green"/>
                <w:lang w:bidi="ar"/>
              </w:rPr>
              <w:t>本项目环保工程技改涉及</w:t>
            </w:r>
            <w:r>
              <w:rPr>
                <w:rFonts w:hint="eastAsia" w:cs="宋体"/>
                <w:b/>
                <w:bCs/>
                <w:kern w:val="0"/>
                <w:sz w:val="24"/>
                <w:szCs w:val="20"/>
                <w:lang w:bidi="ar"/>
              </w:rPr>
              <w:t>有组织</w:t>
            </w:r>
            <w:r>
              <w:rPr>
                <w:rFonts w:cs="宋体"/>
                <w:b/>
                <w:bCs/>
                <w:kern w:val="0"/>
                <w:sz w:val="24"/>
                <w:szCs w:val="20"/>
                <w:lang w:bidi="ar"/>
              </w:rPr>
              <w:t>污染源</w:t>
            </w:r>
            <w:r>
              <w:rPr>
                <w:rFonts w:hint="eastAsia" w:cs="宋体"/>
                <w:b/>
                <w:bCs/>
                <w:kern w:val="0"/>
                <w:sz w:val="24"/>
                <w:szCs w:val="20"/>
                <w:lang w:bidi="ar"/>
              </w:rPr>
              <w:t>正常</w:t>
            </w:r>
            <w:r>
              <w:rPr>
                <w:rFonts w:cs="宋体"/>
                <w:b/>
                <w:bCs/>
                <w:kern w:val="0"/>
                <w:sz w:val="24"/>
                <w:szCs w:val="20"/>
                <w:lang w:bidi="ar"/>
              </w:rPr>
              <w:t>排污情况汇总表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586"/>
              <w:gridCol w:w="773"/>
              <w:gridCol w:w="786"/>
              <w:gridCol w:w="671"/>
              <w:gridCol w:w="644"/>
              <w:gridCol w:w="572"/>
              <w:gridCol w:w="628"/>
              <w:gridCol w:w="655"/>
              <w:gridCol w:w="555"/>
              <w:gridCol w:w="827"/>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18" w:type="pct"/>
                  <w:vMerge w:val="restart"/>
                  <w:tcMar>
                    <w:left w:w="57" w:type="dxa"/>
                    <w:right w:w="57" w:type="dxa"/>
                  </w:tcMar>
                  <w:vAlign w:val="center"/>
                </w:tcPr>
                <w:p>
                  <w:pPr>
                    <w:pStyle w:val="8"/>
                    <w:adjustRightInd w:val="0"/>
                    <w:ind w:firstLine="0" w:firstLineChars="0"/>
                    <w:jc w:val="center"/>
                    <w:rPr>
                      <w:b/>
                      <w:szCs w:val="21"/>
                    </w:rPr>
                  </w:pPr>
                  <w:r>
                    <w:rPr>
                      <w:rFonts w:hint="eastAsia"/>
                      <w:b/>
                      <w:szCs w:val="21"/>
                    </w:rPr>
                    <w:t>编号</w:t>
                  </w:r>
                </w:p>
              </w:tc>
              <w:tc>
                <w:tcPr>
                  <w:tcW w:w="357" w:type="pct"/>
                  <w:vMerge w:val="restart"/>
                  <w:tcMar>
                    <w:left w:w="57" w:type="dxa"/>
                    <w:right w:w="57" w:type="dxa"/>
                  </w:tcMar>
                  <w:vAlign w:val="center"/>
                </w:tcPr>
                <w:p>
                  <w:pPr>
                    <w:pStyle w:val="8"/>
                    <w:adjustRightInd w:val="0"/>
                    <w:ind w:firstLine="0" w:firstLineChars="0"/>
                    <w:jc w:val="center"/>
                    <w:rPr>
                      <w:b/>
                      <w:szCs w:val="21"/>
                    </w:rPr>
                  </w:pPr>
                  <w:r>
                    <w:rPr>
                      <w:b/>
                      <w:szCs w:val="21"/>
                    </w:rPr>
                    <w:t>污染源</w:t>
                  </w:r>
                </w:p>
              </w:tc>
              <w:tc>
                <w:tcPr>
                  <w:tcW w:w="950" w:type="pct"/>
                  <w:gridSpan w:val="2"/>
                  <w:tcMar>
                    <w:left w:w="57" w:type="dxa"/>
                    <w:right w:w="57" w:type="dxa"/>
                  </w:tcMar>
                  <w:vAlign w:val="center"/>
                </w:tcPr>
                <w:p>
                  <w:pPr>
                    <w:pStyle w:val="8"/>
                    <w:adjustRightInd w:val="0"/>
                    <w:ind w:firstLine="0" w:firstLineChars="0"/>
                    <w:jc w:val="center"/>
                    <w:rPr>
                      <w:b/>
                      <w:szCs w:val="21"/>
                    </w:rPr>
                  </w:pPr>
                  <w:r>
                    <w:rPr>
                      <w:rFonts w:hint="eastAsia"/>
                      <w:b/>
                      <w:szCs w:val="21"/>
                    </w:rPr>
                    <w:t>排气筒底部中心坐标/</w:t>
                  </w:r>
                </w:p>
              </w:tc>
              <w:tc>
                <w:tcPr>
                  <w:tcW w:w="409" w:type="pct"/>
                  <w:vMerge w:val="restart"/>
                  <w:tcMar>
                    <w:left w:w="57" w:type="dxa"/>
                    <w:right w:w="57" w:type="dxa"/>
                  </w:tcMar>
                  <w:vAlign w:val="center"/>
                </w:tcPr>
                <w:p>
                  <w:pPr>
                    <w:pStyle w:val="8"/>
                    <w:adjustRightInd w:val="0"/>
                    <w:ind w:firstLine="0" w:firstLineChars="0"/>
                    <w:jc w:val="center"/>
                    <w:rPr>
                      <w:b/>
                      <w:szCs w:val="21"/>
                    </w:rPr>
                  </w:pPr>
                  <w:r>
                    <w:rPr>
                      <w:rFonts w:hint="eastAsia"/>
                      <w:b/>
                      <w:szCs w:val="21"/>
                    </w:rPr>
                    <w:t>排气筒底部海拔高度</w:t>
                  </w:r>
                  <w:r>
                    <w:rPr>
                      <w:b/>
                      <w:szCs w:val="21"/>
                    </w:rPr>
                    <w:t>/m</w:t>
                  </w:r>
                </w:p>
              </w:tc>
              <w:tc>
                <w:tcPr>
                  <w:tcW w:w="393" w:type="pct"/>
                  <w:vMerge w:val="restart"/>
                  <w:tcMar>
                    <w:left w:w="57" w:type="dxa"/>
                    <w:right w:w="57" w:type="dxa"/>
                  </w:tcMar>
                  <w:vAlign w:val="center"/>
                </w:tcPr>
                <w:p>
                  <w:pPr>
                    <w:pStyle w:val="8"/>
                    <w:adjustRightInd w:val="0"/>
                    <w:ind w:firstLine="0" w:firstLineChars="0"/>
                    <w:jc w:val="center"/>
                    <w:rPr>
                      <w:b/>
                      <w:szCs w:val="21"/>
                    </w:rPr>
                  </w:pPr>
                  <w:r>
                    <w:rPr>
                      <w:b/>
                      <w:szCs w:val="21"/>
                    </w:rPr>
                    <w:t>排气量</w:t>
                  </w:r>
                </w:p>
                <w:p>
                  <w:pPr>
                    <w:pStyle w:val="8"/>
                    <w:adjustRightInd w:val="0"/>
                    <w:ind w:firstLine="0" w:firstLineChars="0"/>
                    <w:jc w:val="center"/>
                    <w:rPr>
                      <w:b/>
                      <w:szCs w:val="21"/>
                    </w:rPr>
                  </w:pPr>
                  <w:r>
                    <w:rPr>
                      <w:b/>
                      <w:szCs w:val="21"/>
                    </w:rPr>
                    <w:t>(m</w:t>
                  </w:r>
                  <w:r>
                    <w:rPr>
                      <w:b/>
                      <w:szCs w:val="21"/>
                      <w:vertAlign w:val="superscript"/>
                    </w:rPr>
                    <w:t>3</w:t>
                  </w:r>
                  <w:r>
                    <w:rPr>
                      <w:b/>
                      <w:szCs w:val="21"/>
                    </w:rPr>
                    <w:t>/h)</w:t>
                  </w:r>
                </w:p>
              </w:tc>
              <w:tc>
                <w:tcPr>
                  <w:tcW w:w="349" w:type="pct"/>
                  <w:vMerge w:val="restart"/>
                  <w:tcMar>
                    <w:left w:w="57" w:type="dxa"/>
                    <w:right w:w="57" w:type="dxa"/>
                  </w:tcMar>
                  <w:vAlign w:val="center"/>
                </w:tcPr>
                <w:p>
                  <w:pPr>
                    <w:pStyle w:val="8"/>
                    <w:adjustRightInd w:val="0"/>
                    <w:ind w:firstLine="0" w:firstLineChars="0"/>
                    <w:jc w:val="center"/>
                    <w:rPr>
                      <w:b/>
                      <w:szCs w:val="21"/>
                    </w:rPr>
                  </w:pPr>
                  <w:r>
                    <w:rPr>
                      <w:b/>
                      <w:szCs w:val="21"/>
                    </w:rPr>
                    <w:t>排放高</w:t>
                  </w:r>
                  <w:r>
                    <w:rPr>
                      <w:rFonts w:hint="eastAsia"/>
                      <w:b/>
                      <w:szCs w:val="21"/>
                    </w:rPr>
                    <w:t>度</w:t>
                  </w:r>
                  <w:r>
                    <w:rPr>
                      <w:b/>
                      <w:szCs w:val="21"/>
                    </w:rPr>
                    <w:t>（m）</w:t>
                  </w:r>
                </w:p>
              </w:tc>
              <w:tc>
                <w:tcPr>
                  <w:tcW w:w="383" w:type="pct"/>
                  <w:vMerge w:val="restart"/>
                  <w:tcMar>
                    <w:left w:w="57" w:type="dxa"/>
                    <w:right w:w="57" w:type="dxa"/>
                  </w:tcMar>
                  <w:vAlign w:val="center"/>
                </w:tcPr>
                <w:p>
                  <w:pPr>
                    <w:pStyle w:val="8"/>
                    <w:adjustRightInd w:val="0"/>
                    <w:ind w:firstLine="0" w:firstLineChars="0"/>
                    <w:jc w:val="center"/>
                    <w:rPr>
                      <w:b/>
                      <w:szCs w:val="21"/>
                    </w:rPr>
                  </w:pPr>
                  <w:r>
                    <w:rPr>
                      <w:b/>
                      <w:szCs w:val="21"/>
                    </w:rPr>
                    <w:t>出口内径(m)</w:t>
                  </w:r>
                </w:p>
              </w:tc>
              <w:tc>
                <w:tcPr>
                  <w:tcW w:w="400" w:type="pct"/>
                  <w:vMerge w:val="restart"/>
                  <w:tcMar>
                    <w:left w:w="57" w:type="dxa"/>
                    <w:right w:w="57" w:type="dxa"/>
                  </w:tcMar>
                  <w:vAlign w:val="center"/>
                </w:tcPr>
                <w:p>
                  <w:pPr>
                    <w:pStyle w:val="8"/>
                    <w:adjustRightInd w:val="0"/>
                    <w:ind w:firstLine="0" w:firstLineChars="0"/>
                    <w:jc w:val="center"/>
                    <w:rPr>
                      <w:b/>
                      <w:szCs w:val="21"/>
                    </w:rPr>
                  </w:pPr>
                  <w:r>
                    <w:rPr>
                      <w:b/>
                      <w:szCs w:val="21"/>
                    </w:rPr>
                    <w:t>烟气出口温度(℃)</w:t>
                  </w:r>
                </w:p>
              </w:tc>
              <w:tc>
                <w:tcPr>
                  <w:tcW w:w="339" w:type="pct"/>
                  <w:vMerge w:val="restart"/>
                  <w:tcMar>
                    <w:left w:w="57" w:type="dxa"/>
                    <w:right w:w="57" w:type="dxa"/>
                  </w:tcMar>
                  <w:vAlign w:val="center"/>
                </w:tcPr>
                <w:p>
                  <w:pPr>
                    <w:pStyle w:val="8"/>
                    <w:adjustRightInd w:val="0"/>
                    <w:ind w:firstLine="0" w:firstLineChars="0"/>
                    <w:jc w:val="center"/>
                    <w:rPr>
                      <w:b/>
                      <w:szCs w:val="21"/>
                    </w:rPr>
                  </w:pPr>
                  <w:r>
                    <w:rPr>
                      <w:rFonts w:hint="eastAsia"/>
                      <w:b/>
                      <w:szCs w:val="21"/>
                    </w:rPr>
                    <w:t>年排放小时/h</w:t>
                  </w:r>
                </w:p>
              </w:tc>
              <w:tc>
                <w:tcPr>
                  <w:tcW w:w="1097" w:type="pct"/>
                  <w:gridSpan w:val="2"/>
                  <w:vMerge w:val="restart"/>
                  <w:tcMar>
                    <w:left w:w="57" w:type="dxa"/>
                    <w:right w:w="57" w:type="dxa"/>
                  </w:tcMar>
                  <w:vAlign w:val="center"/>
                </w:tcPr>
                <w:p>
                  <w:pPr>
                    <w:pStyle w:val="8"/>
                    <w:adjustRightInd w:val="0"/>
                    <w:ind w:firstLine="0" w:firstLineChars="0"/>
                    <w:jc w:val="center"/>
                    <w:rPr>
                      <w:b/>
                      <w:szCs w:val="21"/>
                    </w:rPr>
                  </w:pPr>
                  <w:r>
                    <w:rPr>
                      <w:b/>
                      <w:szCs w:val="21"/>
                    </w:rPr>
                    <w:t>排放速率</w:t>
                  </w:r>
                </w:p>
                <w:p>
                  <w:pPr>
                    <w:pStyle w:val="8"/>
                    <w:adjustRightInd w:val="0"/>
                    <w:ind w:firstLine="0" w:firstLineChars="0"/>
                    <w:jc w:val="center"/>
                    <w:rPr>
                      <w:b/>
                      <w:szCs w:val="21"/>
                    </w:rPr>
                  </w:pPr>
                  <w:r>
                    <w:rPr>
                      <w:b/>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18" w:type="pct"/>
                  <w:vMerge w:val="continue"/>
                  <w:tcMar>
                    <w:left w:w="57" w:type="dxa"/>
                    <w:right w:w="57" w:type="dxa"/>
                  </w:tcMar>
                  <w:vAlign w:val="center"/>
                </w:tcPr>
                <w:p>
                  <w:pPr>
                    <w:pStyle w:val="8"/>
                    <w:adjustRightInd w:val="0"/>
                    <w:ind w:firstLine="0" w:firstLineChars="0"/>
                    <w:jc w:val="center"/>
                  </w:pPr>
                </w:p>
              </w:tc>
              <w:tc>
                <w:tcPr>
                  <w:tcW w:w="357" w:type="pct"/>
                  <w:vMerge w:val="continue"/>
                  <w:tcMar>
                    <w:left w:w="57" w:type="dxa"/>
                    <w:right w:w="57" w:type="dxa"/>
                  </w:tcMar>
                  <w:vAlign w:val="center"/>
                </w:tcPr>
                <w:p>
                  <w:pPr>
                    <w:pStyle w:val="8"/>
                    <w:adjustRightInd w:val="0"/>
                    <w:ind w:firstLine="0" w:firstLineChars="0"/>
                    <w:jc w:val="center"/>
                  </w:pPr>
                </w:p>
              </w:tc>
              <w:tc>
                <w:tcPr>
                  <w:tcW w:w="471" w:type="pct"/>
                  <w:tcMar>
                    <w:left w:w="57" w:type="dxa"/>
                    <w:right w:w="57" w:type="dxa"/>
                  </w:tcMar>
                  <w:vAlign w:val="center"/>
                </w:tcPr>
                <w:p>
                  <w:pPr>
                    <w:pStyle w:val="8"/>
                    <w:adjustRightInd w:val="0"/>
                    <w:ind w:firstLine="0" w:firstLineChars="0"/>
                    <w:jc w:val="center"/>
                  </w:pPr>
                  <w:r>
                    <w:rPr>
                      <w:rFonts w:hint="eastAsia"/>
                    </w:rPr>
                    <w:t>E</w:t>
                  </w:r>
                </w:p>
              </w:tc>
              <w:tc>
                <w:tcPr>
                  <w:tcW w:w="479" w:type="pct"/>
                  <w:tcMar>
                    <w:left w:w="57" w:type="dxa"/>
                    <w:right w:w="57" w:type="dxa"/>
                  </w:tcMar>
                  <w:vAlign w:val="center"/>
                </w:tcPr>
                <w:p>
                  <w:pPr>
                    <w:pStyle w:val="8"/>
                    <w:adjustRightInd w:val="0"/>
                    <w:ind w:firstLine="0" w:firstLineChars="0"/>
                    <w:jc w:val="center"/>
                    <w:rPr>
                      <w:b/>
                      <w:szCs w:val="21"/>
                    </w:rPr>
                  </w:pPr>
                  <w:r>
                    <w:rPr>
                      <w:rFonts w:hint="eastAsia"/>
                      <w:b/>
                      <w:szCs w:val="21"/>
                    </w:rPr>
                    <w:t>N</w:t>
                  </w:r>
                </w:p>
              </w:tc>
              <w:tc>
                <w:tcPr>
                  <w:tcW w:w="409" w:type="pct"/>
                  <w:vMerge w:val="continue"/>
                  <w:tcMar>
                    <w:left w:w="57" w:type="dxa"/>
                    <w:right w:w="57" w:type="dxa"/>
                  </w:tcMar>
                  <w:vAlign w:val="center"/>
                </w:tcPr>
                <w:p>
                  <w:pPr>
                    <w:pStyle w:val="8"/>
                    <w:adjustRightInd w:val="0"/>
                    <w:ind w:firstLine="0" w:firstLineChars="0"/>
                    <w:jc w:val="center"/>
                    <w:rPr>
                      <w:b/>
                      <w:szCs w:val="21"/>
                    </w:rPr>
                  </w:pPr>
                </w:p>
              </w:tc>
              <w:tc>
                <w:tcPr>
                  <w:tcW w:w="393" w:type="pct"/>
                  <w:vMerge w:val="continue"/>
                  <w:tcMar>
                    <w:left w:w="57" w:type="dxa"/>
                    <w:right w:w="57" w:type="dxa"/>
                  </w:tcMar>
                  <w:vAlign w:val="center"/>
                </w:tcPr>
                <w:p>
                  <w:pPr>
                    <w:pStyle w:val="8"/>
                    <w:adjustRightInd w:val="0"/>
                    <w:ind w:firstLine="0" w:firstLineChars="0"/>
                    <w:jc w:val="center"/>
                    <w:rPr>
                      <w:b/>
                      <w:szCs w:val="21"/>
                    </w:rPr>
                  </w:pPr>
                </w:p>
              </w:tc>
              <w:tc>
                <w:tcPr>
                  <w:tcW w:w="349" w:type="pct"/>
                  <w:vMerge w:val="continue"/>
                  <w:tcMar>
                    <w:left w:w="57" w:type="dxa"/>
                    <w:right w:w="57" w:type="dxa"/>
                  </w:tcMar>
                  <w:vAlign w:val="center"/>
                </w:tcPr>
                <w:p>
                  <w:pPr>
                    <w:pStyle w:val="8"/>
                    <w:adjustRightInd w:val="0"/>
                    <w:ind w:firstLine="0" w:firstLineChars="0"/>
                    <w:jc w:val="center"/>
                    <w:rPr>
                      <w:b/>
                      <w:szCs w:val="21"/>
                    </w:rPr>
                  </w:pPr>
                </w:p>
              </w:tc>
              <w:tc>
                <w:tcPr>
                  <w:tcW w:w="383" w:type="pct"/>
                  <w:vMerge w:val="continue"/>
                  <w:tcMar>
                    <w:left w:w="57" w:type="dxa"/>
                    <w:right w:w="57" w:type="dxa"/>
                  </w:tcMar>
                  <w:vAlign w:val="center"/>
                </w:tcPr>
                <w:p>
                  <w:pPr>
                    <w:pStyle w:val="8"/>
                    <w:adjustRightInd w:val="0"/>
                    <w:ind w:firstLine="0" w:firstLineChars="0"/>
                    <w:jc w:val="center"/>
                    <w:rPr>
                      <w:b/>
                      <w:szCs w:val="21"/>
                    </w:rPr>
                  </w:pPr>
                </w:p>
              </w:tc>
              <w:tc>
                <w:tcPr>
                  <w:tcW w:w="400" w:type="pct"/>
                  <w:vMerge w:val="continue"/>
                  <w:tcMar>
                    <w:left w:w="57" w:type="dxa"/>
                    <w:right w:w="57" w:type="dxa"/>
                  </w:tcMar>
                  <w:vAlign w:val="center"/>
                </w:tcPr>
                <w:p>
                  <w:pPr>
                    <w:pStyle w:val="8"/>
                    <w:adjustRightInd w:val="0"/>
                    <w:ind w:firstLine="0" w:firstLineChars="0"/>
                    <w:jc w:val="center"/>
                    <w:rPr>
                      <w:b/>
                      <w:szCs w:val="21"/>
                    </w:rPr>
                  </w:pPr>
                </w:p>
              </w:tc>
              <w:tc>
                <w:tcPr>
                  <w:tcW w:w="339" w:type="pct"/>
                  <w:vMerge w:val="continue"/>
                  <w:tcMar>
                    <w:left w:w="57" w:type="dxa"/>
                    <w:right w:w="57" w:type="dxa"/>
                  </w:tcMar>
                  <w:vAlign w:val="center"/>
                </w:tcPr>
                <w:p>
                  <w:pPr>
                    <w:pStyle w:val="8"/>
                    <w:adjustRightInd w:val="0"/>
                    <w:ind w:firstLine="0" w:firstLineChars="0"/>
                    <w:jc w:val="center"/>
                    <w:rPr>
                      <w:b/>
                      <w:szCs w:val="21"/>
                    </w:rPr>
                  </w:pPr>
                </w:p>
              </w:tc>
              <w:tc>
                <w:tcPr>
                  <w:tcW w:w="1097" w:type="pct"/>
                  <w:gridSpan w:val="2"/>
                  <w:vMerge w:val="continue"/>
                  <w:tcMar>
                    <w:left w:w="57" w:type="dxa"/>
                    <w:right w:w="57" w:type="dxa"/>
                  </w:tcMar>
                  <w:vAlign w:val="center"/>
                </w:tcPr>
                <w:p>
                  <w:pPr>
                    <w:pStyle w:val="8"/>
                    <w:adjustRightInd w:val="0"/>
                    <w:ind w:firstLine="0" w:firstLineChars="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exact"/>
                <w:jc w:val="center"/>
              </w:trPr>
              <w:tc>
                <w:tcPr>
                  <w:tcW w:w="318" w:type="pct"/>
                  <w:tcMar>
                    <w:left w:w="57" w:type="dxa"/>
                    <w:right w:w="57" w:type="dxa"/>
                  </w:tcMar>
                  <w:vAlign w:val="center"/>
                </w:tcPr>
                <w:p>
                  <w:pPr>
                    <w:jc w:val="center"/>
                    <w:rPr>
                      <w:szCs w:val="21"/>
                    </w:rPr>
                  </w:pPr>
                  <w:r>
                    <w:rPr>
                      <w:rFonts w:hint="eastAsia"/>
                      <w:szCs w:val="21"/>
                    </w:rPr>
                    <w:t>DA002</w:t>
                  </w:r>
                </w:p>
              </w:tc>
              <w:tc>
                <w:tcPr>
                  <w:tcW w:w="357" w:type="pct"/>
                  <w:tcMar>
                    <w:left w:w="57" w:type="dxa"/>
                    <w:right w:w="57" w:type="dxa"/>
                  </w:tcMar>
                  <w:vAlign w:val="center"/>
                </w:tcPr>
                <w:p>
                  <w:pPr>
                    <w:jc w:val="center"/>
                    <w:rPr>
                      <w:szCs w:val="21"/>
                    </w:rPr>
                  </w:pPr>
                  <w:r>
                    <w:rPr>
                      <w:rFonts w:hint="eastAsia"/>
                      <w:szCs w:val="21"/>
                    </w:rPr>
                    <w:t>7t/h锅炉废气排放口</w:t>
                  </w:r>
                </w:p>
              </w:tc>
              <w:tc>
                <w:tcPr>
                  <w:tcW w:w="471" w:type="pct"/>
                  <w:tcMar>
                    <w:left w:w="57" w:type="dxa"/>
                    <w:right w:w="57" w:type="dxa"/>
                  </w:tcMar>
                  <w:vAlign w:val="center"/>
                </w:tcPr>
                <w:p>
                  <w:pPr>
                    <w:adjustRightInd w:val="0"/>
                    <w:jc w:val="center"/>
                    <w:rPr>
                      <w:szCs w:val="21"/>
                    </w:rPr>
                  </w:pPr>
                  <w:r>
                    <w:rPr>
                      <w:szCs w:val="21"/>
                    </w:rPr>
                    <w:t>103°</w:t>
                  </w:r>
                  <w:r>
                    <w:rPr>
                      <w:rFonts w:hint="eastAsia"/>
                      <w:szCs w:val="21"/>
                    </w:rPr>
                    <w:t>09</w:t>
                  </w:r>
                  <w:r>
                    <w:rPr>
                      <w:szCs w:val="21"/>
                    </w:rPr>
                    <w:t>′</w:t>
                  </w:r>
                  <w:r>
                    <w:rPr>
                      <w:rFonts w:hint="eastAsia"/>
                      <w:szCs w:val="21"/>
                    </w:rPr>
                    <w:t>20.16</w:t>
                  </w:r>
                  <w:r>
                    <w:rPr>
                      <w:szCs w:val="21"/>
                    </w:rPr>
                    <w:t>ʺ</w:t>
                  </w:r>
                </w:p>
              </w:tc>
              <w:tc>
                <w:tcPr>
                  <w:tcW w:w="479" w:type="pct"/>
                  <w:tcMar>
                    <w:left w:w="57" w:type="dxa"/>
                    <w:right w:w="57" w:type="dxa"/>
                  </w:tcMar>
                  <w:vAlign w:val="center"/>
                </w:tcPr>
                <w:p>
                  <w:pPr>
                    <w:adjustRightInd w:val="0"/>
                    <w:jc w:val="center"/>
                    <w:rPr>
                      <w:szCs w:val="21"/>
                    </w:rPr>
                  </w:pPr>
                  <w:r>
                    <w:rPr>
                      <w:szCs w:val="21"/>
                    </w:rPr>
                    <w:t>25°</w:t>
                  </w:r>
                  <w:r>
                    <w:rPr>
                      <w:rFonts w:hint="eastAsia"/>
                      <w:szCs w:val="21"/>
                    </w:rPr>
                    <w:t>27</w:t>
                  </w:r>
                  <w:r>
                    <w:rPr>
                      <w:szCs w:val="21"/>
                    </w:rPr>
                    <w:t>′</w:t>
                  </w:r>
                  <w:r>
                    <w:rPr>
                      <w:rFonts w:hint="eastAsia"/>
                      <w:szCs w:val="21"/>
                    </w:rPr>
                    <w:t>51.52</w:t>
                  </w:r>
                  <w:r>
                    <w:rPr>
                      <w:szCs w:val="21"/>
                    </w:rPr>
                    <w:t>ʺ</w:t>
                  </w:r>
                </w:p>
              </w:tc>
              <w:tc>
                <w:tcPr>
                  <w:tcW w:w="409" w:type="pct"/>
                  <w:tcMar>
                    <w:left w:w="57" w:type="dxa"/>
                    <w:right w:w="57" w:type="dxa"/>
                  </w:tcMar>
                  <w:vAlign w:val="center"/>
                </w:tcPr>
                <w:p>
                  <w:pPr>
                    <w:pStyle w:val="8"/>
                    <w:adjustRightInd w:val="0"/>
                    <w:ind w:firstLine="0" w:firstLineChars="0"/>
                    <w:jc w:val="center"/>
                    <w:rPr>
                      <w:szCs w:val="21"/>
                    </w:rPr>
                  </w:pPr>
                  <w:r>
                    <w:rPr>
                      <w:rFonts w:hint="eastAsia"/>
                      <w:szCs w:val="21"/>
                    </w:rPr>
                    <w:t>1979</w:t>
                  </w:r>
                </w:p>
              </w:tc>
              <w:tc>
                <w:tcPr>
                  <w:tcW w:w="393" w:type="pct"/>
                  <w:tcMar>
                    <w:left w:w="57" w:type="dxa"/>
                    <w:right w:w="57" w:type="dxa"/>
                  </w:tcMar>
                  <w:vAlign w:val="center"/>
                </w:tcPr>
                <w:p>
                  <w:pPr>
                    <w:pStyle w:val="8"/>
                    <w:adjustRightInd w:val="0"/>
                    <w:ind w:firstLine="0" w:firstLineChars="0"/>
                    <w:jc w:val="center"/>
                    <w:rPr>
                      <w:szCs w:val="21"/>
                    </w:rPr>
                  </w:pPr>
                  <w:r>
                    <w:rPr>
                      <w:rFonts w:hint="eastAsia"/>
                      <w:szCs w:val="21"/>
                    </w:rPr>
                    <w:t>1</w:t>
                  </w:r>
                  <w:r>
                    <w:rPr>
                      <w:szCs w:val="21"/>
                    </w:rPr>
                    <w:t>2012</w:t>
                  </w:r>
                </w:p>
              </w:tc>
              <w:tc>
                <w:tcPr>
                  <w:tcW w:w="349" w:type="pct"/>
                  <w:tcMar>
                    <w:left w:w="57" w:type="dxa"/>
                    <w:right w:w="57" w:type="dxa"/>
                  </w:tcMar>
                  <w:vAlign w:val="center"/>
                </w:tcPr>
                <w:p>
                  <w:pPr>
                    <w:pStyle w:val="8"/>
                    <w:adjustRightInd w:val="0"/>
                    <w:ind w:firstLine="0" w:firstLineChars="0"/>
                    <w:jc w:val="center"/>
                    <w:rPr>
                      <w:szCs w:val="21"/>
                    </w:rPr>
                  </w:pPr>
                  <w:r>
                    <w:rPr>
                      <w:rFonts w:hint="eastAsia"/>
                      <w:szCs w:val="21"/>
                    </w:rPr>
                    <w:t>35</w:t>
                  </w:r>
                </w:p>
              </w:tc>
              <w:tc>
                <w:tcPr>
                  <w:tcW w:w="383" w:type="pct"/>
                  <w:tcMar>
                    <w:left w:w="57" w:type="dxa"/>
                    <w:right w:w="57" w:type="dxa"/>
                  </w:tcMar>
                  <w:vAlign w:val="center"/>
                </w:tcPr>
                <w:p>
                  <w:pPr>
                    <w:adjustRightInd w:val="0"/>
                    <w:jc w:val="center"/>
                    <w:rPr>
                      <w:szCs w:val="21"/>
                    </w:rPr>
                  </w:pPr>
                  <w:r>
                    <w:rPr>
                      <w:rFonts w:hint="eastAsia"/>
                      <w:szCs w:val="21"/>
                    </w:rPr>
                    <w:t>0</w:t>
                  </w:r>
                  <w:r>
                    <w:rPr>
                      <w:szCs w:val="21"/>
                    </w:rPr>
                    <w:t>.65</w:t>
                  </w:r>
                </w:p>
              </w:tc>
              <w:tc>
                <w:tcPr>
                  <w:tcW w:w="400" w:type="pct"/>
                  <w:tcMar>
                    <w:left w:w="57" w:type="dxa"/>
                    <w:right w:w="57" w:type="dxa"/>
                  </w:tcMar>
                  <w:vAlign w:val="center"/>
                </w:tcPr>
                <w:p>
                  <w:pPr>
                    <w:adjustRightInd w:val="0"/>
                    <w:jc w:val="center"/>
                    <w:rPr>
                      <w:szCs w:val="21"/>
                    </w:rPr>
                  </w:pPr>
                  <w:r>
                    <w:rPr>
                      <w:szCs w:val="21"/>
                    </w:rPr>
                    <w:t>61.7</w:t>
                  </w:r>
                </w:p>
              </w:tc>
              <w:tc>
                <w:tcPr>
                  <w:tcW w:w="339" w:type="pct"/>
                  <w:tcMar>
                    <w:left w:w="57" w:type="dxa"/>
                    <w:right w:w="57" w:type="dxa"/>
                  </w:tcMar>
                  <w:vAlign w:val="center"/>
                </w:tcPr>
                <w:p>
                  <w:pPr>
                    <w:adjustRightInd w:val="0"/>
                    <w:jc w:val="center"/>
                    <w:rPr>
                      <w:szCs w:val="21"/>
                    </w:rPr>
                  </w:pPr>
                  <w:r>
                    <w:rPr>
                      <w:rFonts w:hint="eastAsia"/>
                      <w:szCs w:val="21"/>
                    </w:rPr>
                    <w:t>7200</w:t>
                  </w:r>
                </w:p>
              </w:tc>
              <w:tc>
                <w:tcPr>
                  <w:tcW w:w="504" w:type="pct"/>
                  <w:tcMar>
                    <w:left w:w="57" w:type="dxa"/>
                    <w:right w:w="57" w:type="dxa"/>
                  </w:tcMar>
                  <w:vAlign w:val="center"/>
                </w:tcPr>
                <w:p>
                  <w:pPr>
                    <w:adjustRightInd w:val="0"/>
                    <w:jc w:val="center"/>
                    <w:rPr>
                      <w:szCs w:val="21"/>
                    </w:rPr>
                  </w:pPr>
                  <w:r>
                    <w:rPr>
                      <w:rFonts w:hint="eastAsia"/>
                      <w:szCs w:val="21"/>
                    </w:rPr>
                    <w:t>颗粒物</w:t>
                  </w:r>
                </w:p>
              </w:tc>
              <w:tc>
                <w:tcPr>
                  <w:tcW w:w="593" w:type="pct"/>
                  <w:vAlign w:val="center"/>
                </w:tcPr>
                <w:p>
                  <w:pPr>
                    <w:jc w:val="center"/>
                    <w:rPr>
                      <w:szCs w:val="21"/>
                    </w:rPr>
                  </w:pPr>
                  <w:r>
                    <w:rPr>
                      <w:rFonts w:hint="eastAsia"/>
                      <w:szCs w:val="21"/>
                      <w:highlight w:val="green"/>
                    </w:rPr>
                    <w:t>0.08375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318" w:type="pct"/>
                  <w:vMerge w:val="restart"/>
                  <w:tcMar>
                    <w:left w:w="57" w:type="dxa"/>
                    <w:right w:w="57" w:type="dxa"/>
                  </w:tcMar>
                  <w:vAlign w:val="center"/>
                </w:tcPr>
                <w:p>
                  <w:pPr>
                    <w:jc w:val="center"/>
                    <w:rPr>
                      <w:szCs w:val="21"/>
                    </w:rPr>
                  </w:pPr>
                  <w:r>
                    <w:rPr>
                      <w:rFonts w:hint="eastAsia"/>
                      <w:szCs w:val="21"/>
                    </w:rPr>
                    <w:t>DA006</w:t>
                  </w:r>
                </w:p>
              </w:tc>
              <w:tc>
                <w:tcPr>
                  <w:tcW w:w="357" w:type="pct"/>
                  <w:vMerge w:val="restart"/>
                  <w:tcMar>
                    <w:left w:w="57" w:type="dxa"/>
                    <w:right w:w="57" w:type="dxa"/>
                  </w:tcMar>
                  <w:vAlign w:val="center"/>
                </w:tcPr>
                <w:p>
                  <w:pPr>
                    <w:jc w:val="center"/>
                    <w:rPr>
                      <w:szCs w:val="21"/>
                    </w:rPr>
                  </w:pPr>
                  <w:r>
                    <w:rPr>
                      <w:rFonts w:hint="eastAsia"/>
                      <w:szCs w:val="21"/>
                    </w:rPr>
                    <w:t>热压凉板工段废气排放口</w:t>
                  </w:r>
                </w:p>
              </w:tc>
              <w:tc>
                <w:tcPr>
                  <w:tcW w:w="471" w:type="pct"/>
                  <w:vMerge w:val="restart"/>
                  <w:tcMar>
                    <w:left w:w="57" w:type="dxa"/>
                    <w:right w:w="57" w:type="dxa"/>
                  </w:tcMar>
                  <w:vAlign w:val="center"/>
                </w:tcPr>
                <w:p>
                  <w:pPr>
                    <w:adjustRightInd w:val="0"/>
                    <w:jc w:val="center"/>
                    <w:rPr>
                      <w:szCs w:val="21"/>
                    </w:rPr>
                  </w:pPr>
                  <w:r>
                    <w:rPr>
                      <w:szCs w:val="21"/>
                    </w:rPr>
                    <w:t>103°</w:t>
                  </w:r>
                  <w:r>
                    <w:rPr>
                      <w:rFonts w:hint="eastAsia"/>
                      <w:szCs w:val="21"/>
                    </w:rPr>
                    <w:t>09</w:t>
                  </w:r>
                  <w:r>
                    <w:rPr>
                      <w:szCs w:val="21"/>
                    </w:rPr>
                    <w:t>′</w:t>
                  </w:r>
                  <w:r>
                    <w:rPr>
                      <w:rFonts w:hint="eastAsia"/>
                      <w:szCs w:val="21"/>
                    </w:rPr>
                    <w:t>19.19</w:t>
                  </w:r>
                  <w:r>
                    <w:rPr>
                      <w:szCs w:val="21"/>
                    </w:rPr>
                    <w:t>′′</w:t>
                  </w:r>
                </w:p>
              </w:tc>
              <w:tc>
                <w:tcPr>
                  <w:tcW w:w="479" w:type="pct"/>
                  <w:vMerge w:val="restart"/>
                  <w:tcMar>
                    <w:left w:w="57" w:type="dxa"/>
                    <w:right w:w="57" w:type="dxa"/>
                  </w:tcMar>
                  <w:vAlign w:val="center"/>
                </w:tcPr>
                <w:p>
                  <w:pPr>
                    <w:adjustRightInd w:val="0"/>
                    <w:jc w:val="center"/>
                    <w:rPr>
                      <w:szCs w:val="21"/>
                    </w:rPr>
                  </w:pPr>
                  <w:r>
                    <w:rPr>
                      <w:szCs w:val="21"/>
                    </w:rPr>
                    <w:t>25°</w:t>
                  </w:r>
                  <w:r>
                    <w:rPr>
                      <w:rFonts w:hint="eastAsia"/>
                      <w:szCs w:val="21"/>
                    </w:rPr>
                    <w:t>27</w:t>
                  </w:r>
                  <w:r>
                    <w:rPr>
                      <w:szCs w:val="21"/>
                    </w:rPr>
                    <w:t>′</w:t>
                  </w:r>
                  <w:r>
                    <w:rPr>
                      <w:rFonts w:hint="eastAsia"/>
                      <w:szCs w:val="21"/>
                    </w:rPr>
                    <w:t>53.71</w:t>
                  </w:r>
                  <w:r>
                    <w:rPr>
                      <w:szCs w:val="21"/>
                    </w:rPr>
                    <w:t>′′</w:t>
                  </w:r>
                </w:p>
              </w:tc>
              <w:tc>
                <w:tcPr>
                  <w:tcW w:w="409" w:type="pct"/>
                  <w:vMerge w:val="restart"/>
                  <w:tcMar>
                    <w:left w:w="57" w:type="dxa"/>
                    <w:right w:w="57" w:type="dxa"/>
                  </w:tcMar>
                  <w:vAlign w:val="center"/>
                </w:tcPr>
                <w:p>
                  <w:pPr>
                    <w:pStyle w:val="8"/>
                    <w:adjustRightInd w:val="0"/>
                    <w:ind w:firstLine="0" w:firstLineChars="0"/>
                    <w:jc w:val="center"/>
                    <w:rPr>
                      <w:szCs w:val="21"/>
                    </w:rPr>
                  </w:pPr>
                  <w:r>
                    <w:rPr>
                      <w:rFonts w:hint="eastAsia"/>
                      <w:szCs w:val="21"/>
                    </w:rPr>
                    <w:t>1978</w:t>
                  </w:r>
                </w:p>
              </w:tc>
              <w:tc>
                <w:tcPr>
                  <w:tcW w:w="393" w:type="pct"/>
                  <w:vMerge w:val="restart"/>
                  <w:tcMar>
                    <w:left w:w="57" w:type="dxa"/>
                    <w:right w:w="57" w:type="dxa"/>
                  </w:tcMar>
                  <w:vAlign w:val="center"/>
                </w:tcPr>
                <w:p>
                  <w:pPr>
                    <w:pStyle w:val="8"/>
                    <w:adjustRightInd w:val="0"/>
                    <w:ind w:firstLine="0" w:firstLineChars="0"/>
                    <w:jc w:val="center"/>
                    <w:rPr>
                      <w:szCs w:val="21"/>
                    </w:rPr>
                  </w:pPr>
                  <w:r>
                    <w:rPr>
                      <w:rFonts w:hint="eastAsia"/>
                      <w:szCs w:val="21"/>
                    </w:rPr>
                    <w:t>9795</w:t>
                  </w:r>
                </w:p>
              </w:tc>
              <w:tc>
                <w:tcPr>
                  <w:tcW w:w="349" w:type="pct"/>
                  <w:vMerge w:val="restart"/>
                  <w:tcMar>
                    <w:left w:w="57" w:type="dxa"/>
                    <w:right w:w="57" w:type="dxa"/>
                  </w:tcMar>
                  <w:vAlign w:val="center"/>
                </w:tcPr>
                <w:p>
                  <w:pPr>
                    <w:pStyle w:val="8"/>
                    <w:adjustRightInd w:val="0"/>
                    <w:ind w:firstLine="0" w:firstLineChars="0"/>
                    <w:jc w:val="center"/>
                    <w:rPr>
                      <w:szCs w:val="21"/>
                    </w:rPr>
                  </w:pPr>
                  <w:r>
                    <w:rPr>
                      <w:rFonts w:hint="eastAsia"/>
                      <w:szCs w:val="21"/>
                    </w:rPr>
                    <w:t>15</w:t>
                  </w:r>
                </w:p>
              </w:tc>
              <w:tc>
                <w:tcPr>
                  <w:tcW w:w="383" w:type="pct"/>
                  <w:vMerge w:val="restart"/>
                  <w:tcMar>
                    <w:left w:w="57" w:type="dxa"/>
                    <w:right w:w="57" w:type="dxa"/>
                  </w:tcMar>
                  <w:vAlign w:val="center"/>
                </w:tcPr>
                <w:p>
                  <w:pPr>
                    <w:adjustRightInd w:val="0"/>
                    <w:jc w:val="center"/>
                    <w:rPr>
                      <w:szCs w:val="21"/>
                    </w:rPr>
                  </w:pPr>
                  <w:r>
                    <w:rPr>
                      <w:rFonts w:hint="eastAsia"/>
                      <w:szCs w:val="21"/>
                    </w:rPr>
                    <w:t>0</w:t>
                  </w:r>
                  <w:r>
                    <w:rPr>
                      <w:szCs w:val="21"/>
                    </w:rPr>
                    <w:t>.8</w:t>
                  </w:r>
                </w:p>
              </w:tc>
              <w:tc>
                <w:tcPr>
                  <w:tcW w:w="400" w:type="pct"/>
                  <w:vMerge w:val="restart"/>
                  <w:tcMar>
                    <w:left w:w="57" w:type="dxa"/>
                    <w:right w:w="57" w:type="dxa"/>
                  </w:tcMar>
                  <w:vAlign w:val="center"/>
                </w:tcPr>
                <w:p>
                  <w:pPr>
                    <w:adjustRightInd w:val="0"/>
                    <w:jc w:val="center"/>
                    <w:rPr>
                      <w:szCs w:val="21"/>
                    </w:rPr>
                  </w:pPr>
                  <w:r>
                    <w:rPr>
                      <w:rFonts w:hint="eastAsia"/>
                      <w:szCs w:val="21"/>
                    </w:rPr>
                    <w:t>3</w:t>
                  </w:r>
                  <w:r>
                    <w:rPr>
                      <w:szCs w:val="21"/>
                    </w:rPr>
                    <w:t>7</w:t>
                  </w:r>
                </w:p>
              </w:tc>
              <w:tc>
                <w:tcPr>
                  <w:tcW w:w="339" w:type="pct"/>
                  <w:vMerge w:val="restart"/>
                  <w:tcMar>
                    <w:left w:w="57" w:type="dxa"/>
                    <w:right w:w="57" w:type="dxa"/>
                  </w:tcMar>
                  <w:vAlign w:val="center"/>
                </w:tcPr>
                <w:p>
                  <w:pPr>
                    <w:adjustRightInd w:val="0"/>
                    <w:jc w:val="center"/>
                    <w:rPr>
                      <w:szCs w:val="21"/>
                    </w:rPr>
                  </w:pPr>
                  <w:r>
                    <w:rPr>
                      <w:rFonts w:hint="eastAsia"/>
                      <w:szCs w:val="21"/>
                    </w:rPr>
                    <w:t>7200</w:t>
                  </w:r>
                </w:p>
              </w:tc>
              <w:tc>
                <w:tcPr>
                  <w:tcW w:w="504" w:type="pct"/>
                  <w:tcMar>
                    <w:left w:w="57" w:type="dxa"/>
                    <w:right w:w="57" w:type="dxa"/>
                  </w:tcMar>
                  <w:vAlign w:val="center"/>
                </w:tcPr>
                <w:p>
                  <w:pPr>
                    <w:adjustRightInd w:val="0"/>
                    <w:jc w:val="center"/>
                    <w:rPr>
                      <w:szCs w:val="21"/>
                    </w:rPr>
                  </w:pPr>
                  <w:r>
                    <w:rPr>
                      <w:rFonts w:hint="eastAsia"/>
                      <w:szCs w:val="21"/>
                    </w:rPr>
                    <w:t>非甲烷总烃</w:t>
                  </w:r>
                </w:p>
              </w:tc>
              <w:tc>
                <w:tcPr>
                  <w:tcW w:w="593" w:type="pct"/>
                  <w:vAlign w:val="center"/>
                </w:tcPr>
                <w:p>
                  <w:pPr>
                    <w:adjustRightInd w:val="0"/>
                    <w:jc w:val="center"/>
                    <w:rPr>
                      <w:szCs w:val="21"/>
                    </w:rPr>
                  </w:pPr>
                  <w:r>
                    <w:rPr>
                      <w:rFonts w:hint="eastAsia"/>
                      <w:szCs w:val="21"/>
                    </w:rPr>
                    <w:t>0.0397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exact"/>
                <w:jc w:val="center"/>
              </w:trPr>
              <w:tc>
                <w:tcPr>
                  <w:tcW w:w="318" w:type="pct"/>
                  <w:vMerge w:val="continue"/>
                  <w:tcMar>
                    <w:left w:w="57" w:type="dxa"/>
                    <w:right w:w="57" w:type="dxa"/>
                  </w:tcMar>
                  <w:vAlign w:val="center"/>
                </w:tcPr>
                <w:p>
                  <w:pPr>
                    <w:jc w:val="center"/>
                    <w:rPr>
                      <w:szCs w:val="21"/>
                    </w:rPr>
                  </w:pPr>
                </w:p>
              </w:tc>
              <w:tc>
                <w:tcPr>
                  <w:tcW w:w="357" w:type="pct"/>
                  <w:vMerge w:val="continue"/>
                  <w:tcMar>
                    <w:left w:w="57" w:type="dxa"/>
                    <w:right w:w="57" w:type="dxa"/>
                  </w:tcMar>
                  <w:vAlign w:val="center"/>
                </w:tcPr>
                <w:p>
                  <w:pPr>
                    <w:jc w:val="center"/>
                    <w:rPr>
                      <w:szCs w:val="21"/>
                    </w:rPr>
                  </w:pPr>
                </w:p>
              </w:tc>
              <w:tc>
                <w:tcPr>
                  <w:tcW w:w="471" w:type="pct"/>
                  <w:vMerge w:val="continue"/>
                  <w:tcMar>
                    <w:left w:w="57" w:type="dxa"/>
                    <w:right w:w="57" w:type="dxa"/>
                  </w:tcMar>
                  <w:vAlign w:val="center"/>
                </w:tcPr>
                <w:p>
                  <w:pPr>
                    <w:adjustRightInd w:val="0"/>
                    <w:jc w:val="center"/>
                    <w:rPr>
                      <w:szCs w:val="21"/>
                    </w:rPr>
                  </w:pPr>
                </w:p>
              </w:tc>
              <w:tc>
                <w:tcPr>
                  <w:tcW w:w="479" w:type="pct"/>
                  <w:vMerge w:val="continue"/>
                  <w:tcMar>
                    <w:left w:w="57" w:type="dxa"/>
                    <w:right w:w="57" w:type="dxa"/>
                  </w:tcMar>
                  <w:vAlign w:val="center"/>
                </w:tcPr>
                <w:p>
                  <w:pPr>
                    <w:adjustRightInd w:val="0"/>
                    <w:jc w:val="center"/>
                    <w:rPr>
                      <w:szCs w:val="21"/>
                    </w:rPr>
                  </w:pPr>
                </w:p>
              </w:tc>
              <w:tc>
                <w:tcPr>
                  <w:tcW w:w="409" w:type="pct"/>
                  <w:vMerge w:val="continue"/>
                  <w:tcMar>
                    <w:left w:w="57" w:type="dxa"/>
                    <w:right w:w="57" w:type="dxa"/>
                  </w:tcMar>
                  <w:vAlign w:val="center"/>
                </w:tcPr>
                <w:p>
                  <w:pPr>
                    <w:pStyle w:val="8"/>
                    <w:adjustRightInd w:val="0"/>
                    <w:ind w:firstLine="0" w:firstLineChars="0"/>
                    <w:jc w:val="center"/>
                    <w:rPr>
                      <w:szCs w:val="21"/>
                    </w:rPr>
                  </w:pPr>
                </w:p>
              </w:tc>
              <w:tc>
                <w:tcPr>
                  <w:tcW w:w="393" w:type="pct"/>
                  <w:vMerge w:val="continue"/>
                  <w:tcMar>
                    <w:left w:w="57" w:type="dxa"/>
                    <w:right w:w="57" w:type="dxa"/>
                  </w:tcMar>
                  <w:vAlign w:val="center"/>
                </w:tcPr>
                <w:p>
                  <w:pPr>
                    <w:pStyle w:val="8"/>
                    <w:adjustRightInd w:val="0"/>
                    <w:jc w:val="center"/>
                    <w:rPr>
                      <w:szCs w:val="21"/>
                    </w:rPr>
                  </w:pPr>
                </w:p>
              </w:tc>
              <w:tc>
                <w:tcPr>
                  <w:tcW w:w="349" w:type="pct"/>
                  <w:vMerge w:val="continue"/>
                  <w:tcMar>
                    <w:left w:w="57" w:type="dxa"/>
                    <w:right w:w="57" w:type="dxa"/>
                  </w:tcMar>
                  <w:vAlign w:val="center"/>
                </w:tcPr>
                <w:p>
                  <w:pPr>
                    <w:pStyle w:val="8"/>
                    <w:adjustRightInd w:val="0"/>
                    <w:jc w:val="center"/>
                    <w:rPr>
                      <w:szCs w:val="21"/>
                    </w:rPr>
                  </w:pPr>
                </w:p>
              </w:tc>
              <w:tc>
                <w:tcPr>
                  <w:tcW w:w="383" w:type="pct"/>
                  <w:vMerge w:val="continue"/>
                  <w:tcMar>
                    <w:left w:w="57" w:type="dxa"/>
                    <w:right w:w="57" w:type="dxa"/>
                  </w:tcMar>
                  <w:vAlign w:val="center"/>
                </w:tcPr>
                <w:p>
                  <w:pPr>
                    <w:adjustRightInd w:val="0"/>
                    <w:jc w:val="center"/>
                    <w:rPr>
                      <w:szCs w:val="21"/>
                    </w:rPr>
                  </w:pPr>
                </w:p>
              </w:tc>
              <w:tc>
                <w:tcPr>
                  <w:tcW w:w="400" w:type="pct"/>
                  <w:vMerge w:val="continue"/>
                  <w:tcMar>
                    <w:left w:w="57" w:type="dxa"/>
                    <w:right w:w="57" w:type="dxa"/>
                  </w:tcMar>
                  <w:vAlign w:val="center"/>
                </w:tcPr>
                <w:p>
                  <w:pPr>
                    <w:adjustRightInd w:val="0"/>
                    <w:jc w:val="center"/>
                    <w:rPr>
                      <w:szCs w:val="21"/>
                    </w:rPr>
                  </w:pPr>
                </w:p>
              </w:tc>
              <w:tc>
                <w:tcPr>
                  <w:tcW w:w="339" w:type="pct"/>
                  <w:vMerge w:val="continue"/>
                  <w:tcMar>
                    <w:left w:w="57" w:type="dxa"/>
                    <w:right w:w="57" w:type="dxa"/>
                  </w:tcMar>
                  <w:vAlign w:val="center"/>
                </w:tcPr>
                <w:p>
                  <w:pPr>
                    <w:adjustRightInd w:val="0"/>
                    <w:jc w:val="center"/>
                    <w:rPr>
                      <w:szCs w:val="21"/>
                    </w:rPr>
                  </w:pPr>
                </w:p>
              </w:tc>
              <w:tc>
                <w:tcPr>
                  <w:tcW w:w="504" w:type="pct"/>
                  <w:tcMar>
                    <w:left w:w="57" w:type="dxa"/>
                    <w:right w:w="57" w:type="dxa"/>
                  </w:tcMar>
                  <w:vAlign w:val="center"/>
                </w:tcPr>
                <w:p>
                  <w:pPr>
                    <w:adjustRightInd w:val="0"/>
                    <w:jc w:val="center"/>
                    <w:rPr>
                      <w:szCs w:val="21"/>
                    </w:rPr>
                  </w:pPr>
                  <w:r>
                    <w:rPr>
                      <w:rFonts w:hint="eastAsia"/>
                      <w:szCs w:val="21"/>
                    </w:rPr>
                    <w:t>甲醛</w:t>
                  </w:r>
                </w:p>
              </w:tc>
              <w:tc>
                <w:tcPr>
                  <w:tcW w:w="593" w:type="pct"/>
                  <w:vAlign w:val="center"/>
                </w:tcPr>
                <w:p>
                  <w:pPr>
                    <w:adjustRightInd w:val="0"/>
                    <w:jc w:val="center"/>
                    <w:rPr>
                      <w:szCs w:val="21"/>
                    </w:rPr>
                  </w:pPr>
                  <w:r>
                    <w:rPr>
                      <w:rFonts w:hint="eastAsia"/>
                      <w:szCs w:val="21"/>
                    </w:rPr>
                    <w:t>0.0175</w:t>
                  </w:r>
                </w:p>
              </w:tc>
            </w:tr>
          </w:tbl>
          <w:p>
            <w:pPr>
              <w:widowControl/>
              <w:adjustRightInd w:val="0"/>
              <w:spacing w:before="120" w:beforeLines="50" w:line="360" w:lineRule="auto"/>
              <w:jc w:val="center"/>
              <w:rPr>
                <w:rFonts w:cs="宋体"/>
                <w:b/>
                <w:bCs/>
                <w:kern w:val="0"/>
                <w:sz w:val="24"/>
                <w:szCs w:val="20"/>
                <w:lang w:bidi="ar"/>
              </w:rPr>
            </w:pPr>
            <w:r>
              <w:rPr>
                <w:rFonts w:hint="eastAsia" w:cs="宋体"/>
                <w:b/>
                <w:bCs/>
                <w:kern w:val="0"/>
                <w:sz w:val="24"/>
                <w:szCs w:val="20"/>
                <w:lang w:bidi="ar"/>
              </w:rPr>
              <w:t xml:space="preserve">表4-12  </w:t>
            </w:r>
            <w:r>
              <w:rPr>
                <w:rFonts w:hint="eastAsia" w:cs="宋体"/>
                <w:b/>
                <w:bCs/>
                <w:kern w:val="0"/>
                <w:sz w:val="24"/>
                <w:szCs w:val="20"/>
                <w:highlight w:val="green"/>
                <w:lang w:bidi="ar"/>
              </w:rPr>
              <w:t>本项目环保工程技改后</w:t>
            </w:r>
            <w:r>
              <w:rPr>
                <w:rFonts w:hint="eastAsia" w:cs="宋体"/>
                <w:b/>
                <w:bCs/>
                <w:kern w:val="0"/>
                <w:sz w:val="24"/>
                <w:szCs w:val="20"/>
                <w:lang w:bidi="ar"/>
              </w:rPr>
              <w:t>无组织</w:t>
            </w:r>
            <w:r>
              <w:rPr>
                <w:rFonts w:cs="宋体"/>
                <w:b/>
                <w:bCs/>
                <w:kern w:val="0"/>
                <w:sz w:val="24"/>
                <w:szCs w:val="20"/>
                <w:lang w:bidi="ar"/>
              </w:rPr>
              <w:t>污染源排污情况汇总表</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3"/>
              <w:gridCol w:w="726"/>
              <w:gridCol w:w="697"/>
              <w:gridCol w:w="703"/>
              <w:gridCol w:w="903"/>
              <w:gridCol w:w="739"/>
              <w:gridCol w:w="739"/>
              <w:gridCol w:w="739"/>
              <w:gridCol w:w="739"/>
              <w:gridCol w:w="69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编号</w:t>
                  </w:r>
                </w:p>
              </w:tc>
              <w:tc>
                <w:tcPr>
                  <w:tcW w:w="44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名称</w:t>
                  </w:r>
                </w:p>
              </w:tc>
              <w:tc>
                <w:tcPr>
                  <w:tcW w:w="8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面源起点坐标</w:t>
                  </w:r>
                </w:p>
              </w:tc>
              <w:tc>
                <w:tcPr>
                  <w:tcW w:w="5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面源海拔高度/m</w:t>
                  </w:r>
                </w:p>
              </w:tc>
              <w:tc>
                <w:tcPr>
                  <w:tcW w:w="4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面源长度/m</w:t>
                  </w:r>
                </w:p>
              </w:tc>
              <w:tc>
                <w:tcPr>
                  <w:tcW w:w="4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面源宽度/m</w:t>
                  </w:r>
                </w:p>
              </w:tc>
              <w:tc>
                <w:tcPr>
                  <w:tcW w:w="4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面源有效排放高度/m</w:t>
                  </w:r>
                </w:p>
              </w:tc>
              <w:tc>
                <w:tcPr>
                  <w:tcW w:w="4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年排放小时数/h</w:t>
                  </w:r>
                </w:p>
              </w:tc>
              <w:tc>
                <w:tcPr>
                  <w:tcW w:w="897"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4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经度</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
                      <w:szCs w:val="21"/>
                    </w:rPr>
                  </w:pPr>
                  <w:r>
                    <w:rPr>
                      <w:b/>
                      <w:szCs w:val="21"/>
                      <w:lang w:bidi="ar"/>
                    </w:rPr>
                    <w:t>维度</w:t>
                  </w:r>
                </w:p>
              </w:tc>
              <w:tc>
                <w:tcPr>
                  <w:tcW w:w="5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4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4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4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4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c>
                <w:tcPr>
                  <w:tcW w:w="897"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447" w:type="pct"/>
                  <w:tcBorders>
                    <w:top w:val="single" w:color="auto" w:sz="4" w:space="0"/>
                    <w:left w:val="single" w:color="auto" w:sz="4" w:space="0"/>
                    <w:right w:val="single" w:color="auto" w:sz="4" w:space="0"/>
                  </w:tcBorders>
                  <w:shd w:val="clear" w:color="auto" w:fill="auto"/>
                  <w:vAlign w:val="center"/>
                </w:tcPr>
                <w:p>
                  <w:pPr>
                    <w:adjustRightInd w:val="0"/>
                    <w:jc w:val="center"/>
                    <w:rPr>
                      <w:bCs/>
                      <w:szCs w:val="21"/>
                    </w:rPr>
                  </w:pPr>
                  <w:r>
                    <w:rPr>
                      <w:bCs/>
                      <w:szCs w:val="21"/>
                      <w:lang w:bidi="ar"/>
                    </w:rPr>
                    <w:t>AG1</w:t>
                  </w:r>
                </w:p>
              </w:tc>
              <w:tc>
                <w:tcPr>
                  <w:tcW w:w="443" w:type="pct"/>
                  <w:tcBorders>
                    <w:top w:val="single" w:color="auto" w:sz="4" w:space="0"/>
                    <w:left w:val="single" w:color="auto" w:sz="4" w:space="0"/>
                    <w:right w:val="single" w:color="auto" w:sz="4" w:space="0"/>
                  </w:tcBorders>
                  <w:shd w:val="clear" w:color="auto" w:fill="auto"/>
                  <w:vAlign w:val="center"/>
                </w:tcPr>
                <w:p>
                  <w:pPr>
                    <w:adjustRightInd w:val="0"/>
                    <w:jc w:val="center"/>
                    <w:rPr>
                      <w:bCs/>
                      <w:szCs w:val="21"/>
                    </w:rPr>
                  </w:pPr>
                  <w:r>
                    <w:rPr>
                      <w:bCs/>
                      <w:szCs w:val="21"/>
                      <w:lang w:bidi="ar"/>
                    </w:rPr>
                    <w:t>生产车间</w:t>
                  </w:r>
                </w:p>
              </w:tc>
              <w:tc>
                <w:tcPr>
                  <w:tcW w:w="425" w:type="pct"/>
                  <w:tcBorders>
                    <w:top w:val="single" w:color="auto" w:sz="4" w:space="0"/>
                    <w:left w:val="single" w:color="auto" w:sz="4" w:space="0"/>
                    <w:right w:val="single" w:color="auto" w:sz="4" w:space="0"/>
                  </w:tcBorders>
                  <w:shd w:val="clear" w:color="auto" w:fill="auto"/>
                  <w:vAlign w:val="center"/>
                </w:tcPr>
                <w:p>
                  <w:pPr>
                    <w:adjustRightInd w:val="0"/>
                    <w:jc w:val="center"/>
                    <w:rPr>
                      <w:bCs/>
                      <w:szCs w:val="21"/>
                    </w:rPr>
                  </w:pPr>
                  <w:r>
                    <w:rPr>
                      <w:bCs/>
                      <w:szCs w:val="21"/>
                    </w:rPr>
                    <w:t>103°9′25.21″</w:t>
                  </w:r>
                </w:p>
              </w:tc>
              <w:tc>
                <w:tcPr>
                  <w:tcW w:w="428" w:type="pct"/>
                  <w:tcBorders>
                    <w:top w:val="single" w:color="auto" w:sz="4" w:space="0"/>
                    <w:left w:val="single" w:color="auto" w:sz="4" w:space="0"/>
                    <w:right w:val="single" w:color="auto" w:sz="4" w:space="0"/>
                  </w:tcBorders>
                  <w:shd w:val="clear" w:color="auto" w:fill="auto"/>
                  <w:vAlign w:val="center"/>
                </w:tcPr>
                <w:p>
                  <w:pPr>
                    <w:adjustRightInd w:val="0"/>
                    <w:jc w:val="center"/>
                    <w:rPr>
                      <w:bCs/>
                      <w:szCs w:val="21"/>
                    </w:rPr>
                  </w:pPr>
                  <w:r>
                    <w:rPr>
                      <w:bCs/>
                      <w:szCs w:val="21"/>
                    </w:rPr>
                    <w:t>25°27′38.72″</w:t>
                  </w:r>
                </w:p>
              </w:tc>
              <w:tc>
                <w:tcPr>
                  <w:tcW w:w="551" w:type="pct"/>
                  <w:tcBorders>
                    <w:top w:val="single" w:color="auto" w:sz="4" w:space="0"/>
                    <w:left w:val="single" w:color="auto" w:sz="4" w:space="0"/>
                    <w:right w:val="single" w:color="auto" w:sz="4" w:space="0"/>
                  </w:tcBorders>
                  <w:shd w:val="clear" w:color="auto" w:fill="auto"/>
                  <w:vAlign w:val="center"/>
                </w:tcPr>
                <w:p>
                  <w:pPr>
                    <w:adjustRightInd w:val="0"/>
                    <w:jc w:val="center"/>
                    <w:rPr>
                      <w:bCs/>
                      <w:szCs w:val="21"/>
                    </w:rPr>
                  </w:pPr>
                  <w:r>
                    <w:rPr>
                      <w:rFonts w:hint="eastAsia"/>
                      <w:bCs/>
                      <w:szCs w:val="21"/>
                    </w:rPr>
                    <w:t>1978</w:t>
                  </w:r>
                </w:p>
              </w:tc>
              <w:tc>
                <w:tcPr>
                  <w:tcW w:w="451" w:type="pct"/>
                  <w:tcBorders>
                    <w:top w:val="single" w:color="auto" w:sz="4" w:space="0"/>
                    <w:left w:val="single" w:color="auto" w:sz="4" w:space="0"/>
                    <w:right w:val="single" w:color="auto" w:sz="4" w:space="0"/>
                  </w:tcBorders>
                  <w:shd w:val="clear" w:color="auto" w:fill="auto"/>
                  <w:vAlign w:val="center"/>
                </w:tcPr>
                <w:p>
                  <w:pPr>
                    <w:adjustRightInd w:val="0"/>
                    <w:jc w:val="center"/>
                    <w:rPr>
                      <w:bCs/>
                      <w:szCs w:val="21"/>
                    </w:rPr>
                  </w:pPr>
                  <w:r>
                    <w:rPr>
                      <w:rFonts w:hint="eastAsia"/>
                      <w:bCs/>
                      <w:szCs w:val="21"/>
                      <w:lang w:bidi="ar"/>
                    </w:rPr>
                    <w:t>60</w:t>
                  </w:r>
                </w:p>
              </w:tc>
              <w:tc>
                <w:tcPr>
                  <w:tcW w:w="451" w:type="pct"/>
                  <w:tcBorders>
                    <w:top w:val="single" w:color="auto" w:sz="4" w:space="0"/>
                    <w:left w:val="single" w:color="auto" w:sz="4" w:space="0"/>
                    <w:right w:val="single" w:color="auto" w:sz="4" w:space="0"/>
                  </w:tcBorders>
                  <w:shd w:val="clear" w:color="auto" w:fill="auto"/>
                  <w:vAlign w:val="center"/>
                </w:tcPr>
                <w:p>
                  <w:pPr>
                    <w:adjustRightInd w:val="0"/>
                    <w:jc w:val="center"/>
                    <w:rPr>
                      <w:bCs/>
                      <w:szCs w:val="21"/>
                    </w:rPr>
                  </w:pPr>
                  <w:r>
                    <w:rPr>
                      <w:rFonts w:hint="eastAsia"/>
                      <w:bCs/>
                      <w:szCs w:val="21"/>
                      <w:lang w:bidi="ar"/>
                    </w:rPr>
                    <w:t>20</w:t>
                  </w:r>
                </w:p>
              </w:tc>
              <w:tc>
                <w:tcPr>
                  <w:tcW w:w="451" w:type="pct"/>
                  <w:tcBorders>
                    <w:top w:val="single" w:color="auto" w:sz="4" w:space="0"/>
                    <w:left w:val="single" w:color="auto" w:sz="4" w:space="0"/>
                    <w:right w:val="single" w:color="auto" w:sz="4" w:space="0"/>
                  </w:tcBorders>
                  <w:shd w:val="clear" w:color="auto" w:fill="auto"/>
                  <w:vAlign w:val="center"/>
                </w:tcPr>
                <w:p>
                  <w:pPr>
                    <w:adjustRightInd w:val="0"/>
                    <w:jc w:val="center"/>
                    <w:rPr>
                      <w:bCs/>
                      <w:szCs w:val="21"/>
                    </w:rPr>
                  </w:pPr>
                  <w:r>
                    <w:rPr>
                      <w:bCs/>
                      <w:szCs w:val="21"/>
                      <w:lang w:bidi="ar"/>
                    </w:rPr>
                    <w:t>10</w:t>
                  </w:r>
                </w:p>
              </w:tc>
              <w:tc>
                <w:tcPr>
                  <w:tcW w:w="451" w:type="pct"/>
                  <w:tcBorders>
                    <w:top w:val="single" w:color="auto" w:sz="4" w:space="0"/>
                    <w:left w:val="single" w:color="auto" w:sz="4" w:space="0"/>
                    <w:right w:val="single" w:color="auto" w:sz="4" w:space="0"/>
                  </w:tcBorders>
                  <w:shd w:val="clear" w:color="auto" w:fill="auto"/>
                  <w:vAlign w:val="center"/>
                </w:tcPr>
                <w:p>
                  <w:pPr>
                    <w:adjustRightInd w:val="0"/>
                    <w:jc w:val="center"/>
                    <w:rPr>
                      <w:bCs/>
                      <w:szCs w:val="21"/>
                    </w:rPr>
                  </w:pPr>
                  <w:r>
                    <w:rPr>
                      <w:rFonts w:hint="eastAsia"/>
                      <w:bCs/>
                      <w:szCs w:val="21"/>
                      <w:lang w:bidi="ar"/>
                    </w:rPr>
                    <w:t>7200</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Cs/>
                      <w:szCs w:val="21"/>
                      <w:highlight w:val="green"/>
                    </w:rPr>
                  </w:pPr>
                  <w:r>
                    <w:rPr>
                      <w:bCs/>
                      <w:szCs w:val="21"/>
                      <w:highlight w:val="green"/>
                      <w:lang w:bidi="ar"/>
                    </w:rPr>
                    <w:t>TSP</w:t>
                  </w: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jc w:val="center"/>
                    <w:rPr>
                      <w:bCs/>
                      <w:szCs w:val="21"/>
                      <w:highlight w:val="green"/>
                    </w:rPr>
                  </w:pPr>
                  <w:r>
                    <w:rPr>
                      <w:rFonts w:hint="eastAsia"/>
                      <w:bCs/>
                      <w:szCs w:val="21"/>
                      <w:highlight w:val="green"/>
                      <w:lang w:bidi="ar"/>
                    </w:rPr>
                    <w:t>0.244</w:t>
                  </w:r>
                </w:p>
              </w:tc>
            </w:tr>
          </w:tbl>
          <w:p>
            <w:pPr>
              <w:widowControl/>
              <w:adjustRightInd w:val="0"/>
              <w:spacing w:before="120" w:beforeLines="50"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4-13</w:t>
            </w:r>
            <w:r>
              <w:rPr>
                <w:rFonts w:cs="宋体"/>
                <w:b/>
                <w:bCs/>
                <w:kern w:val="0"/>
                <w:sz w:val="24"/>
                <w:szCs w:val="20"/>
                <w:lang w:bidi="ar"/>
              </w:rPr>
              <w:t xml:space="preserve">  </w:t>
            </w:r>
            <w:r>
              <w:rPr>
                <w:rFonts w:hint="eastAsia" w:cs="宋体"/>
                <w:b/>
                <w:bCs/>
                <w:kern w:val="0"/>
                <w:sz w:val="24"/>
                <w:szCs w:val="20"/>
                <w:lang w:bidi="ar"/>
              </w:rPr>
              <w:t>7t</w:t>
            </w:r>
            <w:r>
              <w:rPr>
                <w:rFonts w:cs="宋体"/>
                <w:b/>
                <w:bCs/>
                <w:kern w:val="0"/>
                <w:sz w:val="24"/>
                <w:szCs w:val="20"/>
                <w:lang w:bidi="ar"/>
              </w:rPr>
              <w:t>/h</w:t>
            </w:r>
            <w:r>
              <w:rPr>
                <w:rFonts w:hint="eastAsia" w:cs="宋体"/>
                <w:b/>
                <w:bCs/>
                <w:kern w:val="0"/>
                <w:sz w:val="24"/>
                <w:szCs w:val="20"/>
                <w:lang w:bidi="ar"/>
              </w:rPr>
              <w:t>锅炉</w:t>
            </w:r>
            <w:r>
              <w:rPr>
                <w:rFonts w:cs="宋体"/>
                <w:b/>
                <w:bCs/>
                <w:kern w:val="0"/>
                <w:sz w:val="24"/>
                <w:szCs w:val="20"/>
                <w:lang w:bidi="ar"/>
              </w:rPr>
              <w:t>有组织点源</w:t>
            </w:r>
            <w:r>
              <w:rPr>
                <w:rFonts w:hint="eastAsia" w:cs="宋体"/>
                <w:b/>
                <w:bCs/>
                <w:kern w:val="0"/>
                <w:sz w:val="24"/>
                <w:szCs w:val="20"/>
                <w:lang w:bidi="ar"/>
              </w:rPr>
              <w:t>（</w:t>
            </w:r>
            <w:r>
              <w:rPr>
                <w:rFonts w:cs="宋体"/>
                <w:b/>
                <w:bCs/>
                <w:kern w:val="0"/>
                <w:sz w:val="24"/>
                <w:szCs w:val="20"/>
                <w:lang w:bidi="ar"/>
              </w:rPr>
              <w:t>DA00</w:t>
            </w:r>
            <w:r>
              <w:rPr>
                <w:rFonts w:hint="eastAsia" w:cs="宋体"/>
                <w:b/>
                <w:bCs/>
                <w:kern w:val="0"/>
                <w:sz w:val="24"/>
                <w:szCs w:val="20"/>
                <w:lang w:bidi="ar"/>
              </w:rPr>
              <w:t>2）</w:t>
            </w:r>
            <w:r>
              <w:rPr>
                <w:rFonts w:cs="宋体"/>
                <w:b/>
                <w:bCs/>
                <w:kern w:val="0"/>
                <w:sz w:val="24"/>
                <w:szCs w:val="20"/>
                <w:lang w:bidi="ar"/>
              </w:rPr>
              <w:t>估算模式计算结果</w:t>
            </w:r>
          </w:p>
          <w:tbl>
            <w:tblPr>
              <w:tblStyle w:val="32"/>
              <w:tblW w:w="8179" w:type="dxa"/>
              <w:jc w:val="center"/>
              <w:tblLayout w:type="fixed"/>
              <w:tblCellMar>
                <w:top w:w="0" w:type="dxa"/>
                <w:left w:w="0" w:type="dxa"/>
                <w:bottom w:w="0" w:type="dxa"/>
                <w:right w:w="0" w:type="dxa"/>
              </w:tblCellMar>
            </w:tblPr>
            <w:tblGrid>
              <w:gridCol w:w="2157"/>
              <w:gridCol w:w="3483"/>
              <w:gridCol w:w="2539"/>
            </w:tblGrid>
            <w:tr>
              <w:tblPrEx>
                <w:tblCellMar>
                  <w:top w:w="0" w:type="dxa"/>
                  <w:left w:w="0" w:type="dxa"/>
                  <w:bottom w:w="0" w:type="dxa"/>
                  <w:right w:w="0" w:type="dxa"/>
                </w:tblCellMar>
              </w:tblPrEx>
              <w:trPr>
                <w:trHeight w:val="90" w:hRule="atLeast"/>
                <w:jc w:val="center"/>
              </w:trPr>
              <w:tc>
                <w:tcPr>
                  <w:tcW w:w="2157"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textAlignment w:val="center"/>
                    <w:rPr>
                      <w:b/>
                      <w:bCs/>
                      <w:kern w:val="0"/>
                      <w:szCs w:val="21"/>
                      <w:lang w:bidi="ar"/>
                    </w:rPr>
                  </w:pPr>
                  <w:r>
                    <w:rPr>
                      <w:b/>
                      <w:bCs/>
                      <w:kern w:val="0"/>
                      <w:szCs w:val="21"/>
                      <w:lang w:bidi="ar"/>
                    </w:rPr>
                    <w:t>距源中心下风向距离（m）</w:t>
                  </w:r>
                </w:p>
              </w:tc>
              <w:tc>
                <w:tcPr>
                  <w:tcW w:w="6022" w:type="dxa"/>
                  <w:gridSpan w:val="2"/>
                  <w:tcBorders>
                    <w:top w:val="single" w:color="000000" w:sz="4" w:space="0"/>
                    <w:left w:val="single" w:color="000000" w:sz="4" w:space="0"/>
                    <w:bottom w:val="single" w:color="000000" w:sz="4" w:space="0"/>
                    <w:right w:val="single" w:color="000000" w:sz="4" w:space="0"/>
                  </w:tcBorders>
                  <w:vAlign w:val="center"/>
                </w:tcPr>
                <w:p>
                  <w:pPr>
                    <w:jc w:val="center"/>
                    <w:rPr>
                      <w:b/>
                      <w:bCs/>
                    </w:rPr>
                  </w:pPr>
                  <w:r>
                    <w:rPr>
                      <w:rFonts w:hint="eastAsia"/>
                      <w:b/>
                      <w:bCs/>
                    </w:rPr>
                    <w:t>PM</w:t>
                  </w:r>
                  <w:r>
                    <w:rPr>
                      <w:rFonts w:hint="eastAsia"/>
                      <w:b/>
                      <w:bCs/>
                      <w:vertAlign w:val="subscript"/>
                    </w:rPr>
                    <w:t>10</w:t>
                  </w:r>
                </w:p>
              </w:tc>
            </w:tr>
            <w:tr>
              <w:tblPrEx>
                <w:tblCellMar>
                  <w:top w:w="0" w:type="dxa"/>
                  <w:left w:w="0" w:type="dxa"/>
                  <w:bottom w:w="0" w:type="dxa"/>
                  <w:right w:w="0" w:type="dxa"/>
                </w:tblCellMar>
              </w:tblPrEx>
              <w:trPr>
                <w:trHeight w:val="90" w:hRule="atLeast"/>
                <w:jc w:val="center"/>
              </w:trPr>
              <w:tc>
                <w:tcPr>
                  <w:tcW w:w="2157"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最大小时筛选浓度(ug/m</w:t>
                  </w:r>
                  <w:r>
                    <w:rPr>
                      <w:b/>
                      <w:szCs w:val="21"/>
                      <w:vertAlign w:val="superscript"/>
                      <w:lang w:bidi="ar"/>
                    </w:rPr>
                    <w:t>3</w:t>
                  </w:r>
                  <w:r>
                    <w:rPr>
                      <w:b/>
                      <w:szCs w:val="21"/>
                      <w:lang w:bidi="ar"/>
                    </w:rPr>
                    <w:t>)</w:t>
                  </w:r>
                </w:p>
              </w:tc>
              <w:tc>
                <w:tcPr>
                  <w:tcW w:w="2539"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浓度占标率Pi(%)</w:t>
                  </w:r>
                </w:p>
              </w:tc>
            </w:tr>
            <w:tr>
              <w:tblPrEx>
                <w:tblCellMar>
                  <w:top w:w="0" w:type="dxa"/>
                  <w:left w:w="0" w:type="dxa"/>
                  <w:bottom w:w="0" w:type="dxa"/>
                  <w:right w:w="0" w:type="dxa"/>
                </w:tblCellMar>
              </w:tblPrEx>
              <w:trPr>
                <w:trHeight w:val="169"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highlight w:val="green"/>
                    </w:rPr>
                  </w:pPr>
                  <w:r>
                    <w:rPr>
                      <w:rFonts w:hint="eastAsia"/>
                      <w:highlight w:val="green"/>
                    </w:rPr>
                    <w:t>0.000015</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highlight w:val="green"/>
                    </w:rPr>
                  </w:pPr>
                  <w:r>
                    <w:rPr>
                      <w:rFonts w:hint="eastAsia"/>
                      <w:highlight w:val="green"/>
                    </w:rPr>
                    <w:t>0.00</w:t>
                  </w:r>
                </w:p>
              </w:tc>
            </w:tr>
            <w:tr>
              <w:tblPrEx>
                <w:tblCellMar>
                  <w:top w:w="0" w:type="dxa"/>
                  <w:left w:w="0" w:type="dxa"/>
                  <w:bottom w:w="0" w:type="dxa"/>
                  <w:right w:w="0" w:type="dxa"/>
                </w:tblCellMar>
              </w:tblPrEx>
              <w:trPr>
                <w:trHeight w:val="236"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25</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highlight w:val="green"/>
                    </w:rPr>
                  </w:pPr>
                  <w:r>
                    <w:rPr>
                      <w:rFonts w:hint="eastAsia"/>
                      <w:highlight w:val="green"/>
                    </w:rPr>
                    <w:t>0.060194</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highlight w:val="green"/>
                    </w:rPr>
                  </w:pPr>
                  <w:r>
                    <w:rPr>
                      <w:rFonts w:hint="eastAsia"/>
                      <w:highlight w:val="green"/>
                    </w:rPr>
                    <w:t>0.01</w:t>
                  </w:r>
                </w:p>
              </w:tc>
            </w:tr>
            <w:tr>
              <w:tblPrEx>
                <w:tblCellMar>
                  <w:top w:w="0" w:type="dxa"/>
                  <w:left w:w="0" w:type="dxa"/>
                  <w:bottom w:w="0" w:type="dxa"/>
                  <w:right w:w="0" w:type="dxa"/>
                </w:tblCellMar>
              </w:tblPrEx>
              <w:trPr>
                <w:trHeight w:val="162"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highlight w:val="green"/>
                    </w:rPr>
                  </w:pPr>
                  <w:r>
                    <w:rPr>
                      <w:rFonts w:hint="eastAsia"/>
                      <w:highlight w:val="green"/>
                    </w:rPr>
                    <w:t>0.25623</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highlight w:val="green"/>
                    </w:rPr>
                  </w:pPr>
                  <w:r>
                    <w:rPr>
                      <w:rFonts w:hint="eastAsia"/>
                      <w:highlight w:val="green"/>
                    </w:rPr>
                    <w:t>0.06</w:t>
                  </w:r>
                </w:p>
              </w:tc>
            </w:tr>
            <w:tr>
              <w:tblPrEx>
                <w:tblCellMar>
                  <w:top w:w="0" w:type="dxa"/>
                  <w:left w:w="0" w:type="dxa"/>
                  <w:bottom w:w="0" w:type="dxa"/>
                  <w:right w:w="0" w:type="dxa"/>
                </w:tblCellMar>
              </w:tblPrEx>
              <w:trPr>
                <w:trHeight w:val="151"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75</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highlight w:val="green"/>
                    </w:rPr>
                  </w:pPr>
                  <w:r>
                    <w:rPr>
                      <w:rFonts w:hint="eastAsia"/>
                      <w:highlight w:val="green"/>
                    </w:rPr>
                    <w:t>0.37577</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highlight w:val="green"/>
                    </w:rPr>
                  </w:pPr>
                  <w:r>
                    <w:rPr>
                      <w:rFonts w:hint="eastAsia"/>
                      <w:highlight w:val="green"/>
                    </w:rPr>
                    <w:t>0.08</w:t>
                  </w:r>
                </w:p>
              </w:tc>
            </w:tr>
            <w:tr>
              <w:tblPrEx>
                <w:tblCellMar>
                  <w:top w:w="0" w:type="dxa"/>
                  <w:left w:w="0" w:type="dxa"/>
                  <w:bottom w:w="0" w:type="dxa"/>
                  <w:right w:w="0" w:type="dxa"/>
                </w:tblCellMar>
              </w:tblPrEx>
              <w:trPr>
                <w:trHeight w:val="220"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r>
                    <w:rPr>
                      <w:rFonts w:hint="eastAsia"/>
                    </w:rPr>
                    <w:t>100</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highlight w:val="green"/>
                    </w:rPr>
                  </w:pPr>
                  <w:r>
                    <w:rPr>
                      <w:rFonts w:hint="eastAsia"/>
                      <w:highlight w:val="green"/>
                    </w:rPr>
                    <w:t>0.44332</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b/>
                      <w:bCs/>
                      <w:highlight w:val="green"/>
                    </w:rPr>
                  </w:pPr>
                  <w:r>
                    <w:rPr>
                      <w:rFonts w:hint="eastAsia"/>
                      <w:highlight w:val="green"/>
                    </w:rPr>
                    <w:t>0.10</w:t>
                  </w:r>
                </w:p>
              </w:tc>
            </w:tr>
            <w:tr>
              <w:tblPrEx>
                <w:tblCellMar>
                  <w:top w:w="0" w:type="dxa"/>
                  <w:left w:w="0" w:type="dxa"/>
                  <w:bottom w:w="0" w:type="dxa"/>
                  <w:right w:w="0" w:type="dxa"/>
                </w:tblCellMar>
              </w:tblPrEx>
              <w:trPr>
                <w:trHeight w:val="135"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kern w:val="0"/>
                      <w:szCs w:val="21"/>
                      <w:lang w:bidi="ar"/>
                    </w:rPr>
                  </w:pPr>
                  <w:r>
                    <w:rPr>
                      <w:rFonts w:hint="eastAsia"/>
                    </w:rPr>
                    <w:t>200</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highlight w:val="green"/>
                    </w:rPr>
                  </w:pPr>
                  <w:r>
                    <w:rPr>
                      <w:rFonts w:hint="eastAsia"/>
                      <w:highlight w:val="green"/>
                    </w:rPr>
                    <w:t>0.81263</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b/>
                      <w:highlight w:val="green"/>
                    </w:rPr>
                  </w:pPr>
                  <w:r>
                    <w:rPr>
                      <w:rFonts w:hint="eastAsia"/>
                      <w:bCs/>
                      <w:highlight w:val="green"/>
                    </w:rPr>
                    <w:t>0.18</w:t>
                  </w:r>
                </w:p>
              </w:tc>
            </w:tr>
            <w:tr>
              <w:trPr>
                <w:trHeight w:val="236"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r>
                    <w:rPr>
                      <w:rFonts w:hint="eastAsia"/>
                      <w:b/>
                      <w:bCs/>
                    </w:rPr>
                    <w:t>300</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b/>
                      <w:bCs/>
                      <w:highlight w:val="green"/>
                    </w:rPr>
                  </w:pPr>
                  <w:r>
                    <w:rPr>
                      <w:rFonts w:hint="eastAsia"/>
                      <w:b/>
                      <w:bCs/>
                      <w:highlight w:val="green"/>
                    </w:rPr>
                    <w:t>0.97421</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b/>
                      <w:bCs/>
                      <w:highlight w:val="green"/>
                    </w:rPr>
                  </w:pPr>
                  <w:r>
                    <w:rPr>
                      <w:rFonts w:hint="eastAsia"/>
                      <w:b/>
                      <w:bCs/>
                      <w:highlight w:val="green"/>
                    </w:rPr>
                    <w:t>0.22</w:t>
                  </w:r>
                </w:p>
              </w:tc>
            </w:tr>
            <w:tr>
              <w:tblPrEx>
                <w:tblCellMar>
                  <w:top w:w="0" w:type="dxa"/>
                  <w:left w:w="0" w:type="dxa"/>
                  <w:bottom w:w="0" w:type="dxa"/>
                  <w:right w:w="0" w:type="dxa"/>
                </w:tblCellMar>
              </w:tblPrEx>
              <w:trPr>
                <w:trHeight w:val="236"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r>
                    <w:rPr>
                      <w:rFonts w:hint="eastAsia"/>
                    </w:rPr>
                    <w:t>400</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highlight w:val="green"/>
                    </w:rPr>
                  </w:pPr>
                  <w:r>
                    <w:rPr>
                      <w:rFonts w:hint="eastAsia"/>
                      <w:highlight w:val="green"/>
                    </w:rPr>
                    <w:t>0.89911</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b/>
                      <w:bCs/>
                      <w:highlight w:val="green"/>
                    </w:rPr>
                  </w:pPr>
                  <w:r>
                    <w:rPr>
                      <w:rFonts w:hint="eastAsia"/>
                      <w:highlight w:val="green"/>
                    </w:rPr>
                    <w:t>0.20</w:t>
                  </w:r>
                </w:p>
              </w:tc>
            </w:tr>
            <w:tr>
              <w:tblPrEx>
                <w:tblCellMar>
                  <w:top w:w="0" w:type="dxa"/>
                  <w:left w:w="0" w:type="dxa"/>
                  <w:bottom w:w="0" w:type="dxa"/>
                  <w:right w:w="0" w:type="dxa"/>
                </w:tblCellMar>
              </w:tblPrEx>
              <w:trPr>
                <w:trHeight w:val="157"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500</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highlight w:val="green"/>
                    </w:rPr>
                  </w:pPr>
                  <w:r>
                    <w:rPr>
                      <w:rFonts w:hint="eastAsia"/>
                      <w:highlight w:val="green"/>
                    </w:rPr>
                    <w:t>0.79733</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highlight w:val="green"/>
                    </w:rPr>
                  </w:pPr>
                  <w:r>
                    <w:rPr>
                      <w:rFonts w:hint="eastAsia"/>
                      <w:highlight w:val="green"/>
                    </w:rPr>
                    <w:t>0.18</w:t>
                  </w:r>
                </w:p>
              </w:tc>
            </w:tr>
            <w:tr>
              <w:tblPrEx>
                <w:tblCellMar>
                  <w:top w:w="0" w:type="dxa"/>
                  <w:left w:w="0" w:type="dxa"/>
                  <w:bottom w:w="0" w:type="dxa"/>
                  <w:right w:w="0" w:type="dxa"/>
                </w:tblCellMar>
              </w:tblPrEx>
              <w:trPr>
                <w:trHeight w:val="205"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1000</w:t>
                  </w:r>
                </w:p>
              </w:tc>
              <w:tc>
                <w:tcPr>
                  <w:tcW w:w="3483" w:type="dxa"/>
                  <w:tcBorders>
                    <w:top w:val="single" w:color="000000" w:sz="4" w:space="0"/>
                    <w:left w:val="single" w:color="000000" w:sz="4" w:space="0"/>
                    <w:bottom w:val="single" w:color="000000" w:sz="4" w:space="0"/>
                    <w:right w:val="single" w:color="000000" w:sz="4" w:space="0"/>
                  </w:tcBorders>
                  <w:vAlign w:val="center"/>
                </w:tcPr>
                <w:p>
                  <w:pPr>
                    <w:jc w:val="center"/>
                    <w:rPr>
                      <w:highlight w:val="green"/>
                    </w:rPr>
                  </w:pPr>
                  <w:r>
                    <w:rPr>
                      <w:rFonts w:hint="eastAsia"/>
                      <w:highlight w:val="green"/>
                    </w:rPr>
                    <w:t>0.47467</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highlight w:val="green"/>
                    </w:rPr>
                  </w:pPr>
                  <w:r>
                    <w:rPr>
                      <w:rFonts w:hint="eastAsia"/>
                      <w:highlight w:val="green"/>
                    </w:rPr>
                    <w:t>0.11</w:t>
                  </w:r>
                </w:p>
              </w:tc>
            </w:tr>
            <w:tr>
              <w:tblPrEx>
                <w:tblCellMar>
                  <w:top w:w="0" w:type="dxa"/>
                  <w:left w:w="0" w:type="dxa"/>
                  <w:bottom w:w="0" w:type="dxa"/>
                  <w:right w:w="0" w:type="dxa"/>
                </w:tblCellMar>
              </w:tblPrEx>
              <w:trPr>
                <w:trHeight w:val="141"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2000</w:t>
                  </w:r>
                </w:p>
              </w:tc>
              <w:tc>
                <w:tcPr>
                  <w:tcW w:w="34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highlight w:val="green"/>
                      <w:lang w:bidi="ar"/>
                    </w:rPr>
                  </w:pPr>
                  <w:r>
                    <w:rPr>
                      <w:rFonts w:hint="eastAsia"/>
                      <w:kern w:val="0"/>
                      <w:szCs w:val="21"/>
                      <w:highlight w:val="green"/>
                      <w:lang w:bidi="ar"/>
                    </w:rPr>
                    <w:t>0.3478</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kern w:val="0"/>
                      <w:szCs w:val="21"/>
                      <w:highlight w:val="green"/>
                      <w:lang w:bidi="ar"/>
                    </w:rPr>
                  </w:pPr>
                  <w:r>
                    <w:rPr>
                      <w:rFonts w:hint="eastAsia"/>
                      <w:kern w:val="0"/>
                      <w:szCs w:val="21"/>
                      <w:highlight w:val="green"/>
                      <w:lang w:bidi="ar"/>
                    </w:rPr>
                    <w:t>0.08</w:t>
                  </w:r>
                </w:p>
              </w:tc>
            </w:tr>
            <w:tr>
              <w:tblPrEx>
                <w:tblCellMar>
                  <w:top w:w="0" w:type="dxa"/>
                  <w:left w:w="0" w:type="dxa"/>
                  <w:bottom w:w="0" w:type="dxa"/>
                  <w:right w:w="0" w:type="dxa"/>
                </w:tblCellMar>
              </w:tblPrEx>
              <w:trPr>
                <w:trHeight w:val="135"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2500</w:t>
                  </w:r>
                </w:p>
              </w:tc>
              <w:tc>
                <w:tcPr>
                  <w:tcW w:w="34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highlight w:val="green"/>
                      <w:lang w:bidi="ar"/>
                    </w:rPr>
                  </w:pPr>
                  <w:r>
                    <w:rPr>
                      <w:rFonts w:hint="eastAsia"/>
                      <w:kern w:val="0"/>
                      <w:szCs w:val="21"/>
                      <w:highlight w:val="green"/>
                      <w:lang w:bidi="ar"/>
                    </w:rPr>
                    <w:t>0.29514</w:t>
                  </w:r>
                </w:p>
              </w:tc>
              <w:tc>
                <w:tcPr>
                  <w:tcW w:w="25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kern w:val="0"/>
                      <w:szCs w:val="21"/>
                      <w:highlight w:val="green"/>
                      <w:lang w:bidi="ar"/>
                    </w:rPr>
                  </w:pPr>
                  <w:r>
                    <w:rPr>
                      <w:rFonts w:hint="eastAsia"/>
                      <w:kern w:val="0"/>
                      <w:szCs w:val="21"/>
                      <w:highlight w:val="green"/>
                      <w:lang w:bidi="ar"/>
                    </w:rPr>
                    <w:t>0.07</w:t>
                  </w:r>
                </w:p>
              </w:tc>
            </w:tr>
            <w:tr>
              <w:tblPrEx>
                <w:tblCellMar>
                  <w:top w:w="0" w:type="dxa"/>
                  <w:left w:w="0" w:type="dxa"/>
                  <w:bottom w:w="0" w:type="dxa"/>
                  <w:right w:w="0" w:type="dxa"/>
                </w:tblCellMar>
              </w:tblPrEx>
              <w:trPr>
                <w:trHeight w:val="208" w:hRule="atLeast"/>
                <w:jc w:val="center"/>
              </w:trPr>
              <w:tc>
                <w:tcPr>
                  <w:tcW w:w="21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评价</w:t>
                  </w:r>
                </w:p>
              </w:tc>
              <w:tc>
                <w:tcPr>
                  <w:tcW w:w="602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highlight w:val="green"/>
                      <w:lang w:bidi="ar"/>
                    </w:rPr>
                  </w:pPr>
                  <w:r>
                    <w:rPr>
                      <w:b/>
                      <w:bCs/>
                      <w:spacing w:val="-4"/>
                      <w:szCs w:val="21"/>
                      <w:highlight w:val="green"/>
                      <w:lang w:bidi="ar"/>
                    </w:rPr>
                    <w:t>C</w:t>
                  </w:r>
                  <w:r>
                    <w:rPr>
                      <w:b/>
                      <w:bCs/>
                      <w:spacing w:val="-4"/>
                      <w:szCs w:val="21"/>
                      <w:highlight w:val="green"/>
                      <w:vertAlign w:val="subscript"/>
                      <w:lang w:bidi="ar"/>
                    </w:rPr>
                    <w:t>max</w:t>
                  </w:r>
                  <w:r>
                    <w:rPr>
                      <w:b/>
                      <w:bCs/>
                      <w:spacing w:val="-4"/>
                      <w:szCs w:val="21"/>
                      <w:highlight w:val="green"/>
                      <w:lang w:bidi="ar"/>
                    </w:rPr>
                    <w:t>=</w:t>
                  </w:r>
                  <w:r>
                    <w:rPr>
                      <w:rFonts w:hint="eastAsia"/>
                      <w:b/>
                      <w:bCs/>
                      <w:spacing w:val="-4"/>
                      <w:szCs w:val="21"/>
                      <w:highlight w:val="green"/>
                      <w:lang w:bidi="ar"/>
                    </w:rPr>
                    <w:t>0.97421</w:t>
                  </w:r>
                  <w:r>
                    <w:rPr>
                      <w:b/>
                      <w:bCs/>
                      <w:szCs w:val="21"/>
                      <w:highlight w:val="green"/>
                      <w:lang w:bidi="ar"/>
                    </w:rPr>
                    <w:t>ug/m</w:t>
                  </w:r>
                  <w:r>
                    <w:rPr>
                      <w:b/>
                      <w:bCs/>
                      <w:szCs w:val="21"/>
                      <w:highlight w:val="green"/>
                      <w:vertAlign w:val="superscript"/>
                      <w:lang w:bidi="ar"/>
                    </w:rPr>
                    <w:t>3</w:t>
                  </w:r>
                  <w:r>
                    <w:rPr>
                      <w:b/>
                      <w:bCs/>
                      <w:szCs w:val="21"/>
                      <w:highlight w:val="green"/>
                      <w:lang w:bidi="ar"/>
                    </w:rPr>
                    <w:t>，P</w:t>
                  </w:r>
                  <w:r>
                    <w:rPr>
                      <w:b/>
                      <w:bCs/>
                      <w:szCs w:val="21"/>
                      <w:highlight w:val="green"/>
                      <w:vertAlign w:val="subscript"/>
                      <w:lang w:bidi="ar"/>
                    </w:rPr>
                    <w:t>max</w:t>
                  </w:r>
                  <w:r>
                    <w:rPr>
                      <w:b/>
                      <w:bCs/>
                      <w:szCs w:val="21"/>
                      <w:highlight w:val="green"/>
                      <w:lang w:bidi="ar"/>
                    </w:rPr>
                    <w:t>=0.</w:t>
                  </w:r>
                  <w:r>
                    <w:rPr>
                      <w:rFonts w:hint="eastAsia"/>
                      <w:b/>
                      <w:bCs/>
                      <w:szCs w:val="21"/>
                      <w:highlight w:val="green"/>
                      <w:lang w:bidi="ar"/>
                    </w:rPr>
                    <w:t>22</w:t>
                  </w:r>
                  <w:r>
                    <w:rPr>
                      <w:b/>
                      <w:bCs/>
                      <w:szCs w:val="21"/>
                      <w:highlight w:val="green"/>
                      <w:lang w:bidi="ar"/>
                    </w:rPr>
                    <w:t>%</w:t>
                  </w:r>
                </w:p>
              </w:tc>
            </w:tr>
          </w:tbl>
          <w:p>
            <w:pPr>
              <w:widowControl/>
              <w:adjustRightInd w:val="0"/>
              <w:spacing w:before="120" w:beforeLines="50" w:line="360" w:lineRule="auto"/>
              <w:jc w:val="center"/>
              <w:rPr>
                <w:rFonts w:cs="宋体"/>
                <w:b/>
                <w:bCs/>
                <w:kern w:val="0"/>
                <w:sz w:val="24"/>
                <w:szCs w:val="20"/>
                <w:lang w:bidi="ar"/>
              </w:rPr>
            </w:pPr>
          </w:p>
          <w:p>
            <w:pPr>
              <w:widowControl/>
              <w:adjustRightInd w:val="0"/>
              <w:spacing w:before="120" w:beforeLines="50" w:line="360" w:lineRule="auto"/>
              <w:jc w:val="center"/>
              <w:rPr>
                <w:rFonts w:cs="宋体"/>
                <w:b/>
                <w:bCs/>
                <w:kern w:val="0"/>
                <w:sz w:val="24"/>
                <w:szCs w:val="20"/>
                <w:lang w:bidi="ar"/>
              </w:rPr>
            </w:pPr>
          </w:p>
          <w:p>
            <w:pPr>
              <w:widowControl/>
              <w:adjustRightInd w:val="0"/>
              <w:spacing w:before="120" w:beforeLines="50"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4-14</w:t>
            </w:r>
            <w:r>
              <w:rPr>
                <w:rFonts w:cs="宋体"/>
                <w:b/>
                <w:bCs/>
                <w:kern w:val="0"/>
                <w:sz w:val="24"/>
                <w:szCs w:val="20"/>
                <w:lang w:bidi="ar"/>
              </w:rPr>
              <w:t xml:space="preserve">  </w:t>
            </w:r>
            <w:r>
              <w:rPr>
                <w:rFonts w:hint="eastAsia" w:cs="宋体"/>
                <w:b/>
                <w:bCs/>
                <w:kern w:val="0"/>
                <w:sz w:val="24"/>
                <w:szCs w:val="20"/>
                <w:lang w:bidi="ar"/>
              </w:rPr>
              <w:t>热压凉板</w:t>
            </w:r>
            <w:r>
              <w:rPr>
                <w:rFonts w:cs="宋体"/>
                <w:b/>
                <w:bCs/>
                <w:kern w:val="0"/>
                <w:sz w:val="24"/>
                <w:szCs w:val="20"/>
                <w:lang w:bidi="ar"/>
              </w:rPr>
              <w:t>有组织点源</w:t>
            </w:r>
            <w:r>
              <w:rPr>
                <w:rFonts w:hint="eastAsia" w:cs="宋体"/>
                <w:b/>
                <w:bCs/>
                <w:kern w:val="0"/>
                <w:sz w:val="24"/>
                <w:szCs w:val="20"/>
                <w:lang w:bidi="ar"/>
              </w:rPr>
              <w:t>（</w:t>
            </w:r>
            <w:r>
              <w:rPr>
                <w:rFonts w:cs="宋体"/>
                <w:b/>
                <w:bCs/>
                <w:kern w:val="0"/>
                <w:sz w:val="24"/>
                <w:szCs w:val="20"/>
                <w:lang w:bidi="ar"/>
              </w:rPr>
              <w:t>DA00</w:t>
            </w:r>
            <w:r>
              <w:rPr>
                <w:rFonts w:hint="eastAsia" w:cs="宋体"/>
                <w:b/>
                <w:bCs/>
                <w:kern w:val="0"/>
                <w:sz w:val="24"/>
                <w:szCs w:val="20"/>
                <w:lang w:bidi="ar"/>
              </w:rPr>
              <w:t>6）</w:t>
            </w:r>
            <w:r>
              <w:rPr>
                <w:rFonts w:cs="宋体"/>
                <w:b/>
                <w:bCs/>
                <w:kern w:val="0"/>
                <w:sz w:val="24"/>
                <w:szCs w:val="20"/>
                <w:lang w:bidi="ar"/>
              </w:rPr>
              <w:t>估算模式计算结果</w:t>
            </w:r>
          </w:p>
          <w:tbl>
            <w:tblPr>
              <w:tblStyle w:val="32"/>
              <w:tblW w:w="8199" w:type="dxa"/>
              <w:jc w:val="center"/>
              <w:tblLayout w:type="fixed"/>
              <w:tblCellMar>
                <w:top w:w="0" w:type="dxa"/>
                <w:left w:w="0" w:type="dxa"/>
                <w:bottom w:w="0" w:type="dxa"/>
                <w:right w:w="0" w:type="dxa"/>
              </w:tblCellMar>
            </w:tblPr>
            <w:tblGrid>
              <w:gridCol w:w="1234"/>
              <w:gridCol w:w="1890"/>
              <w:gridCol w:w="1632"/>
              <w:gridCol w:w="1991"/>
              <w:gridCol w:w="1452"/>
            </w:tblGrid>
            <w:tr>
              <w:tblPrEx>
                <w:tblCellMar>
                  <w:top w:w="0" w:type="dxa"/>
                  <w:left w:w="0" w:type="dxa"/>
                  <w:bottom w:w="0" w:type="dxa"/>
                  <w:right w:w="0" w:type="dxa"/>
                </w:tblCellMar>
              </w:tblPrEx>
              <w:trPr>
                <w:trHeight w:val="355" w:hRule="atLeast"/>
                <w:jc w:val="center"/>
              </w:trPr>
              <w:tc>
                <w:tcPr>
                  <w:tcW w:w="1234"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textAlignment w:val="center"/>
                    <w:rPr>
                      <w:b/>
                      <w:bCs/>
                      <w:kern w:val="0"/>
                      <w:szCs w:val="21"/>
                      <w:lang w:bidi="ar"/>
                    </w:rPr>
                  </w:pPr>
                  <w:r>
                    <w:rPr>
                      <w:b/>
                      <w:bCs/>
                      <w:kern w:val="0"/>
                      <w:szCs w:val="21"/>
                      <w:lang w:bidi="ar"/>
                    </w:rPr>
                    <w:t>距源中心下风向距离（m）</w:t>
                  </w:r>
                </w:p>
              </w:tc>
              <w:tc>
                <w:tcPr>
                  <w:tcW w:w="3522" w:type="dxa"/>
                  <w:gridSpan w:val="2"/>
                  <w:tcBorders>
                    <w:top w:val="single" w:color="000000" w:sz="4" w:space="0"/>
                    <w:left w:val="single" w:color="000000" w:sz="4" w:space="0"/>
                    <w:bottom w:val="single" w:color="000000" w:sz="4" w:space="0"/>
                    <w:right w:val="single" w:color="000000" w:sz="4" w:space="0"/>
                  </w:tcBorders>
                  <w:vAlign w:val="center"/>
                </w:tcPr>
                <w:p>
                  <w:pPr>
                    <w:jc w:val="center"/>
                    <w:rPr>
                      <w:b/>
                      <w:bCs/>
                      <w:szCs w:val="21"/>
                      <w:lang w:bidi="ar"/>
                    </w:rPr>
                  </w:pPr>
                  <w:r>
                    <w:rPr>
                      <w:rFonts w:hint="eastAsia"/>
                      <w:b/>
                      <w:bCs/>
                    </w:rPr>
                    <w:t>甲醛</w:t>
                  </w:r>
                </w:p>
              </w:tc>
              <w:tc>
                <w:tcPr>
                  <w:tcW w:w="3443" w:type="dxa"/>
                  <w:gridSpan w:val="2"/>
                  <w:tcBorders>
                    <w:top w:val="single" w:color="000000" w:sz="4" w:space="0"/>
                    <w:left w:val="single" w:color="000000" w:sz="4" w:space="0"/>
                    <w:bottom w:val="single" w:color="000000" w:sz="4" w:space="0"/>
                    <w:right w:val="single" w:color="000000" w:sz="4" w:space="0"/>
                  </w:tcBorders>
                  <w:vAlign w:val="center"/>
                </w:tcPr>
                <w:p>
                  <w:pPr>
                    <w:jc w:val="center"/>
                    <w:rPr>
                      <w:b/>
                      <w:bCs/>
                    </w:rPr>
                  </w:pPr>
                  <w:r>
                    <w:rPr>
                      <w:rFonts w:hint="eastAsia"/>
                      <w:b/>
                      <w:bCs/>
                    </w:rPr>
                    <w:t>非甲烷总烃</w:t>
                  </w:r>
                </w:p>
              </w:tc>
            </w:tr>
            <w:tr>
              <w:tblPrEx>
                <w:tblCellMar>
                  <w:top w:w="0" w:type="dxa"/>
                  <w:left w:w="0" w:type="dxa"/>
                  <w:bottom w:w="0" w:type="dxa"/>
                  <w:right w:w="0" w:type="dxa"/>
                </w:tblCellMar>
              </w:tblPrEx>
              <w:trPr>
                <w:trHeight w:val="584" w:hRule="atLeast"/>
                <w:jc w:val="center"/>
              </w:trPr>
              <w:tc>
                <w:tcPr>
                  <w:tcW w:w="1234"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最大小时筛选浓度(ug/m</w:t>
                  </w:r>
                  <w:r>
                    <w:rPr>
                      <w:b/>
                      <w:szCs w:val="21"/>
                      <w:vertAlign w:val="superscript"/>
                      <w:lang w:bidi="ar"/>
                    </w:rPr>
                    <w:t>3</w:t>
                  </w:r>
                  <w:r>
                    <w:rPr>
                      <w:b/>
                      <w:szCs w:val="21"/>
                      <w:lang w:bidi="ar"/>
                    </w:rPr>
                    <w:t>)</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浓度占标率Pi(%)</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最大小时筛选浓度(ug/m</w:t>
                  </w:r>
                  <w:r>
                    <w:rPr>
                      <w:b/>
                      <w:szCs w:val="21"/>
                      <w:vertAlign w:val="superscript"/>
                      <w:lang w:bidi="ar"/>
                    </w:rPr>
                    <w:t>3</w:t>
                  </w:r>
                  <w:r>
                    <w:rPr>
                      <w:b/>
                      <w:szCs w:val="21"/>
                      <w:lang w:bidi="ar"/>
                    </w:rPr>
                    <w:t>)</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rPr>
                      <w:b/>
                      <w:szCs w:val="21"/>
                      <w:lang w:bidi="ar"/>
                    </w:rPr>
                  </w:pPr>
                  <w:r>
                    <w:rPr>
                      <w:b/>
                      <w:szCs w:val="21"/>
                      <w:lang w:bidi="ar"/>
                    </w:rPr>
                    <w:t>浓度占标率Pi(%)</w:t>
                  </w:r>
                </w:p>
              </w:tc>
            </w:tr>
            <w:tr>
              <w:tblPrEx>
                <w:tblCellMar>
                  <w:top w:w="0" w:type="dxa"/>
                  <w:left w:w="0" w:type="dxa"/>
                  <w:bottom w:w="0" w:type="dxa"/>
                  <w:right w:w="0" w:type="dxa"/>
                </w:tblCellMar>
              </w:tblPrEx>
              <w:trPr>
                <w:trHeight w:val="266"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pPr>
                  <w:r>
                    <w:t>0.008779</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0.02</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pPr>
                  <w:r>
                    <w:t>0.019915</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0.001</w:t>
                  </w:r>
                </w:p>
              </w:tc>
            </w:tr>
            <w:tr>
              <w:tblPrEx>
                <w:tblCellMar>
                  <w:top w:w="0" w:type="dxa"/>
                  <w:left w:w="0" w:type="dxa"/>
                  <w:bottom w:w="0" w:type="dxa"/>
                  <w:right w:w="0" w:type="dxa"/>
                </w:tblCellMar>
              </w:tblPrEx>
              <w:trPr>
                <w:trHeight w:val="250"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25</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pPr>
                  <w:r>
                    <w:t>0.272161</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0.54</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pPr>
                  <w:r>
                    <w:t>0.617416</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0.031</w:t>
                  </w:r>
                </w:p>
              </w:tc>
            </w:tr>
            <w:tr>
              <w:tblPrEx>
                <w:tblCellMar>
                  <w:top w:w="0" w:type="dxa"/>
                  <w:left w:w="0" w:type="dxa"/>
                  <w:bottom w:w="0" w:type="dxa"/>
                  <w:right w:w="0" w:type="dxa"/>
                </w:tblCellMar>
              </w:tblPrEx>
              <w:trPr>
                <w:trHeight w:val="250"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pPr>
                  <w:r>
                    <w:t>0.704839</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1.41</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pPr>
                  <w:r>
                    <w:t>1.598978</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0.080</w:t>
                  </w:r>
                </w:p>
              </w:tc>
            </w:tr>
            <w:tr>
              <w:tblPrEx>
                <w:tblCellMar>
                  <w:top w:w="0" w:type="dxa"/>
                  <w:left w:w="0" w:type="dxa"/>
                  <w:bottom w:w="0" w:type="dxa"/>
                  <w:right w:w="0" w:type="dxa"/>
                </w:tblCellMar>
              </w:tblPrEx>
              <w:trPr>
                <w:trHeight w:val="234"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75</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pPr>
                  <w:r>
                    <w:t>0.865714</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1.73</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pPr>
                  <w:r>
                    <w:t>1.963935</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0.098</w:t>
                  </w:r>
                </w:p>
              </w:tc>
            </w:tr>
            <w:tr>
              <w:tblPrEx>
                <w:tblCellMar>
                  <w:top w:w="0" w:type="dxa"/>
                  <w:left w:w="0" w:type="dxa"/>
                  <w:bottom w:w="0" w:type="dxa"/>
                  <w:right w:w="0" w:type="dxa"/>
                </w:tblCellMar>
              </w:tblPrEx>
              <w:trPr>
                <w:trHeight w:val="234"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rPr>
                  </w:pPr>
                  <w:r>
                    <w:rPr>
                      <w:b/>
                      <w:bCs/>
                    </w:rPr>
                    <w:t>92</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rPr>
                      <w:b/>
                      <w:bCs/>
                    </w:rPr>
                    <w:t>0.900679</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rPr>
                      <w:rFonts w:eastAsia="等线"/>
                      <w:b/>
                      <w:bCs/>
                      <w:color w:val="000000"/>
                      <w:szCs w:val="21"/>
                    </w:rPr>
                    <w:t>1.80</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rPr>
                      <w:b/>
                      <w:bCs/>
                    </w:rPr>
                    <w:t>2.043254</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rPr>
                      <w:rFonts w:eastAsia="等线"/>
                      <w:b/>
                      <w:bCs/>
                      <w:color w:val="000000"/>
                      <w:szCs w:val="21"/>
                    </w:rPr>
                    <w:t>0.102</w:t>
                  </w:r>
                </w:p>
              </w:tc>
            </w:tr>
            <w:tr>
              <w:tblPrEx>
                <w:tblCellMar>
                  <w:top w:w="0" w:type="dxa"/>
                  <w:left w:w="0" w:type="dxa"/>
                  <w:bottom w:w="0" w:type="dxa"/>
                  <w:right w:w="0" w:type="dxa"/>
                </w:tblCellMar>
              </w:tblPrEx>
              <w:trPr>
                <w:trHeight w:val="282"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r>
                    <w:rPr>
                      <w:rFonts w:hint="eastAsia"/>
                    </w:rPr>
                    <w:t>100</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t>0.008779</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rPr>
                      <w:rFonts w:eastAsia="等线"/>
                      <w:color w:val="000000"/>
                      <w:szCs w:val="21"/>
                    </w:rPr>
                    <w:t>0.02</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t>2.031141</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rPr>
                      <w:b/>
                      <w:bCs/>
                    </w:rPr>
                  </w:pPr>
                  <w:r>
                    <w:rPr>
                      <w:rFonts w:eastAsia="等线"/>
                      <w:color w:val="000000"/>
                      <w:szCs w:val="21"/>
                    </w:rPr>
                    <w:t>0.102</w:t>
                  </w:r>
                </w:p>
              </w:tc>
            </w:tr>
            <w:tr>
              <w:tblPrEx>
                <w:tblCellMar>
                  <w:top w:w="0" w:type="dxa"/>
                  <w:left w:w="0" w:type="dxa"/>
                  <w:bottom w:w="0" w:type="dxa"/>
                  <w:right w:w="0" w:type="dxa"/>
                </w:tblCellMar>
              </w:tblPrEx>
              <w:trPr>
                <w:trHeight w:val="234"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200</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pPr>
                  <w:r>
                    <w:t>0.630536</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1.26</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pPr>
                  <w:r>
                    <w:t>1.430415</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0.072</w:t>
                  </w:r>
                </w:p>
              </w:tc>
            </w:tr>
            <w:tr>
              <w:tblPrEx>
                <w:tblCellMar>
                  <w:top w:w="0" w:type="dxa"/>
                  <w:left w:w="0" w:type="dxa"/>
                  <w:bottom w:w="0" w:type="dxa"/>
                  <w:right w:w="0" w:type="dxa"/>
                </w:tblCellMar>
              </w:tblPrEx>
              <w:trPr>
                <w:trHeight w:val="234"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300</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pPr>
                  <w:r>
                    <w:t>0.635179</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1.27</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pPr>
                  <w:r>
                    <w:t>1.440948</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0.072</w:t>
                  </w:r>
                </w:p>
              </w:tc>
            </w:tr>
            <w:tr>
              <w:tblPrEx>
                <w:tblCellMar>
                  <w:top w:w="0" w:type="dxa"/>
                  <w:left w:w="0" w:type="dxa"/>
                  <w:bottom w:w="0" w:type="dxa"/>
                  <w:right w:w="0" w:type="dxa"/>
                </w:tblCellMar>
              </w:tblPrEx>
              <w:trPr>
                <w:trHeight w:val="234"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400</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pPr>
                  <w:r>
                    <w:t>0.621321</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1.24</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pPr>
                  <w:r>
                    <w:t>1.409512</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0.070</w:t>
                  </w:r>
                </w:p>
              </w:tc>
            </w:tr>
            <w:tr>
              <w:tblPrEx>
                <w:tblCellMar>
                  <w:top w:w="0" w:type="dxa"/>
                  <w:left w:w="0" w:type="dxa"/>
                  <w:bottom w:w="0" w:type="dxa"/>
                  <w:right w:w="0" w:type="dxa"/>
                </w:tblCellMar>
              </w:tblPrEx>
              <w:trPr>
                <w:trHeight w:val="250"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500</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pPr>
                  <w:r>
                    <w:t>0.552429</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1.10</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pPr>
                  <w:r>
                    <w:t>1.253224</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0.063</w:t>
                  </w:r>
                </w:p>
              </w:tc>
            </w:tr>
            <w:tr>
              <w:tblPrEx>
                <w:tblCellMar>
                  <w:top w:w="0" w:type="dxa"/>
                  <w:left w:w="0" w:type="dxa"/>
                  <w:bottom w:w="0" w:type="dxa"/>
                  <w:right w:w="0" w:type="dxa"/>
                </w:tblCellMar>
              </w:tblPrEx>
              <w:trPr>
                <w:trHeight w:val="324"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1000</w:t>
                  </w:r>
                </w:p>
              </w:tc>
              <w:tc>
                <w:tcPr>
                  <w:tcW w:w="1890" w:type="dxa"/>
                  <w:tcBorders>
                    <w:top w:val="single" w:color="000000" w:sz="4" w:space="0"/>
                    <w:left w:val="single" w:color="000000" w:sz="4" w:space="0"/>
                    <w:bottom w:val="single" w:color="000000" w:sz="4" w:space="0"/>
                    <w:right w:val="single" w:color="000000" w:sz="4" w:space="0"/>
                  </w:tcBorders>
                  <w:vAlign w:val="center"/>
                </w:tcPr>
                <w:p>
                  <w:pPr>
                    <w:jc w:val="center"/>
                  </w:pPr>
                  <w:r>
                    <w:t>0.349339</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0.70</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pPr>
                  <w:r>
                    <w:t>0.792501</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pPr>
                  <w:r>
                    <w:rPr>
                      <w:rFonts w:eastAsia="等线"/>
                      <w:color w:val="000000"/>
                      <w:szCs w:val="21"/>
                    </w:rPr>
                    <w:t>0.040</w:t>
                  </w:r>
                </w:p>
              </w:tc>
            </w:tr>
            <w:tr>
              <w:tblPrEx>
                <w:tblCellMar>
                  <w:top w:w="0" w:type="dxa"/>
                  <w:left w:w="0" w:type="dxa"/>
                  <w:bottom w:w="0" w:type="dxa"/>
                  <w:right w:w="0" w:type="dxa"/>
                </w:tblCellMar>
              </w:tblPrEx>
              <w:trPr>
                <w:trHeight w:val="234"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2000</w:t>
                  </w:r>
                </w:p>
              </w:tc>
              <w:tc>
                <w:tcPr>
                  <w:tcW w:w="18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t>0.240179</w:t>
                  </w:r>
                </w:p>
              </w:tc>
              <w:tc>
                <w:tcPr>
                  <w:tcW w:w="16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rFonts w:eastAsia="等线"/>
                      <w:color w:val="000000"/>
                      <w:szCs w:val="21"/>
                    </w:rPr>
                    <w:t>0.48</w:t>
                  </w:r>
                </w:p>
              </w:tc>
              <w:tc>
                <w:tcPr>
                  <w:tcW w:w="1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t>0.544862</w:t>
                  </w:r>
                </w:p>
              </w:tc>
              <w:tc>
                <w:tcPr>
                  <w:tcW w:w="14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rFonts w:eastAsia="等线"/>
                      <w:color w:val="000000"/>
                      <w:szCs w:val="21"/>
                    </w:rPr>
                    <w:t>0.027</w:t>
                  </w:r>
                </w:p>
              </w:tc>
            </w:tr>
            <w:tr>
              <w:tblPrEx>
                <w:tblCellMar>
                  <w:top w:w="0" w:type="dxa"/>
                  <w:left w:w="0" w:type="dxa"/>
                  <w:bottom w:w="0" w:type="dxa"/>
                  <w:right w:w="0" w:type="dxa"/>
                </w:tblCellMar>
              </w:tblPrEx>
              <w:trPr>
                <w:trHeight w:val="218"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2500</w:t>
                  </w:r>
                </w:p>
              </w:tc>
              <w:tc>
                <w:tcPr>
                  <w:tcW w:w="18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0.197018</w:t>
                  </w:r>
                </w:p>
              </w:tc>
              <w:tc>
                <w:tcPr>
                  <w:tcW w:w="16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rFonts w:eastAsia="等线"/>
                      <w:color w:val="000000"/>
                      <w:szCs w:val="21"/>
                    </w:rPr>
                    <w:t>0.39</w:t>
                  </w:r>
                </w:p>
              </w:tc>
              <w:tc>
                <w:tcPr>
                  <w:tcW w:w="1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kern w:val="0"/>
                      <w:szCs w:val="21"/>
                      <w:lang w:bidi="ar"/>
                    </w:rPr>
                    <w:t>0.446949</w:t>
                  </w:r>
                </w:p>
              </w:tc>
              <w:tc>
                <w:tcPr>
                  <w:tcW w:w="14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Cs w:val="21"/>
                      <w:lang w:bidi="ar"/>
                    </w:rPr>
                  </w:pPr>
                  <w:r>
                    <w:rPr>
                      <w:rFonts w:eastAsia="等线"/>
                      <w:color w:val="000000"/>
                      <w:szCs w:val="21"/>
                    </w:rPr>
                    <w:t>0.022</w:t>
                  </w:r>
                </w:p>
              </w:tc>
            </w:tr>
            <w:tr>
              <w:tblPrEx>
                <w:tblCellMar>
                  <w:top w:w="0" w:type="dxa"/>
                  <w:left w:w="0" w:type="dxa"/>
                  <w:bottom w:w="0" w:type="dxa"/>
                  <w:right w:w="0" w:type="dxa"/>
                </w:tblCellMar>
              </w:tblPrEx>
              <w:trPr>
                <w:trHeight w:val="348" w:hRule="atLeast"/>
                <w:jc w:val="center"/>
              </w:trPr>
              <w:tc>
                <w:tcPr>
                  <w:tcW w:w="12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评价</w:t>
                  </w:r>
                </w:p>
              </w:tc>
              <w:tc>
                <w:tcPr>
                  <w:tcW w:w="3522" w:type="dxa"/>
                  <w:gridSpan w:val="2"/>
                  <w:tcBorders>
                    <w:top w:val="single" w:color="000000" w:sz="4" w:space="0"/>
                    <w:left w:val="single" w:color="000000" w:sz="4" w:space="0"/>
                    <w:bottom w:val="single" w:color="000000" w:sz="4" w:space="0"/>
                    <w:right w:val="single" w:color="000000" w:sz="4" w:space="0"/>
                  </w:tcBorders>
                  <w:vAlign w:val="center"/>
                </w:tcPr>
                <w:p>
                  <w:pPr>
                    <w:jc w:val="center"/>
                    <w:rPr>
                      <w:b/>
                      <w:bCs/>
                      <w:spacing w:val="-4"/>
                      <w:szCs w:val="21"/>
                      <w:lang w:bidi="ar"/>
                    </w:rPr>
                  </w:pPr>
                  <w:r>
                    <w:rPr>
                      <w:b/>
                      <w:bCs/>
                      <w:spacing w:val="-4"/>
                      <w:szCs w:val="21"/>
                      <w:lang w:bidi="ar"/>
                    </w:rPr>
                    <w:t>C</w:t>
                  </w:r>
                  <w:r>
                    <w:rPr>
                      <w:b/>
                      <w:bCs/>
                      <w:spacing w:val="-4"/>
                      <w:szCs w:val="21"/>
                      <w:vertAlign w:val="subscript"/>
                      <w:lang w:bidi="ar"/>
                    </w:rPr>
                    <w:t>max</w:t>
                  </w:r>
                  <w:r>
                    <w:rPr>
                      <w:b/>
                      <w:bCs/>
                      <w:spacing w:val="-4"/>
                      <w:szCs w:val="21"/>
                      <w:lang w:bidi="ar"/>
                    </w:rPr>
                    <w:t>=0.900679</w:t>
                  </w:r>
                  <w:r>
                    <w:rPr>
                      <w:b/>
                      <w:bCs/>
                      <w:szCs w:val="21"/>
                      <w:lang w:bidi="ar"/>
                    </w:rPr>
                    <w:t>ug/m</w:t>
                  </w:r>
                  <w:r>
                    <w:rPr>
                      <w:b/>
                      <w:bCs/>
                      <w:szCs w:val="21"/>
                      <w:vertAlign w:val="superscript"/>
                      <w:lang w:bidi="ar"/>
                    </w:rPr>
                    <w:t>3</w:t>
                  </w:r>
                  <w:r>
                    <w:rPr>
                      <w:b/>
                      <w:bCs/>
                      <w:szCs w:val="21"/>
                      <w:lang w:bidi="ar"/>
                    </w:rPr>
                    <w:t>，P</w:t>
                  </w:r>
                  <w:r>
                    <w:rPr>
                      <w:b/>
                      <w:bCs/>
                      <w:szCs w:val="21"/>
                      <w:vertAlign w:val="subscript"/>
                      <w:lang w:bidi="ar"/>
                    </w:rPr>
                    <w:t>max</w:t>
                  </w:r>
                  <w:r>
                    <w:rPr>
                      <w:b/>
                      <w:bCs/>
                      <w:szCs w:val="21"/>
                      <w:lang w:bidi="ar"/>
                    </w:rPr>
                    <w:t>=1.80%</w:t>
                  </w:r>
                </w:p>
              </w:tc>
              <w:tc>
                <w:tcPr>
                  <w:tcW w:w="3443"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bCs/>
                      <w:kern w:val="0"/>
                      <w:szCs w:val="21"/>
                      <w:lang w:bidi="ar"/>
                    </w:rPr>
                  </w:pPr>
                  <w:r>
                    <w:rPr>
                      <w:b/>
                      <w:bCs/>
                      <w:spacing w:val="-4"/>
                      <w:szCs w:val="21"/>
                      <w:lang w:bidi="ar"/>
                    </w:rPr>
                    <w:t>C</w:t>
                  </w:r>
                  <w:r>
                    <w:rPr>
                      <w:b/>
                      <w:bCs/>
                      <w:spacing w:val="-4"/>
                      <w:szCs w:val="21"/>
                      <w:vertAlign w:val="subscript"/>
                      <w:lang w:bidi="ar"/>
                    </w:rPr>
                    <w:t>max</w:t>
                  </w:r>
                  <w:r>
                    <w:rPr>
                      <w:b/>
                      <w:bCs/>
                      <w:spacing w:val="-4"/>
                      <w:szCs w:val="21"/>
                      <w:lang w:bidi="ar"/>
                    </w:rPr>
                    <w:t>=2.043254</w:t>
                  </w:r>
                  <w:r>
                    <w:rPr>
                      <w:b/>
                      <w:bCs/>
                      <w:szCs w:val="21"/>
                      <w:lang w:bidi="ar"/>
                    </w:rPr>
                    <w:t>ug/m</w:t>
                  </w:r>
                  <w:r>
                    <w:rPr>
                      <w:b/>
                      <w:bCs/>
                      <w:szCs w:val="21"/>
                      <w:vertAlign w:val="superscript"/>
                      <w:lang w:bidi="ar"/>
                    </w:rPr>
                    <w:t>3</w:t>
                  </w:r>
                  <w:r>
                    <w:rPr>
                      <w:b/>
                      <w:bCs/>
                      <w:szCs w:val="21"/>
                      <w:lang w:bidi="ar"/>
                    </w:rPr>
                    <w:t>，P</w:t>
                  </w:r>
                  <w:r>
                    <w:rPr>
                      <w:b/>
                      <w:bCs/>
                      <w:szCs w:val="21"/>
                      <w:vertAlign w:val="subscript"/>
                      <w:lang w:bidi="ar"/>
                    </w:rPr>
                    <w:t>max</w:t>
                  </w:r>
                  <w:r>
                    <w:rPr>
                      <w:b/>
                      <w:bCs/>
                      <w:szCs w:val="21"/>
                      <w:lang w:bidi="ar"/>
                    </w:rPr>
                    <w:t>=0.102%</w:t>
                  </w:r>
                </w:p>
              </w:tc>
            </w:tr>
          </w:tbl>
          <w:p>
            <w:pPr>
              <w:widowControl/>
              <w:adjustRightInd w:val="0"/>
              <w:spacing w:before="120" w:beforeLines="50"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4-15</w:t>
            </w:r>
            <w:r>
              <w:rPr>
                <w:rFonts w:cs="宋体"/>
                <w:b/>
                <w:bCs/>
                <w:kern w:val="0"/>
                <w:sz w:val="24"/>
                <w:szCs w:val="20"/>
                <w:lang w:bidi="ar"/>
              </w:rPr>
              <w:t xml:space="preserve">  </w:t>
            </w:r>
            <w:r>
              <w:rPr>
                <w:rFonts w:hint="eastAsia" w:cs="宋体"/>
                <w:b/>
                <w:bCs/>
                <w:kern w:val="0"/>
                <w:sz w:val="24"/>
                <w:szCs w:val="20"/>
                <w:highlight w:val="green"/>
                <w:lang w:bidi="ar"/>
              </w:rPr>
              <w:t>本项目环保工程技改后</w:t>
            </w:r>
            <w:r>
              <w:rPr>
                <w:rFonts w:cs="宋体"/>
                <w:b/>
                <w:bCs/>
                <w:kern w:val="0"/>
                <w:sz w:val="24"/>
                <w:szCs w:val="20"/>
                <w:lang w:bidi="ar"/>
              </w:rPr>
              <w:t>生产车间无组织面源估算模式计算结果</w:t>
            </w:r>
          </w:p>
          <w:tbl>
            <w:tblPr>
              <w:tblStyle w:val="32"/>
              <w:tblW w:w="4972" w:type="pct"/>
              <w:tblInd w:w="0" w:type="dxa"/>
              <w:tblLayout w:type="fixed"/>
              <w:tblCellMar>
                <w:top w:w="0" w:type="dxa"/>
                <w:left w:w="0" w:type="dxa"/>
                <w:bottom w:w="0" w:type="dxa"/>
                <w:right w:w="0" w:type="dxa"/>
              </w:tblCellMar>
            </w:tblPr>
            <w:tblGrid>
              <w:gridCol w:w="2538"/>
              <w:gridCol w:w="3279"/>
              <w:gridCol w:w="2341"/>
            </w:tblGrid>
            <w:tr>
              <w:tblPrEx>
                <w:tblCellMar>
                  <w:top w:w="0" w:type="dxa"/>
                  <w:left w:w="0" w:type="dxa"/>
                  <w:bottom w:w="0" w:type="dxa"/>
                  <w:right w:w="0" w:type="dxa"/>
                </w:tblCellMar>
              </w:tblPrEx>
              <w:trPr>
                <w:trHeight w:val="223" w:hRule="atLeast"/>
              </w:trPr>
              <w:tc>
                <w:tcPr>
                  <w:tcW w:w="1555"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jc w:val="center"/>
                    <w:textAlignment w:val="center"/>
                    <w:rPr>
                      <w:b/>
                      <w:bCs/>
                      <w:kern w:val="0"/>
                      <w:szCs w:val="21"/>
                      <w:lang w:bidi="ar"/>
                    </w:rPr>
                  </w:pPr>
                  <w:r>
                    <w:rPr>
                      <w:b/>
                      <w:bCs/>
                      <w:kern w:val="0"/>
                      <w:szCs w:val="21"/>
                      <w:lang w:bidi="ar"/>
                    </w:rPr>
                    <w:t>距源中心下风向距离（m）</w:t>
                  </w:r>
                </w:p>
              </w:tc>
              <w:tc>
                <w:tcPr>
                  <w:tcW w:w="3444"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szCs w:val="21"/>
                      <w:lang w:bidi="ar"/>
                    </w:rPr>
                  </w:pPr>
                  <w:r>
                    <w:rPr>
                      <w:rFonts w:hint="eastAsia"/>
                      <w:b/>
                      <w:szCs w:val="21"/>
                      <w:lang w:bidi="ar"/>
                    </w:rPr>
                    <w:t>TSP</w:t>
                  </w:r>
                </w:p>
              </w:tc>
            </w:tr>
            <w:tr>
              <w:tblPrEx>
                <w:tblCellMar>
                  <w:top w:w="0" w:type="dxa"/>
                  <w:left w:w="0" w:type="dxa"/>
                  <w:bottom w:w="0" w:type="dxa"/>
                  <w:right w:w="0" w:type="dxa"/>
                </w:tblCellMar>
              </w:tblPrEx>
              <w:trPr>
                <w:trHeight w:val="90" w:hRule="atLeast"/>
              </w:trPr>
              <w:tc>
                <w:tcPr>
                  <w:tcW w:w="1555"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szCs w:val="21"/>
                    </w:rPr>
                  </w:pPr>
                  <w:r>
                    <w:rPr>
                      <w:b/>
                      <w:szCs w:val="21"/>
                      <w:lang w:bidi="ar"/>
                    </w:rPr>
                    <w:t>最大小时筛选浓度(ug/m</w:t>
                  </w:r>
                  <w:r>
                    <w:rPr>
                      <w:b/>
                      <w:szCs w:val="21"/>
                      <w:vertAlign w:val="superscript"/>
                      <w:lang w:bidi="ar"/>
                    </w:rPr>
                    <w:t>3</w:t>
                  </w:r>
                  <w:r>
                    <w:rPr>
                      <w:b/>
                      <w:szCs w:val="21"/>
                      <w:lang w:bidi="ar"/>
                    </w:rPr>
                    <w:t>)</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szCs w:val="21"/>
                    </w:rPr>
                  </w:pPr>
                  <w:r>
                    <w:rPr>
                      <w:b/>
                      <w:szCs w:val="21"/>
                      <w:lang w:bidi="ar"/>
                    </w:rPr>
                    <w:t>浓度占标率Pi(%)</w:t>
                  </w:r>
                </w:p>
              </w:tc>
            </w:tr>
            <w:tr>
              <w:tblPrEx>
                <w:tblCellMar>
                  <w:top w:w="0" w:type="dxa"/>
                  <w:left w:w="0" w:type="dxa"/>
                  <w:bottom w:w="0" w:type="dxa"/>
                  <w:right w:w="0" w:type="dxa"/>
                </w:tblCellMar>
              </w:tblPrEx>
              <w:trPr>
                <w:trHeight w:val="267"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51.87901</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5.76</w:t>
                  </w:r>
                </w:p>
              </w:tc>
            </w:tr>
            <w:tr>
              <w:tblPrEx>
                <w:tblCellMar>
                  <w:top w:w="0" w:type="dxa"/>
                  <w:left w:w="0" w:type="dxa"/>
                  <w:bottom w:w="0" w:type="dxa"/>
                  <w:right w:w="0" w:type="dxa"/>
                </w:tblCellMar>
              </w:tblPrEx>
              <w:trPr>
                <w:trHeight w:val="278"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25</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57.203</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6.36</w:t>
                  </w:r>
                </w:p>
              </w:tc>
            </w:tr>
            <w:tr>
              <w:tblPrEx>
                <w:tblCellMar>
                  <w:top w:w="0" w:type="dxa"/>
                  <w:left w:w="0" w:type="dxa"/>
                  <w:bottom w:w="0" w:type="dxa"/>
                  <w:right w:w="0" w:type="dxa"/>
                </w:tblCellMar>
              </w:tblPrEx>
              <w:trPr>
                <w:trHeight w:val="267"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62.16</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6.91</w:t>
                  </w:r>
                </w:p>
              </w:tc>
            </w:tr>
            <w:tr>
              <w:tblPrEx>
                <w:tblCellMar>
                  <w:top w:w="0" w:type="dxa"/>
                  <w:left w:w="0" w:type="dxa"/>
                  <w:bottom w:w="0" w:type="dxa"/>
                  <w:right w:w="0" w:type="dxa"/>
                </w:tblCellMar>
              </w:tblPrEx>
              <w:trPr>
                <w:trHeight w:val="267"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75</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67.99901</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7.56</w:t>
                  </w:r>
                </w:p>
              </w:tc>
            </w:tr>
            <w:tr>
              <w:tblPrEx>
                <w:tblCellMar>
                  <w:top w:w="0" w:type="dxa"/>
                  <w:left w:w="0" w:type="dxa"/>
                  <w:bottom w:w="0" w:type="dxa"/>
                  <w:right w:w="0" w:type="dxa"/>
                </w:tblCellMar>
              </w:tblPrEx>
              <w:trPr>
                <w:trHeight w:val="267"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100</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73.072</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highlight w:val="green"/>
                    </w:rPr>
                    <w:t>8.12</w:t>
                  </w:r>
                </w:p>
              </w:tc>
            </w:tr>
            <w:tr>
              <w:tblPrEx>
                <w:tblCellMar>
                  <w:top w:w="0" w:type="dxa"/>
                  <w:left w:w="0" w:type="dxa"/>
                  <w:bottom w:w="0" w:type="dxa"/>
                  <w:right w:w="0" w:type="dxa"/>
                </w:tblCellMar>
              </w:tblPrEx>
              <w:trPr>
                <w:trHeight w:val="267"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b/>
                      <w:bCs/>
                      <w:kern w:val="0"/>
                      <w:szCs w:val="21"/>
                      <w:lang w:bidi="ar"/>
                    </w:rPr>
                  </w:pPr>
                  <w:r>
                    <w:rPr>
                      <w:b/>
                      <w:bCs/>
                    </w:rPr>
                    <w:t>101</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bCs/>
                      <w:szCs w:val="21"/>
                      <w:highlight w:val="green"/>
                    </w:rPr>
                  </w:pPr>
                  <w:r>
                    <w:rPr>
                      <w:rFonts w:hint="eastAsia"/>
                      <w:b/>
                      <w:bCs/>
                      <w:highlight w:val="green"/>
                    </w:rPr>
                    <w:t>73.26701</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b/>
                      <w:bCs/>
                      <w:szCs w:val="21"/>
                      <w:highlight w:val="green"/>
                    </w:rPr>
                  </w:pPr>
                  <w:r>
                    <w:rPr>
                      <w:rFonts w:hint="eastAsia"/>
                      <w:b/>
                      <w:bCs/>
                      <w:highlight w:val="green"/>
                    </w:rPr>
                    <w:t>8.14</w:t>
                  </w:r>
                </w:p>
              </w:tc>
            </w:tr>
            <w:tr>
              <w:tblPrEx>
                <w:tblCellMar>
                  <w:top w:w="0" w:type="dxa"/>
                  <w:left w:w="0" w:type="dxa"/>
                  <w:bottom w:w="0" w:type="dxa"/>
                  <w:right w:w="0" w:type="dxa"/>
                </w:tblCellMar>
              </w:tblPrEx>
              <w:trPr>
                <w:trHeight w:val="90"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200</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51.04</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5.67</w:t>
                  </w:r>
                </w:p>
              </w:tc>
            </w:tr>
            <w:tr>
              <w:tblPrEx>
                <w:tblCellMar>
                  <w:top w:w="0" w:type="dxa"/>
                  <w:left w:w="0" w:type="dxa"/>
                  <w:bottom w:w="0" w:type="dxa"/>
                  <w:right w:w="0" w:type="dxa"/>
                </w:tblCellMar>
              </w:tblPrEx>
              <w:trPr>
                <w:trHeight w:val="267"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300</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46.298</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5.14</w:t>
                  </w:r>
                </w:p>
              </w:tc>
            </w:tr>
            <w:tr>
              <w:tblPrEx>
                <w:tblCellMar>
                  <w:top w:w="0" w:type="dxa"/>
                  <w:left w:w="0" w:type="dxa"/>
                  <w:bottom w:w="0" w:type="dxa"/>
                  <w:right w:w="0" w:type="dxa"/>
                </w:tblCellMar>
              </w:tblPrEx>
              <w:trPr>
                <w:trHeight w:val="267"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400</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42.895</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4.77</w:t>
                  </w:r>
                </w:p>
              </w:tc>
            </w:tr>
            <w:tr>
              <w:tblPrEx>
                <w:tblCellMar>
                  <w:top w:w="0" w:type="dxa"/>
                  <w:left w:w="0" w:type="dxa"/>
                  <w:bottom w:w="0" w:type="dxa"/>
                  <w:right w:w="0" w:type="dxa"/>
                </w:tblCellMar>
              </w:tblPrEx>
              <w:trPr>
                <w:trHeight w:val="278"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500</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40.258</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4.47</w:t>
                  </w:r>
                </w:p>
              </w:tc>
            </w:tr>
            <w:tr>
              <w:tblPrEx>
                <w:tblCellMar>
                  <w:top w:w="0" w:type="dxa"/>
                  <w:left w:w="0" w:type="dxa"/>
                  <w:bottom w:w="0" w:type="dxa"/>
                  <w:right w:w="0" w:type="dxa"/>
                </w:tblCellMar>
              </w:tblPrEx>
              <w:trPr>
                <w:trHeight w:val="267"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rPr>
                    <w:t>1000</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31.507</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szCs w:val="21"/>
                      <w:highlight w:val="green"/>
                    </w:rPr>
                  </w:pPr>
                  <w:r>
                    <w:rPr>
                      <w:rFonts w:hint="eastAsia"/>
                      <w:szCs w:val="21"/>
                      <w:highlight w:val="green"/>
                    </w:rPr>
                    <w:t>3.50</w:t>
                  </w:r>
                </w:p>
              </w:tc>
            </w:tr>
            <w:tr>
              <w:tblPrEx>
                <w:tblCellMar>
                  <w:top w:w="0" w:type="dxa"/>
                  <w:left w:w="0" w:type="dxa"/>
                  <w:bottom w:w="0" w:type="dxa"/>
                  <w:right w:w="0" w:type="dxa"/>
                </w:tblCellMar>
              </w:tblPrEx>
              <w:trPr>
                <w:trHeight w:val="267"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lang w:bidi="ar"/>
                    </w:rPr>
                  </w:pPr>
                  <w:r>
                    <w:rPr>
                      <w:rFonts w:hint="eastAsia"/>
                      <w:kern w:val="0"/>
                      <w:szCs w:val="21"/>
                      <w:lang w:bidi="ar"/>
                    </w:rPr>
                    <w:t>2000</w:t>
                  </w:r>
                </w:p>
              </w:tc>
              <w:tc>
                <w:tcPr>
                  <w:tcW w:w="20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highlight w:val="green"/>
                      <w:lang w:bidi="ar"/>
                    </w:rPr>
                  </w:pPr>
                  <w:r>
                    <w:rPr>
                      <w:rFonts w:hint="eastAsia"/>
                      <w:kern w:val="0"/>
                      <w:szCs w:val="21"/>
                      <w:highlight w:val="green"/>
                      <w:lang w:bidi="ar"/>
                    </w:rPr>
                    <w:t>21.867</w:t>
                  </w:r>
                </w:p>
              </w:tc>
              <w:tc>
                <w:tcPr>
                  <w:tcW w:w="143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kern w:val="0"/>
                      <w:szCs w:val="21"/>
                      <w:highlight w:val="green"/>
                      <w:lang w:bidi="ar"/>
                    </w:rPr>
                  </w:pPr>
                  <w:r>
                    <w:rPr>
                      <w:rFonts w:hint="eastAsia"/>
                      <w:kern w:val="0"/>
                      <w:szCs w:val="21"/>
                      <w:highlight w:val="green"/>
                      <w:lang w:bidi="ar"/>
                    </w:rPr>
                    <w:t>2.43</w:t>
                  </w:r>
                </w:p>
              </w:tc>
            </w:tr>
            <w:tr>
              <w:tblPrEx>
                <w:tblCellMar>
                  <w:top w:w="0" w:type="dxa"/>
                  <w:left w:w="0" w:type="dxa"/>
                  <w:bottom w:w="0" w:type="dxa"/>
                  <w:right w:w="0" w:type="dxa"/>
                </w:tblCellMar>
              </w:tblPrEx>
              <w:trPr>
                <w:trHeight w:val="318" w:hRule="atLeast"/>
              </w:trPr>
              <w:tc>
                <w:tcPr>
                  <w:tcW w:w="15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jc w:val="center"/>
                    <w:rPr>
                      <w:szCs w:val="21"/>
                    </w:rPr>
                  </w:pPr>
                  <w:r>
                    <w:rPr>
                      <w:rFonts w:hint="eastAsia"/>
                      <w:b/>
                      <w:bCs/>
                      <w:szCs w:val="21"/>
                    </w:rPr>
                    <w:t>评价</w:t>
                  </w:r>
                </w:p>
              </w:tc>
              <w:tc>
                <w:tcPr>
                  <w:tcW w:w="3444"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kern w:val="0"/>
                      <w:szCs w:val="21"/>
                      <w:highlight w:val="green"/>
                      <w:lang w:bidi="ar"/>
                    </w:rPr>
                  </w:pPr>
                  <w:r>
                    <w:rPr>
                      <w:b/>
                      <w:bCs/>
                      <w:spacing w:val="-4"/>
                      <w:szCs w:val="21"/>
                      <w:highlight w:val="green"/>
                      <w:lang w:bidi="ar"/>
                    </w:rPr>
                    <w:t>C</w:t>
                  </w:r>
                  <w:r>
                    <w:rPr>
                      <w:b/>
                      <w:bCs/>
                      <w:spacing w:val="-4"/>
                      <w:szCs w:val="21"/>
                      <w:highlight w:val="green"/>
                      <w:vertAlign w:val="subscript"/>
                      <w:lang w:bidi="ar"/>
                    </w:rPr>
                    <w:t>max</w:t>
                  </w:r>
                  <w:r>
                    <w:rPr>
                      <w:b/>
                      <w:bCs/>
                      <w:spacing w:val="-4"/>
                      <w:szCs w:val="21"/>
                      <w:highlight w:val="green"/>
                      <w:lang w:bidi="ar"/>
                    </w:rPr>
                    <w:t>=</w:t>
                  </w:r>
                  <w:r>
                    <w:rPr>
                      <w:rFonts w:hint="eastAsia"/>
                      <w:b/>
                      <w:bCs/>
                      <w:spacing w:val="-4"/>
                      <w:szCs w:val="21"/>
                      <w:highlight w:val="green"/>
                      <w:lang w:bidi="ar"/>
                    </w:rPr>
                    <w:t>73.26701</w:t>
                  </w:r>
                  <w:r>
                    <w:rPr>
                      <w:b/>
                      <w:bCs/>
                      <w:szCs w:val="21"/>
                      <w:highlight w:val="green"/>
                      <w:lang w:bidi="ar"/>
                    </w:rPr>
                    <w:t>ug/m</w:t>
                  </w:r>
                  <w:r>
                    <w:rPr>
                      <w:b/>
                      <w:bCs/>
                      <w:szCs w:val="21"/>
                      <w:highlight w:val="green"/>
                      <w:vertAlign w:val="superscript"/>
                      <w:lang w:bidi="ar"/>
                    </w:rPr>
                    <w:t>3</w:t>
                  </w:r>
                  <w:r>
                    <w:rPr>
                      <w:b/>
                      <w:bCs/>
                      <w:szCs w:val="21"/>
                      <w:highlight w:val="green"/>
                      <w:lang w:bidi="ar"/>
                    </w:rPr>
                    <w:t>，P</w:t>
                  </w:r>
                  <w:r>
                    <w:rPr>
                      <w:b/>
                      <w:bCs/>
                      <w:szCs w:val="21"/>
                      <w:highlight w:val="green"/>
                      <w:vertAlign w:val="subscript"/>
                      <w:lang w:bidi="ar"/>
                    </w:rPr>
                    <w:t>max</w:t>
                  </w:r>
                  <w:r>
                    <w:rPr>
                      <w:b/>
                      <w:bCs/>
                      <w:szCs w:val="21"/>
                      <w:highlight w:val="green"/>
                      <w:lang w:bidi="ar"/>
                    </w:rPr>
                    <w:t>=</w:t>
                  </w:r>
                  <w:r>
                    <w:rPr>
                      <w:rFonts w:hint="eastAsia"/>
                      <w:b/>
                      <w:bCs/>
                      <w:szCs w:val="21"/>
                      <w:highlight w:val="green"/>
                      <w:lang w:bidi="ar"/>
                    </w:rPr>
                    <w:t>8.14</w:t>
                  </w:r>
                  <w:r>
                    <w:rPr>
                      <w:b/>
                      <w:bCs/>
                      <w:szCs w:val="21"/>
                      <w:highlight w:val="green"/>
                      <w:lang w:bidi="ar"/>
                    </w:rPr>
                    <w:t>%</w:t>
                  </w:r>
                </w:p>
              </w:tc>
            </w:tr>
          </w:tbl>
          <w:p>
            <w:pPr>
              <w:spacing w:before="120" w:beforeLines="50" w:line="360" w:lineRule="auto"/>
              <w:ind w:firstLine="480" w:firstLineChars="200"/>
              <w:rPr>
                <w:rFonts w:cs="宋体"/>
                <w:kern w:val="0"/>
                <w:sz w:val="24"/>
                <w:highlight w:val="green"/>
                <w:lang w:bidi="ar"/>
              </w:rPr>
            </w:pPr>
            <w:r>
              <w:rPr>
                <w:sz w:val="24"/>
                <w:highlight w:val="green"/>
              </w:rPr>
              <w:t>根据估算结果，</w:t>
            </w:r>
            <w:r>
              <w:rPr>
                <w:rFonts w:hint="eastAsia"/>
                <w:sz w:val="24"/>
                <w:highlight w:val="green"/>
              </w:rPr>
              <w:t>本项目环保工程技改后，7t/h导热油锅炉</w:t>
            </w:r>
            <w:r>
              <w:rPr>
                <w:sz w:val="24"/>
                <w:highlight w:val="green"/>
              </w:rPr>
              <w:t>排气筒</w:t>
            </w:r>
            <w:r>
              <w:rPr>
                <w:rFonts w:hint="eastAsia"/>
                <w:sz w:val="24"/>
                <w:highlight w:val="green"/>
              </w:rPr>
              <w:t>DA002</w:t>
            </w:r>
            <w:r>
              <w:rPr>
                <w:sz w:val="24"/>
                <w:highlight w:val="green"/>
              </w:rPr>
              <w:t>排放的颗粒物的下风向最大落地浓度最大值分别为1.396227ug/m</w:t>
            </w:r>
            <w:r>
              <w:rPr>
                <w:sz w:val="24"/>
                <w:highlight w:val="green"/>
                <w:vertAlign w:val="superscript"/>
              </w:rPr>
              <w:t>3</w:t>
            </w:r>
            <w:r>
              <w:rPr>
                <w:sz w:val="24"/>
                <w:highlight w:val="green"/>
              </w:rPr>
              <w:t>，最大浓度占标率为0.31%，位于下风向300m处</w:t>
            </w:r>
            <w:r>
              <w:rPr>
                <w:rFonts w:hint="eastAsia"/>
                <w:sz w:val="24"/>
                <w:highlight w:val="green"/>
              </w:rPr>
              <w:t>。热压凉板工序</w:t>
            </w:r>
            <w:r>
              <w:rPr>
                <w:sz w:val="24"/>
                <w:highlight w:val="green"/>
              </w:rPr>
              <w:t>排气筒</w:t>
            </w:r>
            <w:r>
              <w:rPr>
                <w:rFonts w:hint="eastAsia"/>
                <w:sz w:val="24"/>
                <w:highlight w:val="green"/>
              </w:rPr>
              <w:t>DA006</w:t>
            </w:r>
            <w:r>
              <w:rPr>
                <w:sz w:val="24"/>
                <w:highlight w:val="green"/>
              </w:rPr>
              <w:t>排放的</w:t>
            </w:r>
            <w:r>
              <w:rPr>
                <w:rFonts w:hint="eastAsia"/>
                <w:sz w:val="24"/>
                <w:highlight w:val="green"/>
              </w:rPr>
              <w:t>甲醛、非甲烷总烃</w:t>
            </w:r>
            <w:r>
              <w:rPr>
                <w:sz w:val="24"/>
                <w:highlight w:val="green"/>
              </w:rPr>
              <w:t>的下风向最大落地浓度最大值分别为0.900679ug/m</w:t>
            </w:r>
            <w:r>
              <w:rPr>
                <w:sz w:val="24"/>
                <w:highlight w:val="green"/>
                <w:vertAlign w:val="superscript"/>
              </w:rPr>
              <w:t>3</w:t>
            </w:r>
            <w:r>
              <w:rPr>
                <w:sz w:val="24"/>
                <w:highlight w:val="green"/>
              </w:rPr>
              <w:t>、2.043254ug/m</w:t>
            </w:r>
            <w:r>
              <w:rPr>
                <w:sz w:val="24"/>
                <w:highlight w:val="green"/>
                <w:vertAlign w:val="superscript"/>
              </w:rPr>
              <w:t>3</w:t>
            </w:r>
            <w:r>
              <w:rPr>
                <w:sz w:val="24"/>
                <w:highlight w:val="green"/>
              </w:rPr>
              <w:t>，最大浓度占标率为1.80%</w:t>
            </w:r>
            <w:r>
              <w:rPr>
                <w:rFonts w:hint="eastAsia"/>
                <w:sz w:val="24"/>
                <w:highlight w:val="green"/>
              </w:rPr>
              <w:t>、</w:t>
            </w:r>
            <w:r>
              <w:rPr>
                <w:sz w:val="24"/>
                <w:highlight w:val="green"/>
              </w:rPr>
              <w:t>0.102</w:t>
            </w:r>
            <w:r>
              <w:rPr>
                <w:rFonts w:hint="eastAsia"/>
                <w:sz w:val="24"/>
                <w:highlight w:val="green"/>
              </w:rPr>
              <w:t>%</w:t>
            </w:r>
            <w:r>
              <w:rPr>
                <w:sz w:val="24"/>
                <w:highlight w:val="green"/>
              </w:rPr>
              <w:t>，位于下风向92m处</w:t>
            </w:r>
            <w:r>
              <w:rPr>
                <w:rFonts w:hint="eastAsia"/>
                <w:sz w:val="24"/>
                <w:highlight w:val="green"/>
              </w:rPr>
              <w:t>。生产车间无组织排放颗粒物</w:t>
            </w:r>
            <w:r>
              <w:rPr>
                <w:sz w:val="24"/>
                <w:highlight w:val="green"/>
              </w:rPr>
              <w:t>下风向最大落地浓度最大值分别为</w:t>
            </w:r>
            <w:r>
              <w:rPr>
                <w:rFonts w:hint="eastAsia"/>
                <w:sz w:val="24"/>
                <w:highlight w:val="green"/>
              </w:rPr>
              <w:t>73.26701</w:t>
            </w:r>
            <w:r>
              <w:rPr>
                <w:sz w:val="24"/>
                <w:highlight w:val="green"/>
              </w:rPr>
              <w:t>ug/m</w:t>
            </w:r>
            <w:r>
              <w:rPr>
                <w:sz w:val="24"/>
                <w:highlight w:val="green"/>
                <w:vertAlign w:val="superscript"/>
              </w:rPr>
              <w:t>3</w:t>
            </w:r>
            <w:r>
              <w:rPr>
                <w:sz w:val="24"/>
                <w:highlight w:val="green"/>
              </w:rPr>
              <w:t>、，最大浓度占标率</w:t>
            </w:r>
            <w:r>
              <w:rPr>
                <w:rFonts w:hint="eastAsia"/>
                <w:sz w:val="24"/>
                <w:highlight w:val="green"/>
              </w:rPr>
              <w:t>分别</w:t>
            </w:r>
            <w:r>
              <w:rPr>
                <w:sz w:val="24"/>
                <w:highlight w:val="green"/>
              </w:rPr>
              <w:t>为</w:t>
            </w:r>
            <w:r>
              <w:rPr>
                <w:rFonts w:hint="eastAsia"/>
                <w:sz w:val="24"/>
                <w:highlight w:val="green"/>
              </w:rPr>
              <w:t>8.14</w:t>
            </w:r>
            <w:r>
              <w:rPr>
                <w:sz w:val="24"/>
                <w:highlight w:val="green"/>
              </w:rPr>
              <w:t>%，位于下风向101m处</w:t>
            </w:r>
            <w:r>
              <w:rPr>
                <w:rFonts w:hint="eastAsia"/>
                <w:sz w:val="24"/>
                <w:highlight w:val="green"/>
              </w:rPr>
              <w:t>。均能</w:t>
            </w:r>
            <w:r>
              <w:rPr>
                <w:sz w:val="24"/>
                <w:highlight w:val="green"/>
              </w:rPr>
              <w:t>满足《环境空气质量标准》（GB3095-2012）中二级标准要求</w:t>
            </w:r>
            <w:r>
              <w:rPr>
                <w:rFonts w:hint="eastAsia"/>
                <w:sz w:val="24"/>
                <w:highlight w:val="green"/>
              </w:rPr>
              <w:t>、</w:t>
            </w:r>
            <w:r>
              <w:rPr>
                <w:rFonts w:hint="eastAsia" w:cs="宋体"/>
                <w:kern w:val="0"/>
                <w:sz w:val="24"/>
                <w:highlight w:val="green"/>
                <w:lang w:bidi="ar"/>
              </w:rPr>
              <w:t>《环境影响评价技术导则</w:t>
            </w:r>
            <w:r>
              <w:rPr>
                <w:kern w:val="0"/>
                <w:sz w:val="24"/>
                <w:highlight w:val="green"/>
                <w:lang w:bidi="ar"/>
              </w:rPr>
              <w:t>-</w:t>
            </w:r>
            <w:r>
              <w:rPr>
                <w:rFonts w:hint="eastAsia" w:cs="宋体"/>
                <w:kern w:val="0"/>
                <w:sz w:val="24"/>
                <w:highlight w:val="green"/>
                <w:lang w:bidi="ar"/>
              </w:rPr>
              <w:t>大气环境》（</w:t>
            </w:r>
            <w:r>
              <w:rPr>
                <w:kern w:val="0"/>
                <w:sz w:val="24"/>
                <w:highlight w:val="green"/>
                <w:lang w:bidi="ar"/>
              </w:rPr>
              <w:t>HJ 2.2-2018</w:t>
            </w:r>
            <w:r>
              <w:rPr>
                <w:rFonts w:hint="eastAsia" w:cs="宋体"/>
                <w:kern w:val="0"/>
                <w:sz w:val="24"/>
                <w:highlight w:val="green"/>
                <w:lang w:bidi="ar"/>
              </w:rPr>
              <w:t>）附录</w:t>
            </w:r>
            <w:r>
              <w:rPr>
                <w:kern w:val="0"/>
                <w:sz w:val="24"/>
                <w:highlight w:val="green"/>
                <w:lang w:bidi="ar"/>
              </w:rPr>
              <w:t>D</w:t>
            </w:r>
            <w:r>
              <w:rPr>
                <w:rFonts w:hint="eastAsia" w:cs="宋体"/>
                <w:kern w:val="0"/>
                <w:sz w:val="24"/>
                <w:highlight w:val="green"/>
                <w:lang w:bidi="ar"/>
              </w:rPr>
              <w:t>中其他污染物空气质量浓度参考限值以及</w:t>
            </w:r>
            <w:r>
              <w:rPr>
                <w:bCs/>
                <w:sz w:val="24"/>
                <w:szCs w:val="21"/>
                <w:highlight w:val="green"/>
              </w:rPr>
              <w:t>《大气污染物综合排放标准详解》</w:t>
            </w:r>
            <w:r>
              <w:rPr>
                <w:rFonts w:hint="eastAsia" w:cs="宋体"/>
                <w:kern w:val="0"/>
                <w:sz w:val="24"/>
                <w:highlight w:val="green"/>
                <w:lang w:bidi="ar"/>
              </w:rPr>
              <w:t>。</w:t>
            </w:r>
          </w:p>
          <w:p>
            <w:pPr>
              <w:spacing w:line="360" w:lineRule="auto"/>
              <w:ind w:firstLine="480" w:firstLineChars="200"/>
              <w:rPr>
                <w:b/>
                <w:bCs/>
                <w:sz w:val="24"/>
                <w:highlight w:val="green"/>
              </w:rPr>
            </w:pPr>
            <w:r>
              <w:rPr>
                <w:sz w:val="24"/>
                <w:highlight w:val="green"/>
              </w:rPr>
              <w:t>因此本项目</w:t>
            </w:r>
            <w:r>
              <w:rPr>
                <w:rFonts w:hint="eastAsia"/>
                <w:sz w:val="24"/>
                <w:highlight w:val="green"/>
              </w:rPr>
              <w:t>环保工程技改削减了污染物排放量，且削减后</w:t>
            </w:r>
            <w:r>
              <w:rPr>
                <w:sz w:val="24"/>
                <w:highlight w:val="green"/>
              </w:rPr>
              <w:t>废气对周边大气环境影响较小。</w:t>
            </w:r>
          </w:p>
          <w:p>
            <w:pPr>
              <w:spacing w:line="360" w:lineRule="auto"/>
              <w:ind w:firstLine="482" w:firstLineChars="200"/>
              <w:rPr>
                <w:b/>
                <w:bCs/>
                <w:sz w:val="24"/>
              </w:rPr>
            </w:pPr>
            <w:r>
              <w:rPr>
                <w:b/>
                <w:bCs/>
                <w:sz w:val="24"/>
              </w:rPr>
              <w:t>（</w:t>
            </w:r>
            <w:r>
              <w:rPr>
                <w:rFonts w:hint="eastAsia"/>
                <w:b/>
                <w:bCs/>
                <w:sz w:val="24"/>
              </w:rPr>
              <w:t>6</w:t>
            </w:r>
            <w:r>
              <w:rPr>
                <w:b/>
                <w:bCs/>
                <w:sz w:val="24"/>
              </w:rPr>
              <w:t>）排气筒设置合理性分析</w:t>
            </w:r>
          </w:p>
          <w:p>
            <w:pPr>
              <w:adjustRightInd w:val="0"/>
              <w:spacing w:line="360" w:lineRule="auto"/>
              <w:ind w:firstLine="480" w:firstLineChars="200"/>
              <w:rPr>
                <w:sz w:val="24"/>
                <w:szCs w:val="21"/>
              </w:rPr>
            </w:pPr>
            <w:r>
              <w:rPr>
                <w:rFonts w:hint="eastAsia"/>
                <w:sz w:val="24"/>
              </w:rPr>
              <w:t>本项目新增1台5t/h导热油锅炉，不在现有7t/h锅炉房内</w:t>
            </w:r>
            <w:r>
              <w:rPr>
                <w:rFonts w:hint="eastAsia"/>
                <w:sz w:val="24"/>
                <w:szCs w:val="21"/>
              </w:rPr>
              <w:t>，单独设置一间锅炉房，</w:t>
            </w:r>
            <w:r>
              <w:rPr>
                <w:rFonts w:hint="eastAsia"/>
                <w:sz w:val="24"/>
              </w:rPr>
              <w:t>锅炉</w:t>
            </w:r>
            <w:r>
              <w:rPr>
                <w:sz w:val="24"/>
              </w:rPr>
              <w:t>排气筒高度为</w:t>
            </w:r>
            <w:r>
              <w:rPr>
                <w:rFonts w:hint="eastAsia"/>
                <w:sz w:val="24"/>
              </w:rPr>
              <w:t>35</w:t>
            </w:r>
            <w:r>
              <w:rPr>
                <w:sz w:val="24"/>
              </w:rPr>
              <w:t>m，</w:t>
            </w:r>
            <w:r>
              <w:rPr>
                <w:sz w:val="24"/>
                <w:szCs w:val="21"/>
              </w:rPr>
              <w:t>根据《锅炉大气污染物排放标准》（GB13271-2014）</w:t>
            </w:r>
            <w:r>
              <w:rPr>
                <w:rFonts w:hint="eastAsia"/>
                <w:sz w:val="24"/>
                <w:szCs w:val="21"/>
              </w:rPr>
              <w:t>中，每个新建燃煤锅炉房只能设置一根烟囱，烟囱高度根据锅炉房装机总容量，按表4规定执行，详见本报表3-9，本项目新增锅炉房锅炉型号：YGW-3000，额定热功率3000KW，锅炉房装机总容量为3</w:t>
            </w:r>
            <w:r>
              <w:rPr>
                <w:sz w:val="24"/>
                <w:szCs w:val="21"/>
              </w:rPr>
              <w:t>MW</w:t>
            </w:r>
            <w:r>
              <w:rPr>
                <w:rFonts w:hint="eastAsia"/>
                <w:sz w:val="24"/>
                <w:szCs w:val="21"/>
              </w:rPr>
              <w:t>，因此，锅炉烟囱高度最低允许高度为3</w:t>
            </w:r>
            <w:r>
              <w:rPr>
                <w:sz w:val="24"/>
                <w:szCs w:val="21"/>
              </w:rPr>
              <w:t>5m</w:t>
            </w:r>
            <w:r>
              <w:rPr>
                <w:rFonts w:hint="eastAsia"/>
                <w:sz w:val="24"/>
                <w:szCs w:val="21"/>
              </w:rPr>
              <w:t>。本项目新增</w:t>
            </w:r>
            <w:r>
              <w:rPr>
                <w:rFonts w:hint="eastAsia"/>
                <w:sz w:val="24"/>
              </w:rPr>
              <w:t>5t/h导热油</w:t>
            </w:r>
            <w:r>
              <w:rPr>
                <w:rFonts w:hint="eastAsia"/>
                <w:sz w:val="24"/>
                <w:lang w:eastAsia="zh-CN"/>
              </w:rPr>
              <w:t>锅炉</w:t>
            </w:r>
            <w:r>
              <w:rPr>
                <w:sz w:val="24"/>
              </w:rPr>
              <w:t>排气筒高度为</w:t>
            </w:r>
            <w:r>
              <w:rPr>
                <w:rFonts w:hint="eastAsia"/>
                <w:sz w:val="24"/>
              </w:rPr>
              <w:t>35</w:t>
            </w:r>
            <w:r>
              <w:rPr>
                <w:sz w:val="24"/>
              </w:rPr>
              <w:t>m</w:t>
            </w:r>
            <w:r>
              <w:rPr>
                <w:rFonts w:hint="eastAsia"/>
                <w:sz w:val="24"/>
                <w:szCs w:val="21"/>
              </w:rPr>
              <w:t>，满足</w:t>
            </w:r>
            <w:r>
              <w:rPr>
                <w:sz w:val="24"/>
                <w:szCs w:val="21"/>
              </w:rPr>
              <w:t>《锅炉大气污染物排放标准》（GB13271-2014）</w:t>
            </w:r>
            <w:r>
              <w:rPr>
                <w:rFonts w:hint="eastAsia"/>
                <w:sz w:val="24"/>
                <w:szCs w:val="21"/>
              </w:rPr>
              <w:t>中烟囱最低允许高度要求，</w:t>
            </w:r>
            <w:r>
              <w:rPr>
                <w:sz w:val="24"/>
                <w:szCs w:val="21"/>
              </w:rPr>
              <w:t>项目区</w:t>
            </w:r>
            <w:r>
              <w:rPr>
                <w:rFonts w:hint="eastAsia"/>
                <w:sz w:val="24"/>
                <w:szCs w:val="21"/>
              </w:rPr>
              <w:t>周围</w:t>
            </w:r>
            <w:r>
              <w:rPr>
                <w:sz w:val="24"/>
                <w:szCs w:val="21"/>
              </w:rPr>
              <w:t>200m</w:t>
            </w:r>
            <w:r>
              <w:rPr>
                <w:rFonts w:hint="eastAsia"/>
                <w:sz w:val="24"/>
                <w:szCs w:val="21"/>
              </w:rPr>
              <w:t>范围内</w:t>
            </w:r>
            <w:r>
              <w:rPr>
                <w:sz w:val="24"/>
                <w:szCs w:val="21"/>
              </w:rPr>
              <w:t>均为</w:t>
            </w:r>
            <w:r>
              <w:rPr>
                <w:rFonts w:hint="eastAsia"/>
                <w:sz w:val="24"/>
                <w:szCs w:val="21"/>
              </w:rPr>
              <w:t>羊街镇林产业园</w:t>
            </w:r>
            <w:r>
              <w:rPr>
                <w:sz w:val="24"/>
                <w:szCs w:val="21"/>
              </w:rPr>
              <w:t>厂房，高度在10m以内，</w:t>
            </w:r>
            <w:r>
              <w:rPr>
                <w:rFonts w:hint="eastAsia"/>
                <w:sz w:val="24"/>
                <w:szCs w:val="21"/>
              </w:rPr>
              <w:t>排气筒高度设置满足</w:t>
            </w:r>
            <w:r>
              <w:rPr>
                <w:sz w:val="24"/>
                <w:szCs w:val="21"/>
              </w:rPr>
              <w:t>《锅炉大气污染物排放标准》（GB13271-2014）</w:t>
            </w:r>
            <w:r>
              <w:rPr>
                <w:rFonts w:hint="eastAsia"/>
                <w:sz w:val="24"/>
                <w:szCs w:val="21"/>
              </w:rPr>
              <w:t>排气筒高度高于周围200m范围内建筑3m以上的要求，排气筒高度设置合理。</w:t>
            </w:r>
          </w:p>
          <w:p>
            <w:pPr>
              <w:adjustRightInd w:val="0"/>
              <w:spacing w:line="360" w:lineRule="auto"/>
              <w:ind w:firstLine="480" w:firstLineChars="200"/>
              <w:rPr>
                <w:sz w:val="24"/>
                <w:szCs w:val="21"/>
              </w:rPr>
            </w:pPr>
            <w:r>
              <w:rPr>
                <w:rFonts w:hint="eastAsia"/>
                <w:sz w:val="24"/>
                <w:szCs w:val="21"/>
              </w:rPr>
              <w:t>技改涉及7t/h导热油锅炉排气筒，热压凉板废气排气筒均依托现有项目已设置排气筒，满足要求</w:t>
            </w:r>
            <w:r>
              <w:rPr>
                <w:sz w:val="24"/>
                <w:szCs w:val="21"/>
              </w:rPr>
              <w:t>。</w:t>
            </w:r>
          </w:p>
          <w:p>
            <w:pPr>
              <w:pStyle w:val="11"/>
              <w:adjustRightInd w:val="0"/>
              <w:snapToGrid/>
              <w:spacing w:before="0" w:after="0" w:line="360" w:lineRule="auto"/>
              <w:ind w:right="0" w:firstLine="480" w:firstLineChars="200"/>
              <w:rPr>
                <w:sz w:val="24"/>
              </w:rPr>
            </w:pPr>
            <w:r>
              <w:rPr>
                <w:sz w:val="24"/>
              </w:rPr>
              <w:t>综上，</w:t>
            </w:r>
            <w:r>
              <w:rPr>
                <w:rFonts w:hint="eastAsia"/>
                <w:sz w:val="24"/>
              </w:rPr>
              <w:t>本</w:t>
            </w:r>
            <w:r>
              <w:rPr>
                <w:sz w:val="24"/>
              </w:rPr>
              <w:t>项目排气筒设置是合理可行的。</w:t>
            </w:r>
          </w:p>
          <w:p>
            <w:pPr>
              <w:adjustRightInd w:val="0"/>
              <w:spacing w:line="360" w:lineRule="auto"/>
              <w:ind w:firstLine="482" w:firstLineChars="200"/>
              <w:rPr>
                <w:b/>
                <w:sz w:val="24"/>
              </w:rPr>
            </w:pPr>
            <w:r>
              <w:rPr>
                <w:rFonts w:hint="eastAsia"/>
                <w:b/>
                <w:sz w:val="24"/>
              </w:rPr>
              <w:t>4、</w:t>
            </w:r>
            <w:r>
              <w:rPr>
                <w:b/>
                <w:sz w:val="24"/>
              </w:rPr>
              <w:t>污染物</w:t>
            </w:r>
            <w:r>
              <w:rPr>
                <w:rFonts w:hint="eastAsia"/>
                <w:b/>
                <w:sz w:val="24"/>
              </w:rPr>
              <w:t>排放量</w:t>
            </w:r>
            <w:r>
              <w:rPr>
                <w:b/>
                <w:sz w:val="24"/>
              </w:rPr>
              <w:t>核算</w:t>
            </w:r>
          </w:p>
          <w:p>
            <w:pPr>
              <w:adjustRightInd w:val="0"/>
              <w:spacing w:line="360" w:lineRule="auto"/>
              <w:ind w:firstLine="440" w:firstLineChars="200"/>
              <w:rPr>
                <w:bCs/>
                <w:spacing w:val="-10"/>
                <w:sz w:val="24"/>
              </w:rPr>
            </w:pPr>
            <w:r>
              <w:rPr>
                <w:rFonts w:hint="eastAsia"/>
                <w:bCs/>
                <w:spacing w:val="-10"/>
                <w:sz w:val="24"/>
              </w:rPr>
              <w:t>本</w:t>
            </w:r>
            <w:r>
              <w:rPr>
                <w:bCs/>
                <w:spacing w:val="-10"/>
                <w:sz w:val="24"/>
              </w:rPr>
              <w:t>项目有组织排放污染物量核算见下表：</w:t>
            </w:r>
          </w:p>
          <w:p>
            <w:pPr>
              <w:widowControl/>
              <w:adjustRightInd w:val="0"/>
              <w:spacing w:line="360" w:lineRule="auto"/>
              <w:jc w:val="center"/>
              <w:rPr>
                <w:rFonts w:cs="宋体"/>
                <w:b/>
                <w:bCs/>
                <w:kern w:val="0"/>
                <w:sz w:val="24"/>
                <w:szCs w:val="20"/>
                <w:highlight w:val="green"/>
                <w:lang w:bidi="ar"/>
              </w:rPr>
            </w:pPr>
            <w:r>
              <w:rPr>
                <w:rFonts w:cs="宋体"/>
                <w:b/>
                <w:bCs/>
                <w:kern w:val="0"/>
                <w:sz w:val="24"/>
                <w:szCs w:val="20"/>
                <w:highlight w:val="green"/>
                <w:lang w:bidi="ar"/>
              </w:rPr>
              <w:t>表</w:t>
            </w:r>
            <w:r>
              <w:rPr>
                <w:rFonts w:hint="eastAsia" w:cs="宋体"/>
                <w:b/>
                <w:bCs/>
                <w:kern w:val="0"/>
                <w:sz w:val="24"/>
                <w:szCs w:val="20"/>
                <w:highlight w:val="green"/>
                <w:lang w:bidi="ar"/>
              </w:rPr>
              <w:t>4-16  本项目有组织</w:t>
            </w:r>
            <w:r>
              <w:rPr>
                <w:rFonts w:cs="宋体"/>
                <w:b/>
                <w:bCs/>
                <w:kern w:val="0"/>
                <w:sz w:val="24"/>
                <w:szCs w:val="20"/>
                <w:highlight w:val="green"/>
                <w:lang w:bidi="ar"/>
              </w:rPr>
              <w:t>废气</w:t>
            </w:r>
            <w:r>
              <w:rPr>
                <w:rFonts w:hint="eastAsia" w:cs="宋体"/>
                <w:b/>
                <w:bCs/>
                <w:kern w:val="0"/>
                <w:sz w:val="24"/>
                <w:szCs w:val="20"/>
                <w:highlight w:val="green"/>
                <w:lang w:bidi="ar"/>
              </w:rPr>
              <w:t>排放量核算表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392"/>
              <w:gridCol w:w="3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pct"/>
                  <w:vAlign w:val="center"/>
                </w:tcPr>
                <w:p>
                  <w:pPr>
                    <w:adjustRightInd w:val="0"/>
                    <w:jc w:val="center"/>
                    <w:rPr>
                      <w:b/>
                      <w:bCs/>
                      <w:szCs w:val="21"/>
                      <w:highlight w:val="green"/>
                    </w:rPr>
                  </w:pPr>
                  <w:r>
                    <w:rPr>
                      <w:b/>
                      <w:bCs/>
                      <w:szCs w:val="21"/>
                      <w:highlight w:val="green"/>
                    </w:rPr>
                    <w:t>污染源</w:t>
                  </w:r>
                </w:p>
              </w:tc>
              <w:tc>
                <w:tcPr>
                  <w:tcW w:w="1460" w:type="pct"/>
                  <w:vAlign w:val="center"/>
                </w:tcPr>
                <w:p>
                  <w:pPr>
                    <w:adjustRightInd w:val="0"/>
                    <w:jc w:val="center"/>
                    <w:rPr>
                      <w:b/>
                      <w:bCs/>
                      <w:szCs w:val="21"/>
                      <w:highlight w:val="green"/>
                    </w:rPr>
                  </w:pPr>
                  <w:r>
                    <w:rPr>
                      <w:b/>
                      <w:bCs/>
                      <w:szCs w:val="21"/>
                      <w:highlight w:val="green"/>
                    </w:rPr>
                    <w:t>污染因子</w:t>
                  </w:r>
                </w:p>
              </w:tc>
              <w:tc>
                <w:tcPr>
                  <w:tcW w:w="2217" w:type="pct"/>
                  <w:vAlign w:val="center"/>
                </w:tcPr>
                <w:p>
                  <w:pPr>
                    <w:adjustRightInd w:val="0"/>
                    <w:jc w:val="center"/>
                    <w:rPr>
                      <w:b/>
                      <w:bCs/>
                      <w:szCs w:val="21"/>
                      <w:highlight w:val="green"/>
                    </w:rPr>
                  </w:pPr>
                  <w:r>
                    <w:rPr>
                      <w:b/>
                      <w:bCs/>
                      <w:szCs w:val="21"/>
                      <w:highlight w:val="green"/>
                    </w:rPr>
                    <w:t>排放量</w:t>
                  </w:r>
                  <w:r>
                    <w:rPr>
                      <w:rFonts w:hint="eastAsia"/>
                      <w:b/>
                      <w:bCs/>
                      <w:szCs w:val="21"/>
                      <w:highlight w:val="green"/>
                    </w:rPr>
                    <w:t>（t/</w:t>
                  </w:r>
                  <w:r>
                    <w:rPr>
                      <w:b/>
                      <w:bCs/>
                      <w:szCs w:val="21"/>
                      <w:highlight w:val="green"/>
                    </w:rPr>
                    <w:t>a</w:t>
                  </w:r>
                  <w:r>
                    <w:rPr>
                      <w:rFonts w:hint="eastAsia"/>
                      <w:b/>
                      <w:bCs/>
                      <w:szCs w:val="21"/>
                      <w:highlight w:val="gre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pct"/>
                  <w:vMerge w:val="restart"/>
                  <w:vAlign w:val="center"/>
                </w:tcPr>
                <w:p>
                  <w:pPr>
                    <w:adjustRightInd w:val="0"/>
                    <w:jc w:val="center"/>
                    <w:rPr>
                      <w:szCs w:val="21"/>
                      <w:highlight w:val="green"/>
                    </w:rPr>
                  </w:pPr>
                  <w:r>
                    <w:rPr>
                      <w:rFonts w:hint="eastAsia"/>
                      <w:szCs w:val="21"/>
                      <w:highlight w:val="green"/>
                    </w:rPr>
                    <w:t>5t/h导热油锅炉DA001</w:t>
                  </w:r>
                </w:p>
              </w:tc>
              <w:tc>
                <w:tcPr>
                  <w:tcW w:w="1460" w:type="pct"/>
                  <w:vAlign w:val="center"/>
                </w:tcPr>
                <w:p>
                  <w:pPr>
                    <w:adjustRightInd w:val="0"/>
                    <w:jc w:val="center"/>
                    <w:rPr>
                      <w:szCs w:val="21"/>
                      <w:highlight w:val="green"/>
                    </w:rPr>
                  </w:pPr>
                  <w:r>
                    <w:rPr>
                      <w:rFonts w:hint="eastAsia"/>
                      <w:szCs w:val="21"/>
                      <w:highlight w:val="green"/>
                    </w:rPr>
                    <w:t>颗粒物</w:t>
                  </w:r>
                </w:p>
              </w:tc>
              <w:tc>
                <w:tcPr>
                  <w:tcW w:w="2217" w:type="pct"/>
                  <w:vAlign w:val="center"/>
                </w:tcPr>
                <w:p>
                  <w:pPr>
                    <w:jc w:val="center"/>
                    <w:rPr>
                      <w:szCs w:val="21"/>
                      <w:highlight w:val="green"/>
                    </w:rPr>
                  </w:pPr>
                  <w:r>
                    <w:rPr>
                      <w:rFonts w:hint="eastAsia"/>
                      <w:szCs w:val="21"/>
                      <w:highlight w:val="green"/>
                    </w:rPr>
                    <w:t>0.864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pct"/>
                  <w:vMerge w:val="continue"/>
                  <w:vAlign w:val="center"/>
                </w:tcPr>
                <w:p>
                  <w:pPr>
                    <w:adjustRightInd w:val="0"/>
                    <w:jc w:val="center"/>
                    <w:rPr>
                      <w:szCs w:val="21"/>
                      <w:highlight w:val="green"/>
                    </w:rPr>
                  </w:pPr>
                </w:p>
              </w:tc>
              <w:tc>
                <w:tcPr>
                  <w:tcW w:w="1460" w:type="pct"/>
                  <w:vAlign w:val="center"/>
                </w:tcPr>
                <w:p>
                  <w:pPr>
                    <w:adjustRightInd w:val="0"/>
                    <w:jc w:val="center"/>
                    <w:rPr>
                      <w:szCs w:val="21"/>
                      <w:highlight w:val="green"/>
                    </w:rPr>
                  </w:pPr>
                  <w:r>
                    <w:rPr>
                      <w:rFonts w:hint="eastAsia"/>
                      <w:szCs w:val="21"/>
                      <w:highlight w:val="green"/>
                    </w:rPr>
                    <w:t>SO</w:t>
                  </w:r>
                  <w:r>
                    <w:rPr>
                      <w:rFonts w:hint="eastAsia"/>
                      <w:szCs w:val="21"/>
                      <w:highlight w:val="green"/>
                      <w:vertAlign w:val="subscript"/>
                    </w:rPr>
                    <w:t>2</w:t>
                  </w:r>
                </w:p>
              </w:tc>
              <w:tc>
                <w:tcPr>
                  <w:tcW w:w="2217" w:type="pct"/>
                  <w:vAlign w:val="center"/>
                </w:tcPr>
                <w:p>
                  <w:pPr>
                    <w:jc w:val="center"/>
                    <w:rPr>
                      <w:szCs w:val="21"/>
                      <w:highlight w:val="green"/>
                    </w:rPr>
                  </w:pPr>
                  <w:r>
                    <w:rPr>
                      <w:rFonts w:hint="eastAsia"/>
                      <w:szCs w:val="21"/>
                      <w:highlight w:val="gree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pct"/>
                  <w:vMerge w:val="continue"/>
                  <w:vAlign w:val="center"/>
                </w:tcPr>
                <w:p>
                  <w:pPr>
                    <w:adjustRightInd w:val="0"/>
                    <w:jc w:val="center"/>
                    <w:rPr>
                      <w:szCs w:val="21"/>
                      <w:highlight w:val="green"/>
                    </w:rPr>
                  </w:pPr>
                </w:p>
              </w:tc>
              <w:tc>
                <w:tcPr>
                  <w:tcW w:w="1460" w:type="pct"/>
                  <w:vAlign w:val="center"/>
                </w:tcPr>
                <w:p>
                  <w:pPr>
                    <w:adjustRightInd w:val="0"/>
                    <w:jc w:val="center"/>
                    <w:rPr>
                      <w:szCs w:val="21"/>
                      <w:highlight w:val="green"/>
                    </w:rPr>
                  </w:pPr>
                  <w:r>
                    <w:rPr>
                      <w:rFonts w:hint="eastAsia"/>
                      <w:szCs w:val="21"/>
                      <w:highlight w:val="green"/>
                    </w:rPr>
                    <w:t>NOx</w:t>
                  </w:r>
                </w:p>
              </w:tc>
              <w:tc>
                <w:tcPr>
                  <w:tcW w:w="2217" w:type="pct"/>
                  <w:vAlign w:val="center"/>
                </w:tcPr>
                <w:p>
                  <w:pPr>
                    <w:jc w:val="center"/>
                    <w:rPr>
                      <w:szCs w:val="21"/>
                      <w:highlight w:val="green"/>
                    </w:rPr>
                  </w:pPr>
                  <w:r>
                    <w:rPr>
                      <w:rFonts w:hint="eastAsia"/>
                      <w:szCs w:val="21"/>
                      <w:highlight w:val="green"/>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pct"/>
                  <w:vMerge w:val="restart"/>
                  <w:vAlign w:val="center"/>
                </w:tcPr>
                <w:p>
                  <w:pPr>
                    <w:adjustRightInd w:val="0"/>
                    <w:jc w:val="center"/>
                    <w:rPr>
                      <w:b/>
                      <w:bCs/>
                      <w:szCs w:val="21"/>
                    </w:rPr>
                  </w:pPr>
                  <w:r>
                    <w:rPr>
                      <w:rFonts w:hint="eastAsia"/>
                      <w:b/>
                      <w:bCs/>
                      <w:szCs w:val="21"/>
                    </w:rPr>
                    <w:t>合计</w:t>
                  </w:r>
                </w:p>
              </w:tc>
              <w:tc>
                <w:tcPr>
                  <w:tcW w:w="1460" w:type="pct"/>
                  <w:vAlign w:val="center"/>
                </w:tcPr>
                <w:p>
                  <w:pPr>
                    <w:adjustRightInd w:val="0"/>
                    <w:jc w:val="center"/>
                    <w:rPr>
                      <w:szCs w:val="21"/>
                    </w:rPr>
                  </w:pPr>
                  <w:r>
                    <w:rPr>
                      <w:rFonts w:hint="eastAsia"/>
                      <w:szCs w:val="21"/>
                    </w:rPr>
                    <w:t>SO</w:t>
                  </w:r>
                  <w:r>
                    <w:rPr>
                      <w:rFonts w:hint="eastAsia"/>
                      <w:szCs w:val="21"/>
                      <w:vertAlign w:val="subscript"/>
                    </w:rPr>
                    <w:t>2</w:t>
                  </w:r>
                </w:p>
              </w:tc>
              <w:tc>
                <w:tcPr>
                  <w:tcW w:w="2217" w:type="pct"/>
                  <w:vAlign w:val="center"/>
                </w:tcPr>
                <w:p>
                  <w:pPr>
                    <w:adjustRightInd w:val="0"/>
                    <w:jc w:val="center"/>
                    <w:rPr>
                      <w:szCs w:val="21"/>
                      <w:highlight w:val="green"/>
                    </w:rPr>
                  </w:pPr>
                  <w:r>
                    <w:rPr>
                      <w:rFonts w:hint="eastAsia"/>
                      <w:szCs w:val="21"/>
                      <w:highlight w:val="gree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pct"/>
                  <w:vMerge w:val="continue"/>
                  <w:vAlign w:val="center"/>
                </w:tcPr>
                <w:p>
                  <w:pPr>
                    <w:adjustRightInd w:val="0"/>
                    <w:jc w:val="center"/>
                    <w:rPr>
                      <w:szCs w:val="21"/>
                    </w:rPr>
                  </w:pPr>
                </w:p>
              </w:tc>
              <w:tc>
                <w:tcPr>
                  <w:tcW w:w="1460" w:type="pct"/>
                  <w:vAlign w:val="center"/>
                </w:tcPr>
                <w:p>
                  <w:pPr>
                    <w:adjustRightInd w:val="0"/>
                    <w:jc w:val="center"/>
                    <w:rPr>
                      <w:szCs w:val="21"/>
                    </w:rPr>
                  </w:pPr>
                  <w:r>
                    <w:rPr>
                      <w:rFonts w:hint="eastAsia"/>
                      <w:szCs w:val="21"/>
                    </w:rPr>
                    <w:t>NOx</w:t>
                  </w:r>
                </w:p>
              </w:tc>
              <w:tc>
                <w:tcPr>
                  <w:tcW w:w="2217" w:type="pct"/>
                  <w:vAlign w:val="center"/>
                </w:tcPr>
                <w:p>
                  <w:pPr>
                    <w:adjustRightInd w:val="0"/>
                    <w:jc w:val="center"/>
                    <w:rPr>
                      <w:szCs w:val="21"/>
                      <w:highlight w:val="green"/>
                    </w:rPr>
                  </w:pPr>
                  <w:r>
                    <w:rPr>
                      <w:rFonts w:hint="eastAsia"/>
                      <w:szCs w:val="21"/>
                      <w:highlight w:val="green"/>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pct"/>
                  <w:vMerge w:val="continue"/>
                  <w:vAlign w:val="center"/>
                </w:tcPr>
                <w:p>
                  <w:pPr>
                    <w:adjustRightInd w:val="0"/>
                    <w:jc w:val="center"/>
                    <w:rPr>
                      <w:szCs w:val="21"/>
                    </w:rPr>
                  </w:pPr>
                </w:p>
              </w:tc>
              <w:tc>
                <w:tcPr>
                  <w:tcW w:w="1460" w:type="pct"/>
                  <w:vAlign w:val="center"/>
                </w:tcPr>
                <w:p>
                  <w:pPr>
                    <w:adjustRightInd w:val="0"/>
                    <w:jc w:val="center"/>
                    <w:rPr>
                      <w:szCs w:val="21"/>
                    </w:rPr>
                  </w:pPr>
                  <w:r>
                    <w:rPr>
                      <w:rFonts w:hint="eastAsia"/>
                      <w:szCs w:val="21"/>
                    </w:rPr>
                    <w:t>颗粒物</w:t>
                  </w:r>
                </w:p>
              </w:tc>
              <w:tc>
                <w:tcPr>
                  <w:tcW w:w="2217" w:type="pct"/>
                  <w:vAlign w:val="center"/>
                </w:tcPr>
                <w:p>
                  <w:pPr>
                    <w:adjustRightInd w:val="0"/>
                    <w:jc w:val="center"/>
                    <w:rPr>
                      <w:szCs w:val="21"/>
                      <w:highlight w:val="green"/>
                    </w:rPr>
                  </w:pPr>
                  <w:r>
                    <w:rPr>
                      <w:rFonts w:hint="eastAsia"/>
                      <w:szCs w:val="21"/>
                      <w:highlight w:val="green"/>
                    </w:rPr>
                    <w:t>0.864</w:t>
                  </w:r>
                </w:p>
              </w:tc>
            </w:tr>
          </w:tbl>
          <w:p>
            <w:pPr>
              <w:widowControl/>
              <w:adjustRightInd w:val="0"/>
              <w:spacing w:before="120" w:beforeLines="50" w:line="360" w:lineRule="auto"/>
              <w:ind w:firstLine="480" w:firstLineChars="200"/>
              <w:jc w:val="left"/>
              <w:rPr>
                <w:rFonts w:cs="宋体"/>
                <w:kern w:val="0"/>
                <w:sz w:val="24"/>
                <w:szCs w:val="20"/>
                <w:highlight w:val="green"/>
                <w:lang w:bidi="ar"/>
              </w:rPr>
            </w:pPr>
            <w:r>
              <w:rPr>
                <w:rFonts w:hint="eastAsia" w:cs="宋体"/>
                <w:kern w:val="0"/>
                <w:sz w:val="24"/>
                <w:szCs w:val="20"/>
                <w:highlight w:val="green"/>
                <w:lang w:bidi="ar"/>
              </w:rPr>
              <w:t>本项目运营期废气主要为供热工程技改新增的5t/h导热油锅炉排气筒排放的废气，有组织排放；环保工程技改中新增的环保设施运行过程中不产生废气，主要对现有7t/h导热油锅炉、筛选工序、打磨工序、热压及凉板工序污染物排放量进行了削减。本项目</w:t>
            </w:r>
            <w:r>
              <w:rPr>
                <w:rFonts w:hint="eastAsia" w:cs="宋体"/>
                <w:kern w:val="0"/>
                <w:sz w:val="24"/>
                <w:szCs w:val="20"/>
                <w:highlight w:val="green"/>
                <w:lang w:eastAsia="zh-CN" w:bidi="ar"/>
              </w:rPr>
              <w:t>无组织</w:t>
            </w:r>
            <w:r>
              <w:rPr>
                <w:rFonts w:hint="eastAsia" w:cs="宋体"/>
                <w:kern w:val="0"/>
                <w:sz w:val="24"/>
                <w:szCs w:val="20"/>
                <w:highlight w:val="green"/>
                <w:lang w:bidi="ar"/>
              </w:rPr>
              <w:t>排放废气量。</w:t>
            </w:r>
          </w:p>
          <w:p>
            <w:pPr>
              <w:widowControl/>
              <w:adjustRightInd w:val="0"/>
              <w:spacing w:line="360" w:lineRule="auto"/>
              <w:ind w:firstLine="480" w:firstLineChars="200"/>
              <w:jc w:val="left"/>
              <w:rPr>
                <w:rFonts w:cs="宋体"/>
                <w:kern w:val="0"/>
                <w:sz w:val="24"/>
                <w:szCs w:val="20"/>
                <w:highlight w:val="green"/>
                <w:lang w:bidi="ar"/>
              </w:rPr>
            </w:pPr>
            <w:r>
              <w:rPr>
                <w:rFonts w:hint="eastAsia" w:cs="宋体"/>
                <w:kern w:val="0"/>
                <w:sz w:val="24"/>
                <w:szCs w:val="20"/>
                <w:highlight w:val="green"/>
                <w:lang w:bidi="ar"/>
              </w:rPr>
              <w:t>本项目环保工程技改，生产车间筛选打磨工序无组织排放废气得到了削减，技改后项目生产车间无组织废气排放对比情况见下表：</w:t>
            </w:r>
          </w:p>
          <w:p>
            <w:pPr>
              <w:widowControl/>
              <w:adjustRightInd w:val="0"/>
              <w:spacing w:line="360" w:lineRule="auto"/>
              <w:jc w:val="center"/>
              <w:rPr>
                <w:rFonts w:cs="宋体"/>
                <w:b/>
                <w:bCs/>
                <w:kern w:val="0"/>
                <w:sz w:val="24"/>
                <w:szCs w:val="20"/>
                <w:highlight w:val="green"/>
                <w:lang w:bidi="ar"/>
              </w:rPr>
            </w:pPr>
            <w:r>
              <w:rPr>
                <w:rFonts w:cs="宋体"/>
                <w:b/>
                <w:bCs/>
                <w:kern w:val="0"/>
                <w:sz w:val="24"/>
                <w:szCs w:val="20"/>
                <w:highlight w:val="green"/>
                <w:lang w:bidi="ar"/>
              </w:rPr>
              <w:t>表</w:t>
            </w:r>
            <w:r>
              <w:rPr>
                <w:rFonts w:hint="eastAsia" w:cs="宋体"/>
                <w:b/>
                <w:bCs/>
                <w:kern w:val="0"/>
                <w:sz w:val="24"/>
                <w:szCs w:val="20"/>
                <w:highlight w:val="green"/>
                <w:lang w:bidi="ar"/>
              </w:rPr>
              <w:t>4-17</w:t>
            </w:r>
            <w:r>
              <w:rPr>
                <w:rFonts w:cs="宋体"/>
                <w:b/>
                <w:bCs/>
                <w:kern w:val="0"/>
                <w:sz w:val="24"/>
                <w:szCs w:val="20"/>
                <w:highlight w:val="green"/>
                <w:lang w:bidi="ar"/>
              </w:rPr>
              <w:t xml:space="preserve">  </w:t>
            </w:r>
            <w:r>
              <w:rPr>
                <w:rFonts w:hint="eastAsia" w:cs="宋体"/>
                <w:b/>
                <w:bCs/>
                <w:kern w:val="0"/>
                <w:sz w:val="24"/>
                <w:szCs w:val="20"/>
                <w:highlight w:val="green"/>
                <w:lang w:bidi="ar"/>
              </w:rPr>
              <w:t>本项目环保工程技改后生产车间</w:t>
            </w:r>
            <w:r>
              <w:rPr>
                <w:rFonts w:cs="宋体"/>
                <w:b/>
                <w:bCs/>
                <w:kern w:val="0"/>
                <w:sz w:val="24"/>
                <w:szCs w:val="20"/>
                <w:highlight w:val="green"/>
                <w:lang w:bidi="ar"/>
              </w:rPr>
              <w:t>无组织废气排放量</w:t>
            </w:r>
            <w:r>
              <w:rPr>
                <w:rFonts w:hint="eastAsia" w:cs="宋体"/>
                <w:b/>
                <w:bCs/>
                <w:kern w:val="0"/>
                <w:sz w:val="24"/>
                <w:szCs w:val="20"/>
                <w:highlight w:val="green"/>
                <w:lang w:bidi="ar"/>
              </w:rPr>
              <w:t>对比情况</w:t>
            </w:r>
            <w:r>
              <w:rPr>
                <w:rFonts w:cs="宋体"/>
                <w:b/>
                <w:bCs/>
                <w:kern w:val="0"/>
                <w:sz w:val="24"/>
                <w:szCs w:val="20"/>
                <w:highlight w:val="green"/>
                <w:lang w:bidi="ar"/>
              </w:rPr>
              <w:t>表</w:t>
            </w:r>
          </w:p>
          <w:tbl>
            <w:tblPr>
              <w:tblStyle w:val="32"/>
              <w:tblW w:w="501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0"/>
              <w:gridCol w:w="2007"/>
              <w:gridCol w:w="1271"/>
              <w:gridCol w:w="1455"/>
              <w:gridCol w:w="1566"/>
              <w:gridCol w:w="11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2" w:hRule="atLeast"/>
                <w:jc w:val="center"/>
              </w:trPr>
              <w:tc>
                <w:tcPr>
                  <w:tcW w:w="486" w:type="pct"/>
                  <w:vAlign w:val="center"/>
                </w:tcPr>
                <w:p>
                  <w:pPr>
                    <w:widowControl/>
                    <w:jc w:val="center"/>
                    <w:textAlignment w:val="center"/>
                    <w:rPr>
                      <w:b/>
                      <w:bCs/>
                      <w:kern w:val="0"/>
                      <w:szCs w:val="21"/>
                      <w:highlight w:val="green"/>
                    </w:rPr>
                  </w:pPr>
                  <w:r>
                    <w:rPr>
                      <w:rFonts w:hAnsi="宋体"/>
                      <w:b/>
                      <w:bCs/>
                      <w:kern w:val="0"/>
                      <w:szCs w:val="21"/>
                      <w:highlight w:val="green"/>
                    </w:rPr>
                    <w:t>物料名称</w:t>
                  </w:r>
                </w:p>
              </w:tc>
              <w:tc>
                <w:tcPr>
                  <w:tcW w:w="1221" w:type="pct"/>
                  <w:vAlign w:val="center"/>
                </w:tcPr>
                <w:p>
                  <w:pPr>
                    <w:widowControl/>
                    <w:jc w:val="center"/>
                    <w:textAlignment w:val="center"/>
                    <w:rPr>
                      <w:b/>
                      <w:bCs/>
                      <w:kern w:val="0"/>
                      <w:szCs w:val="21"/>
                      <w:highlight w:val="green"/>
                    </w:rPr>
                  </w:pPr>
                  <w:r>
                    <w:rPr>
                      <w:rFonts w:hAnsi="宋体"/>
                      <w:b/>
                      <w:bCs/>
                      <w:kern w:val="0"/>
                      <w:szCs w:val="21"/>
                      <w:highlight w:val="green"/>
                    </w:rPr>
                    <w:t>产生粉尘的作业点</w:t>
                  </w:r>
                </w:p>
              </w:tc>
              <w:tc>
                <w:tcPr>
                  <w:tcW w:w="773" w:type="pct"/>
                  <w:tcBorders>
                    <w:left w:val="single" w:color="auto" w:sz="4" w:space="0"/>
                  </w:tcBorders>
                  <w:vAlign w:val="center"/>
                </w:tcPr>
                <w:p>
                  <w:pPr>
                    <w:widowControl/>
                    <w:jc w:val="center"/>
                    <w:textAlignment w:val="center"/>
                    <w:rPr>
                      <w:rFonts w:hAnsi="宋体"/>
                      <w:b/>
                      <w:bCs/>
                      <w:kern w:val="0"/>
                      <w:szCs w:val="21"/>
                      <w:highlight w:val="green"/>
                    </w:rPr>
                  </w:pPr>
                  <w:r>
                    <w:rPr>
                      <w:rFonts w:hint="eastAsia" w:hAnsi="宋体"/>
                      <w:b/>
                      <w:bCs/>
                      <w:kern w:val="0"/>
                      <w:szCs w:val="21"/>
                      <w:highlight w:val="green"/>
                    </w:rPr>
                    <w:t>污染物</w:t>
                  </w:r>
                </w:p>
              </w:tc>
              <w:tc>
                <w:tcPr>
                  <w:tcW w:w="885" w:type="pct"/>
                  <w:tcBorders>
                    <w:left w:val="single" w:color="auto" w:sz="4" w:space="0"/>
                  </w:tcBorders>
                  <w:vAlign w:val="center"/>
                </w:tcPr>
                <w:p>
                  <w:pPr>
                    <w:widowControl/>
                    <w:jc w:val="center"/>
                    <w:textAlignment w:val="center"/>
                    <w:rPr>
                      <w:b/>
                      <w:bCs/>
                      <w:kern w:val="0"/>
                      <w:szCs w:val="21"/>
                      <w:highlight w:val="green"/>
                    </w:rPr>
                  </w:pPr>
                  <w:r>
                    <w:rPr>
                      <w:rFonts w:hint="eastAsia" w:hAnsi="宋体"/>
                      <w:b/>
                      <w:bCs/>
                      <w:kern w:val="0"/>
                      <w:szCs w:val="21"/>
                      <w:highlight w:val="green"/>
                    </w:rPr>
                    <w:t>技改前</w:t>
                  </w:r>
                  <w:r>
                    <w:rPr>
                      <w:rFonts w:hAnsi="宋体"/>
                      <w:b/>
                      <w:bCs/>
                      <w:kern w:val="0"/>
                      <w:szCs w:val="21"/>
                      <w:highlight w:val="green"/>
                    </w:rPr>
                    <w:t>无排放量（</w:t>
                  </w:r>
                  <w:r>
                    <w:rPr>
                      <w:b/>
                      <w:bCs/>
                      <w:kern w:val="0"/>
                      <w:szCs w:val="21"/>
                      <w:highlight w:val="green"/>
                    </w:rPr>
                    <w:t>t/a</w:t>
                  </w:r>
                  <w:r>
                    <w:rPr>
                      <w:rFonts w:hAnsi="宋体"/>
                      <w:b/>
                      <w:bCs/>
                      <w:kern w:val="0"/>
                      <w:szCs w:val="21"/>
                      <w:highlight w:val="green"/>
                    </w:rPr>
                    <w:t>）</w:t>
                  </w:r>
                </w:p>
              </w:tc>
              <w:tc>
                <w:tcPr>
                  <w:tcW w:w="953" w:type="pct"/>
                  <w:tcBorders>
                    <w:left w:val="single" w:color="auto" w:sz="4" w:space="0"/>
                  </w:tcBorders>
                  <w:vAlign w:val="center"/>
                </w:tcPr>
                <w:p>
                  <w:pPr>
                    <w:widowControl/>
                    <w:jc w:val="center"/>
                    <w:textAlignment w:val="center"/>
                    <w:rPr>
                      <w:rFonts w:hAnsi="宋体"/>
                      <w:b/>
                      <w:bCs/>
                      <w:kern w:val="0"/>
                      <w:szCs w:val="21"/>
                      <w:highlight w:val="green"/>
                    </w:rPr>
                  </w:pPr>
                  <w:r>
                    <w:rPr>
                      <w:rFonts w:hint="eastAsia" w:hAnsi="宋体"/>
                      <w:b/>
                      <w:bCs/>
                      <w:kern w:val="0"/>
                      <w:szCs w:val="21"/>
                      <w:highlight w:val="green"/>
                    </w:rPr>
                    <w:t>技改</w:t>
                  </w:r>
                  <w:r>
                    <w:rPr>
                      <w:rFonts w:hint="eastAsia" w:hAnsi="宋体"/>
                      <w:b/>
                      <w:bCs/>
                      <w:kern w:val="0"/>
                      <w:szCs w:val="21"/>
                      <w:highlight w:val="green"/>
                      <w:lang w:eastAsia="zh-CN"/>
                    </w:rPr>
                    <w:t>后</w:t>
                  </w:r>
                  <w:r>
                    <w:rPr>
                      <w:rFonts w:hAnsi="宋体"/>
                      <w:b/>
                      <w:bCs/>
                      <w:kern w:val="0"/>
                      <w:szCs w:val="21"/>
                      <w:highlight w:val="green"/>
                    </w:rPr>
                    <w:t>无排放量（</w:t>
                  </w:r>
                  <w:r>
                    <w:rPr>
                      <w:b/>
                      <w:bCs/>
                      <w:kern w:val="0"/>
                      <w:szCs w:val="21"/>
                      <w:highlight w:val="green"/>
                    </w:rPr>
                    <w:t>t/a</w:t>
                  </w:r>
                  <w:r>
                    <w:rPr>
                      <w:rFonts w:hAnsi="宋体"/>
                      <w:b/>
                      <w:bCs/>
                      <w:kern w:val="0"/>
                      <w:szCs w:val="21"/>
                      <w:highlight w:val="green"/>
                    </w:rPr>
                    <w:t>）</w:t>
                  </w:r>
                </w:p>
              </w:tc>
              <w:tc>
                <w:tcPr>
                  <w:tcW w:w="680" w:type="pct"/>
                  <w:tcBorders>
                    <w:left w:val="single" w:color="auto" w:sz="4" w:space="0"/>
                  </w:tcBorders>
                  <w:vAlign w:val="center"/>
                </w:tcPr>
                <w:p>
                  <w:pPr>
                    <w:widowControl/>
                    <w:jc w:val="center"/>
                    <w:textAlignment w:val="center"/>
                    <w:rPr>
                      <w:rFonts w:hAnsi="宋体"/>
                      <w:b/>
                      <w:bCs/>
                      <w:kern w:val="0"/>
                      <w:szCs w:val="21"/>
                      <w:highlight w:val="green"/>
                    </w:rPr>
                  </w:pPr>
                  <w:r>
                    <w:rPr>
                      <w:rFonts w:hint="eastAsia" w:hAnsi="宋体"/>
                      <w:b/>
                      <w:bCs/>
                      <w:kern w:val="0"/>
                      <w:szCs w:val="21"/>
                      <w:highlight w:val="green"/>
                    </w:rPr>
                    <w:t>变化情况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7" w:hRule="atLeast"/>
                <w:jc w:val="center"/>
              </w:trPr>
              <w:tc>
                <w:tcPr>
                  <w:tcW w:w="486" w:type="pct"/>
                  <w:vMerge w:val="restart"/>
                  <w:vAlign w:val="center"/>
                </w:tcPr>
                <w:p>
                  <w:pPr>
                    <w:widowControl/>
                    <w:jc w:val="center"/>
                    <w:textAlignment w:val="center"/>
                    <w:rPr>
                      <w:kern w:val="0"/>
                      <w:szCs w:val="21"/>
                      <w:highlight w:val="green"/>
                    </w:rPr>
                  </w:pPr>
                  <w:r>
                    <w:rPr>
                      <w:rFonts w:hAnsi="宋体"/>
                      <w:kern w:val="0"/>
                      <w:szCs w:val="21"/>
                      <w:highlight w:val="green"/>
                    </w:rPr>
                    <w:t>生产车间</w:t>
                  </w:r>
                </w:p>
              </w:tc>
              <w:tc>
                <w:tcPr>
                  <w:tcW w:w="1221" w:type="pct"/>
                  <w:vAlign w:val="center"/>
                </w:tcPr>
                <w:p>
                  <w:pPr>
                    <w:widowControl/>
                    <w:jc w:val="center"/>
                    <w:textAlignment w:val="center"/>
                    <w:rPr>
                      <w:bCs/>
                      <w:kern w:val="0"/>
                      <w:szCs w:val="21"/>
                      <w:highlight w:val="green"/>
                    </w:rPr>
                  </w:pPr>
                  <w:r>
                    <w:rPr>
                      <w:rFonts w:hAnsi="宋体"/>
                      <w:bCs/>
                      <w:kern w:val="0"/>
                      <w:szCs w:val="21"/>
                      <w:highlight w:val="green"/>
                    </w:rPr>
                    <w:t>铺装、砂光、锯切等</w:t>
                  </w:r>
                </w:p>
              </w:tc>
              <w:tc>
                <w:tcPr>
                  <w:tcW w:w="773"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颗粒物</w:t>
                  </w:r>
                </w:p>
              </w:tc>
              <w:tc>
                <w:tcPr>
                  <w:tcW w:w="885"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1.64</w:t>
                  </w:r>
                </w:p>
              </w:tc>
              <w:tc>
                <w:tcPr>
                  <w:tcW w:w="953"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1.64</w:t>
                  </w:r>
                </w:p>
              </w:tc>
              <w:tc>
                <w:tcPr>
                  <w:tcW w:w="680"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 w:hRule="atLeast"/>
                <w:jc w:val="center"/>
              </w:trPr>
              <w:tc>
                <w:tcPr>
                  <w:tcW w:w="486" w:type="pct"/>
                  <w:vMerge w:val="continue"/>
                  <w:vAlign w:val="center"/>
                </w:tcPr>
                <w:p>
                  <w:pPr>
                    <w:widowControl/>
                    <w:jc w:val="center"/>
                    <w:textAlignment w:val="center"/>
                    <w:rPr>
                      <w:rFonts w:hAnsi="宋体"/>
                      <w:kern w:val="0"/>
                      <w:szCs w:val="21"/>
                      <w:highlight w:val="green"/>
                    </w:rPr>
                  </w:pPr>
                </w:p>
              </w:tc>
              <w:tc>
                <w:tcPr>
                  <w:tcW w:w="1221" w:type="pct"/>
                  <w:vAlign w:val="center"/>
                </w:tcPr>
                <w:p>
                  <w:pPr>
                    <w:widowControl/>
                    <w:jc w:val="center"/>
                    <w:textAlignment w:val="center"/>
                    <w:rPr>
                      <w:rFonts w:hAnsi="宋体"/>
                      <w:bCs/>
                      <w:kern w:val="0"/>
                      <w:szCs w:val="21"/>
                      <w:highlight w:val="green"/>
                    </w:rPr>
                  </w:pPr>
                  <w:r>
                    <w:rPr>
                      <w:rFonts w:hint="eastAsia" w:hAnsi="宋体"/>
                      <w:bCs/>
                      <w:kern w:val="0"/>
                      <w:szCs w:val="21"/>
                      <w:highlight w:val="green"/>
                    </w:rPr>
                    <w:t>筛选、打磨</w:t>
                  </w:r>
                </w:p>
              </w:tc>
              <w:tc>
                <w:tcPr>
                  <w:tcW w:w="773"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颗粒物</w:t>
                  </w:r>
                </w:p>
              </w:tc>
              <w:tc>
                <w:tcPr>
                  <w:tcW w:w="885"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0.835</w:t>
                  </w:r>
                </w:p>
              </w:tc>
              <w:tc>
                <w:tcPr>
                  <w:tcW w:w="953"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0.04175</w:t>
                  </w:r>
                </w:p>
              </w:tc>
              <w:tc>
                <w:tcPr>
                  <w:tcW w:w="680"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-0.79325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68" w:hRule="atLeast"/>
                <w:jc w:val="center"/>
              </w:trPr>
              <w:tc>
                <w:tcPr>
                  <w:tcW w:w="486" w:type="pct"/>
                  <w:vMerge w:val="continue"/>
                  <w:vAlign w:val="center"/>
                </w:tcPr>
                <w:p>
                  <w:pPr>
                    <w:widowControl/>
                    <w:jc w:val="center"/>
                    <w:textAlignment w:val="center"/>
                    <w:rPr>
                      <w:rFonts w:hAnsi="宋体"/>
                      <w:kern w:val="0"/>
                      <w:szCs w:val="21"/>
                      <w:highlight w:val="green"/>
                    </w:rPr>
                  </w:pPr>
                </w:p>
              </w:tc>
              <w:tc>
                <w:tcPr>
                  <w:tcW w:w="1221" w:type="pct"/>
                  <w:vMerge w:val="restart"/>
                  <w:vAlign w:val="center"/>
                </w:tcPr>
                <w:p>
                  <w:pPr>
                    <w:widowControl/>
                    <w:jc w:val="center"/>
                    <w:textAlignment w:val="center"/>
                    <w:rPr>
                      <w:rFonts w:hAnsi="宋体"/>
                      <w:bCs/>
                      <w:kern w:val="0"/>
                      <w:szCs w:val="21"/>
                      <w:highlight w:val="green"/>
                    </w:rPr>
                  </w:pPr>
                  <w:r>
                    <w:rPr>
                      <w:rFonts w:hint="eastAsia" w:hAnsi="宋体"/>
                      <w:bCs/>
                      <w:kern w:val="0"/>
                      <w:szCs w:val="21"/>
                      <w:highlight w:val="green"/>
                    </w:rPr>
                    <w:t>热压凉板</w:t>
                  </w:r>
                </w:p>
              </w:tc>
              <w:tc>
                <w:tcPr>
                  <w:tcW w:w="773"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甲醛</w:t>
                  </w:r>
                </w:p>
              </w:tc>
              <w:tc>
                <w:tcPr>
                  <w:tcW w:w="885"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0.07</w:t>
                  </w:r>
                </w:p>
              </w:tc>
              <w:tc>
                <w:tcPr>
                  <w:tcW w:w="953"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0.07</w:t>
                  </w:r>
                </w:p>
              </w:tc>
              <w:tc>
                <w:tcPr>
                  <w:tcW w:w="680"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486" w:type="pct"/>
                  <w:vMerge w:val="continue"/>
                  <w:vAlign w:val="center"/>
                </w:tcPr>
                <w:p>
                  <w:pPr>
                    <w:widowControl/>
                    <w:jc w:val="center"/>
                    <w:textAlignment w:val="center"/>
                    <w:rPr>
                      <w:rFonts w:hAnsi="宋体"/>
                      <w:kern w:val="0"/>
                      <w:szCs w:val="21"/>
                      <w:highlight w:val="green"/>
                    </w:rPr>
                  </w:pPr>
                </w:p>
              </w:tc>
              <w:tc>
                <w:tcPr>
                  <w:tcW w:w="1221" w:type="pct"/>
                  <w:vMerge w:val="continue"/>
                  <w:vAlign w:val="center"/>
                </w:tcPr>
                <w:p>
                  <w:pPr>
                    <w:widowControl/>
                    <w:jc w:val="center"/>
                    <w:textAlignment w:val="center"/>
                    <w:rPr>
                      <w:rFonts w:hAnsi="宋体"/>
                      <w:bCs/>
                      <w:kern w:val="0"/>
                      <w:szCs w:val="21"/>
                      <w:highlight w:val="green"/>
                    </w:rPr>
                  </w:pPr>
                </w:p>
              </w:tc>
              <w:tc>
                <w:tcPr>
                  <w:tcW w:w="773"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非甲烷总烃</w:t>
                  </w:r>
                </w:p>
              </w:tc>
              <w:tc>
                <w:tcPr>
                  <w:tcW w:w="885"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0.1588</w:t>
                  </w:r>
                </w:p>
              </w:tc>
              <w:tc>
                <w:tcPr>
                  <w:tcW w:w="953"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0.1588</w:t>
                  </w:r>
                </w:p>
              </w:tc>
              <w:tc>
                <w:tcPr>
                  <w:tcW w:w="680"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72" w:hRule="atLeast"/>
                <w:jc w:val="center"/>
              </w:trPr>
              <w:tc>
                <w:tcPr>
                  <w:tcW w:w="486" w:type="pct"/>
                  <w:vMerge w:val="continue"/>
                  <w:vAlign w:val="center"/>
                </w:tcPr>
                <w:p>
                  <w:pPr>
                    <w:widowControl/>
                    <w:jc w:val="center"/>
                    <w:textAlignment w:val="center"/>
                    <w:rPr>
                      <w:rFonts w:hAnsi="宋体"/>
                      <w:kern w:val="0"/>
                      <w:szCs w:val="21"/>
                      <w:highlight w:val="green"/>
                    </w:rPr>
                  </w:pPr>
                </w:p>
              </w:tc>
              <w:tc>
                <w:tcPr>
                  <w:tcW w:w="1221" w:type="pct"/>
                  <w:vMerge w:val="continue"/>
                  <w:vAlign w:val="center"/>
                </w:tcPr>
                <w:p>
                  <w:pPr>
                    <w:widowControl/>
                    <w:jc w:val="center"/>
                    <w:textAlignment w:val="center"/>
                    <w:rPr>
                      <w:rFonts w:hAnsi="宋体"/>
                      <w:bCs/>
                      <w:kern w:val="0"/>
                      <w:szCs w:val="21"/>
                      <w:highlight w:val="green"/>
                    </w:rPr>
                  </w:pPr>
                </w:p>
              </w:tc>
              <w:tc>
                <w:tcPr>
                  <w:tcW w:w="773" w:type="pct"/>
                  <w:tcBorders>
                    <w:left w:val="single" w:color="auto" w:sz="4" w:space="0"/>
                  </w:tcBorders>
                  <w:vAlign w:val="center"/>
                </w:tcPr>
                <w:p>
                  <w:pPr>
                    <w:widowControl/>
                    <w:jc w:val="center"/>
                    <w:textAlignment w:val="center"/>
                    <w:rPr>
                      <w:rFonts w:hAnsi="宋体"/>
                      <w:bCs/>
                      <w:kern w:val="0"/>
                      <w:szCs w:val="21"/>
                      <w:highlight w:val="green"/>
                    </w:rPr>
                  </w:pPr>
                  <w:r>
                    <w:rPr>
                      <w:rFonts w:hint="eastAsia" w:hAnsi="宋体"/>
                      <w:bCs/>
                      <w:kern w:val="0"/>
                      <w:szCs w:val="21"/>
                      <w:highlight w:val="green"/>
                    </w:rPr>
                    <w:t>颗粒物</w:t>
                  </w:r>
                </w:p>
              </w:tc>
              <w:tc>
                <w:tcPr>
                  <w:tcW w:w="885"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0.0784</w:t>
                  </w:r>
                </w:p>
              </w:tc>
              <w:tc>
                <w:tcPr>
                  <w:tcW w:w="953"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0.0784</w:t>
                  </w:r>
                </w:p>
              </w:tc>
              <w:tc>
                <w:tcPr>
                  <w:tcW w:w="680"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16" w:hRule="atLeast"/>
                <w:jc w:val="center"/>
              </w:trPr>
              <w:tc>
                <w:tcPr>
                  <w:tcW w:w="1707" w:type="pct"/>
                  <w:gridSpan w:val="2"/>
                  <w:vMerge w:val="restart"/>
                  <w:vAlign w:val="center"/>
                </w:tcPr>
                <w:p>
                  <w:pPr>
                    <w:widowControl/>
                    <w:jc w:val="center"/>
                    <w:textAlignment w:val="center"/>
                    <w:rPr>
                      <w:kern w:val="0"/>
                      <w:szCs w:val="21"/>
                      <w:highlight w:val="green"/>
                    </w:rPr>
                  </w:pPr>
                  <w:r>
                    <w:rPr>
                      <w:rFonts w:hAnsi="宋体"/>
                      <w:kern w:val="0"/>
                      <w:szCs w:val="21"/>
                      <w:highlight w:val="green"/>
                    </w:rPr>
                    <w:t>合计</w:t>
                  </w:r>
                </w:p>
              </w:tc>
              <w:tc>
                <w:tcPr>
                  <w:tcW w:w="773" w:type="pct"/>
                  <w:tcBorders>
                    <w:left w:val="single" w:color="auto" w:sz="4" w:space="0"/>
                  </w:tcBorders>
                  <w:vAlign w:val="center"/>
                </w:tcPr>
                <w:p>
                  <w:pPr>
                    <w:widowControl/>
                    <w:jc w:val="center"/>
                    <w:textAlignment w:val="center"/>
                    <w:rPr>
                      <w:rFonts w:hAnsi="宋体"/>
                      <w:kern w:val="0"/>
                      <w:szCs w:val="21"/>
                      <w:highlight w:val="green"/>
                    </w:rPr>
                  </w:pPr>
                  <w:r>
                    <w:rPr>
                      <w:rFonts w:hint="eastAsia" w:hAnsi="宋体"/>
                      <w:kern w:val="0"/>
                      <w:szCs w:val="21"/>
                      <w:highlight w:val="green"/>
                    </w:rPr>
                    <w:t>颗粒物</w:t>
                  </w:r>
                </w:p>
              </w:tc>
              <w:tc>
                <w:tcPr>
                  <w:tcW w:w="885"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2.5534</w:t>
                  </w:r>
                </w:p>
              </w:tc>
              <w:tc>
                <w:tcPr>
                  <w:tcW w:w="953"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1.76015</w:t>
                  </w:r>
                </w:p>
              </w:tc>
              <w:tc>
                <w:tcPr>
                  <w:tcW w:w="680"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-0.79325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6" w:hRule="atLeast"/>
                <w:jc w:val="center"/>
              </w:trPr>
              <w:tc>
                <w:tcPr>
                  <w:tcW w:w="1707" w:type="pct"/>
                  <w:gridSpan w:val="2"/>
                  <w:vMerge w:val="continue"/>
                  <w:vAlign w:val="center"/>
                </w:tcPr>
                <w:p>
                  <w:pPr>
                    <w:widowControl/>
                    <w:jc w:val="center"/>
                    <w:textAlignment w:val="center"/>
                    <w:rPr>
                      <w:rFonts w:hAnsi="宋体"/>
                      <w:kern w:val="0"/>
                      <w:szCs w:val="21"/>
                      <w:highlight w:val="green"/>
                    </w:rPr>
                  </w:pPr>
                </w:p>
              </w:tc>
              <w:tc>
                <w:tcPr>
                  <w:tcW w:w="773" w:type="pct"/>
                  <w:tcBorders>
                    <w:left w:val="single" w:color="auto" w:sz="4" w:space="0"/>
                  </w:tcBorders>
                  <w:vAlign w:val="center"/>
                </w:tcPr>
                <w:p>
                  <w:pPr>
                    <w:widowControl/>
                    <w:jc w:val="center"/>
                    <w:textAlignment w:val="center"/>
                    <w:rPr>
                      <w:rFonts w:hAnsi="宋体"/>
                      <w:kern w:val="0"/>
                      <w:szCs w:val="21"/>
                      <w:highlight w:val="green"/>
                    </w:rPr>
                  </w:pPr>
                  <w:r>
                    <w:rPr>
                      <w:rFonts w:hint="eastAsia" w:hAnsi="宋体"/>
                      <w:kern w:val="0"/>
                      <w:szCs w:val="21"/>
                      <w:highlight w:val="green"/>
                    </w:rPr>
                    <w:t>甲醛</w:t>
                  </w:r>
                </w:p>
              </w:tc>
              <w:tc>
                <w:tcPr>
                  <w:tcW w:w="885"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0.07</w:t>
                  </w:r>
                </w:p>
              </w:tc>
              <w:tc>
                <w:tcPr>
                  <w:tcW w:w="953"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0.07</w:t>
                  </w:r>
                </w:p>
              </w:tc>
              <w:tc>
                <w:tcPr>
                  <w:tcW w:w="680"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 w:hRule="atLeast"/>
                <w:jc w:val="center"/>
              </w:trPr>
              <w:tc>
                <w:tcPr>
                  <w:tcW w:w="1707" w:type="pct"/>
                  <w:gridSpan w:val="2"/>
                  <w:vMerge w:val="continue"/>
                  <w:vAlign w:val="center"/>
                </w:tcPr>
                <w:p>
                  <w:pPr>
                    <w:widowControl/>
                    <w:jc w:val="center"/>
                    <w:textAlignment w:val="center"/>
                    <w:rPr>
                      <w:rFonts w:hAnsi="宋体"/>
                      <w:kern w:val="0"/>
                      <w:szCs w:val="21"/>
                      <w:highlight w:val="green"/>
                    </w:rPr>
                  </w:pPr>
                </w:p>
              </w:tc>
              <w:tc>
                <w:tcPr>
                  <w:tcW w:w="773" w:type="pct"/>
                  <w:tcBorders>
                    <w:left w:val="single" w:color="auto" w:sz="4" w:space="0"/>
                  </w:tcBorders>
                  <w:vAlign w:val="center"/>
                </w:tcPr>
                <w:p>
                  <w:pPr>
                    <w:widowControl/>
                    <w:jc w:val="center"/>
                    <w:textAlignment w:val="center"/>
                    <w:rPr>
                      <w:rFonts w:hAnsi="宋体"/>
                      <w:kern w:val="0"/>
                      <w:szCs w:val="21"/>
                      <w:highlight w:val="green"/>
                    </w:rPr>
                  </w:pPr>
                  <w:r>
                    <w:rPr>
                      <w:rFonts w:hint="eastAsia" w:hAnsi="宋体"/>
                      <w:kern w:val="0"/>
                      <w:szCs w:val="21"/>
                      <w:highlight w:val="green"/>
                    </w:rPr>
                    <w:t>非甲烷总烃</w:t>
                  </w:r>
                </w:p>
              </w:tc>
              <w:tc>
                <w:tcPr>
                  <w:tcW w:w="885"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0.1588</w:t>
                  </w:r>
                </w:p>
              </w:tc>
              <w:tc>
                <w:tcPr>
                  <w:tcW w:w="953"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0.1588</w:t>
                  </w:r>
                </w:p>
              </w:tc>
              <w:tc>
                <w:tcPr>
                  <w:tcW w:w="680" w:type="pct"/>
                  <w:tcBorders>
                    <w:left w:val="single" w:color="auto" w:sz="4" w:space="0"/>
                  </w:tcBorders>
                  <w:vAlign w:val="center"/>
                </w:tcPr>
                <w:p>
                  <w:pPr>
                    <w:widowControl/>
                    <w:jc w:val="center"/>
                    <w:textAlignment w:val="center"/>
                    <w:rPr>
                      <w:kern w:val="0"/>
                      <w:szCs w:val="21"/>
                      <w:highlight w:val="green"/>
                    </w:rPr>
                  </w:pPr>
                  <w:r>
                    <w:rPr>
                      <w:rFonts w:hint="eastAsia"/>
                      <w:kern w:val="0"/>
                      <w:szCs w:val="21"/>
                      <w:highlight w:val="green"/>
                    </w:rPr>
                    <w:t>0</w:t>
                  </w:r>
                </w:p>
              </w:tc>
            </w:tr>
          </w:tbl>
          <w:p>
            <w:pPr>
              <w:adjustRightInd w:val="0"/>
              <w:spacing w:before="120" w:beforeLines="50" w:line="360" w:lineRule="auto"/>
              <w:ind w:firstLine="482" w:firstLineChars="200"/>
              <w:rPr>
                <w:b/>
                <w:sz w:val="24"/>
              </w:rPr>
            </w:pPr>
            <w:r>
              <w:rPr>
                <w:rFonts w:hint="eastAsia"/>
                <w:b/>
                <w:sz w:val="24"/>
              </w:rPr>
              <w:t>5、</w:t>
            </w:r>
            <w:r>
              <w:rPr>
                <w:b/>
                <w:sz w:val="24"/>
              </w:rPr>
              <w:t>大气环境防护距离</w:t>
            </w:r>
          </w:p>
          <w:p>
            <w:pPr>
              <w:pStyle w:val="11"/>
              <w:adjustRightInd w:val="0"/>
              <w:snapToGrid/>
              <w:spacing w:before="0" w:after="0" w:line="360" w:lineRule="auto"/>
              <w:ind w:right="0" w:firstLine="480" w:firstLineChars="200"/>
              <w:rPr>
                <w:sz w:val="24"/>
              </w:rPr>
            </w:pPr>
            <w:r>
              <w:rPr>
                <w:bCs/>
                <w:sz w:val="24"/>
              </w:rPr>
              <w:t>根据估算结果可知，项目厂界内各污染物浓度无超标点，厂界外大气污染物短期贡献浓度未超过环境质量浓度限值，故不需设置大气环境防护距离。</w:t>
            </w:r>
          </w:p>
          <w:p>
            <w:pPr>
              <w:spacing w:line="360" w:lineRule="auto"/>
              <w:ind w:firstLine="482" w:firstLineChars="200"/>
              <w:rPr>
                <w:b/>
                <w:bCs/>
                <w:sz w:val="24"/>
                <w:szCs w:val="28"/>
              </w:rPr>
            </w:pPr>
            <w:r>
              <w:rPr>
                <w:rFonts w:hint="eastAsia"/>
                <w:b/>
                <w:bCs/>
                <w:kern w:val="0"/>
                <w:sz w:val="24"/>
                <w:szCs w:val="28"/>
              </w:rPr>
              <w:t>6、</w:t>
            </w:r>
            <w:r>
              <w:rPr>
                <w:b/>
                <w:bCs/>
                <w:sz w:val="24"/>
                <w:szCs w:val="28"/>
              </w:rPr>
              <w:t>大气污染防治措施可行性分析</w:t>
            </w:r>
          </w:p>
          <w:p>
            <w:pPr>
              <w:adjustRightInd w:val="0"/>
              <w:spacing w:line="360" w:lineRule="auto"/>
              <w:ind w:firstLine="436" w:firstLineChars="200"/>
              <w:rPr>
                <w:sz w:val="24"/>
              </w:rPr>
            </w:pPr>
            <w:r>
              <w:rPr>
                <w:rFonts w:hint="eastAsia"/>
                <w:bCs/>
                <w:spacing w:val="-11"/>
                <w:sz w:val="24"/>
                <w:szCs w:val="30"/>
              </w:rPr>
              <w:t>（1）旋风</w:t>
            </w:r>
            <w:r>
              <w:rPr>
                <w:rFonts w:hint="eastAsia"/>
                <w:sz w:val="24"/>
              </w:rPr>
              <w:t>除尘器</w:t>
            </w:r>
          </w:p>
          <w:p>
            <w:pPr>
              <w:adjustRightInd w:val="0"/>
              <w:spacing w:line="360" w:lineRule="auto"/>
              <w:ind w:firstLine="480" w:firstLineChars="200"/>
              <w:rPr>
                <w:sz w:val="24"/>
                <w:szCs w:val="21"/>
              </w:rPr>
            </w:pPr>
            <w:r>
              <w:rPr>
                <w:rFonts w:hint="eastAsia"/>
                <w:sz w:val="24"/>
              </w:rPr>
              <w:t>旋风除尘器</w:t>
            </w:r>
            <w:r>
              <w:rPr>
                <w:rFonts w:hint="eastAsia"/>
                <w:sz w:val="24"/>
                <w:szCs w:val="21"/>
              </w:rPr>
              <w:t>属于《排污许可证申请与核发技术规范 人造板工业》(HI1032-2019)“附录A废气污染防治可行技术”中的技术“旋风分离除尘”，属于可行技术。</w:t>
            </w:r>
          </w:p>
          <w:p>
            <w:pPr>
              <w:adjustRightInd w:val="0"/>
              <w:spacing w:line="360" w:lineRule="auto"/>
              <w:ind w:firstLine="480" w:firstLineChars="200"/>
              <w:rPr>
                <w:sz w:val="24"/>
                <w:szCs w:val="21"/>
              </w:rPr>
            </w:pPr>
            <w:r>
              <w:rPr>
                <w:rFonts w:hint="eastAsia"/>
                <w:sz w:val="24"/>
                <w:szCs w:val="21"/>
              </w:rPr>
              <w:t>本项目采取的粉尘处理措施较为常用，实施难度小，投资合理，运行稳定可靠。根据全国类似企业生产情况来看，粉尘处理设施能稳定运行，排放达标。是目前同类企业中使用较为普遍粉尘处理方案，处理工艺较为成熟。符合相关法律法规污染防治规定的措施要求，技术经济可行。</w:t>
            </w:r>
          </w:p>
          <w:p>
            <w:pPr>
              <w:adjustRightInd w:val="0"/>
              <w:spacing w:line="360" w:lineRule="auto"/>
              <w:ind w:firstLine="436" w:firstLineChars="200"/>
              <w:rPr>
                <w:bCs/>
                <w:spacing w:val="-11"/>
                <w:sz w:val="24"/>
                <w:szCs w:val="30"/>
              </w:rPr>
            </w:pPr>
            <w:r>
              <w:rPr>
                <w:rFonts w:hint="eastAsia"/>
                <w:bCs/>
                <w:spacing w:val="-11"/>
                <w:sz w:val="24"/>
                <w:szCs w:val="30"/>
              </w:rPr>
              <w:t>（2）多管旋风除尘+水膜除尘</w:t>
            </w:r>
          </w:p>
          <w:p>
            <w:pPr>
              <w:adjustRightInd w:val="0"/>
              <w:spacing w:line="360" w:lineRule="auto"/>
              <w:ind w:firstLine="480" w:firstLineChars="200"/>
              <w:rPr>
                <w:sz w:val="24"/>
                <w:szCs w:val="21"/>
              </w:rPr>
            </w:pPr>
            <w:r>
              <w:rPr>
                <w:rFonts w:hint="eastAsia"/>
                <w:sz w:val="24"/>
                <w:szCs w:val="21"/>
              </w:rPr>
              <w:t>多管旋风除尘、水膜</w:t>
            </w:r>
            <w:r>
              <w:rPr>
                <w:sz w:val="24"/>
                <w:szCs w:val="21"/>
              </w:rPr>
              <w:t>除尘</w:t>
            </w:r>
            <w:r>
              <w:rPr>
                <w:rFonts w:hint="eastAsia"/>
                <w:sz w:val="24"/>
                <w:szCs w:val="21"/>
              </w:rPr>
              <w:t>均</w:t>
            </w:r>
            <w:r>
              <w:rPr>
                <w:sz w:val="24"/>
                <w:szCs w:val="21"/>
              </w:rPr>
              <w:t>属于《排污许可证申请与核发技术规范</w:t>
            </w:r>
            <w:r>
              <w:rPr>
                <w:rFonts w:hint="eastAsia"/>
                <w:sz w:val="24"/>
                <w:szCs w:val="21"/>
              </w:rPr>
              <w:t xml:space="preserve"> </w:t>
            </w:r>
            <w:r>
              <w:rPr>
                <w:sz w:val="24"/>
                <w:szCs w:val="21"/>
              </w:rPr>
              <w:t>锅炉》（HJ953-2018）内锅炉废气污染防治可行技术中的技术</w:t>
            </w:r>
            <w:r>
              <w:rPr>
                <w:rFonts w:hint="eastAsia"/>
                <w:sz w:val="24"/>
                <w:szCs w:val="21"/>
              </w:rPr>
              <w:t>“多管旋风除尘法”</w:t>
            </w:r>
            <w:r>
              <w:rPr>
                <w:sz w:val="24"/>
                <w:szCs w:val="21"/>
              </w:rPr>
              <w:t>和</w:t>
            </w:r>
            <w:r>
              <w:rPr>
                <w:rFonts w:hint="eastAsia"/>
                <w:sz w:val="24"/>
                <w:szCs w:val="21"/>
              </w:rPr>
              <w:t>“</w:t>
            </w:r>
            <w:r>
              <w:rPr>
                <w:sz w:val="24"/>
                <w:szCs w:val="21"/>
              </w:rPr>
              <w:t>湿式喷雾</w:t>
            </w:r>
            <w:r>
              <w:rPr>
                <w:rFonts w:hint="eastAsia"/>
                <w:sz w:val="24"/>
                <w:szCs w:val="21"/>
              </w:rPr>
              <w:t>”</w:t>
            </w:r>
            <w:r>
              <w:rPr>
                <w:sz w:val="24"/>
                <w:szCs w:val="21"/>
              </w:rPr>
              <w:t>，属于可行技术。</w:t>
            </w:r>
          </w:p>
          <w:p>
            <w:pPr>
              <w:adjustRightInd w:val="0"/>
              <w:spacing w:line="360" w:lineRule="auto"/>
              <w:ind w:firstLine="480" w:firstLineChars="200"/>
              <w:rPr>
                <w:bCs/>
                <w:spacing w:val="-11"/>
                <w:sz w:val="24"/>
                <w:szCs w:val="30"/>
              </w:rPr>
            </w:pPr>
            <w:r>
              <w:rPr>
                <w:rFonts w:hint="eastAsia"/>
                <w:sz w:val="24"/>
                <w:szCs w:val="21"/>
              </w:rPr>
              <w:t>生物质导热油锅炉</w:t>
            </w:r>
            <w:r>
              <w:rPr>
                <w:sz w:val="24"/>
                <w:szCs w:val="21"/>
              </w:rPr>
              <w:t>燃烧产生的SO</w:t>
            </w:r>
            <w:r>
              <w:rPr>
                <w:sz w:val="24"/>
                <w:szCs w:val="21"/>
                <w:vertAlign w:val="subscript"/>
              </w:rPr>
              <w:t>2</w:t>
            </w:r>
            <w:r>
              <w:rPr>
                <w:sz w:val="24"/>
                <w:szCs w:val="21"/>
              </w:rPr>
              <w:t>、颗粒物和NO</w:t>
            </w:r>
            <w:r>
              <w:rPr>
                <w:sz w:val="24"/>
                <w:szCs w:val="21"/>
                <w:vertAlign w:val="subscript"/>
              </w:rPr>
              <w:t>x</w:t>
            </w:r>
            <w:r>
              <w:rPr>
                <w:sz w:val="24"/>
                <w:szCs w:val="21"/>
              </w:rPr>
              <w:t>采用</w:t>
            </w:r>
            <w:r>
              <w:rPr>
                <w:rFonts w:hint="eastAsia"/>
                <w:sz w:val="24"/>
                <w:szCs w:val="21"/>
              </w:rPr>
              <w:t>多管旋风除尘水膜</w:t>
            </w:r>
            <w:r>
              <w:rPr>
                <w:sz w:val="24"/>
                <w:szCs w:val="21"/>
              </w:rPr>
              <w:t>除尘处理后由高</w:t>
            </w:r>
            <w:r>
              <w:rPr>
                <w:rFonts w:hint="eastAsia"/>
                <w:sz w:val="24"/>
                <w:szCs w:val="21"/>
              </w:rPr>
              <w:t>35</w:t>
            </w:r>
            <w:r>
              <w:rPr>
                <w:sz w:val="24"/>
                <w:szCs w:val="21"/>
              </w:rPr>
              <w:t>m烟囱排放，故本次环评认为，项目采取的废气防治措施可行。</w:t>
            </w:r>
          </w:p>
          <w:p>
            <w:pPr>
              <w:adjustRightInd w:val="0"/>
              <w:spacing w:line="360" w:lineRule="auto"/>
              <w:ind w:firstLine="436" w:firstLineChars="200"/>
              <w:rPr>
                <w:sz w:val="24"/>
              </w:rPr>
            </w:pPr>
            <w:r>
              <w:rPr>
                <w:rFonts w:hint="eastAsia"/>
                <w:bCs/>
                <w:spacing w:val="-11"/>
                <w:sz w:val="24"/>
                <w:szCs w:val="30"/>
              </w:rPr>
              <w:t>（3）</w:t>
            </w:r>
            <w:r>
              <w:rPr>
                <w:rFonts w:hint="eastAsia"/>
                <w:sz w:val="24"/>
              </w:rPr>
              <w:t>活性炭吸附装置</w:t>
            </w:r>
          </w:p>
          <w:p>
            <w:pPr>
              <w:adjustRightInd w:val="0"/>
              <w:spacing w:line="360" w:lineRule="auto"/>
              <w:ind w:firstLine="480" w:firstLineChars="200"/>
              <w:rPr>
                <w:szCs w:val="21"/>
              </w:rPr>
            </w:pPr>
            <w:r>
              <w:rPr>
                <w:rFonts w:hint="eastAsia"/>
                <w:sz w:val="24"/>
                <w:szCs w:val="21"/>
              </w:rPr>
              <w:t>活性炭吸附属于《排污许可证申请与核发技术规范 人造板工业》(HJ1032-2019)“附录A废气污染防治可行技术”中的技术“活性炭吸附”，属于可行技术。</w:t>
            </w:r>
          </w:p>
          <w:p>
            <w:pPr>
              <w:spacing w:line="360" w:lineRule="auto"/>
              <w:ind w:firstLine="480" w:firstLineChars="200"/>
              <w:rPr>
                <w:sz w:val="24"/>
                <w:szCs w:val="21"/>
              </w:rPr>
            </w:pPr>
            <w:r>
              <w:rPr>
                <w:rFonts w:hint="eastAsia"/>
                <w:sz w:val="24"/>
                <w:szCs w:val="21"/>
              </w:rPr>
              <w:t>活性炭吸附装置是利用活性炭作为吸附介质，其作用原理为利用微孔活性物质对溶剂分子或分子团的吸附力，当废气通过吸附介质时，其中的有机废气污染物即被阻留下来，从而使得有机废气得到净化处理后排入大气。活性炭吸附法一直被认为是比较成熟可靠的技术，活性炭是一种由含碳材料制成的外观呈黑色，内部孔隙结构发达，比表面积大，吸附能力强的一类微晶质碳素材料。有机废气净化采用活性炭吸附处理，是国内最为有效的方法。</w:t>
            </w:r>
          </w:p>
          <w:p>
            <w:pPr>
              <w:spacing w:line="360" w:lineRule="auto"/>
              <w:ind w:firstLine="480" w:firstLineChars="200"/>
              <w:rPr>
                <w:sz w:val="24"/>
                <w:szCs w:val="21"/>
              </w:rPr>
            </w:pPr>
            <w:r>
              <w:rPr>
                <w:rFonts w:hint="eastAsia"/>
                <w:sz w:val="24"/>
                <w:szCs w:val="21"/>
              </w:rPr>
              <w:t>本项目热压、凉板工段产生的有机废气经2套集气罩收集后，通过1套三级活性炭吸附装置处理，经1根15米高的排气筒（DA006）排放。</w:t>
            </w:r>
          </w:p>
          <w:p>
            <w:pPr>
              <w:spacing w:line="360" w:lineRule="auto"/>
              <w:ind w:firstLine="480" w:firstLineChars="200"/>
              <w:rPr>
                <w:bCs/>
                <w:spacing w:val="-11"/>
                <w:sz w:val="24"/>
                <w:szCs w:val="30"/>
              </w:rPr>
            </w:pPr>
            <w:r>
              <w:rPr>
                <w:rFonts w:hint="eastAsia"/>
                <w:sz w:val="24"/>
                <w:szCs w:val="21"/>
              </w:rPr>
              <w:t>综上所述，项目采用旋风除尘+布袋除尘器处理砂光、振动筛选工序、打磨工序产生的TSP，采用三级活性炭吸附柜去除热压、凉板工序产生的有机废气，采用多管旋风除尘+水膜除尘处理生物质锅炉燃烧产生的颗粒物、SO</w:t>
            </w:r>
            <w:r>
              <w:rPr>
                <w:rFonts w:hint="eastAsia"/>
                <w:sz w:val="24"/>
                <w:szCs w:val="21"/>
                <w:vertAlign w:val="subscript"/>
              </w:rPr>
              <w:t>2</w:t>
            </w:r>
            <w:r>
              <w:rPr>
                <w:rFonts w:hint="eastAsia"/>
                <w:sz w:val="24"/>
                <w:szCs w:val="21"/>
              </w:rPr>
              <w:t>、NO</w:t>
            </w:r>
            <w:r>
              <w:rPr>
                <w:rFonts w:hint="eastAsia"/>
                <w:sz w:val="24"/>
                <w:szCs w:val="21"/>
                <w:vertAlign w:val="subscript"/>
              </w:rPr>
              <w:t>x</w:t>
            </w:r>
            <w:r>
              <w:rPr>
                <w:rFonts w:hint="eastAsia"/>
                <w:sz w:val="24"/>
                <w:szCs w:val="21"/>
              </w:rPr>
              <w:t>是合理、可行的。</w:t>
            </w:r>
          </w:p>
          <w:p>
            <w:pPr>
              <w:adjustRightInd w:val="0"/>
              <w:spacing w:line="360" w:lineRule="auto"/>
              <w:ind w:firstLine="438" w:firstLineChars="200"/>
              <w:rPr>
                <w:b/>
                <w:spacing w:val="-11"/>
                <w:sz w:val="24"/>
                <w:szCs w:val="30"/>
              </w:rPr>
            </w:pPr>
            <w:r>
              <w:rPr>
                <w:rFonts w:hint="eastAsia"/>
                <w:b/>
                <w:spacing w:val="-11"/>
                <w:sz w:val="24"/>
                <w:szCs w:val="30"/>
              </w:rPr>
              <w:t>7</w:t>
            </w:r>
            <w:r>
              <w:rPr>
                <w:b/>
                <w:spacing w:val="-11"/>
                <w:sz w:val="24"/>
                <w:szCs w:val="30"/>
              </w:rPr>
              <w:t>、监测计划</w:t>
            </w:r>
          </w:p>
          <w:p>
            <w:pPr>
              <w:adjustRightInd w:val="0"/>
              <w:spacing w:line="360" w:lineRule="auto"/>
              <w:ind w:firstLine="480" w:firstLineChars="200"/>
              <w:rPr>
                <w:sz w:val="24"/>
                <w:szCs w:val="21"/>
              </w:rPr>
            </w:pPr>
            <w:r>
              <w:rPr>
                <w:rFonts w:hint="eastAsia"/>
                <w:sz w:val="24"/>
                <w:szCs w:val="21"/>
              </w:rPr>
              <w:t>（1）运营管理要求</w:t>
            </w:r>
          </w:p>
          <w:p>
            <w:pPr>
              <w:adjustRightInd w:val="0"/>
              <w:spacing w:line="360" w:lineRule="auto"/>
              <w:ind w:firstLine="480" w:firstLineChars="200"/>
              <w:rPr>
                <w:sz w:val="24"/>
                <w:szCs w:val="21"/>
              </w:rPr>
            </w:pPr>
            <w:r>
              <w:rPr>
                <w:rFonts w:hint="eastAsia"/>
                <w:sz w:val="24"/>
                <w:szCs w:val="21"/>
              </w:rPr>
              <w:t>项目应做到以下运行管理要求：</w:t>
            </w:r>
          </w:p>
          <w:p>
            <w:pPr>
              <w:adjustRightInd w:val="0"/>
              <w:spacing w:line="360" w:lineRule="auto"/>
              <w:ind w:firstLine="480" w:firstLineChars="200"/>
              <w:rPr>
                <w:sz w:val="24"/>
                <w:szCs w:val="21"/>
              </w:rPr>
            </w:pPr>
            <w:r>
              <w:rPr>
                <w:rFonts w:hint="eastAsia"/>
                <w:sz w:val="24"/>
                <w:szCs w:val="21"/>
              </w:rPr>
              <w:t>有组织排放：污染防治设施应与其对应的生产工艺设备同步运转，保证在生产工艺设备运行波动情况下仍能正常运转，实现达标排放。加强除尘设备巡检，消除设备隐患，保证正常运行。</w:t>
            </w:r>
          </w:p>
          <w:p>
            <w:pPr>
              <w:adjustRightInd w:val="0"/>
              <w:spacing w:line="360" w:lineRule="auto"/>
              <w:ind w:firstLine="480" w:firstLineChars="200"/>
              <w:rPr>
                <w:sz w:val="24"/>
                <w:szCs w:val="21"/>
              </w:rPr>
            </w:pPr>
            <w:r>
              <w:rPr>
                <w:rFonts w:hint="eastAsia"/>
                <w:sz w:val="24"/>
                <w:szCs w:val="21"/>
              </w:rPr>
              <w:t>无组织排放：控制厂内运输、贮存过程中粉尘无组织排放。运输产生粉尘的物料，车辆应采取密闭、苫盖等措施。厂区道路硬化，并采取洒水、喷雾等降尘措施。</w:t>
            </w:r>
          </w:p>
          <w:p>
            <w:pPr>
              <w:adjustRightInd w:val="0"/>
              <w:spacing w:line="360" w:lineRule="auto"/>
              <w:ind w:firstLine="480" w:firstLineChars="200"/>
              <w:rPr>
                <w:sz w:val="24"/>
                <w:szCs w:val="21"/>
              </w:rPr>
            </w:pPr>
            <w:r>
              <w:rPr>
                <w:rFonts w:hint="eastAsia"/>
                <w:sz w:val="24"/>
                <w:szCs w:val="21"/>
              </w:rPr>
              <w:t>（2）监测计划</w:t>
            </w:r>
          </w:p>
          <w:p>
            <w:pPr>
              <w:adjustRightInd w:val="0"/>
              <w:spacing w:line="360" w:lineRule="auto"/>
              <w:ind w:firstLine="480" w:firstLineChars="200"/>
              <w:rPr>
                <w:sz w:val="24"/>
                <w:szCs w:val="21"/>
              </w:rPr>
            </w:pPr>
            <w:r>
              <w:rPr>
                <w:rFonts w:hint="eastAsia"/>
                <w:sz w:val="24"/>
                <w:szCs w:val="21"/>
              </w:rPr>
              <w:t>根据《固定污染源排污许可分类管理名录》（2019年版），本项目属于简化管理，应按照《排污单位自行监测技术指南 总则》（HJ819-2017）、《排污单位自行监测技术指南 火力发电及锅炉》（HJ820-2017）以及《排污许可证申请与核发技术规范 人造板工业》（HJ1032-2019）的要求制定监测计划，具体如下：</w:t>
            </w:r>
          </w:p>
          <w:p>
            <w:pPr>
              <w:widowControl/>
              <w:adjustRightInd w:val="0"/>
              <w:spacing w:line="360" w:lineRule="auto"/>
              <w:jc w:val="center"/>
              <w:rPr>
                <w:rFonts w:cs="宋体"/>
                <w:b/>
                <w:bCs/>
                <w:kern w:val="0"/>
                <w:sz w:val="24"/>
                <w:szCs w:val="20"/>
                <w:highlight w:val="green"/>
                <w:lang w:bidi="ar"/>
              </w:rPr>
            </w:pPr>
            <w:r>
              <w:rPr>
                <w:rFonts w:cs="宋体"/>
                <w:b/>
                <w:bCs/>
                <w:kern w:val="0"/>
                <w:sz w:val="24"/>
                <w:szCs w:val="20"/>
                <w:highlight w:val="green"/>
                <w:lang w:bidi="ar"/>
              </w:rPr>
              <w:t>表</w:t>
            </w:r>
            <w:r>
              <w:rPr>
                <w:rFonts w:hint="eastAsia" w:cs="宋体"/>
                <w:b/>
                <w:bCs/>
                <w:kern w:val="0"/>
                <w:sz w:val="24"/>
                <w:szCs w:val="20"/>
                <w:highlight w:val="green"/>
                <w:lang w:bidi="ar"/>
              </w:rPr>
              <w:t>4-18</w:t>
            </w:r>
            <w:r>
              <w:rPr>
                <w:rFonts w:cs="宋体"/>
                <w:b/>
                <w:bCs/>
                <w:kern w:val="0"/>
                <w:sz w:val="24"/>
                <w:szCs w:val="20"/>
                <w:highlight w:val="green"/>
                <w:lang w:bidi="ar"/>
              </w:rPr>
              <w:t xml:space="preserve">  </w:t>
            </w:r>
            <w:r>
              <w:rPr>
                <w:rFonts w:hint="eastAsia" w:cs="宋体"/>
                <w:b/>
                <w:bCs/>
                <w:kern w:val="0"/>
                <w:sz w:val="24"/>
                <w:szCs w:val="20"/>
                <w:highlight w:val="green"/>
                <w:lang w:bidi="ar"/>
              </w:rPr>
              <w:t>本项目</w:t>
            </w:r>
            <w:r>
              <w:rPr>
                <w:rFonts w:cs="宋体"/>
                <w:b/>
                <w:bCs/>
                <w:kern w:val="0"/>
                <w:sz w:val="24"/>
                <w:szCs w:val="20"/>
                <w:highlight w:val="green"/>
                <w:lang w:bidi="ar"/>
              </w:rPr>
              <w:t>监测计划一览表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55"/>
              <w:gridCol w:w="929"/>
              <w:gridCol w:w="3296"/>
              <w:gridCol w:w="2427"/>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48" w:hRule="atLeast"/>
                <w:jc w:val="center"/>
              </w:trPr>
              <w:tc>
                <w:tcPr>
                  <w:tcW w:w="845" w:type="pct"/>
                  <w:gridSpan w:val="2"/>
                  <w:vAlign w:val="center"/>
                </w:tcPr>
                <w:p>
                  <w:pPr>
                    <w:adjustRightInd w:val="0"/>
                    <w:jc w:val="center"/>
                    <w:rPr>
                      <w:b/>
                      <w:bCs/>
                      <w:sz w:val="24"/>
                      <w:szCs w:val="21"/>
                      <w:highlight w:val="green"/>
                    </w:rPr>
                  </w:pPr>
                  <w:r>
                    <w:rPr>
                      <w:rFonts w:hint="eastAsia"/>
                      <w:b/>
                      <w:bCs/>
                      <w:sz w:val="24"/>
                      <w:szCs w:val="21"/>
                      <w:highlight w:val="green"/>
                    </w:rPr>
                    <w:t>监测对象设置</w:t>
                  </w:r>
                </w:p>
              </w:tc>
              <w:tc>
                <w:tcPr>
                  <w:tcW w:w="2010" w:type="pct"/>
                  <w:vAlign w:val="center"/>
                </w:tcPr>
                <w:p>
                  <w:pPr>
                    <w:adjustRightInd w:val="0"/>
                    <w:jc w:val="center"/>
                    <w:rPr>
                      <w:b/>
                      <w:bCs/>
                      <w:sz w:val="24"/>
                      <w:szCs w:val="21"/>
                      <w:highlight w:val="green"/>
                    </w:rPr>
                  </w:pPr>
                  <w:r>
                    <w:rPr>
                      <w:rFonts w:hint="eastAsia"/>
                      <w:b/>
                      <w:bCs/>
                      <w:sz w:val="24"/>
                      <w:szCs w:val="21"/>
                      <w:highlight w:val="green"/>
                    </w:rPr>
                    <w:t>监测点</w:t>
                  </w:r>
                </w:p>
              </w:tc>
              <w:tc>
                <w:tcPr>
                  <w:tcW w:w="1480" w:type="pct"/>
                  <w:vAlign w:val="center"/>
                </w:tcPr>
                <w:p>
                  <w:pPr>
                    <w:adjustRightInd w:val="0"/>
                    <w:jc w:val="center"/>
                    <w:rPr>
                      <w:b/>
                      <w:bCs/>
                      <w:sz w:val="24"/>
                      <w:szCs w:val="21"/>
                      <w:highlight w:val="green"/>
                    </w:rPr>
                  </w:pPr>
                  <w:r>
                    <w:rPr>
                      <w:rFonts w:hint="eastAsia"/>
                      <w:b/>
                      <w:bCs/>
                      <w:sz w:val="24"/>
                      <w:szCs w:val="21"/>
                      <w:highlight w:val="green"/>
                    </w:rPr>
                    <w:t>监测内容</w:t>
                  </w:r>
                </w:p>
              </w:tc>
              <w:tc>
                <w:tcPr>
                  <w:tcW w:w="663" w:type="pct"/>
                  <w:vAlign w:val="center"/>
                </w:tcPr>
                <w:p>
                  <w:pPr>
                    <w:adjustRightInd w:val="0"/>
                    <w:jc w:val="center"/>
                    <w:rPr>
                      <w:b/>
                      <w:bCs/>
                      <w:sz w:val="24"/>
                      <w:szCs w:val="21"/>
                      <w:highlight w:val="green"/>
                    </w:rPr>
                  </w:pPr>
                  <w:r>
                    <w:rPr>
                      <w:rFonts w:hint="eastAsia"/>
                      <w:b/>
                      <w:bCs/>
                      <w:sz w:val="24"/>
                      <w:szCs w:val="21"/>
                      <w:highlight w:val="green"/>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278" w:type="pct"/>
                  <w:vAlign w:val="center"/>
                </w:tcPr>
                <w:p>
                  <w:pPr>
                    <w:adjustRightInd w:val="0"/>
                    <w:jc w:val="center"/>
                    <w:rPr>
                      <w:sz w:val="24"/>
                      <w:szCs w:val="21"/>
                      <w:highlight w:val="green"/>
                    </w:rPr>
                  </w:pPr>
                  <w:r>
                    <w:rPr>
                      <w:rFonts w:hint="eastAsia"/>
                      <w:sz w:val="24"/>
                      <w:szCs w:val="21"/>
                      <w:highlight w:val="green"/>
                    </w:rPr>
                    <w:t>废气</w:t>
                  </w:r>
                </w:p>
              </w:tc>
              <w:tc>
                <w:tcPr>
                  <w:tcW w:w="566" w:type="pct"/>
                  <w:vAlign w:val="center"/>
                </w:tcPr>
                <w:p>
                  <w:pPr>
                    <w:adjustRightInd w:val="0"/>
                    <w:jc w:val="center"/>
                    <w:rPr>
                      <w:sz w:val="24"/>
                      <w:szCs w:val="21"/>
                      <w:highlight w:val="green"/>
                    </w:rPr>
                  </w:pPr>
                  <w:r>
                    <w:rPr>
                      <w:rFonts w:hint="eastAsia"/>
                      <w:sz w:val="24"/>
                      <w:szCs w:val="21"/>
                      <w:highlight w:val="green"/>
                    </w:rPr>
                    <w:t>有组织排放</w:t>
                  </w:r>
                </w:p>
              </w:tc>
              <w:tc>
                <w:tcPr>
                  <w:tcW w:w="2010" w:type="pct"/>
                  <w:vAlign w:val="center"/>
                </w:tcPr>
                <w:p>
                  <w:pPr>
                    <w:adjustRightInd w:val="0"/>
                    <w:jc w:val="center"/>
                    <w:rPr>
                      <w:sz w:val="24"/>
                      <w:szCs w:val="21"/>
                      <w:highlight w:val="green"/>
                    </w:rPr>
                  </w:pPr>
                  <w:r>
                    <w:rPr>
                      <w:rFonts w:hint="eastAsia"/>
                      <w:sz w:val="24"/>
                      <w:szCs w:val="21"/>
                      <w:highlight w:val="green"/>
                    </w:rPr>
                    <w:t>5t/h导热油锅炉排气筒排放口（DA001）</w:t>
                  </w:r>
                </w:p>
              </w:tc>
              <w:tc>
                <w:tcPr>
                  <w:tcW w:w="1480" w:type="pct"/>
                  <w:vAlign w:val="center"/>
                </w:tcPr>
                <w:p>
                  <w:pPr>
                    <w:adjustRightInd w:val="0"/>
                    <w:jc w:val="center"/>
                    <w:rPr>
                      <w:sz w:val="24"/>
                      <w:szCs w:val="21"/>
                      <w:highlight w:val="green"/>
                    </w:rPr>
                  </w:pPr>
                  <w:r>
                    <w:rPr>
                      <w:rFonts w:hint="eastAsia"/>
                      <w:sz w:val="24"/>
                      <w:szCs w:val="21"/>
                      <w:highlight w:val="green"/>
                    </w:rPr>
                    <w:t>烟（粉）尘、NO</w:t>
                  </w:r>
                  <w:r>
                    <w:rPr>
                      <w:rFonts w:hint="eastAsia"/>
                      <w:sz w:val="24"/>
                      <w:szCs w:val="21"/>
                      <w:highlight w:val="green"/>
                      <w:vertAlign w:val="subscript"/>
                    </w:rPr>
                    <w:t>x</w:t>
                  </w:r>
                  <w:r>
                    <w:rPr>
                      <w:rFonts w:hint="eastAsia"/>
                      <w:sz w:val="24"/>
                      <w:szCs w:val="21"/>
                      <w:highlight w:val="green"/>
                    </w:rPr>
                    <w:t>、SO</w:t>
                  </w:r>
                  <w:r>
                    <w:rPr>
                      <w:rFonts w:hint="eastAsia"/>
                      <w:sz w:val="24"/>
                      <w:szCs w:val="21"/>
                      <w:highlight w:val="green"/>
                      <w:vertAlign w:val="subscript"/>
                    </w:rPr>
                    <w:t>2</w:t>
                  </w:r>
                  <w:r>
                    <w:rPr>
                      <w:rFonts w:hint="eastAsia"/>
                      <w:sz w:val="24"/>
                      <w:szCs w:val="21"/>
                      <w:highlight w:val="green"/>
                    </w:rPr>
                    <w:t>、林格曼黑度</w:t>
                  </w:r>
                </w:p>
              </w:tc>
              <w:tc>
                <w:tcPr>
                  <w:tcW w:w="663" w:type="pct"/>
                  <w:vAlign w:val="center"/>
                </w:tcPr>
                <w:p>
                  <w:pPr>
                    <w:adjustRightInd w:val="0"/>
                    <w:jc w:val="center"/>
                    <w:rPr>
                      <w:sz w:val="24"/>
                      <w:szCs w:val="21"/>
                      <w:highlight w:val="green"/>
                    </w:rPr>
                  </w:pPr>
                  <w:r>
                    <w:rPr>
                      <w:rFonts w:hint="eastAsia"/>
                      <w:sz w:val="24"/>
                      <w:szCs w:val="21"/>
                      <w:highlight w:val="green"/>
                    </w:rPr>
                    <w:t>1次/月</w:t>
                  </w:r>
                </w:p>
              </w:tc>
            </w:tr>
          </w:tbl>
          <w:p>
            <w:pPr>
              <w:adjustRightInd w:val="0"/>
              <w:spacing w:before="120" w:beforeLines="50" w:line="360" w:lineRule="auto"/>
              <w:ind w:firstLine="482" w:firstLineChars="200"/>
              <w:rPr>
                <w:b/>
                <w:bCs/>
                <w:sz w:val="24"/>
                <w:szCs w:val="21"/>
              </w:rPr>
            </w:pPr>
            <w:r>
              <w:rPr>
                <w:rFonts w:hint="eastAsia"/>
                <w:b/>
                <w:bCs/>
                <w:sz w:val="24"/>
                <w:szCs w:val="21"/>
              </w:rPr>
              <w:t>二、废水环境影响和保护措施</w:t>
            </w:r>
          </w:p>
          <w:p>
            <w:pPr>
              <w:adjustRightInd w:val="0"/>
              <w:spacing w:line="360" w:lineRule="auto"/>
              <w:ind w:firstLine="480" w:firstLineChars="200"/>
              <w:rPr>
                <w:sz w:val="24"/>
              </w:rPr>
            </w:pPr>
            <w:r>
              <w:rPr>
                <w:rFonts w:hint="eastAsia"/>
                <w:sz w:val="24"/>
              </w:rPr>
              <w:t>1、废水产生情况</w:t>
            </w:r>
          </w:p>
          <w:p>
            <w:pPr>
              <w:adjustRightInd w:val="0"/>
              <w:spacing w:line="360" w:lineRule="auto"/>
              <w:ind w:firstLine="480" w:firstLineChars="200"/>
              <w:rPr>
                <w:sz w:val="24"/>
              </w:rPr>
            </w:pPr>
            <w:r>
              <w:rPr>
                <w:rFonts w:hint="eastAsia"/>
                <w:sz w:val="24"/>
              </w:rPr>
              <w:t>本次技改不新增劳动定员，不新增生活污水；本项目用水主要为水膜除尘设备补充用水，水膜除尘用水循环使用，没有废水产生。</w:t>
            </w:r>
          </w:p>
          <w:p>
            <w:pPr>
              <w:adjustRightInd w:val="0"/>
              <w:spacing w:line="360" w:lineRule="auto"/>
              <w:ind w:firstLine="480" w:firstLineChars="200"/>
              <w:rPr>
                <w:sz w:val="24"/>
              </w:rPr>
            </w:pPr>
            <w:r>
              <w:rPr>
                <w:rFonts w:hint="eastAsia"/>
                <w:sz w:val="24"/>
              </w:rPr>
              <w:t>2、处置措施</w:t>
            </w:r>
          </w:p>
          <w:p>
            <w:pPr>
              <w:adjustRightInd w:val="0"/>
              <w:spacing w:line="360" w:lineRule="auto"/>
              <w:ind w:firstLine="480" w:firstLineChars="200"/>
              <w:rPr>
                <w:sz w:val="24"/>
              </w:rPr>
            </w:pPr>
            <w:r>
              <w:rPr>
                <w:rFonts w:hint="eastAsia" w:hAnsi="宋体"/>
                <w:sz w:val="24"/>
              </w:rPr>
              <w:t>水膜除尘废水排入沉淀池（</w:t>
            </w:r>
            <w:r>
              <w:rPr>
                <w:rFonts w:hAnsi="宋体"/>
                <w:sz w:val="24"/>
              </w:rPr>
              <w:t>1</w:t>
            </w:r>
            <w:r>
              <w:rPr>
                <w:rFonts w:hint="eastAsia" w:hAnsi="宋体"/>
                <w:sz w:val="24"/>
              </w:rPr>
              <w:t>个，容积为16m</w:t>
            </w:r>
            <w:r>
              <w:rPr>
                <w:rFonts w:hint="eastAsia" w:hAnsi="宋体"/>
                <w:sz w:val="24"/>
                <w:vertAlign w:val="superscript"/>
              </w:rPr>
              <w:t>3</w:t>
            </w:r>
            <w:r>
              <w:rPr>
                <w:rFonts w:hint="eastAsia" w:hAnsi="宋体"/>
                <w:sz w:val="24"/>
              </w:rPr>
              <w:t>）沉淀处理后循环使用，不外排</w:t>
            </w:r>
            <w:r>
              <w:rPr>
                <w:rFonts w:hint="eastAsia"/>
                <w:sz w:val="24"/>
              </w:rPr>
              <w:t>。</w:t>
            </w:r>
          </w:p>
          <w:p>
            <w:pPr>
              <w:adjustRightInd w:val="0"/>
              <w:spacing w:line="360" w:lineRule="auto"/>
              <w:ind w:firstLine="480" w:firstLineChars="200"/>
              <w:rPr>
                <w:sz w:val="24"/>
              </w:rPr>
            </w:pPr>
            <w:r>
              <w:rPr>
                <w:sz w:val="24"/>
              </w:rPr>
              <w:t>3</w:t>
            </w:r>
            <w:r>
              <w:rPr>
                <w:rFonts w:hint="eastAsia"/>
                <w:sz w:val="24"/>
              </w:rPr>
              <w:t>、处置措施可行性分析</w:t>
            </w:r>
          </w:p>
          <w:p>
            <w:pPr>
              <w:adjustRightInd w:val="0"/>
              <w:spacing w:line="360" w:lineRule="auto"/>
              <w:ind w:firstLine="480" w:firstLineChars="200"/>
              <w:rPr>
                <w:sz w:val="24"/>
              </w:rPr>
            </w:pPr>
            <w:r>
              <w:rPr>
                <w:rFonts w:hint="eastAsia"/>
                <w:sz w:val="24"/>
              </w:rPr>
              <w:t>水膜除尘器主要去除锅炉烟气中的颗粒物，废水中主要污染物为</w:t>
            </w:r>
            <w:r>
              <w:rPr>
                <w:sz w:val="24"/>
              </w:rPr>
              <w:t>SS</w:t>
            </w:r>
            <w:r>
              <w:rPr>
                <w:rFonts w:hint="eastAsia"/>
                <w:sz w:val="24"/>
              </w:rPr>
              <w:t>，经沉淀池沉淀后沉入池底，定期清掏，上层清液循环使用。根据收集资料，水膜除尘器对水质无要求，同时定期补充新鲜水，因此处置措施可行。</w:t>
            </w:r>
          </w:p>
          <w:p>
            <w:pPr>
              <w:adjustRightInd w:val="0"/>
              <w:spacing w:line="360" w:lineRule="auto"/>
              <w:ind w:firstLine="480" w:firstLineChars="200"/>
              <w:rPr>
                <w:sz w:val="24"/>
              </w:rPr>
            </w:pPr>
            <w:r>
              <w:rPr>
                <w:rFonts w:hint="eastAsia"/>
                <w:sz w:val="24"/>
              </w:rPr>
              <w:t>4、监测要求</w:t>
            </w:r>
          </w:p>
          <w:p>
            <w:pPr>
              <w:adjustRightInd w:val="0"/>
              <w:spacing w:line="360" w:lineRule="auto"/>
              <w:ind w:firstLine="480" w:firstLineChars="200"/>
              <w:rPr>
                <w:sz w:val="24"/>
              </w:rPr>
            </w:pPr>
            <w:r>
              <w:rPr>
                <w:rFonts w:hint="eastAsia"/>
                <w:sz w:val="24"/>
              </w:rPr>
              <w:t>企业不设置排污口，根据《排污许可证申请与核发技术规范 人造板工业》（HJ1032-2019），无需设置监测计划。</w:t>
            </w:r>
          </w:p>
          <w:p>
            <w:pPr>
              <w:adjustRightInd w:val="0"/>
              <w:spacing w:line="360" w:lineRule="auto"/>
              <w:ind w:firstLine="482" w:firstLineChars="200"/>
              <w:rPr>
                <w:sz w:val="24"/>
                <w:szCs w:val="21"/>
              </w:rPr>
            </w:pPr>
            <w:r>
              <w:rPr>
                <w:rFonts w:hint="eastAsia"/>
                <w:b/>
                <w:bCs/>
                <w:sz w:val="24"/>
                <w:szCs w:val="21"/>
              </w:rPr>
              <w:t>三、噪声影响和保护措施</w:t>
            </w:r>
          </w:p>
          <w:p>
            <w:pPr>
              <w:adjustRightInd w:val="0"/>
              <w:spacing w:line="360" w:lineRule="auto"/>
              <w:ind w:firstLine="480" w:firstLineChars="200"/>
              <w:rPr>
                <w:sz w:val="24"/>
                <w:szCs w:val="21"/>
              </w:rPr>
            </w:pPr>
            <w:r>
              <w:rPr>
                <w:rFonts w:hint="eastAsia"/>
                <w:sz w:val="24"/>
                <w:szCs w:val="21"/>
              </w:rPr>
              <w:t>1、噪声源强</w:t>
            </w:r>
          </w:p>
          <w:p>
            <w:pPr>
              <w:widowControl/>
              <w:adjustRightInd w:val="0"/>
              <w:spacing w:line="360" w:lineRule="auto"/>
              <w:ind w:firstLine="480" w:firstLineChars="200"/>
              <w:rPr>
                <w:rFonts w:cs="宋体"/>
                <w:kern w:val="0"/>
                <w:sz w:val="24"/>
                <w:lang w:bidi="ar"/>
              </w:rPr>
            </w:pPr>
            <w:r>
              <w:rPr>
                <w:rFonts w:hint="eastAsia"/>
                <w:sz w:val="24"/>
                <w:highlight w:val="green"/>
              </w:rPr>
              <w:t>本次技改主要新增5t/h锅炉及布袋除尘装置等，现有项目设备不发生改变，因此本项目噪声主要来源于锅炉风机、新增除尘装置等设备，</w:t>
            </w:r>
            <w:r>
              <w:rPr>
                <w:rFonts w:hint="eastAsia"/>
                <w:sz w:val="24"/>
              </w:rPr>
              <w:t>噪声源强约</w:t>
            </w:r>
            <w:r>
              <w:rPr>
                <w:kern w:val="0"/>
                <w:sz w:val="24"/>
                <w:lang w:bidi="ar"/>
              </w:rPr>
              <w:t>70-85dB</w:t>
            </w:r>
            <w:r>
              <w:rPr>
                <w:rFonts w:hint="eastAsia" w:cs="宋体"/>
                <w:kern w:val="0"/>
                <w:sz w:val="24"/>
                <w:lang w:bidi="ar"/>
              </w:rPr>
              <w:t>（</w:t>
            </w:r>
            <w:r>
              <w:rPr>
                <w:kern w:val="0"/>
                <w:sz w:val="24"/>
                <w:lang w:bidi="ar"/>
              </w:rPr>
              <w:t>A</w:t>
            </w:r>
            <w:r>
              <w:rPr>
                <w:rFonts w:hint="eastAsia" w:cs="宋体"/>
                <w:kern w:val="0"/>
                <w:sz w:val="24"/>
                <w:lang w:bidi="ar"/>
              </w:rPr>
              <w:t>）之间。项目运营过程中通过在设备选型时选用低噪声设备、设备安装于厂房内、安装基础减震垫、风机管道上安装消声器等相关的隔声减震措施后，噪声可以降低</w:t>
            </w:r>
            <w:r>
              <w:rPr>
                <w:kern w:val="0"/>
                <w:sz w:val="24"/>
                <w:lang w:bidi="ar"/>
              </w:rPr>
              <w:t>15~20dB</w:t>
            </w:r>
            <w:r>
              <w:rPr>
                <w:rFonts w:hint="eastAsia" w:cs="宋体"/>
                <w:kern w:val="0"/>
                <w:sz w:val="24"/>
                <w:lang w:bidi="ar"/>
              </w:rPr>
              <w:t>（</w:t>
            </w:r>
            <w:r>
              <w:rPr>
                <w:kern w:val="0"/>
                <w:sz w:val="24"/>
                <w:lang w:bidi="ar"/>
              </w:rPr>
              <w:t>A</w:t>
            </w:r>
            <w:r>
              <w:rPr>
                <w:rFonts w:hint="eastAsia" w:cs="宋体"/>
                <w:kern w:val="0"/>
                <w:sz w:val="24"/>
                <w:lang w:bidi="ar"/>
              </w:rPr>
              <w:t>）。</w:t>
            </w:r>
          </w:p>
          <w:p>
            <w:pPr>
              <w:widowControl/>
              <w:adjustRightInd w:val="0"/>
              <w:spacing w:line="360" w:lineRule="auto"/>
              <w:ind w:firstLine="480" w:firstLineChars="200"/>
              <w:jc w:val="left"/>
              <w:rPr>
                <w:b/>
                <w:sz w:val="24"/>
              </w:rPr>
            </w:pPr>
            <w:r>
              <w:rPr>
                <w:rFonts w:hint="eastAsia"/>
                <w:sz w:val="24"/>
                <w:highlight w:val="green"/>
              </w:rPr>
              <w:t>本项目</w:t>
            </w:r>
            <w:r>
              <w:rPr>
                <w:rFonts w:hint="eastAsia"/>
                <w:bCs/>
                <w:sz w:val="24"/>
                <w:highlight w:val="green"/>
              </w:rPr>
              <w:t>主要噪声源设备见表4-19</w:t>
            </w:r>
            <w:r>
              <w:rPr>
                <w:rFonts w:hint="eastAsia"/>
                <w:bCs/>
                <w:sz w:val="24"/>
              </w:rPr>
              <w:t>。</w:t>
            </w:r>
          </w:p>
          <w:p>
            <w:pPr>
              <w:widowControl/>
              <w:adjustRightInd w:val="0"/>
              <w:spacing w:line="360" w:lineRule="auto"/>
              <w:jc w:val="center"/>
              <w:rPr>
                <w:rFonts w:cs="宋体"/>
                <w:b/>
                <w:bCs/>
                <w:kern w:val="0"/>
                <w:sz w:val="24"/>
                <w:szCs w:val="20"/>
                <w:highlight w:val="green"/>
                <w:lang w:bidi="ar"/>
              </w:rPr>
            </w:pPr>
            <w:r>
              <w:rPr>
                <w:rFonts w:cs="宋体"/>
                <w:b/>
                <w:bCs/>
                <w:kern w:val="0"/>
                <w:sz w:val="24"/>
                <w:szCs w:val="20"/>
                <w:highlight w:val="green"/>
                <w:lang w:bidi="ar"/>
              </w:rPr>
              <w:t>表</w:t>
            </w:r>
            <w:r>
              <w:rPr>
                <w:rFonts w:hint="eastAsia" w:cs="宋体"/>
                <w:b/>
                <w:bCs/>
                <w:kern w:val="0"/>
                <w:sz w:val="24"/>
                <w:szCs w:val="20"/>
                <w:highlight w:val="green"/>
                <w:lang w:bidi="ar"/>
              </w:rPr>
              <w:t>4-19  本项目</w:t>
            </w:r>
            <w:r>
              <w:rPr>
                <w:rFonts w:cs="宋体"/>
                <w:b/>
                <w:bCs/>
                <w:kern w:val="0"/>
                <w:sz w:val="24"/>
                <w:szCs w:val="20"/>
                <w:highlight w:val="green"/>
                <w:lang w:bidi="ar"/>
              </w:rPr>
              <w:t>噪声源情况汇总表</w:t>
            </w:r>
          </w:p>
          <w:tbl>
            <w:tblPr>
              <w:tblStyle w:val="3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759"/>
              <w:gridCol w:w="2286"/>
              <w:gridCol w:w="1182"/>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pPr>
                    <w:adjustRightInd w:val="0"/>
                    <w:jc w:val="center"/>
                    <w:rPr>
                      <w:b/>
                      <w:szCs w:val="21"/>
                      <w:highlight w:val="green"/>
                    </w:rPr>
                  </w:pPr>
                  <w:r>
                    <w:rPr>
                      <w:b/>
                      <w:szCs w:val="21"/>
                      <w:highlight w:val="green"/>
                    </w:rPr>
                    <w:t>序号</w:t>
                  </w:r>
                </w:p>
              </w:tc>
              <w:tc>
                <w:tcPr>
                  <w:tcW w:w="1075" w:type="pct"/>
                  <w:vAlign w:val="center"/>
                </w:tcPr>
                <w:p>
                  <w:pPr>
                    <w:adjustRightInd w:val="0"/>
                    <w:jc w:val="center"/>
                    <w:rPr>
                      <w:b/>
                      <w:szCs w:val="21"/>
                      <w:highlight w:val="green"/>
                    </w:rPr>
                  </w:pPr>
                  <w:r>
                    <w:rPr>
                      <w:rFonts w:hint="eastAsia"/>
                      <w:b/>
                      <w:szCs w:val="21"/>
                      <w:highlight w:val="green"/>
                    </w:rPr>
                    <w:t>噪声源位置</w:t>
                  </w:r>
                </w:p>
              </w:tc>
              <w:tc>
                <w:tcPr>
                  <w:tcW w:w="1396" w:type="pct"/>
                  <w:vAlign w:val="center"/>
                </w:tcPr>
                <w:p>
                  <w:pPr>
                    <w:adjustRightInd w:val="0"/>
                    <w:jc w:val="center"/>
                    <w:rPr>
                      <w:b/>
                      <w:szCs w:val="21"/>
                      <w:highlight w:val="green"/>
                    </w:rPr>
                  </w:pPr>
                  <w:r>
                    <w:rPr>
                      <w:b/>
                      <w:szCs w:val="21"/>
                      <w:highlight w:val="green"/>
                    </w:rPr>
                    <w:t>设备</w:t>
                  </w:r>
                </w:p>
              </w:tc>
              <w:tc>
                <w:tcPr>
                  <w:tcW w:w="722" w:type="pct"/>
                  <w:vAlign w:val="center"/>
                </w:tcPr>
                <w:p>
                  <w:pPr>
                    <w:adjustRightInd w:val="0"/>
                    <w:jc w:val="center"/>
                    <w:rPr>
                      <w:b/>
                      <w:szCs w:val="21"/>
                      <w:highlight w:val="green"/>
                    </w:rPr>
                  </w:pPr>
                  <w:r>
                    <w:rPr>
                      <w:b/>
                      <w:szCs w:val="21"/>
                      <w:highlight w:val="green"/>
                    </w:rPr>
                    <w:t>数量</w:t>
                  </w:r>
                </w:p>
              </w:tc>
              <w:tc>
                <w:tcPr>
                  <w:tcW w:w="1276" w:type="pct"/>
                  <w:vAlign w:val="center"/>
                </w:tcPr>
                <w:p>
                  <w:pPr>
                    <w:adjustRightInd w:val="0"/>
                    <w:jc w:val="center"/>
                    <w:rPr>
                      <w:b/>
                      <w:szCs w:val="21"/>
                      <w:highlight w:val="green"/>
                    </w:rPr>
                  </w:pPr>
                  <w:r>
                    <w:rPr>
                      <w:rFonts w:hint="eastAsia"/>
                      <w:b/>
                      <w:szCs w:val="21"/>
                      <w:highlight w:val="green"/>
                    </w:rPr>
                    <w:t>等效声级[</w:t>
                  </w:r>
                  <w:r>
                    <w:rPr>
                      <w:b/>
                      <w:szCs w:val="21"/>
                      <w:highlight w:val="green"/>
                    </w:rPr>
                    <w:t>dB(A)</w:t>
                  </w:r>
                  <w:r>
                    <w:rPr>
                      <w:rFonts w:hint="eastAsia"/>
                      <w:b/>
                      <w:szCs w:val="21"/>
                      <w:highlight w:val="gre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pPr>
                    <w:adjustRightInd w:val="0"/>
                    <w:jc w:val="center"/>
                    <w:rPr>
                      <w:szCs w:val="21"/>
                      <w:highlight w:val="green"/>
                    </w:rPr>
                  </w:pPr>
                  <w:r>
                    <w:rPr>
                      <w:rFonts w:hint="eastAsia"/>
                      <w:szCs w:val="21"/>
                      <w:highlight w:val="green"/>
                    </w:rPr>
                    <w:t>1</w:t>
                  </w:r>
                </w:p>
              </w:tc>
              <w:tc>
                <w:tcPr>
                  <w:tcW w:w="1075" w:type="pct"/>
                  <w:vMerge w:val="restart"/>
                  <w:vAlign w:val="center"/>
                </w:tcPr>
                <w:p>
                  <w:pPr>
                    <w:pStyle w:val="28"/>
                    <w:adjustRightInd w:val="0"/>
                    <w:jc w:val="center"/>
                    <w:rPr>
                      <w:rFonts w:ascii="Times New Roman" w:hAnsi="Times New Roman"/>
                      <w:sz w:val="21"/>
                      <w:szCs w:val="21"/>
                      <w:highlight w:val="green"/>
                    </w:rPr>
                  </w:pPr>
                  <w:r>
                    <w:rPr>
                      <w:rFonts w:hint="eastAsia" w:ascii="Times New Roman" w:hAnsi="Times New Roman"/>
                      <w:sz w:val="21"/>
                      <w:szCs w:val="21"/>
                      <w:highlight w:val="green"/>
                    </w:rPr>
                    <w:t>5t/h导热油锅炉房</w:t>
                  </w:r>
                </w:p>
              </w:tc>
              <w:tc>
                <w:tcPr>
                  <w:tcW w:w="1396" w:type="pct"/>
                </w:tcPr>
                <w:p>
                  <w:pPr>
                    <w:adjustRightInd w:val="0"/>
                    <w:jc w:val="center"/>
                    <w:rPr>
                      <w:szCs w:val="21"/>
                      <w:highlight w:val="green"/>
                    </w:rPr>
                  </w:pPr>
                  <w:r>
                    <w:rPr>
                      <w:rFonts w:hint="eastAsia"/>
                      <w:szCs w:val="21"/>
                      <w:highlight w:val="green"/>
                    </w:rPr>
                    <w:t>引风机</w:t>
                  </w:r>
                </w:p>
              </w:tc>
              <w:tc>
                <w:tcPr>
                  <w:tcW w:w="722" w:type="pct"/>
                  <w:vAlign w:val="center"/>
                </w:tcPr>
                <w:p>
                  <w:pPr>
                    <w:adjustRightInd w:val="0"/>
                    <w:jc w:val="center"/>
                    <w:rPr>
                      <w:szCs w:val="21"/>
                      <w:highlight w:val="green"/>
                    </w:rPr>
                  </w:pPr>
                  <w:r>
                    <w:rPr>
                      <w:rFonts w:hint="eastAsia"/>
                      <w:szCs w:val="21"/>
                      <w:highlight w:val="green"/>
                    </w:rPr>
                    <w:t>1</w:t>
                  </w:r>
                </w:p>
              </w:tc>
              <w:tc>
                <w:tcPr>
                  <w:tcW w:w="1276" w:type="pct"/>
                  <w:vAlign w:val="center"/>
                </w:tcPr>
                <w:p>
                  <w:pPr>
                    <w:adjustRightInd w:val="0"/>
                    <w:jc w:val="center"/>
                    <w:rPr>
                      <w:szCs w:val="21"/>
                      <w:highlight w:val="green"/>
                    </w:rPr>
                  </w:pPr>
                  <w:r>
                    <w:rPr>
                      <w:rFonts w:hint="eastAsia"/>
                      <w:szCs w:val="21"/>
                      <w:highlight w:val="gree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pPr>
                    <w:adjustRightInd w:val="0"/>
                    <w:jc w:val="center"/>
                    <w:rPr>
                      <w:szCs w:val="21"/>
                      <w:highlight w:val="green"/>
                    </w:rPr>
                  </w:pPr>
                  <w:r>
                    <w:rPr>
                      <w:rFonts w:hint="eastAsia"/>
                      <w:szCs w:val="21"/>
                      <w:highlight w:val="green"/>
                    </w:rPr>
                    <w:t>2</w:t>
                  </w:r>
                </w:p>
              </w:tc>
              <w:tc>
                <w:tcPr>
                  <w:tcW w:w="1075" w:type="pct"/>
                  <w:vMerge w:val="continue"/>
                  <w:vAlign w:val="center"/>
                </w:tcPr>
                <w:p>
                  <w:pPr>
                    <w:pStyle w:val="28"/>
                    <w:adjustRightInd w:val="0"/>
                    <w:jc w:val="center"/>
                    <w:rPr>
                      <w:rFonts w:ascii="Times New Roman" w:hAnsi="Times New Roman"/>
                      <w:sz w:val="21"/>
                      <w:szCs w:val="21"/>
                      <w:highlight w:val="green"/>
                    </w:rPr>
                  </w:pPr>
                </w:p>
              </w:tc>
              <w:tc>
                <w:tcPr>
                  <w:tcW w:w="1396" w:type="pct"/>
                </w:tcPr>
                <w:p>
                  <w:pPr>
                    <w:adjustRightInd w:val="0"/>
                    <w:jc w:val="center"/>
                    <w:rPr>
                      <w:szCs w:val="21"/>
                      <w:highlight w:val="green"/>
                    </w:rPr>
                  </w:pPr>
                  <w:r>
                    <w:rPr>
                      <w:rFonts w:hint="eastAsia"/>
                      <w:szCs w:val="21"/>
                      <w:highlight w:val="green"/>
                    </w:rPr>
                    <w:t>循环水泵</w:t>
                  </w:r>
                </w:p>
              </w:tc>
              <w:tc>
                <w:tcPr>
                  <w:tcW w:w="722" w:type="pct"/>
                  <w:vAlign w:val="center"/>
                </w:tcPr>
                <w:p>
                  <w:pPr>
                    <w:adjustRightInd w:val="0"/>
                    <w:jc w:val="center"/>
                    <w:rPr>
                      <w:szCs w:val="21"/>
                      <w:highlight w:val="green"/>
                    </w:rPr>
                  </w:pPr>
                  <w:r>
                    <w:rPr>
                      <w:rFonts w:hint="eastAsia"/>
                      <w:szCs w:val="21"/>
                      <w:highlight w:val="green"/>
                    </w:rPr>
                    <w:t>2</w:t>
                  </w:r>
                </w:p>
              </w:tc>
              <w:tc>
                <w:tcPr>
                  <w:tcW w:w="1276" w:type="pct"/>
                  <w:vAlign w:val="center"/>
                </w:tcPr>
                <w:p>
                  <w:pPr>
                    <w:adjustRightInd w:val="0"/>
                    <w:jc w:val="center"/>
                    <w:rPr>
                      <w:szCs w:val="21"/>
                      <w:highlight w:val="green"/>
                    </w:rPr>
                  </w:pPr>
                  <w:r>
                    <w:rPr>
                      <w:rFonts w:hint="eastAsia"/>
                      <w:szCs w:val="21"/>
                      <w:highlight w:val="gree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pct"/>
                  <w:vAlign w:val="center"/>
                </w:tcPr>
                <w:p>
                  <w:pPr>
                    <w:adjustRightInd w:val="0"/>
                    <w:jc w:val="center"/>
                    <w:rPr>
                      <w:szCs w:val="21"/>
                      <w:highlight w:val="green"/>
                    </w:rPr>
                  </w:pPr>
                  <w:r>
                    <w:rPr>
                      <w:rFonts w:hint="eastAsia"/>
                      <w:szCs w:val="21"/>
                      <w:highlight w:val="green"/>
                    </w:rPr>
                    <w:t>3</w:t>
                  </w:r>
                </w:p>
              </w:tc>
              <w:tc>
                <w:tcPr>
                  <w:tcW w:w="1075" w:type="pct"/>
                  <w:vAlign w:val="center"/>
                </w:tcPr>
                <w:p>
                  <w:pPr>
                    <w:pStyle w:val="28"/>
                    <w:adjustRightInd w:val="0"/>
                    <w:jc w:val="center"/>
                    <w:rPr>
                      <w:rFonts w:ascii="Times New Roman" w:hAnsi="Times New Roman"/>
                      <w:sz w:val="21"/>
                      <w:szCs w:val="21"/>
                      <w:highlight w:val="green"/>
                    </w:rPr>
                  </w:pPr>
                  <w:r>
                    <w:rPr>
                      <w:rFonts w:hint="eastAsia" w:ascii="Times New Roman" w:hAnsi="Times New Roman"/>
                      <w:sz w:val="21"/>
                      <w:szCs w:val="21"/>
                      <w:highlight w:val="green"/>
                    </w:rPr>
                    <w:t>生产车间</w:t>
                  </w:r>
                </w:p>
              </w:tc>
              <w:tc>
                <w:tcPr>
                  <w:tcW w:w="1396" w:type="pct"/>
                </w:tcPr>
                <w:p>
                  <w:pPr>
                    <w:adjustRightInd w:val="0"/>
                    <w:jc w:val="center"/>
                    <w:rPr>
                      <w:szCs w:val="21"/>
                      <w:highlight w:val="green"/>
                    </w:rPr>
                  </w:pPr>
                  <w:r>
                    <w:rPr>
                      <w:rFonts w:hint="eastAsia"/>
                      <w:szCs w:val="21"/>
                      <w:highlight w:val="green"/>
                    </w:rPr>
                    <w:t>多管旋风除尘、布袋除尘器、水膜除尘</w:t>
                  </w:r>
                </w:p>
              </w:tc>
              <w:tc>
                <w:tcPr>
                  <w:tcW w:w="722" w:type="pct"/>
                  <w:vAlign w:val="center"/>
                </w:tcPr>
                <w:p>
                  <w:pPr>
                    <w:adjustRightInd w:val="0"/>
                    <w:jc w:val="center"/>
                    <w:rPr>
                      <w:szCs w:val="21"/>
                      <w:highlight w:val="green"/>
                    </w:rPr>
                  </w:pPr>
                  <w:r>
                    <w:rPr>
                      <w:rFonts w:hint="eastAsia"/>
                      <w:szCs w:val="21"/>
                      <w:highlight w:val="green"/>
                    </w:rPr>
                    <w:t>5</w:t>
                  </w:r>
                </w:p>
              </w:tc>
              <w:tc>
                <w:tcPr>
                  <w:tcW w:w="1276" w:type="pct"/>
                  <w:vAlign w:val="center"/>
                </w:tcPr>
                <w:p>
                  <w:pPr>
                    <w:adjustRightInd w:val="0"/>
                    <w:jc w:val="center"/>
                    <w:rPr>
                      <w:szCs w:val="21"/>
                      <w:highlight w:val="green"/>
                    </w:rPr>
                  </w:pPr>
                  <w:r>
                    <w:rPr>
                      <w:rFonts w:hint="eastAsia"/>
                      <w:szCs w:val="21"/>
                      <w:highlight w:val="green"/>
                    </w:rPr>
                    <w:t>85</w:t>
                  </w:r>
                </w:p>
              </w:tc>
            </w:tr>
          </w:tbl>
          <w:p>
            <w:pPr>
              <w:spacing w:before="120" w:beforeLines="50" w:line="360" w:lineRule="auto"/>
              <w:ind w:firstLine="482" w:firstLineChars="200"/>
              <w:rPr>
                <w:b/>
                <w:bCs/>
                <w:sz w:val="24"/>
              </w:rPr>
            </w:pPr>
            <w:r>
              <w:rPr>
                <w:b/>
                <w:bCs/>
                <w:sz w:val="24"/>
              </w:rPr>
              <w:t>2、声环境影响分析</w:t>
            </w:r>
          </w:p>
          <w:p>
            <w:pPr>
              <w:adjustRightInd w:val="0"/>
              <w:spacing w:line="360" w:lineRule="auto"/>
              <w:ind w:firstLine="480" w:firstLineChars="200"/>
              <w:rPr>
                <w:b/>
                <w:sz w:val="24"/>
              </w:rPr>
            </w:pPr>
            <w:r>
              <w:rPr>
                <w:rFonts w:hint="eastAsia" w:cs="宋体"/>
                <w:kern w:val="0"/>
                <w:sz w:val="24"/>
                <w:lang w:bidi="ar"/>
              </w:rPr>
              <w:t>本项目于2</w:t>
            </w:r>
            <w:r>
              <w:rPr>
                <w:rFonts w:cs="宋体"/>
                <w:kern w:val="0"/>
                <w:sz w:val="24"/>
                <w:lang w:bidi="ar"/>
              </w:rPr>
              <w:t>022</w:t>
            </w:r>
            <w:r>
              <w:rPr>
                <w:rFonts w:hint="eastAsia" w:cs="宋体"/>
                <w:kern w:val="0"/>
                <w:sz w:val="24"/>
                <w:lang w:bidi="ar"/>
              </w:rPr>
              <w:t>年7月已技改完成，根据</w:t>
            </w:r>
            <w:r>
              <w:rPr>
                <w:rFonts w:hint="eastAsia"/>
                <w:sz w:val="24"/>
              </w:rPr>
              <w:t>云南健牛环境监测有限公司</w:t>
            </w:r>
            <w:r>
              <w:rPr>
                <w:kern w:val="0"/>
                <w:sz w:val="24"/>
                <w:lang w:bidi="ar"/>
              </w:rPr>
              <w:t>202</w:t>
            </w:r>
            <w:r>
              <w:rPr>
                <w:rFonts w:hint="eastAsia"/>
                <w:kern w:val="0"/>
                <w:sz w:val="24"/>
                <w:lang w:bidi="ar"/>
              </w:rPr>
              <w:t>2</w:t>
            </w:r>
            <w:r>
              <w:rPr>
                <w:rFonts w:hint="eastAsia" w:cs="宋体"/>
                <w:kern w:val="0"/>
                <w:sz w:val="24"/>
                <w:lang w:bidi="ar"/>
              </w:rPr>
              <w:t>年</w:t>
            </w:r>
            <w:r>
              <w:rPr>
                <w:rFonts w:hint="eastAsia"/>
                <w:kern w:val="0"/>
                <w:sz w:val="24"/>
                <w:lang w:bidi="ar"/>
              </w:rPr>
              <w:t>10</w:t>
            </w:r>
            <w:r>
              <w:rPr>
                <w:rFonts w:hint="eastAsia" w:cs="宋体"/>
                <w:kern w:val="0"/>
                <w:sz w:val="24"/>
                <w:lang w:bidi="ar"/>
              </w:rPr>
              <w:t>月30日出具的《自行检测报告》（</w:t>
            </w:r>
            <w:r>
              <w:rPr>
                <w:rFonts w:hint="eastAsia"/>
                <w:kern w:val="0"/>
                <w:sz w:val="24"/>
                <w:lang w:bidi="ar"/>
              </w:rPr>
              <w:t>YNJN检字[2022]-10077号</w:t>
            </w:r>
            <w:r>
              <w:rPr>
                <w:rFonts w:hint="eastAsia" w:cs="宋体"/>
                <w:kern w:val="0"/>
                <w:sz w:val="24"/>
                <w:lang w:bidi="ar"/>
              </w:rPr>
              <w:t>）中</w:t>
            </w:r>
            <w:r>
              <w:rPr>
                <w:rFonts w:hint="eastAsia"/>
                <w:sz w:val="24"/>
              </w:rPr>
              <w:t>2022年10月24日对厂界噪声监测</w:t>
            </w:r>
            <w:r>
              <w:rPr>
                <w:rFonts w:hint="eastAsia" w:cs="宋体"/>
                <w:kern w:val="0"/>
                <w:sz w:val="24"/>
                <w:lang w:bidi="ar"/>
              </w:rPr>
              <w:t>数据</w:t>
            </w:r>
            <w:r>
              <w:rPr>
                <w:rFonts w:hint="eastAsia"/>
                <w:sz w:val="24"/>
              </w:rPr>
              <w:t>，监测结果见下表，</w:t>
            </w:r>
            <w:r>
              <w:rPr>
                <w:rFonts w:hint="eastAsia"/>
                <w:bCs/>
                <w:sz w:val="24"/>
                <w:szCs w:val="21"/>
              </w:rPr>
              <w:t>技改后厂界噪声能达到《工业企业厂界环境噪声排放标准》（GB12348-2008）3类标准。</w:t>
            </w:r>
            <w:r>
              <w:rPr>
                <w:rFonts w:hint="eastAsia"/>
                <w:sz w:val="24"/>
              </w:rPr>
              <w:t>监测期间本次项目生产设备均正常运行。</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4-20  厂界</w:t>
            </w:r>
            <w:r>
              <w:rPr>
                <w:rFonts w:cs="宋体"/>
                <w:b/>
                <w:bCs/>
                <w:kern w:val="0"/>
                <w:sz w:val="24"/>
                <w:szCs w:val="20"/>
                <w:lang w:bidi="ar"/>
              </w:rPr>
              <w:t>噪声</w:t>
            </w:r>
            <w:r>
              <w:rPr>
                <w:rFonts w:hint="eastAsia" w:cs="宋体"/>
                <w:b/>
                <w:bCs/>
                <w:kern w:val="0"/>
                <w:sz w:val="24"/>
                <w:szCs w:val="20"/>
                <w:lang w:bidi="ar"/>
              </w:rPr>
              <w:t>检测情况</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024"/>
              <w:gridCol w:w="1365"/>
              <w:gridCol w:w="1024"/>
              <w:gridCol w:w="1370"/>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Merge w:val="restart"/>
                  <w:vAlign w:val="center"/>
                </w:tcPr>
                <w:p>
                  <w:pPr>
                    <w:adjustRightInd w:val="0"/>
                    <w:jc w:val="center"/>
                    <w:rPr>
                      <w:b/>
                      <w:szCs w:val="21"/>
                    </w:rPr>
                  </w:pPr>
                  <w:r>
                    <w:rPr>
                      <w:rFonts w:hint="eastAsia"/>
                      <w:b/>
                      <w:szCs w:val="21"/>
                    </w:rPr>
                    <w:t>监测点位</w:t>
                  </w:r>
                </w:p>
              </w:tc>
              <w:tc>
                <w:tcPr>
                  <w:tcW w:w="2919" w:type="pct"/>
                  <w:gridSpan w:val="4"/>
                  <w:vAlign w:val="center"/>
                </w:tcPr>
                <w:p>
                  <w:pPr>
                    <w:adjustRightInd w:val="0"/>
                    <w:jc w:val="center"/>
                    <w:rPr>
                      <w:b/>
                      <w:szCs w:val="21"/>
                    </w:rPr>
                  </w:pPr>
                  <w:r>
                    <w:rPr>
                      <w:rFonts w:hint="eastAsia"/>
                      <w:b/>
                      <w:szCs w:val="21"/>
                    </w:rPr>
                    <w:t>检测结果等效声级[</w:t>
                  </w:r>
                  <w:r>
                    <w:rPr>
                      <w:b/>
                      <w:szCs w:val="21"/>
                    </w:rPr>
                    <w:t>dB(A)</w:t>
                  </w:r>
                  <w:r>
                    <w:rPr>
                      <w:rFonts w:hint="eastAsia"/>
                      <w:b/>
                      <w:szCs w:val="21"/>
                    </w:rPr>
                    <w:t>]</w:t>
                  </w:r>
                </w:p>
              </w:tc>
              <w:tc>
                <w:tcPr>
                  <w:tcW w:w="1040" w:type="pct"/>
                  <w:vMerge w:val="restart"/>
                  <w:vAlign w:val="center"/>
                </w:tcPr>
                <w:p>
                  <w:pPr>
                    <w:adjustRightInd w:val="0"/>
                    <w:jc w:val="center"/>
                    <w:rPr>
                      <w:b/>
                      <w:szCs w:val="21"/>
                    </w:rPr>
                  </w:pPr>
                  <w:r>
                    <w:rPr>
                      <w:rFonts w:hint="eastAsia"/>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Merge w:val="continue"/>
                  <w:vAlign w:val="center"/>
                </w:tcPr>
                <w:p>
                  <w:pPr>
                    <w:adjustRightInd w:val="0"/>
                    <w:jc w:val="center"/>
                    <w:rPr>
                      <w:b/>
                      <w:szCs w:val="21"/>
                    </w:rPr>
                  </w:pPr>
                </w:p>
              </w:tc>
              <w:tc>
                <w:tcPr>
                  <w:tcW w:w="625" w:type="pct"/>
                  <w:vAlign w:val="center"/>
                </w:tcPr>
                <w:p>
                  <w:pPr>
                    <w:adjustRightInd w:val="0"/>
                    <w:jc w:val="center"/>
                    <w:rPr>
                      <w:b/>
                      <w:szCs w:val="21"/>
                    </w:rPr>
                  </w:pPr>
                  <w:r>
                    <w:rPr>
                      <w:rFonts w:hint="eastAsia"/>
                      <w:b/>
                      <w:szCs w:val="21"/>
                    </w:rPr>
                    <w:t>昼间</w:t>
                  </w:r>
                </w:p>
              </w:tc>
              <w:tc>
                <w:tcPr>
                  <w:tcW w:w="833" w:type="pct"/>
                  <w:vAlign w:val="center"/>
                </w:tcPr>
                <w:p>
                  <w:pPr>
                    <w:adjustRightInd w:val="0"/>
                    <w:jc w:val="center"/>
                    <w:rPr>
                      <w:b/>
                      <w:szCs w:val="21"/>
                    </w:rPr>
                  </w:pPr>
                  <w:r>
                    <w:rPr>
                      <w:rFonts w:hint="eastAsia"/>
                      <w:b/>
                      <w:szCs w:val="21"/>
                    </w:rPr>
                    <w:t>标准值</w:t>
                  </w:r>
                </w:p>
              </w:tc>
              <w:tc>
                <w:tcPr>
                  <w:tcW w:w="625" w:type="pct"/>
                  <w:vAlign w:val="center"/>
                </w:tcPr>
                <w:p>
                  <w:pPr>
                    <w:adjustRightInd w:val="0"/>
                    <w:jc w:val="center"/>
                    <w:rPr>
                      <w:b/>
                      <w:szCs w:val="21"/>
                    </w:rPr>
                  </w:pPr>
                  <w:r>
                    <w:rPr>
                      <w:rFonts w:hint="eastAsia"/>
                      <w:b/>
                      <w:szCs w:val="21"/>
                    </w:rPr>
                    <w:t>夜间</w:t>
                  </w:r>
                </w:p>
              </w:tc>
              <w:tc>
                <w:tcPr>
                  <w:tcW w:w="834" w:type="pct"/>
                  <w:vAlign w:val="center"/>
                </w:tcPr>
                <w:p>
                  <w:pPr>
                    <w:adjustRightInd w:val="0"/>
                    <w:jc w:val="center"/>
                    <w:rPr>
                      <w:b/>
                      <w:szCs w:val="21"/>
                    </w:rPr>
                  </w:pPr>
                  <w:r>
                    <w:rPr>
                      <w:rFonts w:hint="eastAsia"/>
                      <w:b/>
                      <w:szCs w:val="21"/>
                    </w:rPr>
                    <w:t>标准值</w:t>
                  </w:r>
                </w:p>
              </w:tc>
              <w:tc>
                <w:tcPr>
                  <w:tcW w:w="1040" w:type="pct"/>
                  <w:vMerge w:val="continue"/>
                  <w:vAlign w:val="center"/>
                </w:tcPr>
                <w:p>
                  <w:pPr>
                    <w:adjustRightInd w:val="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adjustRightInd w:val="0"/>
                    <w:jc w:val="center"/>
                    <w:rPr>
                      <w:szCs w:val="21"/>
                    </w:rPr>
                  </w:pPr>
                  <w:r>
                    <w:rPr>
                      <w:rFonts w:hint="eastAsia"/>
                      <w:szCs w:val="21"/>
                    </w:rPr>
                    <w:t>厂界东</w:t>
                  </w:r>
                </w:p>
              </w:tc>
              <w:tc>
                <w:tcPr>
                  <w:tcW w:w="625" w:type="pct"/>
                  <w:vAlign w:val="center"/>
                </w:tcPr>
                <w:p>
                  <w:pPr>
                    <w:adjustRightInd w:val="0"/>
                    <w:jc w:val="center"/>
                    <w:rPr>
                      <w:szCs w:val="21"/>
                    </w:rPr>
                  </w:pPr>
                  <w:r>
                    <w:rPr>
                      <w:rFonts w:hint="eastAsia"/>
                      <w:szCs w:val="21"/>
                    </w:rPr>
                    <w:t>57</w:t>
                  </w:r>
                </w:p>
              </w:tc>
              <w:tc>
                <w:tcPr>
                  <w:tcW w:w="833" w:type="pct"/>
                  <w:vAlign w:val="center"/>
                </w:tcPr>
                <w:p>
                  <w:pPr>
                    <w:adjustRightInd w:val="0"/>
                    <w:jc w:val="center"/>
                    <w:rPr>
                      <w:szCs w:val="21"/>
                    </w:rPr>
                  </w:pPr>
                  <w:r>
                    <w:rPr>
                      <w:rFonts w:hint="eastAsia"/>
                      <w:szCs w:val="21"/>
                    </w:rPr>
                    <w:t>65</w:t>
                  </w:r>
                </w:p>
              </w:tc>
              <w:tc>
                <w:tcPr>
                  <w:tcW w:w="625" w:type="pct"/>
                  <w:vAlign w:val="center"/>
                </w:tcPr>
                <w:p>
                  <w:pPr>
                    <w:adjustRightInd w:val="0"/>
                    <w:jc w:val="center"/>
                    <w:rPr>
                      <w:szCs w:val="21"/>
                    </w:rPr>
                  </w:pPr>
                  <w:r>
                    <w:rPr>
                      <w:rFonts w:hint="eastAsia"/>
                      <w:szCs w:val="21"/>
                    </w:rPr>
                    <w:t>44</w:t>
                  </w:r>
                </w:p>
              </w:tc>
              <w:tc>
                <w:tcPr>
                  <w:tcW w:w="834" w:type="pct"/>
                  <w:vAlign w:val="center"/>
                </w:tcPr>
                <w:p>
                  <w:pPr>
                    <w:adjustRightInd w:val="0"/>
                    <w:jc w:val="center"/>
                    <w:rPr>
                      <w:szCs w:val="21"/>
                    </w:rPr>
                  </w:pPr>
                  <w:r>
                    <w:rPr>
                      <w:rFonts w:hint="eastAsia"/>
                      <w:szCs w:val="21"/>
                    </w:rPr>
                    <w:t>55</w:t>
                  </w:r>
                </w:p>
              </w:tc>
              <w:tc>
                <w:tcPr>
                  <w:tcW w:w="1040" w:type="pct"/>
                  <w:vAlign w:val="center"/>
                </w:tcPr>
                <w:p>
                  <w:pPr>
                    <w:adjustRightInd w:val="0"/>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adjustRightInd w:val="0"/>
                    <w:jc w:val="center"/>
                    <w:rPr>
                      <w:szCs w:val="21"/>
                    </w:rPr>
                  </w:pPr>
                  <w:r>
                    <w:rPr>
                      <w:rFonts w:hint="eastAsia"/>
                      <w:szCs w:val="21"/>
                    </w:rPr>
                    <w:t>厂界南</w:t>
                  </w:r>
                </w:p>
              </w:tc>
              <w:tc>
                <w:tcPr>
                  <w:tcW w:w="625" w:type="pct"/>
                  <w:vAlign w:val="center"/>
                </w:tcPr>
                <w:p>
                  <w:pPr>
                    <w:adjustRightInd w:val="0"/>
                    <w:jc w:val="center"/>
                    <w:rPr>
                      <w:szCs w:val="21"/>
                    </w:rPr>
                  </w:pPr>
                  <w:r>
                    <w:rPr>
                      <w:rFonts w:hint="eastAsia"/>
                      <w:szCs w:val="21"/>
                    </w:rPr>
                    <w:t>56</w:t>
                  </w:r>
                </w:p>
              </w:tc>
              <w:tc>
                <w:tcPr>
                  <w:tcW w:w="833" w:type="pct"/>
                  <w:vAlign w:val="center"/>
                </w:tcPr>
                <w:p>
                  <w:pPr>
                    <w:adjustRightInd w:val="0"/>
                    <w:jc w:val="center"/>
                    <w:rPr>
                      <w:szCs w:val="21"/>
                    </w:rPr>
                  </w:pPr>
                  <w:r>
                    <w:rPr>
                      <w:rFonts w:hint="eastAsia"/>
                      <w:szCs w:val="21"/>
                    </w:rPr>
                    <w:t>65</w:t>
                  </w:r>
                </w:p>
              </w:tc>
              <w:tc>
                <w:tcPr>
                  <w:tcW w:w="625" w:type="pct"/>
                  <w:vAlign w:val="center"/>
                </w:tcPr>
                <w:p>
                  <w:pPr>
                    <w:adjustRightInd w:val="0"/>
                    <w:jc w:val="center"/>
                    <w:rPr>
                      <w:szCs w:val="21"/>
                    </w:rPr>
                  </w:pPr>
                  <w:r>
                    <w:rPr>
                      <w:rFonts w:hint="eastAsia"/>
                      <w:szCs w:val="21"/>
                    </w:rPr>
                    <w:t>48</w:t>
                  </w:r>
                </w:p>
              </w:tc>
              <w:tc>
                <w:tcPr>
                  <w:tcW w:w="834" w:type="pct"/>
                  <w:vAlign w:val="center"/>
                </w:tcPr>
                <w:p>
                  <w:pPr>
                    <w:adjustRightInd w:val="0"/>
                    <w:jc w:val="center"/>
                    <w:rPr>
                      <w:szCs w:val="21"/>
                    </w:rPr>
                  </w:pPr>
                  <w:r>
                    <w:rPr>
                      <w:rFonts w:hint="eastAsia"/>
                      <w:szCs w:val="21"/>
                    </w:rPr>
                    <w:t>55</w:t>
                  </w:r>
                </w:p>
              </w:tc>
              <w:tc>
                <w:tcPr>
                  <w:tcW w:w="1040" w:type="pct"/>
                  <w:vAlign w:val="center"/>
                </w:tcPr>
                <w:p>
                  <w:pPr>
                    <w:adjustRightInd w:val="0"/>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adjustRightInd w:val="0"/>
                    <w:jc w:val="center"/>
                    <w:rPr>
                      <w:szCs w:val="21"/>
                    </w:rPr>
                  </w:pPr>
                  <w:r>
                    <w:rPr>
                      <w:rFonts w:hint="eastAsia"/>
                      <w:szCs w:val="21"/>
                    </w:rPr>
                    <w:t>厂界西</w:t>
                  </w:r>
                </w:p>
              </w:tc>
              <w:tc>
                <w:tcPr>
                  <w:tcW w:w="625" w:type="pct"/>
                  <w:vAlign w:val="center"/>
                </w:tcPr>
                <w:p>
                  <w:pPr>
                    <w:adjustRightInd w:val="0"/>
                    <w:jc w:val="center"/>
                    <w:rPr>
                      <w:szCs w:val="21"/>
                    </w:rPr>
                  </w:pPr>
                  <w:r>
                    <w:rPr>
                      <w:rFonts w:hint="eastAsia"/>
                      <w:szCs w:val="21"/>
                    </w:rPr>
                    <w:t>55</w:t>
                  </w:r>
                </w:p>
              </w:tc>
              <w:tc>
                <w:tcPr>
                  <w:tcW w:w="833" w:type="pct"/>
                  <w:vAlign w:val="center"/>
                </w:tcPr>
                <w:p>
                  <w:pPr>
                    <w:adjustRightInd w:val="0"/>
                    <w:jc w:val="center"/>
                    <w:rPr>
                      <w:szCs w:val="21"/>
                    </w:rPr>
                  </w:pPr>
                  <w:r>
                    <w:rPr>
                      <w:rFonts w:hint="eastAsia"/>
                      <w:szCs w:val="21"/>
                    </w:rPr>
                    <w:t>65</w:t>
                  </w:r>
                </w:p>
              </w:tc>
              <w:tc>
                <w:tcPr>
                  <w:tcW w:w="625" w:type="pct"/>
                  <w:vAlign w:val="center"/>
                </w:tcPr>
                <w:p>
                  <w:pPr>
                    <w:adjustRightInd w:val="0"/>
                    <w:jc w:val="center"/>
                    <w:rPr>
                      <w:szCs w:val="21"/>
                    </w:rPr>
                  </w:pPr>
                  <w:r>
                    <w:rPr>
                      <w:rFonts w:hint="eastAsia"/>
                      <w:szCs w:val="21"/>
                    </w:rPr>
                    <w:t>43</w:t>
                  </w:r>
                </w:p>
              </w:tc>
              <w:tc>
                <w:tcPr>
                  <w:tcW w:w="834" w:type="pct"/>
                  <w:vAlign w:val="center"/>
                </w:tcPr>
                <w:p>
                  <w:pPr>
                    <w:adjustRightInd w:val="0"/>
                    <w:jc w:val="center"/>
                    <w:rPr>
                      <w:szCs w:val="21"/>
                    </w:rPr>
                  </w:pPr>
                  <w:r>
                    <w:rPr>
                      <w:rFonts w:hint="eastAsia"/>
                      <w:szCs w:val="21"/>
                    </w:rPr>
                    <w:t>55</w:t>
                  </w:r>
                </w:p>
              </w:tc>
              <w:tc>
                <w:tcPr>
                  <w:tcW w:w="1040" w:type="pct"/>
                  <w:vAlign w:val="center"/>
                </w:tcPr>
                <w:p>
                  <w:pPr>
                    <w:adjustRightInd w:val="0"/>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vAlign w:val="center"/>
                </w:tcPr>
                <w:p>
                  <w:pPr>
                    <w:adjustRightInd w:val="0"/>
                    <w:jc w:val="center"/>
                    <w:rPr>
                      <w:szCs w:val="21"/>
                    </w:rPr>
                  </w:pPr>
                  <w:r>
                    <w:rPr>
                      <w:rFonts w:hint="eastAsia"/>
                      <w:szCs w:val="21"/>
                    </w:rPr>
                    <w:t>厂界北</w:t>
                  </w:r>
                </w:p>
              </w:tc>
              <w:tc>
                <w:tcPr>
                  <w:tcW w:w="625" w:type="pct"/>
                  <w:vAlign w:val="center"/>
                </w:tcPr>
                <w:p>
                  <w:pPr>
                    <w:adjustRightInd w:val="0"/>
                    <w:jc w:val="center"/>
                    <w:rPr>
                      <w:szCs w:val="21"/>
                    </w:rPr>
                  </w:pPr>
                  <w:r>
                    <w:rPr>
                      <w:rFonts w:hint="eastAsia"/>
                      <w:szCs w:val="21"/>
                    </w:rPr>
                    <w:t>54</w:t>
                  </w:r>
                </w:p>
              </w:tc>
              <w:tc>
                <w:tcPr>
                  <w:tcW w:w="833" w:type="pct"/>
                  <w:vAlign w:val="center"/>
                </w:tcPr>
                <w:p>
                  <w:pPr>
                    <w:adjustRightInd w:val="0"/>
                    <w:jc w:val="center"/>
                    <w:rPr>
                      <w:szCs w:val="21"/>
                    </w:rPr>
                  </w:pPr>
                  <w:r>
                    <w:rPr>
                      <w:rFonts w:hint="eastAsia"/>
                      <w:szCs w:val="21"/>
                    </w:rPr>
                    <w:t>65</w:t>
                  </w:r>
                </w:p>
              </w:tc>
              <w:tc>
                <w:tcPr>
                  <w:tcW w:w="625" w:type="pct"/>
                  <w:vAlign w:val="center"/>
                </w:tcPr>
                <w:p>
                  <w:pPr>
                    <w:adjustRightInd w:val="0"/>
                    <w:jc w:val="center"/>
                    <w:rPr>
                      <w:szCs w:val="21"/>
                    </w:rPr>
                  </w:pPr>
                  <w:r>
                    <w:rPr>
                      <w:rFonts w:hint="eastAsia"/>
                      <w:szCs w:val="21"/>
                    </w:rPr>
                    <w:t>47</w:t>
                  </w:r>
                </w:p>
              </w:tc>
              <w:tc>
                <w:tcPr>
                  <w:tcW w:w="834" w:type="pct"/>
                  <w:vAlign w:val="center"/>
                </w:tcPr>
                <w:p>
                  <w:pPr>
                    <w:adjustRightInd w:val="0"/>
                    <w:jc w:val="center"/>
                    <w:rPr>
                      <w:szCs w:val="21"/>
                    </w:rPr>
                  </w:pPr>
                  <w:r>
                    <w:rPr>
                      <w:rFonts w:hint="eastAsia"/>
                      <w:szCs w:val="21"/>
                    </w:rPr>
                    <w:t>55</w:t>
                  </w:r>
                </w:p>
              </w:tc>
              <w:tc>
                <w:tcPr>
                  <w:tcW w:w="1040" w:type="pct"/>
                  <w:vAlign w:val="center"/>
                </w:tcPr>
                <w:p>
                  <w:pPr>
                    <w:adjustRightInd w:val="0"/>
                    <w:jc w:val="center"/>
                    <w:rPr>
                      <w:szCs w:val="21"/>
                    </w:rPr>
                  </w:pPr>
                  <w:r>
                    <w:rPr>
                      <w:rFonts w:hint="eastAsia"/>
                      <w:szCs w:val="21"/>
                    </w:rPr>
                    <w:t>达标</w:t>
                  </w:r>
                </w:p>
              </w:tc>
            </w:tr>
          </w:tbl>
          <w:p>
            <w:pPr>
              <w:spacing w:before="120" w:beforeLines="50" w:line="360" w:lineRule="auto"/>
              <w:ind w:firstLine="480" w:firstLineChars="200"/>
              <w:rPr>
                <w:sz w:val="24"/>
              </w:rPr>
            </w:pPr>
            <w:r>
              <w:rPr>
                <w:sz w:val="24"/>
              </w:rPr>
              <w:t>根据调查，项目周围</w:t>
            </w:r>
            <w:r>
              <w:rPr>
                <w:rFonts w:hint="eastAsia"/>
                <w:sz w:val="24"/>
              </w:rPr>
              <w:t>5</w:t>
            </w:r>
            <w:r>
              <w:rPr>
                <w:sz w:val="24"/>
              </w:rPr>
              <w:t>0m范围内</w:t>
            </w:r>
            <w:r>
              <w:rPr>
                <w:rFonts w:hint="eastAsia"/>
                <w:sz w:val="24"/>
              </w:rPr>
              <w:t>无</w:t>
            </w:r>
            <w:r>
              <w:rPr>
                <w:sz w:val="24"/>
              </w:rPr>
              <w:t>村庄等敏感点，距离项目最近的村庄为项目</w:t>
            </w:r>
            <w:r>
              <w:rPr>
                <w:rFonts w:hint="eastAsia"/>
                <w:sz w:val="24"/>
              </w:rPr>
              <w:t>东南侧450</w:t>
            </w:r>
            <w:r>
              <w:rPr>
                <w:sz w:val="24"/>
              </w:rPr>
              <w:t>m处的</w:t>
            </w:r>
            <w:r>
              <w:rPr>
                <w:rFonts w:hint="eastAsia"/>
                <w:sz w:val="24"/>
              </w:rPr>
              <w:t>深沟村</w:t>
            </w:r>
            <w:r>
              <w:rPr>
                <w:sz w:val="24"/>
              </w:rPr>
              <w:t>，项目运营过程中产生的噪声环境保护目标影响较小。</w:t>
            </w:r>
          </w:p>
          <w:p>
            <w:pPr>
              <w:adjustRightInd w:val="0"/>
              <w:spacing w:before="120" w:beforeLines="50" w:line="360" w:lineRule="auto"/>
              <w:ind w:firstLine="482" w:firstLineChars="200"/>
              <w:rPr>
                <w:b/>
                <w:bCs/>
                <w:sz w:val="24"/>
              </w:rPr>
            </w:pPr>
            <w:r>
              <w:rPr>
                <w:b/>
                <w:bCs/>
                <w:sz w:val="24"/>
              </w:rPr>
              <w:t>3、噪声防治设施</w:t>
            </w:r>
          </w:p>
          <w:p>
            <w:pPr>
              <w:adjustRightInd w:val="0"/>
              <w:spacing w:line="360" w:lineRule="auto"/>
              <w:ind w:firstLine="480" w:firstLineChars="200"/>
              <w:rPr>
                <w:sz w:val="24"/>
              </w:rPr>
            </w:pPr>
            <w:r>
              <w:rPr>
                <w:sz w:val="24"/>
              </w:rPr>
              <w:t>（1）优先选用低噪声设备，如低噪的风机等，从而从声源上降低设备本身的噪声；</w:t>
            </w:r>
          </w:p>
          <w:p>
            <w:pPr>
              <w:adjustRightInd w:val="0"/>
              <w:spacing w:line="360" w:lineRule="auto"/>
              <w:ind w:firstLine="480" w:firstLineChars="200"/>
              <w:rPr>
                <w:sz w:val="24"/>
              </w:rPr>
            </w:pPr>
            <w:r>
              <w:rPr>
                <w:sz w:val="24"/>
              </w:rPr>
              <w:t>（2）合理布局噪声源。总图布置尽量将噪声大的噪声源远离厂界和敏感点，通过距离衰减降噪，降低噪声对周围环境的影响。</w:t>
            </w:r>
          </w:p>
          <w:p>
            <w:pPr>
              <w:adjustRightInd w:val="0"/>
              <w:spacing w:line="360" w:lineRule="auto"/>
              <w:ind w:firstLine="480" w:firstLineChars="200"/>
              <w:rPr>
                <w:sz w:val="24"/>
              </w:rPr>
            </w:pPr>
            <w:r>
              <w:rPr>
                <w:sz w:val="24"/>
              </w:rPr>
              <w:t>（3）加强设备日常维护与保养，对设备的运作需定期检查，使设备处于最佳工作状态，杜绝因设备不正常运转时产生的高噪声现象。</w:t>
            </w:r>
          </w:p>
          <w:p>
            <w:pPr>
              <w:adjustRightInd w:val="0"/>
              <w:spacing w:line="360" w:lineRule="auto"/>
              <w:ind w:firstLine="480" w:firstLineChars="200"/>
              <w:rPr>
                <w:sz w:val="24"/>
              </w:rPr>
            </w:pPr>
            <w:r>
              <w:rPr>
                <w:sz w:val="24"/>
              </w:rPr>
              <w:t>（4）对噪声较大的生产设备进行减振、消声、隔音、密闭等综合治理措施。合理布局并进行必要的减振、消声、隔声等治理。</w:t>
            </w:r>
          </w:p>
          <w:p>
            <w:pPr>
              <w:adjustRightInd w:val="0"/>
              <w:spacing w:line="360" w:lineRule="auto"/>
              <w:ind w:firstLine="482" w:firstLineChars="200"/>
              <w:rPr>
                <w:sz w:val="24"/>
              </w:rPr>
            </w:pPr>
            <w:r>
              <w:rPr>
                <w:b/>
                <w:bCs/>
                <w:sz w:val="24"/>
              </w:rPr>
              <w:t>4、</w:t>
            </w:r>
            <w:r>
              <w:rPr>
                <w:b/>
                <w:bCs/>
                <w:kern w:val="0"/>
                <w:sz w:val="24"/>
              </w:rPr>
              <w:t>噪声监测计划</w:t>
            </w:r>
          </w:p>
          <w:p>
            <w:pPr>
              <w:adjustRightInd w:val="0"/>
              <w:spacing w:line="360" w:lineRule="auto"/>
              <w:ind w:firstLine="480" w:firstLineChars="200"/>
              <w:rPr>
                <w:bCs/>
                <w:spacing w:val="-10"/>
                <w:sz w:val="24"/>
              </w:rPr>
            </w:pPr>
            <w:r>
              <w:rPr>
                <w:sz w:val="24"/>
              </w:rPr>
              <w:t>项目运营期噪声排污监测计划根据《排污单位自行监测技术指南 总则》（HJ819-2017）进行设置，项目运营期环境监测计划见表4-</w:t>
            </w:r>
            <w:r>
              <w:rPr>
                <w:rFonts w:hint="eastAsia"/>
                <w:sz w:val="24"/>
              </w:rPr>
              <w:t>21</w:t>
            </w:r>
            <w:r>
              <w:rPr>
                <w:sz w:val="24"/>
              </w:rPr>
              <w:t>所示</w:t>
            </w:r>
            <w:r>
              <w:rPr>
                <w:bCs/>
                <w:spacing w:val="-10"/>
                <w:sz w:val="24"/>
              </w:rPr>
              <w:t>。</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表4-</w:t>
            </w:r>
            <w:r>
              <w:rPr>
                <w:rFonts w:hint="eastAsia" w:cs="宋体"/>
                <w:b/>
                <w:bCs/>
                <w:kern w:val="0"/>
                <w:sz w:val="24"/>
                <w:szCs w:val="20"/>
                <w:lang w:bidi="ar"/>
              </w:rPr>
              <w:t>21</w:t>
            </w:r>
            <w:r>
              <w:rPr>
                <w:rFonts w:cs="宋体"/>
                <w:b/>
                <w:bCs/>
                <w:kern w:val="0"/>
                <w:sz w:val="24"/>
                <w:szCs w:val="20"/>
                <w:lang w:bidi="ar"/>
              </w:rPr>
              <w:t xml:space="preserve">  项目运营期环境监测计划一览表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662"/>
              <w:gridCol w:w="1240"/>
              <w:gridCol w:w="3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55" w:type="dxa"/>
                  <w:vAlign w:val="center"/>
                </w:tcPr>
                <w:p>
                  <w:pPr>
                    <w:pStyle w:val="31"/>
                    <w:spacing w:after="0"/>
                    <w:ind w:left="0" w:leftChars="0" w:firstLine="0" w:firstLineChars="0"/>
                    <w:jc w:val="center"/>
                    <w:rPr>
                      <w:b/>
                      <w:bCs/>
                      <w:szCs w:val="21"/>
                    </w:rPr>
                  </w:pPr>
                  <w:r>
                    <w:rPr>
                      <w:b/>
                      <w:bCs/>
                      <w:szCs w:val="21"/>
                    </w:rPr>
                    <w:t>项目</w:t>
                  </w:r>
                </w:p>
              </w:tc>
              <w:tc>
                <w:tcPr>
                  <w:tcW w:w="2662" w:type="dxa"/>
                  <w:vAlign w:val="center"/>
                </w:tcPr>
                <w:p>
                  <w:pPr>
                    <w:pStyle w:val="31"/>
                    <w:spacing w:after="0"/>
                    <w:ind w:left="0" w:leftChars="0" w:firstLine="0" w:firstLineChars="0"/>
                    <w:jc w:val="center"/>
                    <w:rPr>
                      <w:b/>
                      <w:bCs/>
                      <w:szCs w:val="21"/>
                    </w:rPr>
                  </w:pPr>
                  <w:r>
                    <w:rPr>
                      <w:b/>
                      <w:bCs/>
                      <w:szCs w:val="21"/>
                    </w:rPr>
                    <w:t>监测点位</w:t>
                  </w:r>
                </w:p>
              </w:tc>
              <w:tc>
                <w:tcPr>
                  <w:tcW w:w="1240" w:type="dxa"/>
                  <w:vAlign w:val="center"/>
                </w:tcPr>
                <w:p>
                  <w:pPr>
                    <w:pStyle w:val="31"/>
                    <w:spacing w:after="0"/>
                    <w:ind w:left="0" w:leftChars="0" w:firstLine="0" w:firstLineChars="0"/>
                    <w:jc w:val="center"/>
                    <w:rPr>
                      <w:b/>
                      <w:bCs/>
                      <w:szCs w:val="21"/>
                    </w:rPr>
                  </w:pPr>
                  <w:r>
                    <w:rPr>
                      <w:b/>
                      <w:bCs/>
                      <w:szCs w:val="21"/>
                    </w:rPr>
                    <w:t>监测项目</w:t>
                  </w:r>
                </w:p>
              </w:tc>
              <w:tc>
                <w:tcPr>
                  <w:tcW w:w="3427" w:type="dxa"/>
                  <w:vAlign w:val="center"/>
                </w:tcPr>
                <w:p>
                  <w:pPr>
                    <w:pStyle w:val="31"/>
                    <w:spacing w:after="0"/>
                    <w:ind w:left="0" w:leftChars="0" w:firstLine="0" w:firstLineChars="0"/>
                    <w:jc w:val="center"/>
                    <w:rPr>
                      <w:b/>
                      <w:bCs/>
                      <w:szCs w:val="21"/>
                    </w:rPr>
                  </w:pPr>
                  <w:r>
                    <w:rPr>
                      <w:b/>
                      <w:bCs/>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55" w:type="dxa"/>
                  <w:vAlign w:val="center"/>
                </w:tcPr>
                <w:p>
                  <w:pPr>
                    <w:pStyle w:val="31"/>
                    <w:spacing w:after="0"/>
                    <w:ind w:left="0" w:leftChars="0" w:firstLine="0" w:firstLineChars="0"/>
                    <w:jc w:val="center"/>
                    <w:rPr>
                      <w:szCs w:val="21"/>
                    </w:rPr>
                  </w:pPr>
                  <w:r>
                    <w:rPr>
                      <w:szCs w:val="21"/>
                    </w:rPr>
                    <w:t>噪声</w:t>
                  </w:r>
                </w:p>
              </w:tc>
              <w:tc>
                <w:tcPr>
                  <w:tcW w:w="2662" w:type="dxa"/>
                  <w:vAlign w:val="center"/>
                </w:tcPr>
                <w:p>
                  <w:pPr>
                    <w:pStyle w:val="31"/>
                    <w:spacing w:after="0"/>
                    <w:ind w:left="0" w:leftChars="0" w:firstLine="0" w:firstLineChars="0"/>
                    <w:jc w:val="center"/>
                    <w:rPr>
                      <w:szCs w:val="21"/>
                    </w:rPr>
                  </w:pPr>
                  <w:r>
                    <w:rPr>
                      <w:szCs w:val="21"/>
                    </w:rPr>
                    <w:t>东、南、西、北四面厂界外1m各设1处监测</w:t>
                  </w:r>
                </w:p>
              </w:tc>
              <w:tc>
                <w:tcPr>
                  <w:tcW w:w="1240" w:type="dxa"/>
                  <w:vAlign w:val="center"/>
                </w:tcPr>
                <w:p>
                  <w:pPr>
                    <w:pStyle w:val="31"/>
                    <w:spacing w:after="0"/>
                    <w:ind w:left="0" w:leftChars="0" w:firstLine="0" w:firstLineChars="0"/>
                    <w:jc w:val="center"/>
                    <w:rPr>
                      <w:szCs w:val="21"/>
                    </w:rPr>
                  </w:pPr>
                  <w:r>
                    <w:rPr>
                      <w:szCs w:val="21"/>
                    </w:rPr>
                    <w:t>等效连续A声级</w:t>
                  </w:r>
                </w:p>
              </w:tc>
              <w:tc>
                <w:tcPr>
                  <w:tcW w:w="3427" w:type="dxa"/>
                  <w:vAlign w:val="center"/>
                </w:tcPr>
                <w:p>
                  <w:pPr>
                    <w:pStyle w:val="31"/>
                    <w:spacing w:after="0"/>
                    <w:ind w:left="0" w:leftChars="0" w:firstLine="0" w:firstLineChars="0"/>
                    <w:jc w:val="center"/>
                    <w:rPr>
                      <w:szCs w:val="21"/>
                    </w:rPr>
                  </w:pPr>
                  <w:r>
                    <w:rPr>
                      <w:szCs w:val="21"/>
                    </w:rPr>
                    <w:t>1次/季度，按照国家相关噪声监测技术方法进行监测</w:t>
                  </w:r>
                </w:p>
              </w:tc>
            </w:tr>
          </w:tbl>
          <w:p>
            <w:pPr>
              <w:adjustRightInd w:val="0"/>
              <w:spacing w:before="120" w:beforeLines="50" w:line="360" w:lineRule="auto"/>
              <w:ind w:firstLine="442" w:firstLineChars="200"/>
              <w:rPr>
                <w:b/>
                <w:spacing w:val="-10"/>
                <w:sz w:val="24"/>
              </w:rPr>
            </w:pPr>
            <w:r>
              <w:rPr>
                <w:b/>
                <w:spacing w:val="-10"/>
                <w:sz w:val="24"/>
              </w:rPr>
              <w:t>四、</w:t>
            </w:r>
            <w:r>
              <w:rPr>
                <w:rFonts w:hint="eastAsia"/>
                <w:b/>
                <w:spacing w:val="-10"/>
                <w:sz w:val="24"/>
              </w:rPr>
              <w:t>固体废弃物</w:t>
            </w:r>
            <w:r>
              <w:rPr>
                <w:b/>
                <w:bCs/>
                <w:kern w:val="0"/>
                <w:sz w:val="24"/>
              </w:rPr>
              <w:t>影响和保护措施</w:t>
            </w:r>
          </w:p>
          <w:p>
            <w:pPr>
              <w:adjustRightInd w:val="0"/>
              <w:spacing w:line="360" w:lineRule="auto"/>
              <w:ind w:firstLine="480" w:firstLineChars="200"/>
              <w:rPr>
                <w:sz w:val="24"/>
              </w:rPr>
            </w:pPr>
            <w:r>
              <w:rPr>
                <w:rFonts w:hint="eastAsia"/>
                <w:sz w:val="24"/>
              </w:rPr>
              <w:t>本项目在现有项目基础上进行技改，不新增建设用地，</w:t>
            </w:r>
            <w:r>
              <w:rPr>
                <w:rFonts w:hint="eastAsia" w:cs="宋体"/>
                <w:kern w:val="0"/>
                <w:sz w:val="24"/>
                <w:lang w:bidi="ar"/>
              </w:rPr>
              <w:t>现有审批项目产能、工艺等均不变。不新增工作人员，不新增员工生活垃圾</w:t>
            </w:r>
            <w:r>
              <w:rPr>
                <w:rFonts w:hint="eastAsia"/>
                <w:sz w:val="24"/>
              </w:rPr>
              <w:t>。本</w:t>
            </w:r>
            <w:r>
              <w:rPr>
                <w:sz w:val="24"/>
              </w:rPr>
              <w:t>项目产生的固体废弃物为</w:t>
            </w:r>
            <w:r>
              <w:rPr>
                <w:rFonts w:hint="eastAsia"/>
                <w:sz w:val="24"/>
              </w:rPr>
              <w:t>5</w:t>
            </w:r>
            <w:r>
              <w:rPr>
                <w:sz w:val="24"/>
              </w:rPr>
              <w:t>t/h</w:t>
            </w:r>
            <w:r>
              <w:rPr>
                <w:rFonts w:hint="eastAsia"/>
                <w:sz w:val="24"/>
              </w:rPr>
              <w:t>导热油锅炉炉渣，5t/h、7</w:t>
            </w:r>
            <w:r>
              <w:rPr>
                <w:sz w:val="24"/>
              </w:rPr>
              <w:t>t/h</w:t>
            </w:r>
            <w:r>
              <w:rPr>
                <w:rFonts w:hint="eastAsia"/>
                <w:sz w:val="24"/>
              </w:rPr>
              <w:t>导热油锅炉除尘系统除尘灰，水膜除尘装置除尘渣及沉淀池污泥，筛选打磨工序除尘系统产生的除尘灰，5</w:t>
            </w:r>
            <w:r>
              <w:rPr>
                <w:sz w:val="24"/>
              </w:rPr>
              <w:t>t/h</w:t>
            </w:r>
            <w:r>
              <w:rPr>
                <w:rFonts w:hint="eastAsia"/>
                <w:sz w:val="24"/>
              </w:rPr>
              <w:t>导热油更换废导热油</w:t>
            </w:r>
            <w:r>
              <w:rPr>
                <w:sz w:val="24"/>
              </w:rPr>
              <w:t>、</w:t>
            </w:r>
            <w:r>
              <w:rPr>
                <w:rFonts w:hint="eastAsia"/>
                <w:sz w:val="24"/>
                <w:szCs w:val="21"/>
              </w:rPr>
              <w:t>热压凉板环节活性炭吸附装置</w:t>
            </w:r>
            <w:r>
              <w:rPr>
                <w:rFonts w:hint="eastAsia"/>
                <w:sz w:val="24"/>
              </w:rPr>
              <w:t>废活性炭</w:t>
            </w:r>
            <w:r>
              <w:rPr>
                <w:sz w:val="24"/>
              </w:rPr>
              <w:t>。</w:t>
            </w:r>
          </w:p>
          <w:p>
            <w:pPr>
              <w:adjustRightInd w:val="0"/>
              <w:spacing w:line="360" w:lineRule="auto"/>
              <w:ind w:firstLine="482" w:firstLineChars="200"/>
              <w:rPr>
                <w:b/>
                <w:sz w:val="24"/>
              </w:rPr>
            </w:pPr>
            <w:r>
              <w:rPr>
                <w:rFonts w:hint="eastAsia"/>
                <w:b/>
                <w:sz w:val="24"/>
              </w:rPr>
              <w:t>（1）5t/h导热油锅炉灰渣</w:t>
            </w:r>
          </w:p>
          <w:p>
            <w:pPr>
              <w:adjustRightInd w:val="0"/>
              <w:spacing w:line="360" w:lineRule="auto"/>
              <w:ind w:firstLine="480" w:firstLineChars="200"/>
              <w:rPr>
                <w:sz w:val="24"/>
              </w:rPr>
            </w:pPr>
            <w:r>
              <w:rPr>
                <w:rFonts w:hint="eastAsia"/>
                <w:sz w:val="24"/>
              </w:rPr>
              <w:t>本次技改新增</w:t>
            </w:r>
            <w:r>
              <w:rPr>
                <w:sz w:val="24"/>
              </w:rPr>
              <w:t>5t/h</w:t>
            </w:r>
            <w:r>
              <w:rPr>
                <w:rFonts w:hint="eastAsia"/>
                <w:sz w:val="24"/>
              </w:rPr>
              <w:t>导热油锅炉炉渣主要为灰渣、烟尘等，新增5</w:t>
            </w:r>
            <w:r>
              <w:rPr>
                <w:sz w:val="24"/>
              </w:rPr>
              <w:t>t/h</w:t>
            </w:r>
            <w:r>
              <w:rPr>
                <w:rFonts w:hint="eastAsia"/>
                <w:sz w:val="24"/>
              </w:rPr>
              <w:t>导热油锅炉已建成并运行，根据建设单位运行统计，</w:t>
            </w:r>
            <w:r>
              <w:rPr>
                <w:rFonts w:hint="eastAsia"/>
                <w:bCs/>
                <w:sz w:val="24"/>
                <w:szCs w:val="28"/>
              </w:rPr>
              <w:t>类比昆明新飞林人造板有限公司对木质燃料的分析化验报告，</w:t>
            </w:r>
            <w:r>
              <w:rPr>
                <w:kern w:val="0"/>
                <w:sz w:val="24"/>
                <w:szCs w:val="20"/>
                <w:lang w:val="zh-CN"/>
              </w:rPr>
              <w:t>木质燃料的灰分为1.31%，</w:t>
            </w:r>
            <w:r>
              <w:rPr>
                <w:rFonts w:hint="eastAsia"/>
                <w:sz w:val="24"/>
              </w:rPr>
              <w:t>本次技改新增5t/h导热油锅炉炉渣产生量约</w:t>
            </w:r>
            <w:r>
              <w:rPr>
                <w:sz w:val="24"/>
              </w:rPr>
              <w:t>7.86</w:t>
            </w:r>
            <w:r>
              <w:rPr>
                <w:rFonts w:hint="eastAsia"/>
                <w:sz w:val="24"/>
              </w:rPr>
              <w:t>t/a（干基）</w:t>
            </w:r>
            <w:r>
              <w:rPr>
                <w:rFonts w:hint="eastAsia"/>
                <w:bCs/>
                <w:sz w:val="24"/>
              </w:rPr>
              <w:t>，定期委托环卫部门清运处置</w:t>
            </w:r>
            <w:r>
              <w:rPr>
                <w:rFonts w:hint="eastAsia"/>
                <w:sz w:val="24"/>
              </w:rPr>
              <w:t>。</w:t>
            </w:r>
          </w:p>
          <w:p>
            <w:pPr>
              <w:adjustRightInd w:val="0"/>
              <w:spacing w:line="360" w:lineRule="auto"/>
              <w:ind w:firstLine="482" w:firstLineChars="200"/>
              <w:rPr>
                <w:b/>
                <w:sz w:val="24"/>
              </w:rPr>
            </w:pPr>
            <w:r>
              <w:rPr>
                <w:rFonts w:hint="eastAsia"/>
                <w:b/>
                <w:sz w:val="24"/>
              </w:rPr>
              <w:t>（2）锅炉旋风除尘系统除尘灰</w:t>
            </w:r>
          </w:p>
          <w:p>
            <w:pPr>
              <w:adjustRightInd w:val="0"/>
              <w:spacing w:line="360" w:lineRule="auto"/>
              <w:ind w:firstLine="480" w:firstLineChars="200"/>
              <w:rPr>
                <w:bCs/>
                <w:sz w:val="24"/>
              </w:rPr>
            </w:pPr>
            <w:r>
              <w:rPr>
                <w:rFonts w:hint="eastAsia"/>
                <w:bCs/>
                <w:sz w:val="24"/>
              </w:rPr>
              <w:t>根据污染源强分析，锅炉废气颗粒物共产生2</w:t>
            </w:r>
            <w:r>
              <w:rPr>
                <w:bCs/>
                <w:sz w:val="24"/>
              </w:rPr>
              <w:t>8.8t/a</w:t>
            </w:r>
            <w:r>
              <w:rPr>
                <w:rFonts w:hint="eastAsia"/>
                <w:bCs/>
                <w:sz w:val="24"/>
              </w:rPr>
              <w:t>，导热油锅炉多管旋风除尘系统除尘效率为7</w:t>
            </w:r>
            <w:r>
              <w:rPr>
                <w:bCs/>
                <w:sz w:val="24"/>
              </w:rPr>
              <w:t>0%</w:t>
            </w:r>
            <w:r>
              <w:rPr>
                <w:rFonts w:hint="eastAsia"/>
                <w:bCs/>
                <w:sz w:val="24"/>
              </w:rPr>
              <w:t>，则锅炉旋风除尘系统除尘灰产生量为</w:t>
            </w:r>
            <w:r>
              <w:rPr>
                <w:bCs/>
                <w:sz w:val="24"/>
              </w:rPr>
              <w:t>20.16t/a</w:t>
            </w:r>
            <w:r>
              <w:rPr>
                <w:rFonts w:hint="eastAsia"/>
                <w:bCs/>
                <w:sz w:val="24"/>
              </w:rPr>
              <w:t>，统一收集后委托环卫部门清运处置。</w:t>
            </w:r>
          </w:p>
          <w:p>
            <w:pPr>
              <w:adjustRightInd w:val="0"/>
              <w:spacing w:line="360" w:lineRule="auto"/>
              <w:ind w:firstLine="482" w:firstLineChars="200"/>
              <w:rPr>
                <w:sz w:val="24"/>
              </w:rPr>
            </w:pPr>
            <w:r>
              <w:rPr>
                <w:rFonts w:hint="eastAsia"/>
                <w:b/>
                <w:bCs/>
                <w:sz w:val="24"/>
              </w:rPr>
              <w:t>（</w:t>
            </w:r>
            <w:r>
              <w:rPr>
                <w:b/>
                <w:bCs/>
                <w:sz w:val="24"/>
              </w:rPr>
              <w:t>3</w:t>
            </w:r>
            <w:r>
              <w:rPr>
                <w:rFonts w:hint="eastAsia"/>
                <w:b/>
                <w:bCs/>
                <w:sz w:val="24"/>
              </w:rPr>
              <w:t>）</w:t>
            </w:r>
            <w:r>
              <w:rPr>
                <w:rFonts w:hint="eastAsia"/>
                <w:b/>
                <w:sz w:val="24"/>
              </w:rPr>
              <w:t>锅炉废气处理水膜除尘装置除尘渣、沉淀池污泥</w:t>
            </w:r>
          </w:p>
          <w:p>
            <w:pPr>
              <w:adjustRightInd w:val="0"/>
              <w:spacing w:line="360" w:lineRule="auto"/>
              <w:ind w:firstLine="480" w:firstLineChars="200"/>
              <w:rPr>
                <w:sz w:val="24"/>
              </w:rPr>
            </w:pPr>
            <w:r>
              <w:rPr>
                <w:rFonts w:hint="eastAsia"/>
                <w:sz w:val="24"/>
              </w:rPr>
              <w:t>本次技改7</w:t>
            </w:r>
            <w:r>
              <w:rPr>
                <w:sz w:val="24"/>
              </w:rPr>
              <w:t>t/h</w:t>
            </w:r>
            <w:r>
              <w:rPr>
                <w:rFonts w:hint="eastAsia"/>
                <w:sz w:val="24"/>
              </w:rPr>
              <w:t>锅炉烟气处理系统新增水膜除尘装置，新建5</w:t>
            </w:r>
            <w:r>
              <w:rPr>
                <w:sz w:val="24"/>
              </w:rPr>
              <w:t>t/h</w:t>
            </w:r>
            <w:r>
              <w:rPr>
                <w:rFonts w:hint="eastAsia"/>
                <w:sz w:val="24"/>
              </w:rPr>
              <w:t>导热油锅炉配套建设1套水膜除尘装置，</w:t>
            </w:r>
            <w:r>
              <w:rPr>
                <w:rFonts w:hint="eastAsia"/>
                <w:bCs/>
                <w:sz w:val="24"/>
              </w:rPr>
              <w:t>除尘效率为7</w:t>
            </w:r>
            <w:r>
              <w:rPr>
                <w:bCs/>
                <w:sz w:val="24"/>
              </w:rPr>
              <w:t>0%</w:t>
            </w:r>
            <w:r>
              <w:rPr>
                <w:rFonts w:hint="eastAsia"/>
                <w:bCs/>
                <w:sz w:val="24"/>
              </w:rPr>
              <w:t>，</w:t>
            </w:r>
            <w:r>
              <w:rPr>
                <w:rFonts w:hint="eastAsia"/>
                <w:sz w:val="24"/>
              </w:rPr>
              <w:t>水膜除尘装置在本次环评时均已建成并投入运行，</w:t>
            </w:r>
            <w:r>
              <w:rPr>
                <w:rFonts w:hint="eastAsia"/>
                <w:bCs/>
                <w:sz w:val="24"/>
              </w:rPr>
              <w:t>锅炉废气颗粒物共产生2</w:t>
            </w:r>
            <w:r>
              <w:rPr>
                <w:bCs/>
                <w:sz w:val="24"/>
              </w:rPr>
              <w:t>8.8t/a</w:t>
            </w:r>
            <w:r>
              <w:rPr>
                <w:rFonts w:hint="eastAsia"/>
                <w:bCs/>
                <w:sz w:val="24"/>
              </w:rPr>
              <w:t>，则</w:t>
            </w:r>
            <w:r>
              <w:rPr>
                <w:rFonts w:hint="eastAsia"/>
                <w:sz w:val="24"/>
              </w:rPr>
              <w:t>水膜除尘装置除尘渣产生量为</w:t>
            </w:r>
            <w:r>
              <w:rPr>
                <w:sz w:val="24"/>
              </w:rPr>
              <w:t>6.912</w:t>
            </w:r>
            <w:r>
              <w:rPr>
                <w:rFonts w:hint="eastAsia"/>
                <w:sz w:val="24"/>
              </w:rPr>
              <w:t>t/a（干基）。沉淀池污泥产生量约为废水处理量的0</w:t>
            </w:r>
            <w:r>
              <w:rPr>
                <w:sz w:val="24"/>
              </w:rPr>
              <w:t>.1%</w:t>
            </w:r>
            <w:r>
              <w:rPr>
                <w:rFonts w:hint="eastAsia"/>
                <w:sz w:val="24"/>
              </w:rPr>
              <w:t>，则沉淀池污泥产生量约</w:t>
            </w:r>
            <w:r>
              <w:rPr>
                <w:sz w:val="24"/>
              </w:rPr>
              <w:t>4.32t/a</w:t>
            </w:r>
            <w:r>
              <w:rPr>
                <w:rFonts w:hint="eastAsia"/>
                <w:sz w:val="24"/>
              </w:rPr>
              <w:t>，统一收集后委托环卫部门定期清运处置，不外排。</w:t>
            </w:r>
          </w:p>
          <w:p>
            <w:pPr>
              <w:adjustRightInd w:val="0"/>
              <w:spacing w:line="360" w:lineRule="auto"/>
              <w:ind w:firstLine="482" w:firstLineChars="200"/>
              <w:rPr>
                <w:b/>
                <w:sz w:val="24"/>
              </w:rPr>
            </w:pPr>
            <w:r>
              <w:rPr>
                <w:rFonts w:hint="eastAsia"/>
                <w:b/>
                <w:sz w:val="24"/>
              </w:rPr>
              <w:t>（</w:t>
            </w:r>
            <w:r>
              <w:rPr>
                <w:b/>
                <w:sz w:val="24"/>
              </w:rPr>
              <w:t>4</w:t>
            </w:r>
            <w:r>
              <w:rPr>
                <w:rFonts w:hint="eastAsia"/>
                <w:b/>
                <w:sz w:val="24"/>
              </w:rPr>
              <w:t>）</w:t>
            </w:r>
            <w:r>
              <w:rPr>
                <w:rFonts w:hint="eastAsia"/>
                <w:b/>
                <w:bCs/>
                <w:sz w:val="24"/>
              </w:rPr>
              <w:t>筛选打磨工序</w:t>
            </w:r>
            <w:r>
              <w:rPr>
                <w:rFonts w:hint="eastAsia"/>
                <w:b/>
                <w:sz w:val="24"/>
              </w:rPr>
              <w:t>除尘系统产生的除尘灰</w:t>
            </w:r>
          </w:p>
          <w:p>
            <w:pPr>
              <w:adjustRightInd w:val="0"/>
              <w:spacing w:line="360" w:lineRule="auto"/>
              <w:ind w:firstLine="480" w:firstLineChars="200"/>
              <w:rPr>
                <w:sz w:val="24"/>
              </w:rPr>
            </w:pPr>
            <w:r>
              <w:rPr>
                <w:rFonts w:hint="eastAsia"/>
                <w:sz w:val="24"/>
              </w:rPr>
              <w:t>本次技改对筛选工序、打磨工序废气处理设施增加布袋除尘器，已建成并运行，</w:t>
            </w:r>
            <w:r>
              <w:rPr>
                <w:rFonts w:hint="eastAsia"/>
                <w:bCs/>
                <w:sz w:val="24"/>
              </w:rPr>
              <w:t>根据大气专项评价污染源强分析，筛选打磨工序</w:t>
            </w:r>
            <w:r>
              <w:rPr>
                <w:rFonts w:hint="eastAsia"/>
                <w:sz w:val="24"/>
              </w:rPr>
              <w:t>除尘系统收集除尘灰约为4.13t/a，统一收集后用作导热油锅炉燃料。</w:t>
            </w:r>
          </w:p>
          <w:p>
            <w:pPr>
              <w:adjustRightInd w:val="0"/>
              <w:spacing w:line="360" w:lineRule="auto"/>
              <w:ind w:firstLine="482" w:firstLineChars="200"/>
              <w:rPr>
                <w:b/>
                <w:bCs/>
                <w:kern w:val="0"/>
                <w:sz w:val="24"/>
              </w:rPr>
            </w:pPr>
            <w:r>
              <w:rPr>
                <w:rFonts w:hint="eastAsia"/>
                <w:b/>
                <w:sz w:val="24"/>
              </w:rPr>
              <w:t>（</w:t>
            </w:r>
            <w:r>
              <w:rPr>
                <w:b/>
                <w:sz w:val="24"/>
              </w:rPr>
              <w:t>5</w:t>
            </w:r>
            <w:r>
              <w:rPr>
                <w:rFonts w:hint="eastAsia"/>
                <w:b/>
                <w:sz w:val="24"/>
              </w:rPr>
              <w:t>）5t/h导热油锅炉</w:t>
            </w:r>
            <w:r>
              <w:rPr>
                <w:b/>
                <w:bCs/>
                <w:kern w:val="0"/>
                <w:sz w:val="24"/>
              </w:rPr>
              <w:t>废</w:t>
            </w:r>
            <w:r>
              <w:rPr>
                <w:rFonts w:hint="eastAsia"/>
                <w:b/>
                <w:bCs/>
                <w:kern w:val="0"/>
                <w:sz w:val="24"/>
              </w:rPr>
              <w:t>导热油</w:t>
            </w:r>
          </w:p>
          <w:p>
            <w:pPr>
              <w:adjustRightInd w:val="0"/>
              <w:spacing w:line="360" w:lineRule="auto"/>
              <w:ind w:firstLine="480" w:firstLineChars="200"/>
              <w:rPr>
                <w:bCs/>
                <w:kern w:val="0"/>
                <w:sz w:val="24"/>
              </w:rPr>
            </w:pPr>
            <w:r>
              <w:rPr>
                <w:rFonts w:hint="eastAsia"/>
                <w:sz w:val="24"/>
              </w:rPr>
              <w:t>本次技改新增</w:t>
            </w:r>
            <w:r>
              <w:rPr>
                <w:sz w:val="24"/>
              </w:rPr>
              <w:t>5t/h</w:t>
            </w:r>
            <w:r>
              <w:rPr>
                <w:rFonts w:hint="eastAsia"/>
                <w:sz w:val="24"/>
              </w:rPr>
              <w:t>导热油锅炉</w:t>
            </w:r>
            <w:r>
              <w:rPr>
                <w:rFonts w:hint="eastAsia" w:cs="Arial"/>
                <w:sz w:val="24"/>
                <w:szCs w:val="16"/>
                <w:shd w:val="clear" w:color="auto" w:fill="FFFFFF"/>
              </w:rPr>
              <w:t>使用导热油作为热载体，根据</w:t>
            </w:r>
            <w:r>
              <w:rPr>
                <w:rFonts w:cs="Arial"/>
                <w:sz w:val="24"/>
                <w:szCs w:val="16"/>
                <w:shd w:val="clear" w:color="auto" w:fill="FFFFFF"/>
              </w:rPr>
              <w:t>有机热载体炉的有关规定和出厂说明书要求，</w:t>
            </w:r>
            <w:r>
              <w:rPr>
                <w:rFonts w:hint="eastAsia" w:cs="Arial"/>
                <w:sz w:val="24"/>
                <w:szCs w:val="16"/>
                <w:shd w:val="clear" w:color="auto" w:fill="FFFFFF"/>
              </w:rPr>
              <w:t>导热油应</w:t>
            </w:r>
            <w:r>
              <w:rPr>
                <w:rFonts w:cs="Arial"/>
                <w:sz w:val="24"/>
                <w:szCs w:val="16"/>
                <w:shd w:val="clear" w:color="auto" w:fill="FFFFFF"/>
              </w:rPr>
              <w:t>及时采取更换</w:t>
            </w:r>
            <w:r>
              <w:rPr>
                <w:rFonts w:hint="eastAsia" w:cs="Arial"/>
                <w:sz w:val="24"/>
                <w:szCs w:val="16"/>
                <w:shd w:val="clear" w:color="auto" w:fill="FFFFFF"/>
              </w:rPr>
              <w:t>、</w:t>
            </w:r>
            <w:r>
              <w:rPr>
                <w:rFonts w:cs="Arial"/>
                <w:sz w:val="24"/>
                <w:szCs w:val="16"/>
                <w:shd w:val="clear" w:color="auto" w:fill="FFFFFF"/>
              </w:rPr>
              <w:t>再生</w:t>
            </w:r>
            <w:r>
              <w:rPr>
                <w:rFonts w:hint="eastAsia" w:cs="Arial"/>
                <w:sz w:val="24"/>
                <w:szCs w:val="16"/>
                <w:shd w:val="clear" w:color="auto" w:fill="FFFFFF"/>
              </w:rPr>
              <w:t>，</w:t>
            </w:r>
            <w:r>
              <w:rPr>
                <w:rFonts w:hint="eastAsia"/>
                <w:sz w:val="24"/>
              </w:rPr>
              <w:t>新增5</w:t>
            </w:r>
            <w:r>
              <w:rPr>
                <w:sz w:val="24"/>
              </w:rPr>
              <w:t>t/h</w:t>
            </w:r>
            <w:r>
              <w:rPr>
                <w:rFonts w:hint="eastAsia"/>
                <w:sz w:val="24"/>
              </w:rPr>
              <w:t>导热油锅炉已建成并运行，</w:t>
            </w:r>
            <w:r>
              <w:rPr>
                <w:rFonts w:hint="eastAsia" w:cs="Arial"/>
                <w:sz w:val="24"/>
                <w:szCs w:val="16"/>
                <w:shd w:val="clear" w:color="auto" w:fill="FFFFFF"/>
              </w:rPr>
              <w:t>根据建设单位实际生产情况，约每半年</w:t>
            </w:r>
            <w:r>
              <w:rPr>
                <w:rFonts w:cs="Arial"/>
                <w:sz w:val="24"/>
                <w:szCs w:val="16"/>
                <w:shd w:val="clear" w:color="auto" w:fill="FFFFFF"/>
              </w:rPr>
              <w:t>更换</w:t>
            </w:r>
            <w:r>
              <w:rPr>
                <w:rFonts w:hint="eastAsia" w:cs="Arial"/>
                <w:sz w:val="24"/>
                <w:szCs w:val="16"/>
                <w:shd w:val="clear" w:color="auto" w:fill="FFFFFF"/>
              </w:rPr>
              <w:t>一次，根据建设单位运行情况，每次更换产生量约0</w:t>
            </w:r>
            <w:r>
              <w:rPr>
                <w:rFonts w:cs="Arial"/>
                <w:sz w:val="24"/>
                <w:szCs w:val="16"/>
                <w:shd w:val="clear" w:color="auto" w:fill="FFFFFF"/>
              </w:rPr>
              <w:t>.4t/</w:t>
            </w:r>
            <w:r>
              <w:rPr>
                <w:rFonts w:hint="eastAsia" w:cs="Arial"/>
                <w:sz w:val="24"/>
                <w:szCs w:val="16"/>
                <w:shd w:val="clear" w:color="auto" w:fill="FFFFFF"/>
              </w:rPr>
              <w:t>次，则本项目新增废导热油产生量为0.8t/a，</w:t>
            </w:r>
            <w:r>
              <w:rPr>
                <w:rFonts w:hint="eastAsia"/>
                <w:sz w:val="24"/>
              </w:rPr>
              <w:t>根据</w:t>
            </w:r>
            <w:r>
              <w:rPr>
                <w:sz w:val="24"/>
              </w:rPr>
              <w:t>《</w:t>
            </w:r>
            <w:r>
              <w:rPr>
                <w:rFonts w:hint="eastAsia"/>
                <w:sz w:val="24"/>
              </w:rPr>
              <w:t>国家危险废物</w:t>
            </w:r>
            <w:r>
              <w:rPr>
                <w:sz w:val="24"/>
              </w:rPr>
              <w:t>名录</w:t>
            </w:r>
            <w:r>
              <w:rPr>
                <w:rFonts w:hint="eastAsia"/>
                <w:sz w:val="24"/>
              </w:rPr>
              <w:t>（2</w:t>
            </w:r>
            <w:r>
              <w:rPr>
                <w:sz w:val="24"/>
              </w:rPr>
              <w:t>021</w:t>
            </w:r>
            <w:r>
              <w:rPr>
                <w:rFonts w:hint="eastAsia"/>
                <w:sz w:val="24"/>
              </w:rPr>
              <w:t>）</w:t>
            </w:r>
            <w:r>
              <w:rPr>
                <w:sz w:val="24"/>
              </w:rPr>
              <w:t>》</w:t>
            </w:r>
            <w:r>
              <w:rPr>
                <w:rFonts w:hint="eastAsia"/>
                <w:sz w:val="24"/>
              </w:rPr>
              <w:t>废导热油属于危险废物，危废类别为HW08</w:t>
            </w:r>
            <w:r>
              <w:rPr>
                <w:rFonts w:hint="eastAsia" w:cs="Arial"/>
                <w:sz w:val="24"/>
                <w:szCs w:val="16"/>
                <w:shd w:val="clear" w:color="auto" w:fill="FFFFFF"/>
              </w:rPr>
              <w:t>，危险废物代码为900-24</w:t>
            </w:r>
            <w:r>
              <w:rPr>
                <w:rFonts w:cs="Arial"/>
                <w:sz w:val="24"/>
                <w:szCs w:val="16"/>
                <w:shd w:val="clear" w:color="auto" w:fill="FFFFFF"/>
              </w:rPr>
              <w:t>9</w:t>
            </w:r>
            <w:r>
              <w:rPr>
                <w:rFonts w:hint="eastAsia" w:cs="Arial"/>
                <w:sz w:val="24"/>
                <w:szCs w:val="16"/>
                <w:shd w:val="clear" w:color="auto" w:fill="FFFFFF"/>
              </w:rPr>
              <w:t>-08，产生的废导热油统一收集后依托现有项目已建危废暂存间暂存，定期委托寻甸同磊再生资源回收有限公司清运处置</w:t>
            </w:r>
            <w:r>
              <w:rPr>
                <w:bCs/>
                <w:kern w:val="0"/>
                <w:sz w:val="24"/>
              </w:rPr>
              <w:t>。</w:t>
            </w:r>
          </w:p>
          <w:p>
            <w:pPr>
              <w:adjustRightInd w:val="0"/>
              <w:spacing w:line="360" w:lineRule="auto"/>
              <w:ind w:firstLine="482" w:firstLineChars="200"/>
              <w:rPr>
                <w:b/>
                <w:bCs/>
                <w:sz w:val="24"/>
              </w:rPr>
            </w:pPr>
            <w:r>
              <w:rPr>
                <w:rFonts w:hint="eastAsia"/>
                <w:b/>
                <w:bCs/>
                <w:sz w:val="24"/>
              </w:rPr>
              <w:t>（</w:t>
            </w:r>
            <w:r>
              <w:rPr>
                <w:b/>
                <w:bCs/>
                <w:sz w:val="24"/>
              </w:rPr>
              <w:t>6</w:t>
            </w:r>
            <w:r>
              <w:rPr>
                <w:rFonts w:hint="eastAsia"/>
                <w:b/>
                <w:bCs/>
                <w:sz w:val="24"/>
              </w:rPr>
              <w:t>）热压凉板环节活性炭吸附装置废活性炭</w:t>
            </w:r>
          </w:p>
          <w:p>
            <w:pPr>
              <w:adjustRightInd w:val="0"/>
              <w:spacing w:line="360" w:lineRule="auto"/>
              <w:ind w:firstLine="480" w:firstLineChars="200"/>
              <w:rPr>
                <w:sz w:val="24"/>
              </w:rPr>
            </w:pPr>
            <w:r>
              <w:rPr>
                <w:rFonts w:hint="eastAsia"/>
                <w:sz w:val="24"/>
              </w:rPr>
              <w:t>本次技改对现有项目</w:t>
            </w:r>
            <w:r>
              <w:rPr>
                <w:rFonts w:hint="eastAsia"/>
                <w:sz w:val="24"/>
                <w:szCs w:val="21"/>
              </w:rPr>
              <w:t>热压、凉板环节产生的废气处理新增“活性炭吸附装置”处理后。根据建设单位提供的装置参数</w:t>
            </w:r>
            <w:r>
              <w:rPr>
                <w:sz w:val="24"/>
              </w:rPr>
              <w:t>，活性炭吸附量为0.3t有机废气/t-活性炭，</w:t>
            </w:r>
            <w:r>
              <w:rPr>
                <w:rFonts w:hint="eastAsia"/>
                <w:sz w:val="24"/>
              </w:rPr>
              <w:t>本</w:t>
            </w:r>
            <w:r>
              <w:rPr>
                <w:sz w:val="24"/>
              </w:rPr>
              <w:t>项目</w:t>
            </w:r>
            <w:r>
              <w:rPr>
                <w:rFonts w:hint="eastAsia"/>
                <w:sz w:val="24"/>
              </w:rPr>
              <w:t>甲醛、非甲烷总烃</w:t>
            </w:r>
            <w:r>
              <w:rPr>
                <w:sz w:val="24"/>
              </w:rPr>
              <w:t>处理量约1.</w:t>
            </w:r>
            <w:r>
              <w:rPr>
                <w:rFonts w:hint="eastAsia"/>
                <w:sz w:val="24"/>
              </w:rPr>
              <w:t>876</w:t>
            </w:r>
            <w:r>
              <w:rPr>
                <w:sz w:val="24"/>
              </w:rPr>
              <w:t>t</w:t>
            </w:r>
            <w:r>
              <w:rPr>
                <w:rFonts w:hint="eastAsia"/>
                <w:sz w:val="24"/>
              </w:rPr>
              <w:t>/a</w:t>
            </w:r>
            <w:r>
              <w:rPr>
                <w:sz w:val="24"/>
              </w:rPr>
              <w:t>，则项目更换活性炭量约为</w:t>
            </w:r>
            <w:r>
              <w:rPr>
                <w:rFonts w:hint="eastAsia"/>
                <w:sz w:val="24"/>
              </w:rPr>
              <w:t>6.25</w:t>
            </w:r>
            <w:r>
              <w:rPr>
                <w:sz w:val="24"/>
              </w:rPr>
              <w:t>t</w:t>
            </w:r>
            <w:r>
              <w:rPr>
                <w:rFonts w:hint="eastAsia"/>
                <w:sz w:val="24"/>
              </w:rPr>
              <w:t>/a</w:t>
            </w:r>
            <w:r>
              <w:rPr>
                <w:sz w:val="24"/>
              </w:rPr>
              <w:t>。</w:t>
            </w:r>
            <w:r>
              <w:rPr>
                <w:rFonts w:hint="eastAsia"/>
                <w:sz w:val="24"/>
              </w:rPr>
              <w:t>根据</w:t>
            </w:r>
            <w:r>
              <w:rPr>
                <w:sz w:val="24"/>
              </w:rPr>
              <w:t>《</w:t>
            </w:r>
            <w:r>
              <w:rPr>
                <w:rFonts w:hint="eastAsia"/>
                <w:sz w:val="24"/>
              </w:rPr>
              <w:t>国家危险废物</w:t>
            </w:r>
            <w:r>
              <w:rPr>
                <w:sz w:val="24"/>
              </w:rPr>
              <w:t>名录</w:t>
            </w:r>
            <w:r>
              <w:rPr>
                <w:rFonts w:hint="eastAsia"/>
                <w:sz w:val="24"/>
              </w:rPr>
              <w:t>（2</w:t>
            </w:r>
            <w:r>
              <w:rPr>
                <w:sz w:val="24"/>
              </w:rPr>
              <w:t>021</w:t>
            </w:r>
            <w:r>
              <w:rPr>
                <w:rFonts w:hint="eastAsia"/>
                <w:sz w:val="24"/>
              </w:rPr>
              <w:t>）</w:t>
            </w:r>
            <w:r>
              <w:rPr>
                <w:sz w:val="24"/>
              </w:rPr>
              <w:t>》，废活性炭属于</w:t>
            </w:r>
            <w:r>
              <w:rPr>
                <w:rFonts w:hint="eastAsia"/>
                <w:sz w:val="24"/>
              </w:rPr>
              <w:t>危险废物（</w:t>
            </w:r>
            <w:r>
              <w:rPr>
                <w:sz w:val="24"/>
              </w:rPr>
              <w:t>HW49</w:t>
            </w:r>
            <w:r>
              <w:rPr>
                <w:rFonts w:hint="eastAsia"/>
                <w:sz w:val="24"/>
              </w:rPr>
              <w:t>其他废物类非特定行业</w:t>
            </w:r>
            <w:r>
              <w:rPr>
                <w:sz w:val="24"/>
              </w:rPr>
              <w:t>900-039-49</w:t>
            </w:r>
            <w:r>
              <w:rPr>
                <w:rFonts w:hint="eastAsia"/>
                <w:sz w:val="24"/>
              </w:rPr>
              <w:t>烟气、V</w:t>
            </w:r>
            <w:r>
              <w:rPr>
                <w:sz w:val="24"/>
              </w:rPr>
              <w:t>OC</w:t>
            </w:r>
            <w:r>
              <w:rPr>
                <w:sz w:val="24"/>
                <w:vertAlign w:val="subscript"/>
              </w:rPr>
              <w:t>S</w:t>
            </w:r>
            <w:r>
              <w:rPr>
                <w:rFonts w:hint="eastAsia"/>
                <w:sz w:val="24"/>
              </w:rPr>
              <w:t>治理过程（不包括餐饮行业油烟治理过程）产生的废活性炭），</w:t>
            </w:r>
            <w:r>
              <w:rPr>
                <w:sz w:val="24"/>
              </w:rPr>
              <w:t>更换的废活性炭集中收集，</w:t>
            </w:r>
            <w:r>
              <w:rPr>
                <w:rFonts w:hint="eastAsia"/>
                <w:sz w:val="24"/>
              </w:rPr>
              <w:t>依托现有项目已建</w:t>
            </w:r>
            <w:r>
              <w:rPr>
                <w:sz w:val="24"/>
              </w:rPr>
              <w:t>危废暂存间暂存，定期</w:t>
            </w:r>
            <w:r>
              <w:rPr>
                <w:rFonts w:hint="eastAsia" w:cs="Arial"/>
                <w:sz w:val="24"/>
                <w:szCs w:val="16"/>
                <w:shd w:val="clear" w:color="auto" w:fill="FFFFFF"/>
              </w:rPr>
              <w:t>委托曲靖银发危险废物集中处置中心有限公司处置</w:t>
            </w:r>
            <w:r>
              <w:rPr>
                <w:sz w:val="24"/>
              </w:rPr>
              <w:t>。</w:t>
            </w:r>
          </w:p>
          <w:p>
            <w:pPr>
              <w:widowControl/>
              <w:adjustRightInd w:val="0"/>
              <w:spacing w:line="360" w:lineRule="auto"/>
              <w:ind w:firstLine="480" w:firstLineChars="200"/>
              <w:rPr>
                <w:snapToGrid w:val="0"/>
                <w:kern w:val="0"/>
                <w:sz w:val="24"/>
              </w:rPr>
            </w:pPr>
            <w:r>
              <w:rPr>
                <w:rFonts w:hint="eastAsia"/>
                <w:snapToGrid w:val="0"/>
                <w:kern w:val="0"/>
                <w:sz w:val="24"/>
              </w:rPr>
              <w:t>经现场踏勘，现有项目已建危废暂存间，对照《危险废物贮存污染控制标准》（GB18597-2023），现有危废暂存间具有防风、防雨、防晒、防渗等措施，且建设单位派专人负责危废暂存间的管理，并做好危废转移台账记录。</w:t>
            </w:r>
          </w:p>
          <w:p>
            <w:pPr>
              <w:adjustRightInd w:val="0"/>
              <w:spacing w:line="360" w:lineRule="auto"/>
              <w:ind w:firstLine="480" w:firstLineChars="200"/>
              <w:rPr>
                <w:sz w:val="24"/>
              </w:rPr>
            </w:pPr>
            <w:r>
              <w:rPr>
                <w:rFonts w:hint="eastAsia"/>
                <w:sz w:val="24"/>
              </w:rPr>
              <w:t>本</w:t>
            </w:r>
            <w:r>
              <w:rPr>
                <w:sz w:val="24"/>
              </w:rPr>
              <w:t>项目固体废物产生情况及处置措施见表</w:t>
            </w:r>
            <w:r>
              <w:rPr>
                <w:rFonts w:hint="eastAsia"/>
                <w:sz w:val="24"/>
              </w:rPr>
              <w:t>4-22</w:t>
            </w:r>
            <w:r>
              <w:rPr>
                <w:sz w:val="24"/>
              </w:rPr>
              <w:t>。</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表4-22  本项目固体废物产生情况</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7"/>
              <w:gridCol w:w="1899"/>
              <w:gridCol w:w="852"/>
              <w:gridCol w:w="1139"/>
              <w:gridCol w:w="713"/>
              <w:gridCol w:w="996"/>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5" w:type="pct"/>
                  <w:vAlign w:val="center"/>
                </w:tcPr>
                <w:p>
                  <w:pPr>
                    <w:adjustRightInd w:val="0"/>
                    <w:jc w:val="center"/>
                    <w:rPr>
                      <w:b/>
                      <w:szCs w:val="21"/>
                    </w:rPr>
                  </w:pPr>
                  <w:r>
                    <w:rPr>
                      <w:b/>
                      <w:szCs w:val="21"/>
                    </w:rPr>
                    <w:t>序号</w:t>
                  </w:r>
                </w:p>
              </w:tc>
              <w:tc>
                <w:tcPr>
                  <w:tcW w:w="1159" w:type="pct"/>
                  <w:vAlign w:val="center"/>
                </w:tcPr>
                <w:p>
                  <w:pPr>
                    <w:adjustRightInd w:val="0"/>
                    <w:jc w:val="center"/>
                    <w:rPr>
                      <w:b/>
                      <w:szCs w:val="21"/>
                    </w:rPr>
                  </w:pPr>
                  <w:r>
                    <w:rPr>
                      <w:b/>
                      <w:szCs w:val="21"/>
                    </w:rPr>
                    <w:t>名称</w:t>
                  </w:r>
                </w:p>
              </w:tc>
              <w:tc>
                <w:tcPr>
                  <w:tcW w:w="520" w:type="pct"/>
                  <w:vAlign w:val="center"/>
                </w:tcPr>
                <w:p>
                  <w:pPr>
                    <w:adjustRightInd w:val="0"/>
                    <w:jc w:val="center"/>
                    <w:rPr>
                      <w:b/>
                      <w:szCs w:val="21"/>
                    </w:rPr>
                  </w:pPr>
                  <w:r>
                    <w:rPr>
                      <w:rFonts w:hint="eastAsia"/>
                      <w:b/>
                      <w:szCs w:val="21"/>
                    </w:rPr>
                    <w:t>性质</w:t>
                  </w:r>
                </w:p>
              </w:tc>
              <w:tc>
                <w:tcPr>
                  <w:tcW w:w="695" w:type="pct"/>
                  <w:vAlign w:val="center"/>
                </w:tcPr>
                <w:p>
                  <w:pPr>
                    <w:pStyle w:val="25"/>
                    <w:adjustRightInd w:val="0"/>
                    <w:spacing w:line="240" w:lineRule="auto"/>
                    <w:ind w:left="0" w:firstLine="0" w:firstLineChars="0"/>
                    <w:jc w:val="center"/>
                    <w:rPr>
                      <w:b/>
                      <w:sz w:val="21"/>
                      <w:szCs w:val="21"/>
                    </w:rPr>
                  </w:pPr>
                  <w:r>
                    <w:rPr>
                      <w:rFonts w:ascii="Times New Roman" w:hAnsi="Times New Roman" w:cs="Times New Roman"/>
                      <w:b/>
                      <w:sz w:val="21"/>
                      <w:szCs w:val="21"/>
                    </w:rPr>
                    <w:t>危废</w:t>
                  </w:r>
                  <w:r>
                    <w:rPr>
                      <w:b/>
                      <w:sz w:val="21"/>
                      <w:szCs w:val="21"/>
                    </w:rPr>
                    <w:t>编号</w:t>
                  </w:r>
                </w:p>
              </w:tc>
              <w:tc>
                <w:tcPr>
                  <w:tcW w:w="435" w:type="pct"/>
                  <w:vAlign w:val="center"/>
                </w:tcPr>
                <w:p>
                  <w:pPr>
                    <w:adjustRightInd w:val="0"/>
                    <w:jc w:val="center"/>
                    <w:rPr>
                      <w:b/>
                      <w:szCs w:val="21"/>
                    </w:rPr>
                  </w:pPr>
                  <w:r>
                    <w:rPr>
                      <w:b/>
                      <w:szCs w:val="21"/>
                    </w:rPr>
                    <w:t>单位</w:t>
                  </w:r>
                </w:p>
              </w:tc>
              <w:tc>
                <w:tcPr>
                  <w:tcW w:w="608" w:type="pct"/>
                  <w:vAlign w:val="center"/>
                </w:tcPr>
                <w:p>
                  <w:pPr>
                    <w:adjustRightInd w:val="0"/>
                    <w:jc w:val="center"/>
                    <w:rPr>
                      <w:b/>
                      <w:szCs w:val="21"/>
                    </w:rPr>
                  </w:pPr>
                  <w:r>
                    <w:rPr>
                      <w:b/>
                      <w:szCs w:val="21"/>
                    </w:rPr>
                    <w:t>产生量</w:t>
                  </w:r>
                </w:p>
              </w:tc>
              <w:tc>
                <w:tcPr>
                  <w:tcW w:w="1218" w:type="pct"/>
                  <w:vAlign w:val="center"/>
                </w:tcPr>
                <w:p>
                  <w:pPr>
                    <w:adjustRightInd w:val="0"/>
                    <w:jc w:val="center"/>
                    <w:rPr>
                      <w:b/>
                      <w:szCs w:val="21"/>
                    </w:rPr>
                  </w:pPr>
                  <w:r>
                    <w:rPr>
                      <w:b/>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5" w:type="pct"/>
                  <w:vAlign w:val="center"/>
                </w:tcPr>
                <w:p>
                  <w:pPr>
                    <w:adjustRightInd w:val="0"/>
                    <w:jc w:val="center"/>
                    <w:rPr>
                      <w:szCs w:val="21"/>
                    </w:rPr>
                  </w:pPr>
                  <w:r>
                    <w:rPr>
                      <w:rFonts w:hint="eastAsia"/>
                      <w:szCs w:val="21"/>
                    </w:rPr>
                    <w:t>1</w:t>
                  </w:r>
                </w:p>
              </w:tc>
              <w:tc>
                <w:tcPr>
                  <w:tcW w:w="1159" w:type="pct"/>
                  <w:vAlign w:val="center"/>
                </w:tcPr>
                <w:p>
                  <w:pPr>
                    <w:adjustRightInd w:val="0"/>
                    <w:jc w:val="center"/>
                    <w:rPr>
                      <w:bCs/>
                      <w:szCs w:val="21"/>
                    </w:rPr>
                  </w:pPr>
                  <w:r>
                    <w:rPr>
                      <w:rFonts w:hint="eastAsia"/>
                      <w:bCs/>
                      <w:szCs w:val="21"/>
                    </w:rPr>
                    <w:t>5t/h导热油锅炉炉渣</w:t>
                  </w:r>
                </w:p>
              </w:tc>
              <w:tc>
                <w:tcPr>
                  <w:tcW w:w="520" w:type="pct"/>
                  <w:vMerge w:val="restart"/>
                  <w:vAlign w:val="center"/>
                </w:tcPr>
                <w:p>
                  <w:pPr>
                    <w:adjustRightInd w:val="0"/>
                    <w:jc w:val="center"/>
                    <w:rPr>
                      <w:szCs w:val="21"/>
                    </w:rPr>
                  </w:pPr>
                  <w:r>
                    <w:rPr>
                      <w:rFonts w:hint="eastAsia"/>
                      <w:szCs w:val="21"/>
                    </w:rPr>
                    <w:t>一般工业固废</w:t>
                  </w:r>
                </w:p>
              </w:tc>
              <w:tc>
                <w:tcPr>
                  <w:tcW w:w="695" w:type="pct"/>
                  <w:vMerge w:val="restart"/>
                  <w:vAlign w:val="center"/>
                </w:tcPr>
                <w:p>
                  <w:pPr>
                    <w:adjustRightInd w:val="0"/>
                    <w:jc w:val="center"/>
                    <w:rPr>
                      <w:szCs w:val="21"/>
                    </w:rPr>
                  </w:pPr>
                  <w:r>
                    <w:rPr>
                      <w:rFonts w:hint="eastAsia"/>
                      <w:szCs w:val="21"/>
                    </w:rPr>
                    <w:t>——</w:t>
                  </w:r>
                </w:p>
              </w:tc>
              <w:tc>
                <w:tcPr>
                  <w:tcW w:w="435" w:type="pct"/>
                  <w:vAlign w:val="center"/>
                </w:tcPr>
                <w:p>
                  <w:pPr>
                    <w:adjustRightInd w:val="0"/>
                    <w:jc w:val="center"/>
                    <w:rPr>
                      <w:szCs w:val="21"/>
                    </w:rPr>
                  </w:pPr>
                  <w:r>
                    <w:rPr>
                      <w:szCs w:val="21"/>
                    </w:rPr>
                    <w:t>t/a</w:t>
                  </w:r>
                </w:p>
              </w:tc>
              <w:tc>
                <w:tcPr>
                  <w:tcW w:w="608" w:type="pct"/>
                  <w:vAlign w:val="center"/>
                </w:tcPr>
                <w:p>
                  <w:pPr>
                    <w:adjustRightInd w:val="0"/>
                    <w:jc w:val="center"/>
                    <w:rPr>
                      <w:szCs w:val="21"/>
                    </w:rPr>
                  </w:pPr>
                  <w:r>
                    <w:rPr>
                      <w:szCs w:val="21"/>
                    </w:rPr>
                    <w:t>7.86</w:t>
                  </w:r>
                </w:p>
              </w:tc>
              <w:tc>
                <w:tcPr>
                  <w:tcW w:w="1218" w:type="pct"/>
                  <w:vMerge w:val="restart"/>
                  <w:vAlign w:val="center"/>
                </w:tcPr>
                <w:p>
                  <w:pPr>
                    <w:adjustRightInd w:val="0"/>
                    <w:jc w:val="center"/>
                    <w:rPr>
                      <w:szCs w:val="21"/>
                    </w:rPr>
                  </w:pPr>
                  <w:r>
                    <w:rPr>
                      <w:rFonts w:hint="eastAsia"/>
                      <w:szCs w:val="21"/>
                    </w:rPr>
                    <w:t>统一收集后委托环卫部门清运处置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5" w:type="pct"/>
                  <w:vAlign w:val="center"/>
                </w:tcPr>
                <w:p>
                  <w:pPr>
                    <w:adjustRightInd w:val="0"/>
                    <w:jc w:val="center"/>
                    <w:rPr>
                      <w:szCs w:val="21"/>
                    </w:rPr>
                  </w:pPr>
                  <w:r>
                    <w:rPr>
                      <w:rFonts w:hint="eastAsia"/>
                      <w:szCs w:val="21"/>
                    </w:rPr>
                    <w:t>2</w:t>
                  </w:r>
                </w:p>
              </w:tc>
              <w:tc>
                <w:tcPr>
                  <w:tcW w:w="1159" w:type="pct"/>
                  <w:vAlign w:val="center"/>
                </w:tcPr>
                <w:p>
                  <w:pPr>
                    <w:adjustRightInd w:val="0"/>
                    <w:jc w:val="center"/>
                    <w:rPr>
                      <w:bCs/>
                      <w:szCs w:val="21"/>
                    </w:rPr>
                  </w:pPr>
                  <w:r>
                    <w:rPr>
                      <w:rFonts w:hint="eastAsia"/>
                      <w:bCs/>
                      <w:szCs w:val="21"/>
                    </w:rPr>
                    <w:t>导热油锅炉废气处理系统除尘灰</w:t>
                  </w:r>
                </w:p>
              </w:tc>
              <w:tc>
                <w:tcPr>
                  <w:tcW w:w="520" w:type="pct"/>
                  <w:vMerge w:val="continue"/>
                  <w:vAlign w:val="center"/>
                </w:tcPr>
                <w:p>
                  <w:pPr>
                    <w:adjustRightInd w:val="0"/>
                    <w:jc w:val="center"/>
                    <w:rPr>
                      <w:szCs w:val="21"/>
                    </w:rPr>
                  </w:pPr>
                </w:p>
              </w:tc>
              <w:tc>
                <w:tcPr>
                  <w:tcW w:w="695" w:type="pct"/>
                  <w:vMerge w:val="continue"/>
                  <w:vAlign w:val="center"/>
                </w:tcPr>
                <w:p>
                  <w:pPr>
                    <w:adjustRightInd w:val="0"/>
                    <w:jc w:val="center"/>
                    <w:rPr>
                      <w:szCs w:val="21"/>
                    </w:rPr>
                  </w:pPr>
                </w:p>
              </w:tc>
              <w:tc>
                <w:tcPr>
                  <w:tcW w:w="435" w:type="pct"/>
                  <w:vAlign w:val="center"/>
                </w:tcPr>
                <w:p>
                  <w:pPr>
                    <w:adjustRightInd w:val="0"/>
                    <w:jc w:val="center"/>
                    <w:rPr>
                      <w:szCs w:val="21"/>
                    </w:rPr>
                  </w:pPr>
                  <w:r>
                    <w:rPr>
                      <w:szCs w:val="21"/>
                    </w:rPr>
                    <w:t>t/a</w:t>
                  </w:r>
                </w:p>
              </w:tc>
              <w:tc>
                <w:tcPr>
                  <w:tcW w:w="608" w:type="pct"/>
                  <w:vAlign w:val="center"/>
                </w:tcPr>
                <w:p>
                  <w:pPr>
                    <w:adjustRightInd w:val="0"/>
                    <w:jc w:val="center"/>
                    <w:rPr>
                      <w:szCs w:val="21"/>
                    </w:rPr>
                  </w:pPr>
                  <w:r>
                    <w:rPr>
                      <w:szCs w:val="21"/>
                    </w:rPr>
                    <w:t>20.16</w:t>
                  </w:r>
                </w:p>
              </w:tc>
              <w:tc>
                <w:tcPr>
                  <w:tcW w:w="1218" w:type="pct"/>
                  <w:vMerge w:val="continue"/>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5" w:type="pct"/>
                  <w:vAlign w:val="center"/>
                </w:tcPr>
                <w:p>
                  <w:pPr>
                    <w:adjustRightInd w:val="0"/>
                    <w:jc w:val="center"/>
                    <w:rPr>
                      <w:szCs w:val="21"/>
                    </w:rPr>
                  </w:pPr>
                  <w:r>
                    <w:rPr>
                      <w:rFonts w:hint="eastAsia"/>
                      <w:szCs w:val="21"/>
                    </w:rPr>
                    <w:t>3</w:t>
                  </w:r>
                </w:p>
              </w:tc>
              <w:tc>
                <w:tcPr>
                  <w:tcW w:w="1159" w:type="pct"/>
                  <w:vAlign w:val="center"/>
                </w:tcPr>
                <w:p>
                  <w:pPr>
                    <w:adjustRightInd w:val="0"/>
                    <w:jc w:val="center"/>
                    <w:rPr>
                      <w:bCs/>
                      <w:szCs w:val="21"/>
                    </w:rPr>
                  </w:pPr>
                  <w:r>
                    <w:rPr>
                      <w:rFonts w:hint="eastAsia"/>
                      <w:bCs/>
                      <w:szCs w:val="21"/>
                    </w:rPr>
                    <w:t>水膜除尘装置除尘渣、沉淀池污泥</w:t>
                  </w:r>
                </w:p>
              </w:tc>
              <w:tc>
                <w:tcPr>
                  <w:tcW w:w="520" w:type="pct"/>
                  <w:vMerge w:val="continue"/>
                  <w:vAlign w:val="center"/>
                </w:tcPr>
                <w:p>
                  <w:pPr>
                    <w:adjustRightInd w:val="0"/>
                    <w:jc w:val="center"/>
                    <w:rPr>
                      <w:szCs w:val="21"/>
                    </w:rPr>
                  </w:pPr>
                </w:p>
              </w:tc>
              <w:tc>
                <w:tcPr>
                  <w:tcW w:w="695" w:type="pct"/>
                  <w:vMerge w:val="continue"/>
                  <w:vAlign w:val="center"/>
                </w:tcPr>
                <w:p>
                  <w:pPr>
                    <w:adjustRightInd w:val="0"/>
                    <w:jc w:val="center"/>
                    <w:rPr>
                      <w:szCs w:val="21"/>
                    </w:rPr>
                  </w:pPr>
                </w:p>
              </w:tc>
              <w:tc>
                <w:tcPr>
                  <w:tcW w:w="435" w:type="pct"/>
                  <w:vAlign w:val="center"/>
                </w:tcPr>
                <w:p>
                  <w:pPr>
                    <w:adjustRightInd w:val="0"/>
                    <w:jc w:val="center"/>
                    <w:rPr>
                      <w:szCs w:val="21"/>
                    </w:rPr>
                  </w:pPr>
                  <w:r>
                    <w:rPr>
                      <w:rFonts w:hint="eastAsia"/>
                      <w:szCs w:val="21"/>
                    </w:rPr>
                    <w:t>t</w:t>
                  </w:r>
                  <w:r>
                    <w:rPr>
                      <w:szCs w:val="21"/>
                    </w:rPr>
                    <w:t>/a</w:t>
                  </w:r>
                </w:p>
              </w:tc>
              <w:tc>
                <w:tcPr>
                  <w:tcW w:w="608" w:type="pct"/>
                  <w:vAlign w:val="center"/>
                </w:tcPr>
                <w:p>
                  <w:pPr>
                    <w:adjustRightInd w:val="0"/>
                    <w:jc w:val="center"/>
                    <w:rPr>
                      <w:szCs w:val="21"/>
                    </w:rPr>
                  </w:pPr>
                  <w:r>
                    <w:rPr>
                      <w:szCs w:val="21"/>
                    </w:rPr>
                    <w:t>11.232</w:t>
                  </w:r>
                  <w:r>
                    <w:rPr>
                      <w:rFonts w:hint="eastAsia"/>
                      <w:szCs w:val="21"/>
                    </w:rPr>
                    <w:t>t/a（干基）</w:t>
                  </w:r>
                </w:p>
              </w:tc>
              <w:tc>
                <w:tcPr>
                  <w:tcW w:w="1218" w:type="pct"/>
                  <w:vMerge w:val="continue"/>
                  <w:vAlign w:val="center"/>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5" w:type="pct"/>
                  <w:vAlign w:val="center"/>
                </w:tcPr>
                <w:p>
                  <w:pPr>
                    <w:adjustRightInd w:val="0"/>
                    <w:jc w:val="center"/>
                    <w:rPr>
                      <w:szCs w:val="21"/>
                    </w:rPr>
                  </w:pPr>
                  <w:r>
                    <w:rPr>
                      <w:rFonts w:hint="eastAsia"/>
                      <w:szCs w:val="21"/>
                    </w:rPr>
                    <w:t>4</w:t>
                  </w:r>
                </w:p>
              </w:tc>
              <w:tc>
                <w:tcPr>
                  <w:tcW w:w="1159" w:type="pct"/>
                  <w:vAlign w:val="center"/>
                </w:tcPr>
                <w:p>
                  <w:pPr>
                    <w:adjustRightInd w:val="0"/>
                    <w:jc w:val="center"/>
                    <w:rPr>
                      <w:bCs/>
                      <w:szCs w:val="21"/>
                    </w:rPr>
                  </w:pPr>
                  <w:r>
                    <w:rPr>
                      <w:rFonts w:hint="eastAsia"/>
                      <w:bCs/>
                      <w:szCs w:val="21"/>
                    </w:rPr>
                    <w:t>筛选打磨工序除尘系统产生的除尘灰</w:t>
                  </w:r>
                </w:p>
              </w:tc>
              <w:tc>
                <w:tcPr>
                  <w:tcW w:w="520" w:type="pct"/>
                  <w:vMerge w:val="continue"/>
                  <w:vAlign w:val="center"/>
                </w:tcPr>
                <w:p>
                  <w:pPr>
                    <w:adjustRightInd w:val="0"/>
                    <w:jc w:val="center"/>
                    <w:rPr>
                      <w:szCs w:val="21"/>
                    </w:rPr>
                  </w:pPr>
                </w:p>
              </w:tc>
              <w:tc>
                <w:tcPr>
                  <w:tcW w:w="695" w:type="pct"/>
                  <w:vMerge w:val="continue"/>
                  <w:vAlign w:val="center"/>
                </w:tcPr>
                <w:p>
                  <w:pPr>
                    <w:adjustRightInd w:val="0"/>
                    <w:jc w:val="center"/>
                    <w:rPr>
                      <w:szCs w:val="21"/>
                    </w:rPr>
                  </w:pPr>
                </w:p>
              </w:tc>
              <w:tc>
                <w:tcPr>
                  <w:tcW w:w="435" w:type="pct"/>
                  <w:vAlign w:val="center"/>
                </w:tcPr>
                <w:p>
                  <w:pPr>
                    <w:adjustRightInd w:val="0"/>
                    <w:jc w:val="center"/>
                    <w:rPr>
                      <w:szCs w:val="21"/>
                    </w:rPr>
                  </w:pPr>
                  <w:r>
                    <w:rPr>
                      <w:rFonts w:hint="eastAsia"/>
                      <w:szCs w:val="21"/>
                    </w:rPr>
                    <w:t>t</w:t>
                  </w:r>
                  <w:r>
                    <w:rPr>
                      <w:szCs w:val="21"/>
                    </w:rPr>
                    <w:t>/a</w:t>
                  </w:r>
                </w:p>
              </w:tc>
              <w:tc>
                <w:tcPr>
                  <w:tcW w:w="608" w:type="pct"/>
                  <w:vAlign w:val="center"/>
                </w:tcPr>
                <w:p>
                  <w:pPr>
                    <w:adjustRightInd w:val="0"/>
                    <w:jc w:val="center"/>
                    <w:rPr>
                      <w:szCs w:val="21"/>
                    </w:rPr>
                  </w:pPr>
                  <w:r>
                    <w:rPr>
                      <w:rFonts w:hint="eastAsia"/>
                      <w:szCs w:val="21"/>
                    </w:rPr>
                    <w:t>4</w:t>
                  </w:r>
                  <w:r>
                    <w:rPr>
                      <w:szCs w:val="21"/>
                    </w:rPr>
                    <w:t>.13</w:t>
                  </w:r>
                </w:p>
              </w:tc>
              <w:tc>
                <w:tcPr>
                  <w:tcW w:w="1218" w:type="pct"/>
                  <w:vAlign w:val="center"/>
                </w:tcPr>
                <w:p>
                  <w:pPr>
                    <w:adjustRightInd w:val="0"/>
                    <w:jc w:val="center"/>
                    <w:rPr>
                      <w:szCs w:val="21"/>
                    </w:rPr>
                  </w:pPr>
                  <w:r>
                    <w:rPr>
                      <w:rFonts w:hint="eastAsia"/>
                      <w:szCs w:val="21"/>
                    </w:rPr>
                    <w:t>统一收集后用作导热油锅炉燃料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5" w:type="pct"/>
                  <w:vAlign w:val="center"/>
                </w:tcPr>
                <w:p>
                  <w:pPr>
                    <w:adjustRightInd w:val="0"/>
                    <w:jc w:val="center"/>
                    <w:rPr>
                      <w:szCs w:val="21"/>
                    </w:rPr>
                  </w:pPr>
                  <w:r>
                    <w:rPr>
                      <w:szCs w:val="21"/>
                    </w:rPr>
                    <w:t>5</w:t>
                  </w:r>
                </w:p>
              </w:tc>
              <w:tc>
                <w:tcPr>
                  <w:tcW w:w="1159" w:type="pct"/>
                  <w:vAlign w:val="center"/>
                </w:tcPr>
                <w:p>
                  <w:pPr>
                    <w:adjustRightInd w:val="0"/>
                    <w:jc w:val="center"/>
                    <w:rPr>
                      <w:bCs/>
                      <w:szCs w:val="21"/>
                    </w:rPr>
                  </w:pPr>
                  <w:r>
                    <w:rPr>
                      <w:rFonts w:hint="eastAsia"/>
                      <w:bCs/>
                      <w:szCs w:val="21"/>
                    </w:rPr>
                    <w:t>5t/h导热油锅炉废导热油</w:t>
                  </w:r>
                </w:p>
              </w:tc>
              <w:tc>
                <w:tcPr>
                  <w:tcW w:w="520" w:type="pct"/>
                  <w:vMerge w:val="restart"/>
                  <w:vAlign w:val="center"/>
                </w:tcPr>
                <w:p>
                  <w:pPr>
                    <w:adjustRightInd w:val="0"/>
                    <w:jc w:val="center"/>
                    <w:rPr>
                      <w:szCs w:val="21"/>
                    </w:rPr>
                  </w:pPr>
                  <w:r>
                    <w:rPr>
                      <w:rFonts w:hint="eastAsia"/>
                      <w:szCs w:val="21"/>
                    </w:rPr>
                    <w:t>危险固废</w:t>
                  </w:r>
                </w:p>
              </w:tc>
              <w:tc>
                <w:tcPr>
                  <w:tcW w:w="695" w:type="pct"/>
                  <w:vAlign w:val="center"/>
                </w:tcPr>
                <w:p>
                  <w:pPr>
                    <w:adjustRightInd w:val="0"/>
                    <w:jc w:val="center"/>
                    <w:rPr>
                      <w:szCs w:val="21"/>
                    </w:rPr>
                  </w:pPr>
                  <w:r>
                    <w:rPr>
                      <w:szCs w:val="21"/>
                    </w:rPr>
                    <w:t>HW</w:t>
                  </w:r>
                  <w:r>
                    <w:rPr>
                      <w:rFonts w:hint="eastAsia"/>
                      <w:szCs w:val="21"/>
                    </w:rPr>
                    <w:t>08</w:t>
                  </w:r>
                  <w:r>
                    <w:rPr>
                      <w:szCs w:val="21"/>
                    </w:rPr>
                    <w:t>-</w:t>
                  </w:r>
                  <w:r>
                    <w:rPr>
                      <w:rFonts w:hint="eastAsia" w:cs="Arial"/>
                      <w:szCs w:val="21"/>
                      <w:shd w:val="clear" w:color="auto" w:fill="FFFFFF"/>
                    </w:rPr>
                    <w:t>900-24</w:t>
                  </w:r>
                  <w:r>
                    <w:rPr>
                      <w:rFonts w:cs="Arial"/>
                      <w:szCs w:val="21"/>
                      <w:shd w:val="clear" w:color="auto" w:fill="FFFFFF"/>
                    </w:rPr>
                    <w:t>9</w:t>
                  </w:r>
                  <w:r>
                    <w:rPr>
                      <w:rFonts w:hint="eastAsia" w:cs="Arial"/>
                      <w:szCs w:val="21"/>
                      <w:shd w:val="clear" w:color="auto" w:fill="FFFFFF"/>
                    </w:rPr>
                    <w:t>-08</w:t>
                  </w:r>
                </w:p>
              </w:tc>
              <w:tc>
                <w:tcPr>
                  <w:tcW w:w="435" w:type="pct"/>
                  <w:vAlign w:val="center"/>
                </w:tcPr>
                <w:p>
                  <w:pPr>
                    <w:adjustRightInd w:val="0"/>
                    <w:jc w:val="center"/>
                    <w:rPr>
                      <w:szCs w:val="21"/>
                    </w:rPr>
                  </w:pPr>
                  <w:r>
                    <w:rPr>
                      <w:szCs w:val="21"/>
                    </w:rPr>
                    <w:t>t/a</w:t>
                  </w:r>
                </w:p>
              </w:tc>
              <w:tc>
                <w:tcPr>
                  <w:tcW w:w="608" w:type="pct"/>
                  <w:vAlign w:val="center"/>
                </w:tcPr>
                <w:p>
                  <w:pPr>
                    <w:adjustRightInd w:val="0"/>
                    <w:jc w:val="center"/>
                    <w:rPr>
                      <w:szCs w:val="21"/>
                    </w:rPr>
                  </w:pPr>
                  <w:r>
                    <w:rPr>
                      <w:rFonts w:hint="eastAsia"/>
                      <w:szCs w:val="21"/>
                    </w:rPr>
                    <w:t>0.8</w:t>
                  </w:r>
                </w:p>
              </w:tc>
              <w:tc>
                <w:tcPr>
                  <w:tcW w:w="1218" w:type="pct"/>
                  <w:vAlign w:val="center"/>
                </w:tcPr>
                <w:p>
                  <w:pPr>
                    <w:adjustRightInd w:val="0"/>
                    <w:jc w:val="center"/>
                    <w:rPr>
                      <w:szCs w:val="21"/>
                    </w:rPr>
                  </w:pPr>
                  <w:r>
                    <w:rPr>
                      <w:szCs w:val="21"/>
                    </w:rPr>
                    <w:t>定期交由</w:t>
                  </w:r>
                  <w:r>
                    <w:rPr>
                      <w:rFonts w:hint="eastAsia" w:cs="宋体"/>
                      <w:kern w:val="0"/>
                      <w:szCs w:val="21"/>
                      <w:lang w:bidi="ar"/>
                    </w:rPr>
                    <w:t>寻甸同磊再生资源回收有限公司</w:t>
                  </w:r>
                  <w:r>
                    <w:rPr>
                      <w:szCs w:val="21"/>
                    </w:rPr>
                    <w:t>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65" w:type="pct"/>
                  <w:vAlign w:val="center"/>
                </w:tcPr>
                <w:p>
                  <w:pPr>
                    <w:adjustRightInd w:val="0"/>
                    <w:jc w:val="center"/>
                    <w:rPr>
                      <w:szCs w:val="21"/>
                    </w:rPr>
                  </w:pPr>
                  <w:r>
                    <w:rPr>
                      <w:szCs w:val="21"/>
                    </w:rPr>
                    <w:t>6</w:t>
                  </w:r>
                </w:p>
              </w:tc>
              <w:tc>
                <w:tcPr>
                  <w:tcW w:w="1159" w:type="pct"/>
                  <w:vAlign w:val="center"/>
                </w:tcPr>
                <w:p>
                  <w:pPr>
                    <w:adjustRightInd w:val="0"/>
                    <w:jc w:val="center"/>
                    <w:rPr>
                      <w:bCs/>
                      <w:szCs w:val="21"/>
                    </w:rPr>
                  </w:pPr>
                  <w:r>
                    <w:rPr>
                      <w:rFonts w:hint="eastAsia"/>
                      <w:bCs/>
                      <w:szCs w:val="21"/>
                    </w:rPr>
                    <w:t>热压凉板环节活性炭吸附装置废活性炭</w:t>
                  </w:r>
                </w:p>
              </w:tc>
              <w:tc>
                <w:tcPr>
                  <w:tcW w:w="520" w:type="pct"/>
                  <w:vMerge w:val="continue"/>
                  <w:vAlign w:val="center"/>
                </w:tcPr>
                <w:p>
                  <w:pPr>
                    <w:adjustRightInd w:val="0"/>
                    <w:jc w:val="center"/>
                    <w:rPr>
                      <w:szCs w:val="21"/>
                    </w:rPr>
                  </w:pPr>
                </w:p>
              </w:tc>
              <w:tc>
                <w:tcPr>
                  <w:tcW w:w="695" w:type="pct"/>
                  <w:vAlign w:val="center"/>
                </w:tcPr>
                <w:p>
                  <w:pPr>
                    <w:adjustRightInd w:val="0"/>
                    <w:jc w:val="center"/>
                    <w:rPr>
                      <w:szCs w:val="21"/>
                    </w:rPr>
                  </w:pPr>
                  <w:r>
                    <w:rPr>
                      <w:szCs w:val="21"/>
                    </w:rPr>
                    <w:t>HW4</w:t>
                  </w:r>
                  <w:r>
                    <w:rPr>
                      <w:rFonts w:hint="eastAsia"/>
                      <w:szCs w:val="21"/>
                    </w:rPr>
                    <w:t>9</w:t>
                  </w:r>
                  <w:r>
                    <w:rPr>
                      <w:szCs w:val="21"/>
                    </w:rPr>
                    <w:t>-900-039-49</w:t>
                  </w:r>
                </w:p>
              </w:tc>
              <w:tc>
                <w:tcPr>
                  <w:tcW w:w="435" w:type="pct"/>
                  <w:vAlign w:val="center"/>
                </w:tcPr>
                <w:p>
                  <w:pPr>
                    <w:adjustRightInd w:val="0"/>
                    <w:jc w:val="center"/>
                    <w:rPr>
                      <w:szCs w:val="21"/>
                    </w:rPr>
                  </w:pPr>
                  <w:r>
                    <w:rPr>
                      <w:szCs w:val="21"/>
                    </w:rPr>
                    <w:t>t/a</w:t>
                  </w:r>
                </w:p>
              </w:tc>
              <w:tc>
                <w:tcPr>
                  <w:tcW w:w="608" w:type="pct"/>
                  <w:vAlign w:val="center"/>
                </w:tcPr>
                <w:p>
                  <w:pPr>
                    <w:adjustRightInd w:val="0"/>
                    <w:jc w:val="center"/>
                    <w:rPr>
                      <w:szCs w:val="21"/>
                    </w:rPr>
                  </w:pPr>
                  <w:r>
                    <w:rPr>
                      <w:rFonts w:hint="eastAsia"/>
                      <w:szCs w:val="21"/>
                    </w:rPr>
                    <w:t>6.25</w:t>
                  </w:r>
                </w:p>
              </w:tc>
              <w:tc>
                <w:tcPr>
                  <w:tcW w:w="1218" w:type="pct"/>
                  <w:vAlign w:val="center"/>
                </w:tcPr>
                <w:p>
                  <w:pPr>
                    <w:adjustRightInd w:val="0"/>
                    <w:jc w:val="center"/>
                    <w:rPr>
                      <w:szCs w:val="21"/>
                    </w:rPr>
                  </w:pPr>
                  <w:r>
                    <w:rPr>
                      <w:rFonts w:hint="eastAsia"/>
                      <w:szCs w:val="21"/>
                    </w:rPr>
                    <w:t>委托曲靖银发危险废物集中处置中心有限公司处置</w:t>
                  </w:r>
                </w:p>
              </w:tc>
            </w:tr>
          </w:tbl>
          <w:p>
            <w:pPr>
              <w:widowControl/>
              <w:adjustRightInd w:val="0"/>
              <w:spacing w:before="120" w:beforeLines="50" w:line="360" w:lineRule="auto"/>
              <w:ind w:firstLine="480" w:firstLineChars="200"/>
              <w:rPr>
                <w:b/>
                <w:bCs/>
                <w:sz w:val="24"/>
                <w:szCs w:val="21"/>
              </w:rPr>
            </w:pPr>
            <w:r>
              <w:rPr>
                <w:snapToGrid w:val="0"/>
                <w:kern w:val="0"/>
                <w:sz w:val="24"/>
              </w:rPr>
              <w:t>综上分析，</w:t>
            </w:r>
            <w:r>
              <w:rPr>
                <w:rFonts w:hint="eastAsia"/>
                <w:snapToGrid w:val="0"/>
                <w:kern w:val="0"/>
                <w:sz w:val="24"/>
              </w:rPr>
              <w:t>本</w:t>
            </w:r>
            <w:r>
              <w:rPr>
                <w:snapToGrid w:val="0"/>
                <w:kern w:val="0"/>
                <w:sz w:val="24"/>
              </w:rPr>
              <w:t>项目产生的固体废物均得到了妥善处理，有效处置率100%。只要加强固体废弃物的收集和管理，严禁乱倒乱抛现象，固体废弃物对环境的影响较小</w:t>
            </w:r>
            <w:r>
              <w:rPr>
                <w:rFonts w:hint="eastAsia"/>
                <w:snapToGrid w:val="0"/>
                <w:kern w:val="0"/>
                <w:sz w:val="24"/>
              </w:rPr>
              <w:t>。</w:t>
            </w:r>
          </w:p>
          <w:p>
            <w:pPr>
              <w:adjustRightInd w:val="0"/>
              <w:spacing w:line="360" w:lineRule="auto"/>
              <w:ind w:firstLine="482" w:firstLineChars="200"/>
              <w:rPr>
                <w:b/>
                <w:bCs/>
                <w:sz w:val="24"/>
                <w:szCs w:val="21"/>
              </w:rPr>
            </w:pPr>
            <w:r>
              <w:rPr>
                <w:rFonts w:hint="eastAsia"/>
                <w:b/>
                <w:bCs/>
                <w:sz w:val="24"/>
                <w:szCs w:val="21"/>
              </w:rPr>
              <w:t>五、地下水和土壤</w:t>
            </w:r>
          </w:p>
          <w:p>
            <w:pPr>
              <w:pStyle w:val="9"/>
              <w:adjustRightInd w:val="0"/>
              <w:spacing w:line="360" w:lineRule="auto"/>
              <w:ind w:firstLine="480" w:firstLineChars="200"/>
              <w:jc w:val="both"/>
              <w:rPr>
                <w:szCs w:val="21"/>
              </w:rPr>
            </w:pPr>
            <w:r>
              <w:rPr>
                <w:rFonts w:hint="eastAsia"/>
                <w:szCs w:val="24"/>
              </w:rPr>
              <w:t>本项目对现有工程的供热工程和环保工程进行技改，项目不存在地下水、土壤环境污染途径，根据《建设项目环境影响报告表编制技术指南（污染影响类）》，不需开展地下水、土壤环境现状调查及相关影响分析，故本评价不再对地下水、土壤环境进行评价</w:t>
            </w:r>
            <w:r>
              <w:rPr>
                <w:szCs w:val="24"/>
              </w:rPr>
              <w:t>。</w:t>
            </w:r>
          </w:p>
          <w:p>
            <w:pPr>
              <w:adjustRightInd w:val="0"/>
              <w:spacing w:line="360" w:lineRule="auto"/>
              <w:ind w:firstLine="482" w:firstLineChars="200"/>
              <w:rPr>
                <w:sz w:val="24"/>
                <w:szCs w:val="21"/>
              </w:rPr>
            </w:pPr>
            <w:r>
              <w:rPr>
                <w:rFonts w:hint="eastAsia"/>
                <w:b/>
                <w:bCs/>
                <w:sz w:val="24"/>
                <w:szCs w:val="21"/>
              </w:rPr>
              <w:t>六、环境风险</w:t>
            </w:r>
          </w:p>
          <w:p>
            <w:pPr>
              <w:pStyle w:val="27"/>
              <w:spacing w:after="0" w:line="360" w:lineRule="auto"/>
              <w:ind w:firstLine="482"/>
              <w:rPr>
                <w:b/>
                <w:bCs/>
              </w:rPr>
            </w:pPr>
            <w:r>
              <w:rPr>
                <w:rFonts w:hint="eastAsia"/>
                <w:b/>
                <w:bCs/>
              </w:rPr>
              <w:t>1、风险源调查</w:t>
            </w:r>
          </w:p>
          <w:p>
            <w:pPr>
              <w:pStyle w:val="27"/>
              <w:spacing w:after="0" w:line="360" w:lineRule="auto"/>
              <w:ind w:firstLine="480"/>
              <w:rPr>
                <w:snapToGrid w:val="0"/>
                <w:kern w:val="0"/>
              </w:rPr>
            </w:pPr>
            <w:r>
              <w:rPr>
                <w:rFonts w:hint="eastAsia"/>
              </w:rPr>
              <w:t>本项目</w:t>
            </w:r>
            <w:r>
              <w:t>主要针对现有</w:t>
            </w:r>
            <w:r>
              <w:rPr>
                <w:rFonts w:hint="eastAsia"/>
              </w:rPr>
              <w:t>项目配套</w:t>
            </w:r>
            <w:r>
              <w:t>供热工程</w:t>
            </w:r>
            <w:r>
              <w:rPr>
                <w:rFonts w:hint="eastAsia"/>
              </w:rPr>
              <w:t>和</w:t>
            </w:r>
            <w:r>
              <w:t>环保工程</w:t>
            </w:r>
            <w:r>
              <w:rPr>
                <w:rFonts w:hint="eastAsia"/>
              </w:rPr>
              <w:t>进行技改</w:t>
            </w:r>
            <w:r>
              <w:t>，</w:t>
            </w:r>
            <w:r>
              <w:rPr>
                <w:rFonts w:hint="eastAsia" w:cs="宋体"/>
                <w:szCs w:val="21"/>
              </w:rPr>
              <w:t>现有项目厂区</w:t>
            </w:r>
            <w:r>
              <w:rPr>
                <w:rFonts w:cs="宋体"/>
                <w:szCs w:val="21"/>
              </w:rPr>
              <w:t>涉及《建设项目环境风险评价技术导则》（HJ/T169-2018）附录B中表B.1中的</w:t>
            </w:r>
            <w:r>
              <w:rPr>
                <w:rFonts w:hint="eastAsia" w:cs="宋体"/>
                <w:szCs w:val="21"/>
              </w:rPr>
              <w:t>突发环境事件</w:t>
            </w:r>
            <w:r>
              <w:rPr>
                <w:rFonts w:cs="宋体"/>
                <w:szCs w:val="21"/>
              </w:rPr>
              <w:t>环境风险物质</w:t>
            </w:r>
            <w:r>
              <w:rPr>
                <w:rFonts w:hint="eastAsia" w:cs="宋体"/>
                <w:szCs w:val="21"/>
              </w:rPr>
              <w:t>有甲醛（存储量1</w:t>
            </w:r>
            <w:r>
              <w:rPr>
                <w:rFonts w:cs="宋体"/>
                <w:szCs w:val="21"/>
              </w:rPr>
              <w:t>1t</w:t>
            </w:r>
            <w:r>
              <w:rPr>
                <w:rFonts w:hint="eastAsia" w:cs="宋体"/>
                <w:szCs w:val="21"/>
              </w:rPr>
              <w:t>）、甲酸（存储量0</w:t>
            </w:r>
            <w:r>
              <w:rPr>
                <w:rFonts w:cs="宋体"/>
                <w:szCs w:val="21"/>
              </w:rPr>
              <w:t>.02t</w:t>
            </w:r>
            <w:r>
              <w:rPr>
                <w:rFonts w:hint="eastAsia" w:cs="宋体"/>
                <w:szCs w:val="21"/>
              </w:rPr>
              <w:t>）、导热油（存储量8</w:t>
            </w:r>
            <w:r>
              <w:rPr>
                <w:rFonts w:cs="宋体"/>
                <w:szCs w:val="21"/>
              </w:rPr>
              <w:t>t</w:t>
            </w:r>
            <w:r>
              <w:rPr>
                <w:rFonts w:hint="eastAsia" w:cs="宋体"/>
                <w:szCs w:val="21"/>
              </w:rPr>
              <w:t>）、废矿物油（包含废导热油及废机油，存储量共1</w:t>
            </w:r>
            <w:r>
              <w:rPr>
                <w:rFonts w:cs="宋体"/>
                <w:szCs w:val="21"/>
              </w:rPr>
              <w:t>.2t</w:t>
            </w:r>
            <w:r>
              <w:rPr>
                <w:rFonts w:hint="eastAsia" w:cs="宋体"/>
                <w:szCs w:val="21"/>
              </w:rPr>
              <w:t>）等，现有项目环评时已针对厂区现有危险物质环境风险进行预测分析并提出完善的环境风险防范措施，本次环评</w:t>
            </w:r>
            <w:r>
              <w:rPr>
                <w:rFonts w:hint="eastAsia" w:cs="宋体"/>
                <w:szCs w:val="21"/>
                <w:lang w:eastAsia="zh-CN"/>
              </w:rPr>
              <w:t>不再</w:t>
            </w:r>
            <w:r>
              <w:rPr>
                <w:rFonts w:hint="eastAsia" w:cs="宋体"/>
                <w:szCs w:val="21"/>
              </w:rPr>
              <w:t>考虑现有项目环境风险。本项目</w:t>
            </w:r>
            <w:r>
              <w:rPr>
                <w:rFonts w:hint="eastAsia"/>
              </w:rPr>
              <w:t>新增5t/h导热油锅炉，</w:t>
            </w:r>
            <w:r>
              <w:rPr>
                <w:rFonts w:hint="eastAsia"/>
                <w:szCs w:val="24"/>
              </w:rPr>
              <w:t>根据《建设项目环境风险评价技术导则》（HJ169-2018）附录B进行辨识，本</w:t>
            </w:r>
            <w:r>
              <w:rPr>
                <w:szCs w:val="24"/>
              </w:rPr>
              <w:t>项目涉及的主要危险物质</w:t>
            </w:r>
            <w:r>
              <w:rPr>
                <w:rFonts w:hint="eastAsia"/>
                <w:szCs w:val="24"/>
              </w:rPr>
              <w:t>为</w:t>
            </w:r>
            <w:r>
              <w:rPr>
                <w:rFonts w:hint="eastAsia"/>
              </w:rPr>
              <w:t>锅炉导热油</w:t>
            </w:r>
            <w:r>
              <w:rPr>
                <w:rFonts w:hint="eastAsia"/>
                <w:snapToGrid w:val="0"/>
                <w:kern w:val="0"/>
              </w:rPr>
              <w:t>。</w:t>
            </w:r>
          </w:p>
          <w:p>
            <w:pPr>
              <w:spacing w:line="360" w:lineRule="auto"/>
              <w:ind w:firstLine="480" w:firstLineChars="200"/>
              <w:rPr>
                <w:sz w:val="24"/>
              </w:rPr>
            </w:pPr>
            <w:r>
              <w:rPr>
                <w:rFonts w:hint="eastAsia"/>
                <w:sz w:val="24"/>
              </w:rPr>
              <w:t>本项目涉及风险物质储存情况如下表所示：</w:t>
            </w:r>
          </w:p>
          <w:p>
            <w:pPr>
              <w:spacing w:line="360" w:lineRule="auto"/>
              <w:jc w:val="center"/>
              <w:rPr>
                <w:b/>
                <w:sz w:val="24"/>
              </w:rPr>
            </w:pPr>
            <w:r>
              <w:rPr>
                <w:rFonts w:hint="eastAsia"/>
                <w:b/>
                <w:sz w:val="24"/>
              </w:rPr>
              <w:t>表</w:t>
            </w:r>
            <w:r>
              <w:rPr>
                <w:b/>
                <w:sz w:val="24"/>
              </w:rPr>
              <w:t>4-</w:t>
            </w:r>
            <w:r>
              <w:rPr>
                <w:rFonts w:hint="eastAsia"/>
                <w:b/>
                <w:sz w:val="24"/>
              </w:rPr>
              <w:t>23</w:t>
            </w:r>
            <w:r>
              <w:rPr>
                <w:b/>
                <w:sz w:val="24"/>
              </w:rPr>
              <w:t xml:space="preserve">  </w:t>
            </w:r>
            <w:r>
              <w:rPr>
                <w:rFonts w:hint="eastAsia"/>
                <w:b/>
                <w:sz w:val="24"/>
              </w:rPr>
              <w:t>项目风险物质储存情况一览表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068"/>
              <w:gridCol w:w="2150"/>
              <w:gridCol w:w="1714"/>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b/>
                      <w:bCs/>
                      <w:szCs w:val="21"/>
                    </w:rPr>
                  </w:pPr>
                  <w:r>
                    <w:rPr>
                      <w:b/>
                      <w:bCs/>
                      <w:szCs w:val="21"/>
                    </w:rPr>
                    <w:t>序号</w:t>
                  </w:r>
                </w:p>
              </w:tc>
              <w:tc>
                <w:tcPr>
                  <w:tcW w:w="1262" w:type="pct"/>
                  <w:vAlign w:val="center"/>
                </w:tcPr>
                <w:p>
                  <w:pPr>
                    <w:jc w:val="center"/>
                    <w:rPr>
                      <w:b/>
                      <w:bCs/>
                      <w:szCs w:val="21"/>
                    </w:rPr>
                  </w:pPr>
                  <w:r>
                    <w:rPr>
                      <w:b/>
                      <w:bCs/>
                      <w:szCs w:val="21"/>
                    </w:rPr>
                    <w:t>名称</w:t>
                  </w:r>
                </w:p>
              </w:tc>
              <w:tc>
                <w:tcPr>
                  <w:tcW w:w="1312" w:type="pct"/>
                  <w:vAlign w:val="center"/>
                </w:tcPr>
                <w:p>
                  <w:pPr>
                    <w:jc w:val="center"/>
                    <w:rPr>
                      <w:b/>
                      <w:bCs/>
                      <w:szCs w:val="21"/>
                    </w:rPr>
                  </w:pPr>
                  <w:r>
                    <w:rPr>
                      <w:b/>
                      <w:bCs/>
                      <w:szCs w:val="21"/>
                    </w:rPr>
                    <w:t>储存位置</w:t>
                  </w:r>
                </w:p>
              </w:tc>
              <w:tc>
                <w:tcPr>
                  <w:tcW w:w="1046" w:type="pct"/>
                  <w:vAlign w:val="center"/>
                </w:tcPr>
                <w:p>
                  <w:pPr>
                    <w:jc w:val="center"/>
                    <w:rPr>
                      <w:b/>
                      <w:bCs/>
                      <w:szCs w:val="21"/>
                    </w:rPr>
                  </w:pPr>
                  <w:r>
                    <w:rPr>
                      <w:b/>
                      <w:bCs/>
                      <w:szCs w:val="21"/>
                    </w:rPr>
                    <w:t>最大储存量（t）</w:t>
                  </w:r>
                </w:p>
              </w:tc>
              <w:tc>
                <w:tcPr>
                  <w:tcW w:w="844" w:type="pct"/>
                  <w:vAlign w:val="center"/>
                </w:tcPr>
                <w:p>
                  <w:pPr>
                    <w:jc w:val="center"/>
                    <w:rPr>
                      <w:b/>
                      <w:bCs/>
                      <w:szCs w:val="21"/>
                    </w:rPr>
                  </w:pPr>
                  <w:r>
                    <w:rPr>
                      <w:b/>
                      <w:bCs/>
                      <w:szCs w:val="21"/>
                    </w:rPr>
                    <w:t>物料状态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Align w:val="center"/>
                </w:tcPr>
                <w:p>
                  <w:pPr>
                    <w:jc w:val="center"/>
                    <w:rPr>
                      <w:szCs w:val="21"/>
                    </w:rPr>
                  </w:pPr>
                  <w:r>
                    <w:rPr>
                      <w:szCs w:val="21"/>
                    </w:rPr>
                    <w:t>1</w:t>
                  </w:r>
                </w:p>
              </w:tc>
              <w:tc>
                <w:tcPr>
                  <w:tcW w:w="1262" w:type="pct"/>
                  <w:vAlign w:val="center"/>
                </w:tcPr>
                <w:p>
                  <w:pPr>
                    <w:jc w:val="center"/>
                    <w:rPr>
                      <w:szCs w:val="21"/>
                    </w:rPr>
                  </w:pPr>
                  <w:r>
                    <w:rPr>
                      <w:rFonts w:hint="eastAsia"/>
                      <w:szCs w:val="21"/>
                    </w:rPr>
                    <w:t>导热油</w:t>
                  </w:r>
                </w:p>
              </w:tc>
              <w:tc>
                <w:tcPr>
                  <w:tcW w:w="1312" w:type="pct"/>
                  <w:vAlign w:val="center"/>
                </w:tcPr>
                <w:p>
                  <w:pPr>
                    <w:jc w:val="center"/>
                    <w:rPr>
                      <w:szCs w:val="21"/>
                    </w:rPr>
                  </w:pPr>
                  <w:r>
                    <w:rPr>
                      <w:rFonts w:hint="eastAsia"/>
                      <w:szCs w:val="21"/>
                    </w:rPr>
                    <w:t>导热油槽及管道</w:t>
                  </w:r>
                </w:p>
              </w:tc>
              <w:tc>
                <w:tcPr>
                  <w:tcW w:w="1046" w:type="pct"/>
                  <w:vAlign w:val="center"/>
                </w:tcPr>
                <w:p>
                  <w:pPr>
                    <w:jc w:val="center"/>
                    <w:rPr>
                      <w:szCs w:val="21"/>
                    </w:rPr>
                  </w:pPr>
                  <w:r>
                    <w:rPr>
                      <w:szCs w:val="21"/>
                    </w:rPr>
                    <w:t>6.5</w:t>
                  </w:r>
                </w:p>
              </w:tc>
              <w:tc>
                <w:tcPr>
                  <w:tcW w:w="844" w:type="pct"/>
                  <w:vAlign w:val="center"/>
                </w:tcPr>
                <w:p>
                  <w:pPr>
                    <w:jc w:val="center"/>
                    <w:rPr>
                      <w:szCs w:val="21"/>
                    </w:rPr>
                  </w:pPr>
                  <w:r>
                    <w:rPr>
                      <w:rFonts w:hint="eastAsia"/>
                      <w:szCs w:val="21"/>
                    </w:rPr>
                    <w:t>液态</w:t>
                  </w:r>
                </w:p>
              </w:tc>
            </w:tr>
          </w:tbl>
          <w:p>
            <w:pPr>
              <w:pStyle w:val="27"/>
              <w:spacing w:before="120" w:beforeLines="50" w:after="0" w:line="360" w:lineRule="auto"/>
              <w:ind w:firstLine="482"/>
              <w:rPr>
                <w:b/>
                <w:bCs/>
              </w:rPr>
            </w:pPr>
            <w:r>
              <w:rPr>
                <w:rFonts w:hint="eastAsia"/>
                <w:b/>
                <w:bCs/>
              </w:rPr>
              <w:t>2、环境风险潜势初判</w:t>
            </w:r>
          </w:p>
          <w:p>
            <w:pPr>
              <w:adjustRightInd w:val="0"/>
              <w:spacing w:line="360" w:lineRule="auto"/>
              <w:ind w:firstLine="480" w:firstLineChars="200"/>
              <w:rPr>
                <w:sz w:val="24"/>
              </w:rPr>
            </w:pPr>
            <w:r>
              <w:rPr>
                <w:rFonts w:hint="eastAsia" w:cs="宋体"/>
                <w:sz w:val="24"/>
                <w:lang w:bidi="ar"/>
              </w:rPr>
              <w:t>根据《建设项目环境风险评价技术导则》（</w:t>
            </w:r>
            <w:r>
              <w:rPr>
                <w:sz w:val="24"/>
                <w:lang w:bidi="ar"/>
              </w:rPr>
              <w:t>HJ169-2018</w:t>
            </w:r>
            <w:r>
              <w:rPr>
                <w:rFonts w:hint="eastAsia" w:cs="宋体"/>
                <w:sz w:val="24"/>
                <w:lang w:bidi="ar"/>
              </w:rPr>
              <w:t>）附录</w:t>
            </w:r>
            <w:r>
              <w:rPr>
                <w:sz w:val="24"/>
                <w:lang w:bidi="ar"/>
              </w:rPr>
              <w:t>B</w:t>
            </w:r>
            <w:r>
              <w:rPr>
                <w:rFonts w:hint="eastAsia" w:cs="宋体"/>
                <w:sz w:val="24"/>
                <w:lang w:bidi="ar"/>
              </w:rPr>
              <w:t>，计算项目涉及的每种危险物质在厂界内的最大存在总量与其在附录</w:t>
            </w:r>
            <w:r>
              <w:rPr>
                <w:sz w:val="24"/>
                <w:lang w:bidi="ar"/>
              </w:rPr>
              <w:t>B</w:t>
            </w:r>
            <w:r>
              <w:rPr>
                <w:rFonts w:hint="eastAsia" w:cs="宋体"/>
                <w:sz w:val="24"/>
                <w:lang w:bidi="ar"/>
              </w:rPr>
              <w:t>中对应临界量的比值</w:t>
            </w:r>
            <w:r>
              <w:rPr>
                <w:sz w:val="24"/>
                <w:lang w:bidi="ar"/>
              </w:rPr>
              <w:t>Q</w:t>
            </w:r>
            <w:r>
              <w:rPr>
                <w:rFonts w:hint="eastAsia" w:cs="宋体"/>
                <w:sz w:val="24"/>
                <w:lang w:bidi="ar"/>
              </w:rPr>
              <w:t>。在不同厂区的同一种物质，按其在厂界内的最大存在总量计算。对于长输管线项目，按照两个截断阀室之间管段危险物质最大存在总量计算。</w:t>
            </w:r>
          </w:p>
          <w:p>
            <w:pPr>
              <w:adjustRightInd w:val="0"/>
              <w:spacing w:line="360" w:lineRule="auto"/>
              <w:ind w:firstLine="480" w:firstLineChars="200"/>
              <w:rPr>
                <w:sz w:val="24"/>
              </w:rPr>
            </w:pPr>
            <w:r>
              <w:rPr>
                <w:rFonts w:hint="eastAsia" w:cs="宋体"/>
                <w:sz w:val="24"/>
                <w:lang w:bidi="ar"/>
              </w:rPr>
              <w:t>当只涉及一种危险物质时，计算该物质的总量与其临界量比值，即为</w:t>
            </w:r>
            <w:r>
              <w:rPr>
                <w:sz w:val="24"/>
                <w:lang w:bidi="ar"/>
              </w:rPr>
              <w:t>Q</w:t>
            </w:r>
            <w:r>
              <w:rPr>
                <w:rFonts w:hint="eastAsia" w:cs="宋体"/>
                <w:sz w:val="24"/>
                <w:lang w:bidi="ar"/>
              </w:rPr>
              <w:t>；</w:t>
            </w:r>
          </w:p>
          <w:p>
            <w:pPr>
              <w:adjustRightInd w:val="0"/>
              <w:spacing w:line="360" w:lineRule="auto"/>
              <w:ind w:firstLine="480" w:firstLineChars="200"/>
              <w:rPr>
                <w:sz w:val="24"/>
              </w:rPr>
            </w:pPr>
            <w:r>
              <w:rPr>
                <w:rFonts w:hint="eastAsia" w:cs="宋体"/>
                <w:sz w:val="24"/>
                <w:lang w:bidi="ar"/>
              </w:rPr>
              <w:t>当存在多种危险物质时，则按式（</w:t>
            </w:r>
            <w:r>
              <w:rPr>
                <w:sz w:val="24"/>
                <w:lang w:bidi="ar"/>
              </w:rPr>
              <w:t>C.1</w:t>
            </w:r>
            <w:r>
              <w:rPr>
                <w:rFonts w:hint="eastAsia" w:cs="宋体"/>
                <w:sz w:val="24"/>
                <w:lang w:bidi="ar"/>
              </w:rPr>
              <w:t>）计算物质总量与其临界量比值（</w:t>
            </w:r>
            <w:r>
              <w:rPr>
                <w:sz w:val="24"/>
                <w:lang w:bidi="ar"/>
              </w:rPr>
              <w:t>Q</w:t>
            </w:r>
            <w:r>
              <w:rPr>
                <w:rFonts w:hint="eastAsia" w:cs="宋体"/>
                <w:sz w:val="24"/>
                <w:lang w:bidi="ar"/>
              </w:rPr>
              <w:t>）：</w:t>
            </w:r>
          </w:p>
          <w:p>
            <w:pPr>
              <w:adjustRightInd w:val="0"/>
              <w:spacing w:line="360" w:lineRule="auto"/>
              <w:ind w:firstLine="420" w:firstLineChars="200"/>
              <w:jc w:val="center"/>
              <w:rPr>
                <w:sz w:val="24"/>
              </w:rPr>
            </w:pPr>
            <w:r>
              <mc:AlternateContent>
                <mc:Choice Requires="wpc">
                  <w:drawing>
                    <wp:inline distT="0" distB="0" distL="0" distR="0">
                      <wp:extent cx="3163570" cy="655320"/>
                      <wp:effectExtent l="0" t="0" r="17780" b="11430"/>
                      <wp:docPr id="8" name="画布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图片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36195" y="2540"/>
                                  <a:ext cx="3104515" cy="656590"/>
                                </a:xfrm>
                                <a:prstGeom prst="rect">
                                  <a:avLst/>
                                </a:prstGeom>
                                <a:noFill/>
                                <a:ln>
                                  <a:noFill/>
                                </a:ln>
                                <a:effectLst/>
                              </pic:spPr>
                            </pic:pic>
                          </wpc:wpc>
                        </a:graphicData>
                      </a:graphic>
                    </wp:inline>
                  </w:drawing>
                </mc:Choice>
                <mc:Fallback>
                  <w:pict>
                    <v:group id="画布 23" o:spid="_x0000_s1026" o:spt="203" style="height:51.6pt;width:249.1pt;" coordsize="3163570,655320" editas="canvas" o:gfxdata="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">
                      <o:lock v:ext="edit" aspectratio="f"/>
                      <v:shape id="画布 23" o:spid="_x0000_s1026" style="position:absolute;left:0;top:0;height:655320;width:3163570;" filled="f" stroked="f" coordsize="21600,21600" o:gfxdata="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">
                        <v:fill on="f" focussize="0,0"/>
                        <v:stroke on="f"/>
                        <v:imagedata o:title=""/>
                        <o:lock v:ext="edit" aspectratio="t"/>
                      </v:shape>
                      <v:shape id="图片 24" o:spid="_x0000_s1026" o:spt="75" type="#_x0000_t75" style="position:absolute;left:36195;top:2540;height:656590;width:3104515;" filled="f" o:preferrelative="t" stroked="f" coordsize="21600,21600" o:gfxdata="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">
                        <v:fill on="f" focussize="0,0"/>
                        <v:stroke on="f"/>
                        <v:imagedata r:id="rId37" o:title=""/>
                        <o:lock v:ext="edit" aspectratio="t"/>
                      </v:shape>
                      <w10:wrap type="none"/>
                      <w10:anchorlock/>
                    </v:group>
                  </w:pict>
                </mc:Fallback>
              </mc:AlternateContent>
            </w:r>
          </w:p>
          <w:p>
            <w:pPr>
              <w:adjustRightInd w:val="0"/>
              <w:spacing w:line="360" w:lineRule="auto"/>
              <w:ind w:firstLine="480" w:firstLineChars="200"/>
              <w:rPr>
                <w:sz w:val="24"/>
              </w:rPr>
            </w:pPr>
            <w:r>
              <w:rPr>
                <w:rFonts w:hint="eastAsia" w:cs="宋体"/>
                <w:sz w:val="24"/>
                <w:lang w:bidi="ar"/>
              </w:rPr>
              <w:t>式中：</w:t>
            </w:r>
            <w:r>
              <w:rPr>
                <w:sz w:val="24"/>
                <w:lang w:bidi="ar"/>
              </w:rPr>
              <w:t>q</w:t>
            </w:r>
            <w:r>
              <w:rPr>
                <w:sz w:val="24"/>
                <w:vertAlign w:val="subscript"/>
                <w:lang w:bidi="ar"/>
              </w:rPr>
              <w:t>1</w:t>
            </w:r>
            <w:r>
              <w:rPr>
                <w:rFonts w:hint="eastAsia" w:cs="宋体"/>
                <w:sz w:val="24"/>
                <w:lang w:bidi="ar"/>
              </w:rPr>
              <w:t>，</w:t>
            </w:r>
            <w:r>
              <w:rPr>
                <w:sz w:val="24"/>
                <w:lang w:bidi="ar"/>
              </w:rPr>
              <w:t>q</w:t>
            </w:r>
            <w:r>
              <w:rPr>
                <w:sz w:val="24"/>
                <w:vertAlign w:val="subscript"/>
                <w:lang w:bidi="ar"/>
              </w:rPr>
              <w:t>2</w:t>
            </w:r>
            <w:r>
              <w:rPr>
                <w:rFonts w:hint="eastAsia" w:cs="宋体"/>
                <w:sz w:val="24"/>
                <w:lang w:bidi="ar"/>
              </w:rPr>
              <w:t>，</w:t>
            </w:r>
            <w:r>
              <w:rPr>
                <w:sz w:val="24"/>
                <w:lang w:bidi="ar"/>
              </w:rPr>
              <w:t>...</w:t>
            </w:r>
            <w:r>
              <w:rPr>
                <w:rFonts w:hint="eastAsia" w:cs="宋体"/>
                <w:sz w:val="24"/>
                <w:lang w:bidi="ar"/>
              </w:rPr>
              <w:t>，</w:t>
            </w:r>
            <w:r>
              <w:rPr>
                <w:sz w:val="24"/>
                <w:lang w:bidi="ar"/>
              </w:rPr>
              <w:t>q</w:t>
            </w:r>
            <w:r>
              <w:rPr>
                <w:sz w:val="24"/>
                <w:vertAlign w:val="subscript"/>
                <w:lang w:bidi="ar"/>
              </w:rPr>
              <w:t>n</w:t>
            </w:r>
            <w:r>
              <w:rPr>
                <w:sz w:val="24"/>
                <w:lang w:bidi="ar"/>
              </w:rPr>
              <w:t>——</w:t>
            </w:r>
            <w:r>
              <w:rPr>
                <w:rFonts w:hint="eastAsia" w:cs="宋体"/>
                <w:sz w:val="24"/>
                <w:lang w:bidi="ar"/>
              </w:rPr>
              <w:t>每种危险物质的最大存在总量，</w:t>
            </w:r>
            <w:r>
              <w:rPr>
                <w:sz w:val="24"/>
                <w:lang w:bidi="ar"/>
              </w:rPr>
              <w:t>t</w:t>
            </w:r>
            <w:r>
              <w:rPr>
                <w:rFonts w:hint="eastAsia" w:cs="宋体"/>
                <w:sz w:val="24"/>
                <w:lang w:bidi="ar"/>
              </w:rPr>
              <w:t>；</w:t>
            </w:r>
          </w:p>
          <w:p>
            <w:pPr>
              <w:adjustRightInd w:val="0"/>
              <w:spacing w:line="360" w:lineRule="auto"/>
              <w:ind w:firstLine="1200" w:firstLineChars="500"/>
              <w:rPr>
                <w:sz w:val="24"/>
              </w:rPr>
            </w:pPr>
            <w:r>
              <w:rPr>
                <w:sz w:val="24"/>
                <w:lang w:bidi="ar"/>
              </w:rPr>
              <w:t>Q</w:t>
            </w:r>
            <w:r>
              <w:rPr>
                <w:sz w:val="24"/>
                <w:vertAlign w:val="subscript"/>
                <w:lang w:bidi="ar"/>
              </w:rPr>
              <w:t>1</w:t>
            </w:r>
            <w:r>
              <w:rPr>
                <w:rFonts w:hint="eastAsia" w:cs="宋体"/>
                <w:sz w:val="24"/>
                <w:lang w:bidi="ar"/>
              </w:rPr>
              <w:t>，</w:t>
            </w:r>
            <w:r>
              <w:rPr>
                <w:sz w:val="24"/>
                <w:lang w:bidi="ar"/>
              </w:rPr>
              <w:t>Q</w:t>
            </w:r>
            <w:r>
              <w:rPr>
                <w:sz w:val="24"/>
                <w:vertAlign w:val="subscript"/>
                <w:lang w:bidi="ar"/>
              </w:rPr>
              <w:t>2</w:t>
            </w:r>
            <w:r>
              <w:rPr>
                <w:rFonts w:hint="eastAsia" w:cs="宋体"/>
                <w:sz w:val="24"/>
                <w:lang w:bidi="ar"/>
              </w:rPr>
              <w:t>，</w:t>
            </w:r>
            <w:r>
              <w:rPr>
                <w:sz w:val="24"/>
                <w:lang w:bidi="ar"/>
              </w:rPr>
              <w:t>...</w:t>
            </w:r>
            <w:r>
              <w:rPr>
                <w:rFonts w:hint="eastAsia" w:cs="宋体"/>
                <w:sz w:val="24"/>
                <w:lang w:bidi="ar"/>
              </w:rPr>
              <w:t>，</w:t>
            </w:r>
            <w:r>
              <w:rPr>
                <w:sz w:val="24"/>
                <w:lang w:bidi="ar"/>
              </w:rPr>
              <w:t>Q</w:t>
            </w:r>
            <w:r>
              <w:rPr>
                <w:sz w:val="24"/>
                <w:vertAlign w:val="subscript"/>
                <w:lang w:bidi="ar"/>
              </w:rPr>
              <w:t>n—</w:t>
            </w:r>
            <w:r>
              <w:rPr>
                <w:sz w:val="24"/>
                <w:lang w:bidi="ar"/>
              </w:rPr>
              <w:t>—</w:t>
            </w:r>
            <w:r>
              <w:rPr>
                <w:rFonts w:hint="eastAsia" w:cs="宋体"/>
                <w:sz w:val="24"/>
                <w:lang w:bidi="ar"/>
              </w:rPr>
              <w:t>每种危险物质的临界量，</w:t>
            </w:r>
            <w:r>
              <w:rPr>
                <w:sz w:val="24"/>
                <w:lang w:bidi="ar"/>
              </w:rPr>
              <w:t>t</w:t>
            </w:r>
            <w:r>
              <w:rPr>
                <w:rFonts w:hint="eastAsia" w:cs="宋体"/>
                <w:sz w:val="24"/>
                <w:lang w:bidi="ar"/>
              </w:rPr>
              <w:t>。</w:t>
            </w:r>
          </w:p>
          <w:p>
            <w:pPr>
              <w:adjustRightInd w:val="0"/>
              <w:spacing w:line="360" w:lineRule="auto"/>
              <w:ind w:firstLine="1200" w:firstLineChars="500"/>
              <w:rPr>
                <w:sz w:val="24"/>
              </w:rPr>
            </w:pPr>
            <w:r>
              <w:rPr>
                <w:rFonts w:hint="eastAsia" w:cs="宋体"/>
                <w:sz w:val="24"/>
                <w:lang w:bidi="ar"/>
              </w:rPr>
              <w:t>当</w:t>
            </w:r>
            <w:r>
              <w:rPr>
                <w:sz w:val="24"/>
                <w:lang w:bidi="ar"/>
              </w:rPr>
              <w:t>Q</w:t>
            </w:r>
            <w:r>
              <w:rPr>
                <w:rFonts w:hint="eastAsia" w:cs="宋体"/>
                <w:sz w:val="24"/>
                <w:lang w:bidi="ar"/>
              </w:rPr>
              <w:t>＜</w:t>
            </w:r>
            <w:r>
              <w:rPr>
                <w:sz w:val="24"/>
                <w:lang w:bidi="ar"/>
              </w:rPr>
              <w:t>1</w:t>
            </w:r>
            <w:r>
              <w:rPr>
                <w:rFonts w:hint="eastAsia" w:cs="宋体"/>
                <w:sz w:val="24"/>
                <w:lang w:bidi="ar"/>
              </w:rPr>
              <w:t>时，该项目环境风险潜势为</w:t>
            </w:r>
            <w:r>
              <w:rPr>
                <w:sz w:val="24"/>
                <w:lang w:bidi="ar"/>
              </w:rPr>
              <w:t>Ⅰ</w:t>
            </w:r>
            <w:r>
              <w:rPr>
                <w:rFonts w:hint="eastAsia" w:cs="宋体"/>
                <w:sz w:val="24"/>
                <w:lang w:bidi="ar"/>
              </w:rPr>
              <w:t>。</w:t>
            </w:r>
          </w:p>
          <w:p>
            <w:pPr>
              <w:adjustRightInd w:val="0"/>
              <w:spacing w:line="360" w:lineRule="auto"/>
              <w:ind w:firstLine="1200" w:firstLineChars="500"/>
              <w:rPr>
                <w:sz w:val="24"/>
              </w:rPr>
            </w:pPr>
            <w:r>
              <w:rPr>
                <w:rFonts w:hint="eastAsia" w:cs="宋体"/>
                <w:sz w:val="24"/>
                <w:lang w:bidi="ar"/>
              </w:rPr>
              <w:t>当</w:t>
            </w:r>
            <w:r>
              <w:rPr>
                <w:sz w:val="24"/>
                <w:lang w:bidi="ar"/>
              </w:rPr>
              <w:t>Q≥1</w:t>
            </w:r>
            <w:r>
              <w:rPr>
                <w:rFonts w:hint="eastAsia" w:cs="宋体"/>
                <w:sz w:val="24"/>
                <w:lang w:bidi="ar"/>
              </w:rPr>
              <w:t>时，将</w:t>
            </w:r>
            <w:r>
              <w:rPr>
                <w:sz w:val="24"/>
                <w:lang w:bidi="ar"/>
              </w:rPr>
              <w:t>Q</w:t>
            </w:r>
            <w:r>
              <w:rPr>
                <w:rFonts w:hint="eastAsia" w:cs="宋体"/>
                <w:sz w:val="24"/>
                <w:lang w:bidi="ar"/>
              </w:rPr>
              <w:t>值划分为：（</w:t>
            </w:r>
            <w:r>
              <w:rPr>
                <w:sz w:val="24"/>
                <w:lang w:bidi="ar"/>
              </w:rPr>
              <w:t>1</w:t>
            </w:r>
            <w:r>
              <w:rPr>
                <w:rFonts w:hint="eastAsia" w:cs="宋体"/>
                <w:sz w:val="24"/>
                <w:lang w:bidi="ar"/>
              </w:rPr>
              <w:t>）</w:t>
            </w:r>
            <w:r>
              <w:rPr>
                <w:sz w:val="24"/>
                <w:lang w:bidi="ar"/>
              </w:rPr>
              <w:t>1≤Q</w:t>
            </w:r>
            <w:r>
              <w:rPr>
                <w:rFonts w:hint="eastAsia" w:cs="宋体"/>
                <w:sz w:val="24"/>
                <w:lang w:bidi="ar"/>
              </w:rPr>
              <w:t>＜</w:t>
            </w:r>
            <w:r>
              <w:rPr>
                <w:sz w:val="24"/>
                <w:lang w:bidi="ar"/>
              </w:rPr>
              <w:t>10</w:t>
            </w:r>
            <w:r>
              <w:rPr>
                <w:rFonts w:hint="eastAsia" w:cs="宋体"/>
                <w:sz w:val="24"/>
                <w:lang w:bidi="ar"/>
              </w:rPr>
              <w:t>；（</w:t>
            </w:r>
            <w:r>
              <w:rPr>
                <w:sz w:val="24"/>
                <w:lang w:bidi="ar"/>
              </w:rPr>
              <w:t>2</w:t>
            </w:r>
            <w:r>
              <w:rPr>
                <w:rFonts w:hint="eastAsia" w:cs="宋体"/>
                <w:sz w:val="24"/>
                <w:lang w:bidi="ar"/>
              </w:rPr>
              <w:t>）</w:t>
            </w:r>
            <w:r>
              <w:rPr>
                <w:sz w:val="24"/>
                <w:lang w:bidi="ar"/>
              </w:rPr>
              <w:t>10≤Q</w:t>
            </w:r>
            <w:r>
              <w:rPr>
                <w:rFonts w:hint="eastAsia" w:cs="宋体"/>
                <w:sz w:val="24"/>
                <w:lang w:bidi="ar"/>
              </w:rPr>
              <w:t>＜</w:t>
            </w:r>
            <w:r>
              <w:rPr>
                <w:sz w:val="24"/>
                <w:lang w:bidi="ar"/>
              </w:rPr>
              <w:t>100</w:t>
            </w:r>
            <w:r>
              <w:rPr>
                <w:rFonts w:hint="eastAsia" w:cs="宋体"/>
                <w:sz w:val="24"/>
                <w:lang w:bidi="ar"/>
              </w:rPr>
              <w:t>；（</w:t>
            </w:r>
            <w:r>
              <w:rPr>
                <w:sz w:val="24"/>
                <w:lang w:bidi="ar"/>
              </w:rPr>
              <w:t>3</w:t>
            </w:r>
            <w:r>
              <w:rPr>
                <w:rFonts w:hint="eastAsia" w:cs="宋体"/>
                <w:sz w:val="24"/>
                <w:lang w:bidi="ar"/>
              </w:rPr>
              <w:t>）</w:t>
            </w:r>
            <w:r>
              <w:rPr>
                <w:sz w:val="24"/>
                <w:lang w:bidi="ar"/>
              </w:rPr>
              <w:t>Q≥100</w:t>
            </w:r>
            <w:r>
              <w:rPr>
                <w:rFonts w:hint="eastAsia" w:cs="宋体"/>
                <w:sz w:val="24"/>
                <w:lang w:bidi="ar"/>
              </w:rPr>
              <w:t>。</w:t>
            </w:r>
          </w:p>
          <w:p>
            <w:pPr>
              <w:adjustRightInd w:val="0"/>
              <w:spacing w:line="360" w:lineRule="auto"/>
              <w:ind w:firstLine="480" w:firstLineChars="200"/>
              <w:rPr>
                <w:kern w:val="0"/>
                <w:sz w:val="24"/>
              </w:rPr>
            </w:pPr>
            <w:r>
              <w:rPr>
                <w:rFonts w:hint="eastAsia" w:cs="宋体"/>
                <w:sz w:val="24"/>
                <w:lang w:bidi="ar"/>
              </w:rPr>
              <w:t>根据工程分析，本项目新增5t/h导热油锅炉导热油为6</w:t>
            </w:r>
            <w:r>
              <w:rPr>
                <w:rFonts w:cs="宋体"/>
                <w:sz w:val="24"/>
                <w:lang w:bidi="ar"/>
              </w:rPr>
              <w:t>.5t</w:t>
            </w:r>
            <w:r>
              <w:rPr>
                <w:rFonts w:hint="eastAsia" w:cs="宋体"/>
                <w:sz w:val="24"/>
                <w:lang w:bidi="ar"/>
              </w:rPr>
              <w:t>。本项目</w:t>
            </w:r>
            <w:r>
              <w:rPr>
                <w:kern w:val="0"/>
                <w:sz w:val="24"/>
                <w:lang w:bidi="ar"/>
              </w:rPr>
              <w:t>Q</w:t>
            </w:r>
            <w:r>
              <w:rPr>
                <w:rFonts w:hint="eastAsia" w:cs="宋体"/>
                <w:kern w:val="0"/>
                <w:sz w:val="24"/>
                <w:lang w:bidi="ar"/>
              </w:rPr>
              <w:t>值确定见表4-</w:t>
            </w:r>
            <w:r>
              <w:rPr>
                <w:rFonts w:hint="eastAsia"/>
                <w:kern w:val="0"/>
                <w:sz w:val="24"/>
                <w:lang w:bidi="ar"/>
              </w:rPr>
              <w:t>24</w:t>
            </w:r>
            <w:r>
              <w:rPr>
                <w:rFonts w:hint="eastAsia" w:cs="宋体"/>
                <w:kern w:val="0"/>
                <w:sz w:val="24"/>
                <w:lang w:bidi="ar"/>
              </w:rPr>
              <w:t>。</w:t>
            </w:r>
          </w:p>
          <w:p>
            <w:pPr>
              <w:widowControl/>
              <w:adjustRightInd w:val="0"/>
              <w:spacing w:line="360" w:lineRule="auto"/>
              <w:jc w:val="center"/>
              <w:rPr>
                <w:rFonts w:cs="宋体"/>
                <w:b/>
                <w:bCs/>
                <w:kern w:val="0"/>
                <w:sz w:val="24"/>
                <w:szCs w:val="20"/>
                <w:lang w:bidi="ar"/>
              </w:rPr>
            </w:pPr>
            <w:r>
              <w:rPr>
                <w:rFonts w:hint="eastAsia" w:cs="宋体"/>
                <w:b/>
                <w:bCs/>
                <w:kern w:val="0"/>
                <w:sz w:val="24"/>
                <w:szCs w:val="20"/>
                <w:lang w:bidi="ar"/>
              </w:rPr>
              <w:t>表4-24</w:t>
            </w:r>
            <w:r>
              <w:rPr>
                <w:rFonts w:cs="宋体"/>
                <w:b/>
                <w:bCs/>
                <w:kern w:val="0"/>
                <w:sz w:val="24"/>
                <w:szCs w:val="20"/>
                <w:lang w:bidi="ar"/>
              </w:rPr>
              <w:t xml:space="preserve">  </w:t>
            </w:r>
            <w:r>
              <w:rPr>
                <w:rFonts w:hint="eastAsia" w:cs="宋体"/>
                <w:b/>
                <w:bCs/>
                <w:kern w:val="0"/>
                <w:sz w:val="24"/>
                <w:szCs w:val="20"/>
                <w:lang w:bidi="ar"/>
              </w:rPr>
              <w:t>建设项目</w:t>
            </w:r>
            <w:r>
              <w:rPr>
                <w:rFonts w:cs="宋体"/>
                <w:b/>
                <w:bCs/>
                <w:kern w:val="0"/>
                <w:sz w:val="24"/>
                <w:szCs w:val="20"/>
                <w:lang w:bidi="ar"/>
              </w:rPr>
              <w:t>Q</w:t>
            </w:r>
            <w:r>
              <w:rPr>
                <w:rFonts w:hint="eastAsia" w:cs="宋体"/>
                <w:b/>
                <w:bCs/>
                <w:kern w:val="0"/>
                <w:sz w:val="24"/>
                <w:szCs w:val="20"/>
                <w:lang w:bidi="ar"/>
              </w:rPr>
              <w:t>值确定表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886"/>
              <w:gridCol w:w="1974"/>
              <w:gridCol w:w="1533"/>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Borders>
                    <w:top w:val="single" w:color="auto" w:sz="4" w:space="0"/>
                    <w:left w:val="single" w:color="auto" w:sz="4" w:space="0"/>
                    <w:bottom w:val="single" w:color="auto" w:sz="4" w:space="0"/>
                    <w:right w:val="single" w:color="auto" w:sz="4" w:space="0"/>
                  </w:tcBorders>
                  <w:vAlign w:val="center"/>
                </w:tcPr>
                <w:p>
                  <w:pPr>
                    <w:adjustRightInd w:val="0"/>
                    <w:jc w:val="center"/>
                    <w:rPr>
                      <w:b/>
                      <w:bCs/>
                      <w:kern w:val="0"/>
                      <w:szCs w:val="21"/>
                    </w:rPr>
                  </w:pPr>
                  <w:r>
                    <w:rPr>
                      <w:rFonts w:hint="eastAsia" w:cs="宋体"/>
                      <w:b/>
                      <w:bCs/>
                      <w:kern w:val="0"/>
                      <w:szCs w:val="21"/>
                      <w:lang w:bidi="ar"/>
                    </w:rPr>
                    <w:t>序号</w:t>
                  </w:r>
                </w:p>
              </w:tc>
              <w:tc>
                <w:tcPr>
                  <w:tcW w:w="1151" w:type="pct"/>
                  <w:tcBorders>
                    <w:top w:val="single" w:color="auto" w:sz="4" w:space="0"/>
                    <w:left w:val="single" w:color="auto" w:sz="4" w:space="0"/>
                    <w:bottom w:val="single" w:color="auto" w:sz="4" w:space="0"/>
                    <w:right w:val="single" w:color="auto" w:sz="4" w:space="0"/>
                  </w:tcBorders>
                  <w:vAlign w:val="center"/>
                </w:tcPr>
                <w:p>
                  <w:pPr>
                    <w:adjustRightInd w:val="0"/>
                    <w:jc w:val="center"/>
                    <w:rPr>
                      <w:b/>
                      <w:bCs/>
                      <w:kern w:val="0"/>
                      <w:szCs w:val="21"/>
                    </w:rPr>
                  </w:pPr>
                  <w:r>
                    <w:rPr>
                      <w:rFonts w:hint="eastAsia" w:cs="宋体"/>
                      <w:b/>
                      <w:bCs/>
                      <w:kern w:val="0"/>
                      <w:szCs w:val="21"/>
                      <w:lang w:bidi="ar"/>
                    </w:rPr>
                    <w:t>危险物质名称</w:t>
                  </w:r>
                </w:p>
              </w:tc>
              <w:tc>
                <w:tcPr>
                  <w:tcW w:w="1205" w:type="pct"/>
                  <w:tcBorders>
                    <w:top w:val="single" w:color="auto" w:sz="4" w:space="0"/>
                    <w:left w:val="single" w:color="auto" w:sz="4" w:space="0"/>
                    <w:bottom w:val="single" w:color="auto" w:sz="4" w:space="0"/>
                    <w:right w:val="single" w:color="auto" w:sz="4" w:space="0"/>
                  </w:tcBorders>
                  <w:vAlign w:val="center"/>
                </w:tcPr>
                <w:p>
                  <w:pPr>
                    <w:adjustRightInd w:val="0"/>
                    <w:jc w:val="center"/>
                    <w:rPr>
                      <w:b/>
                      <w:bCs/>
                      <w:kern w:val="0"/>
                      <w:szCs w:val="21"/>
                    </w:rPr>
                  </w:pPr>
                  <w:r>
                    <w:rPr>
                      <w:rFonts w:hint="eastAsia" w:cs="宋体"/>
                      <w:b/>
                      <w:bCs/>
                      <w:kern w:val="0"/>
                      <w:szCs w:val="21"/>
                      <w:lang w:bidi="ar"/>
                    </w:rPr>
                    <w:t>最大存在总量</w:t>
                  </w:r>
                  <w:r>
                    <w:rPr>
                      <w:b/>
                      <w:bCs/>
                      <w:kern w:val="0"/>
                      <w:szCs w:val="21"/>
                      <w:lang w:bidi="ar"/>
                    </w:rPr>
                    <w:t>q/t</w:t>
                  </w:r>
                </w:p>
              </w:tc>
              <w:tc>
                <w:tcPr>
                  <w:tcW w:w="936" w:type="pct"/>
                  <w:tcBorders>
                    <w:top w:val="single" w:color="auto" w:sz="4" w:space="0"/>
                    <w:left w:val="single" w:color="auto" w:sz="4" w:space="0"/>
                    <w:bottom w:val="single" w:color="auto" w:sz="4" w:space="0"/>
                    <w:right w:val="single" w:color="auto" w:sz="4" w:space="0"/>
                  </w:tcBorders>
                  <w:vAlign w:val="center"/>
                </w:tcPr>
                <w:p>
                  <w:pPr>
                    <w:adjustRightInd w:val="0"/>
                    <w:jc w:val="center"/>
                    <w:rPr>
                      <w:b/>
                      <w:bCs/>
                      <w:kern w:val="0"/>
                      <w:szCs w:val="21"/>
                    </w:rPr>
                  </w:pPr>
                  <w:r>
                    <w:rPr>
                      <w:rFonts w:hint="eastAsia" w:cs="宋体"/>
                      <w:b/>
                      <w:bCs/>
                      <w:kern w:val="0"/>
                      <w:szCs w:val="21"/>
                      <w:lang w:bidi="ar"/>
                    </w:rPr>
                    <w:t>临界量</w:t>
                  </w:r>
                  <w:r>
                    <w:rPr>
                      <w:b/>
                      <w:bCs/>
                      <w:kern w:val="0"/>
                      <w:szCs w:val="21"/>
                      <w:lang w:bidi="ar"/>
                    </w:rPr>
                    <w:t>Qn/t</w:t>
                  </w:r>
                </w:p>
              </w:tc>
              <w:tc>
                <w:tcPr>
                  <w:tcW w:w="1234" w:type="pct"/>
                  <w:tcBorders>
                    <w:top w:val="single" w:color="auto" w:sz="4" w:space="0"/>
                    <w:left w:val="single" w:color="auto" w:sz="4" w:space="0"/>
                    <w:bottom w:val="single" w:color="auto" w:sz="4" w:space="0"/>
                    <w:right w:val="single" w:color="auto" w:sz="4" w:space="0"/>
                  </w:tcBorders>
                  <w:vAlign w:val="center"/>
                </w:tcPr>
                <w:p>
                  <w:pPr>
                    <w:adjustRightInd w:val="0"/>
                    <w:jc w:val="center"/>
                    <w:rPr>
                      <w:b/>
                      <w:bCs/>
                      <w:kern w:val="0"/>
                      <w:szCs w:val="21"/>
                    </w:rPr>
                  </w:pPr>
                  <w:r>
                    <w:rPr>
                      <w:rFonts w:hint="eastAsia" w:cs="宋体"/>
                      <w:b/>
                      <w:bCs/>
                      <w:kern w:val="0"/>
                      <w:szCs w:val="21"/>
                      <w:lang w:bidi="ar"/>
                    </w:rPr>
                    <w:t>建设项目</w:t>
                  </w:r>
                  <w:r>
                    <w:rPr>
                      <w:b/>
                      <w:bCs/>
                      <w:kern w:val="0"/>
                      <w:szCs w:val="21"/>
                      <w:lang w:bidi="ar"/>
                    </w:rPr>
                    <w:t>Q</w:t>
                  </w:r>
                  <w:r>
                    <w:rPr>
                      <w:rFonts w:hint="eastAsia" w:cs="宋体"/>
                      <w:b/>
                      <w:bCs/>
                      <w:kern w:val="0"/>
                      <w:szCs w:val="21"/>
                      <w:lang w:bidi="ar"/>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Borders>
                    <w:top w:val="single" w:color="auto" w:sz="4" w:space="0"/>
                    <w:left w:val="single" w:color="auto" w:sz="4" w:space="0"/>
                    <w:bottom w:val="single" w:color="auto" w:sz="4" w:space="0"/>
                    <w:right w:val="single" w:color="auto" w:sz="4" w:space="0"/>
                  </w:tcBorders>
                  <w:vAlign w:val="center"/>
                </w:tcPr>
                <w:p>
                  <w:pPr>
                    <w:adjustRightInd w:val="0"/>
                    <w:jc w:val="center"/>
                    <w:rPr>
                      <w:kern w:val="0"/>
                      <w:szCs w:val="21"/>
                      <w:lang w:bidi="ar"/>
                    </w:rPr>
                  </w:pPr>
                  <w:r>
                    <w:rPr>
                      <w:kern w:val="0"/>
                      <w:szCs w:val="21"/>
                      <w:lang w:bidi="ar"/>
                    </w:rPr>
                    <w:t>1</w:t>
                  </w:r>
                </w:p>
              </w:tc>
              <w:tc>
                <w:tcPr>
                  <w:tcW w:w="1151" w:type="pct"/>
                  <w:tcBorders>
                    <w:top w:val="single" w:color="auto" w:sz="4" w:space="0"/>
                    <w:left w:val="single" w:color="auto" w:sz="4" w:space="0"/>
                    <w:bottom w:val="single" w:color="auto" w:sz="4" w:space="0"/>
                    <w:right w:val="single" w:color="auto" w:sz="4" w:space="0"/>
                  </w:tcBorders>
                  <w:vAlign w:val="center"/>
                </w:tcPr>
                <w:p>
                  <w:pPr>
                    <w:adjustRightInd w:val="0"/>
                    <w:jc w:val="center"/>
                    <w:rPr>
                      <w:kern w:val="0"/>
                      <w:szCs w:val="21"/>
                    </w:rPr>
                  </w:pPr>
                  <w:r>
                    <w:rPr>
                      <w:rFonts w:hint="eastAsia"/>
                      <w:kern w:val="0"/>
                      <w:szCs w:val="21"/>
                    </w:rPr>
                    <w:t>导热油</w:t>
                  </w:r>
                </w:p>
              </w:tc>
              <w:tc>
                <w:tcPr>
                  <w:tcW w:w="1205" w:type="pct"/>
                  <w:tcBorders>
                    <w:top w:val="single" w:color="auto" w:sz="4" w:space="0"/>
                    <w:left w:val="single" w:color="auto" w:sz="4" w:space="0"/>
                    <w:bottom w:val="single" w:color="auto" w:sz="4" w:space="0"/>
                    <w:right w:val="single" w:color="auto" w:sz="4" w:space="0"/>
                  </w:tcBorders>
                  <w:vAlign w:val="center"/>
                </w:tcPr>
                <w:p>
                  <w:pPr>
                    <w:adjustRightInd w:val="0"/>
                    <w:jc w:val="center"/>
                    <w:rPr>
                      <w:kern w:val="0"/>
                      <w:szCs w:val="21"/>
                      <w:lang w:bidi="ar"/>
                    </w:rPr>
                  </w:pPr>
                  <w:r>
                    <w:rPr>
                      <w:kern w:val="0"/>
                      <w:szCs w:val="21"/>
                      <w:lang w:bidi="ar"/>
                    </w:rPr>
                    <w:t>6.5</w:t>
                  </w:r>
                </w:p>
              </w:tc>
              <w:tc>
                <w:tcPr>
                  <w:tcW w:w="936" w:type="pct"/>
                  <w:tcBorders>
                    <w:top w:val="single" w:color="auto" w:sz="4" w:space="0"/>
                    <w:left w:val="single" w:color="auto" w:sz="4" w:space="0"/>
                    <w:bottom w:val="single" w:color="auto" w:sz="4" w:space="0"/>
                    <w:right w:val="single" w:color="auto" w:sz="4" w:space="0"/>
                  </w:tcBorders>
                  <w:vAlign w:val="center"/>
                </w:tcPr>
                <w:p>
                  <w:pPr>
                    <w:adjustRightInd w:val="0"/>
                    <w:jc w:val="center"/>
                    <w:rPr>
                      <w:kern w:val="0"/>
                      <w:szCs w:val="21"/>
                      <w:lang w:bidi="ar"/>
                    </w:rPr>
                  </w:pPr>
                  <w:r>
                    <w:rPr>
                      <w:rFonts w:hint="eastAsia"/>
                      <w:kern w:val="0"/>
                      <w:szCs w:val="21"/>
                      <w:lang w:bidi="ar"/>
                    </w:rPr>
                    <w:t>2</w:t>
                  </w:r>
                  <w:r>
                    <w:rPr>
                      <w:kern w:val="0"/>
                      <w:szCs w:val="21"/>
                      <w:lang w:bidi="ar"/>
                    </w:rPr>
                    <w:t>500</w:t>
                  </w:r>
                </w:p>
              </w:tc>
              <w:tc>
                <w:tcPr>
                  <w:tcW w:w="1234" w:type="pct"/>
                  <w:tcBorders>
                    <w:top w:val="single" w:color="auto" w:sz="4" w:space="0"/>
                    <w:left w:val="single" w:color="auto" w:sz="4" w:space="0"/>
                    <w:bottom w:val="single" w:color="auto" w:sz="4" w:space="0"/>
                    <w:right w:val="single" w:color="auto" w:sz="4" w:space="0"/>
                  </w:tcBorders>
                  <w:vAlign w:val="center"/>
                </w:tcPr>
                <w:p>
                  <w:pPr>
                    <w:adjustRightInd w:val="0"/>
                    <w:jc w:val="center"/>
                    <w:rPr>
                      <w:kern w:val="0"/>
                      <w:szCs w:val="21"/>
                      <w:lang w:bidi="ar"/>
                    </w:rPr>
                  </w:pPr>
                  <w:r>
                    <w:rPr>
                      <w:kern w:val="0"/>
                      <w:szCs w:val="21"/>
                      <w:lang w:bidi="ar"/>
                    </w:rPr>
                    <w:t>0.0026</w:t>
                  </w:r>
                </w:p>
              </w:tc>
            </w:tr>
          </w:tbl>
          <w:p>
            <w:pPr>
              <w:adjustRightInd w:val="0"/>
              <w:spacing w:before="120" w:beforeLines="50" w:line="360" w:lineRule="auto"/>
              <w:ind w:firstLine="480" w:firstLineChars="200"/>
              <w:rPr>
                <w:kern w:val="0"/>
                <w:sz w:val="24"/>
              </w:rPr>
            </w:pPr>
            <w:r>
              <w:rPr>
                <w:rFonts w:hint="eastAsia" w:cs="宋体"/>
                <w:kern w:val="0"/>
                <w:sz w:val="24"/>
                <w:lang w:bidi="ar"/>
              </w:rPr>
              <w:t>综上，本项目</w:t>
            </w:r>
            <w:r>
              <w:rPr>
                <w:sz w:val="24"/>
                <w:lang w:bidi="ar"/>
              </w:rPr>
              <w:t>Q</w:t>
            </w:r>
            <w:r>
              <w:rPr>
                <w:rFonts w:hint="eastAsia"/>
                <w:sz w:val="24"/>
                <w:lang w:bidi="ar"/>
              </w:rPr>
              <w:t>=</w:t>
            </w:r>
            <w:r>
              <w:rPr>
                <w:sz w:val="24"/>
                <w:lang w:bidi="ar"/>
              </w:rPr>
              <w:t>0.0026</w:t>
            </w:r>
            <w:r>
              <w:rPr>
                <w:rFonts w:hint="eastAsia"/>
                <w:sz w:val="24"/>
                <w:lang w:bidi="ar"/>
              </w:rPr>
              <w:t>＜</w:t>
            </w:r>
            <w:r>
              <w:rPr>
                <w:sz w:val="24"/>
                <w:lang w:bidi="ar"/>
              </w:rPr>
              <w:t>1</w:t>
            </w:r>
            <w:r>
              <w:rPr>
                <w:rFonts w:hint="eastAsia"/>
                <w:sz w:val="24"/>
                <w:lang w:bidi="ar"/>
              </w:rPr>
              <w:t>，本项目环境风险潜势为I，进行简单分析</w:t>
            </w:r>
            <w:r>
              <w:rPr>
                <w:rFonts w:hint="eastAsia" w:cs="宋体"/>
                <w:kern w:val="0"/>
                <w:sz w:val="24"/>
                <w:lang w:bidi="ar"/>
              </w:rPr>
              <w:t>。</w:t>
            </w:r>
          </w:p>
          <w:p>
            <w:pPr>
              <w:pStyle w:val="27"/>
              <w:spacing w:after="0" w:line="360" w:lineRule="auto"/>
              <w:ind w:firstLine="482"/>
              <w:rPr>
                <w:b/>
                <w:bCs/>
              </w:rPr>
            </w:pPr>
            <w:r>
              <w:rPr>
                <w:rFonts w:hint="eastAsia"/>
                <w:b/>
                <w:bCs/>
              </w:rPr>
              <w:t>3、风险识别</w:t>
            </w:r>
          </w:p>
          <w:p>
            <w:pPr>
              <w:pStyle w:val="27"/>
              <w:spacing w:after="0" w:line="360" w:lineRule="auto"/>
              <w:ind w:firstLine="482"/>
              <w:rPr>
                <w:b/>
                <w:bCs/>
              </w:rPr>
            </w:pPr>
            <w:r>
              <w:rPr>
                <w:rFonts w:hint="eastAsia"/>
                <w:b/>
                <w:bCs/>
              </w:rPr>
              <w:t>（1）物质危险性识别</w:t>
            </w:r>
          </w:p>
          <w:p>
            <w:pPr>
              <w:spacing w:line="360" w:lineRule="auto"/>
              <w:ind w:firstLine="480" w:firstLineChars="200"/>
              <w:rPr>
                <w:rFonts w:hAnsi="宋体"/>
                <w:sz w:val="24"/>
                <w:szCs w:val="22"/>
              </w:rPr>
            </w:pPr>
            <w:r>
              <w:rPr>
                <w:rFonts w:hAnsi="宋体"/>
                <w:bCs/>
                <w:kern w:val="0"/>
                <w:sz w:val="24"/>
                <w:szCs w:val="22"/>
              </w:rPr>
              <w:t>根据本项目的工艺特点，</w:t>
            </w:r>
            <w:r>
              <w:rPr>
                <w:rFonts w:hint="eastAsia" w:hAnsi="宋体"/>
                <w:bCs/>
                <w:kern w:val="0"/>
                <w:sz w:val="24"/>
                <w:szCs w:val="22"/>
              </w:rPr>
              <w:t>对照《建设项目环境风险评价技术导则》（HJ/T169-2018）附录B中危险物质，根据本项目生产过程中的主要物料、中间产品、最终产品等按物质危险性、毒理指标和毒性等级分析，并考虑其燃烧爆炸性，本项目主要的危险物质为：</w:t>
            </w:r>
            <w:r>
              <w:rPr>
                <w:rFonts w:hint="eastAsia" w:hAnsi="宋体"/>
                <w:sz w:val="24"/>
                <w:szCs w:val="22"/>
              </w:rPr>
              <w:t>锅炉导热油</w:t>
            </w:r>
            <w:r>
              <w:rPr>
                <w:rFonts w:hAnsi="宋体"/>
                <w:sz w:val="24"/>
                <w:szCs w:val="22"/>
              </w:rPr>
              <w:t>。</w:t>
            </w:r>
          </w:p>
          <w:p>
            <w:pPr>
              <w:spacing w:line="360" w:lineRule="auto"/>
              <w:jc w:val="center"/>
              <w:rPr>
                <w:b/>
                <w:bCs/>
                <w:sz w:val="24"/>
              </w:rPr>
            </w:pPr>
            <w:r>
              <w:rPr>
                <w:rFonts w:hint="eastAsia"/>
                <w:b/>
                <w:bCs/>
                <w:sz w:val="24"/>
              </w:rPr>
              <w:t>表4-25</w:t>
            </w:r>
            <w:r>
              <w:rPr>
                <w:b/>
                <w:bCs/>
                <w:sz w:val="24"/>
              </w:rPr>
              <w:t xml:space="preserve">  </w:t>
            </w:r>
            <w:r>
              <w:rPr>
                <w:rFonts w:hint="eastAsia"/>
                <w:b/>
                <w:bCs/>
                <w:sz w:val="24"/>
              </w:rPr>
              <w:t>项目主要危险物质危险性识别一览表</w:t>
            </w:r>
          </w:p>
          <w:tbl>
            <w:tblPr>
              <w:tblStyle w:val="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1"/>
              <w:gridCol w:w="1098"/>
              <w:gridCol w:w="2609"/>
              <w:gridCol w:w="1914"/>
              <w:gridCol w:w="17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 w:hRule="atLeast"/>
              </w:trPr>
              <w:tc>
                <w:tcPr>
                  <w:tcW w:w="489" w:type="pct"/>
                  <w:tcMar>
                    <w:left w:w="57" w:type="dxa"/>
                    <w:right w:w="57" w:type="dxa"/>
                  </w:tcMar>
                  <w:vAlign w:val="center"/>
                </w:tcPr>
                <w:p>
                  <w:pPr>
                    <w:jc w:val="center"/>
                    <w:rPr>
                      <w:b/>
                      <w:szCs w:val="21"/>
                    </w:rPr>
                  </w:pPr>
                  <w:r>
                    <w:rPr>
                      <w:rFonts w:hint="eastAsia"/>
                      <w:b/>
                      <w:szCs w:val="21"/>
                    </w:rPr>
                    <w:t>序号</w:t>
                  </w:r>
                </w:p>
              </w:tc>
              <w:tc>
                <w:tcPr>
                  <w:tcW w:w="670" w:type="pct"/>
                  <w:tcMar>
                    <w:left w:w="57" w:type="dxa"/>
                    <w:right w:w="57" w:type="dxa"/>
                  </w:tcMar>
                  <w:vAlign w:val="center"/>
                </w:tcPr>
                <w:p>
                  <w:pPr>
                    <w:jc w:val="center"/>
                    <w:rPr>
                      <w:b/>
                      <w:szCs w:val="21"/>
                    </w:rPr>
                  </w:pPr>
                  <w:r>
                    <w:rPr>
                      <w:rFonts w:hint="eastAsia"/>
                      <w:b/>
                      <w:szCs w:val="21"/>
                    </w:rPr>
                    <w:t>物料名称</w:t>
                  </w:r>
                </w:p>
              </w:tc>
              <w:tc>
                <w:tcPr>
                  <w:tcW w:w="1592" w:type="pct"/>
                  <w:tcMar>
                    <w:left w:w="57" w:type="dxa"/>
                    <w:right w:w="57" w:type="dxa"/>
                  </w:tcMar>
                  <w:vAlign w:val="center"/>
                </w:tcPr>
                <w:p>
                  <w:pPr>
                    <w:jc w:val="center"/>
                    <w:rPr>
                      <w:b/>
                      <w:szCs w:val="21"/>
                    </w:rPr>
                  </w:pPr>
                  <w:r>
                    <w:rPr>
                      <w:rFonts w:hint="eastAsia"/>
                      <w:b/>
                      <w:szCs w:val="21"/>
                    </w:rPr>
                    <w:t>易燃易爆危险特性</w:t>
                  </w:r>
                </w:p>
              </w:tc>
              <w:tc>
                <w:tcPr>
                  <w:tcW w:w="1168" w:type="pct"/>
                  <w:tcMar>
                    <w:left w:w="57" w:type="dxa"/>
                    <w:right w:w="57" w:type="dxa"/>
                  </w:tcMar>
                  <w:vAlign w:val="center"/>
                </w:tcPr>
                <w:p>
                  <w:pPr>
                    <w:jc w:val="center"/>
                    <w:rPr>
                      <w:b/>
                      <w:szCs w:val="21"/>
                    </w:rPr>
                  </w:pPr>
                  <w:r>
                    <w:rPr>
                      <w:rFonts w:hint="eastAsia"/>
                      <w:b/>
                      <w:szCs w:val="21"/>
                    </w:rPr>
                    <w:t>有毒有害危险特性</w:t>
                  </w:r>
                </w:p>
              </w:tc>
              <w:tc>
                <w:tcPr>
                  <w:tcW w:w="1081" w:type="pct"/>
                  <w:tcMar>
                    <w:left w:w="57" w:type="dxa"/>
                    <w:right w:w="57" w:type="dxa"/>
                  </w:tcMar>
                  <w:vAlign w:val="center"/>
                </w:tcPr>
                <w:p>
                  <w:pPr>
                    <w:jc w:val="center"/>
                    <w:rPr>
                      <w:b/>
                      <w:szCs w:val="21"/>
                    </w:rPr>
                  </w:pPr>
                  <w:r>
                    <w:rPr>
                      <w:rFonts w:hint="eastAsia"/>
                      <w:b/>
                      <w:szCs w:val="21"/>
                    </w:rPr>
                    <w:t>主要分布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 w:hRule="atLeast"/>
              </w:trPr>
              <w:tc>
                <w:tcPr>
                  <w:tcW w:w="489" w:type="pct"/>
                  <w:tcMar>
                    <w:left w:w="57" w:type="dxa"/>
                    <w:right w:w="57" w:type="dxa"/>
                  </w:tcMar>
                  <w:vAlign w:val="center"/>
                </w:tcPr>
                <w:p>
                  <w:pPr>
                    <w:jc w:val="center"/>
                    <w:rPr>
                      <w:szCs w:val="21"/>
                    </w:rPr>
                  </w:pPr>
                  <w:r>
                    <w:rPr>
                      <w:szCs w:val="21"/>
                    </w:rPr>
                    <w:t>1</w:t>
                  </w:r>
                </w:p>
              </w:tc>
              <w:tc>
                <w:tcPr>
                  <w:tcW w:w="670" w:type="pct"/>
                  <w:tcMar>
                    <w:left w:w="57" w:type="dxa"/>
                    <w:right w:w="57" w:type="dxa"/>
                  </w:tcMar>
                  <w:vAlign w:val="center"/>
                </w:tcPr>
                <w:p>
                  <w:pPr>
                    <w:jc w:val="center"/>
                    <w:rPr>
                      <w:szCs w:val="21"/>
                    </w:rPr>
                  </w:pPr>
                  <w:r>
                    <w:rPr>
                      <w:rFonts w:hint="eastAsia"/>
                      <w:szCs w:val="21"/>
                    </w:rPr>
                    <w:t>导热油</w:t>
                  </w:r>
                </w:p>
              </w:tc>
              <w:tc>
                <w:tcPr>
                  <w:tcW w:w="1592" w:type="pct"/>
                  <w:tcMar>
                    <w:left w:w="57" w:type="dxa"/>
                    <w:right w:w="57" w:type="dxa"/>
                  </w:tcMar>
                  <w:vAlign w:val="center"/>
                </w:tcPr>
                <w:p>
                  <w:pPr>
                    <w:jc w:val="center"/>
                    <w:rPr>
                      <w:szCs w:val="21"/>
                    </w:rPr>
                  </w:pPr>
                  <w:r>
                    <w:rPr>
                      <w:rFonts w:hint="eastAsia"/>
                      <w:szCs w:val="21"/>
                    </w:rPr>
                    <w:t>不易燃易爆</w:t>
                  </w:r>
                </w:p>
              </w:tc>
              <w:tc>
                <w:tcPr>
                  <w:tcW w:w="1168" w:type="pct"/>
                  <w:tcMar>
                    <w:left w:w="57" w:type="dxa"/>
                    <w:right w:w="57" w:type="dxa"/>
                  </w:tcMar>
                  <w:vAlign w:val="center"/>
                </w:tcPr>
                <w:p>
                  <w:pPr>
                    <w:jc w:val="center"/>
                    <w:rPr>
                      <w:szCs w:val="21"/>
                    </w:rPr>
                  </w:pPr>
                  <w:r>
                    <w:rPr>
                      <w:szCs w:val="21"/>
                    </w:rPr>
                    <w:t>/</w:t>
                  </w:r>
                </w:p>
              </w:tc>
              <w:tc>
                <w:tcPr>
                  <w:tcW w:w="1081" w:type="pct"/>
                  <w:tcMar>
                    <w:left w:w="57" w:type="dxa"/>
                    <w:right w:w="57" w:type="dxa"/>
                  </w:tcMar>
                  <w:vAlign w:val="center"/>
                </w:tcPr>
                <w:p>
                  <w:pPr>
                    <w:jc w:val="center"/>
                    <w:rPr>
                      <w:szCs w:val="21"/>
                    </w:rPr>
                  </w:pPr>
                  <w:r>
                    <w:rPr>
                      <w:rFonts w:hint="eastAsia"/>
                      <w:szCs w:val="21"/>
                    </w:rPr>
                    <w:t>导热油锅炉及管道</w:t>
                  </w:r>
                </w:p>
              </w:tc>
            </w:tr>
          </w:tbl>
          <w:p>
            <w:pPr>
              <w:pStyle w:val="27"/>
              <w:spacing w:before="120" w:beforeLines="50" w:after="0" w:line="360" w:lineRule="auto"/>
              <w:ind w:firstLine="482"/>
              <w:rPr>
                <w:b/>
                <w:bCs/>
              </w:rPr>
            </w:pPr>
            <w:r>
              <w:rPr>
                <w:rFonts w:hint="eastAsia"/>
                <w:b/>
                <w:bCs/>
              </w:rPr>
              <w:t>（2）生产系统危险性识别</w:t>
            </w:r>
          </w:p>
          <w:p>
            <w:pPr>
              <w:adjustRightInd w:val="0"/>
              <w:spacing w:line="360" w:lineRule="auto"/>
              <w:ind w:firstLine="480" w:firstLineChars="200"/>
              <w:rPr>
                <w:sz w:val="24"/>
                <w:szCs w:val="28"/>
              </w:rPr>
            </w:pPr>
            <w:r>
              <w:rPr>
                <w:sz w:val="24"/>
                <w:szCs w:val="28"/>
              </w:rPr>
              <w:t>项目在生产过程中，主要存在的潜在危险事故为</w:t>
            </w:r>
            <w:r>
              <w:rPr>
                <w:rFonts w:hint="eastAsia" w:cs="宋体"/>
                <w:sz w:val="24"/>
                <w:lang w:bidi="ar"/>
              </w:rPr>
              <w:t>新增5</w:t>
            </w:r>
            <w:r>
              <w:rPr>
                <w:rFonts w:cs="宋体"/>
                <w:sz w:val="24"/>
                <w:lang w:bidi="ar"/>
              </w:rPr>
              <w:t>t/h</w:t>
            </w:r>
            <w:r>
              <w:rPr>
                <w:rFonts w:hint="eastAsia" w:cs="宋体"/>
                <w:sz w:val="24"/>
                <w:lang w:bidi="ar"/>
              </w:rPr>
              <w:t>导热油锅炉导热油槽及管道破裂导热油泄漏</w:t>
            </w:r>
            <w:r>
              <w:rPr>
                <w:rFonts w:hint="eastAsia"/>
                <w:sz w:val="24"/>
                <w:szCs w:val="28"/>
              </w:rPr>
              <w:t>、生产过程废气治理实施故障导致废气超标排放事故</w:t>
            </w:r>
            <w:r>
              <w:rPr>
                <w:sz w:val="24"/>
                <w:szCs w:val="28"/>
              </w:rPr>
              <w:t>。</w:t>
            </w:r>
          </w:p>
          <w:p>
            <w:pPr>
              <w:adjustRightInd w:val="0"/>
              <w:spacing w:line="360" w:lineRule="auto"/>
              <w:ind w:firstLine="482" w:firstLineChars="200"/>
              <w:rPr>
                <w:b/>
                <w:sz w:val="24"/>
                <w:szCs w:val="28"/>
              </w:rPr>
            </w:pPr>
            <w:r>
              <w:rPr>
                <w:rFonts w:hint="eastAsia"/>
                <w:b/>
                <w:sz w:val="24"/>
                <w:szCs w:val="28"/>
              </w:rPr>
              <w:t>（3）</w:t>
            </w:r>
            <w:r>
              <w:rPr>
                <w:b/>
                <w:sz w:val="24"/>
                <w:szCs w:val="28"/>
              </w:rPr>
              <w:t>危险物质向环境转移的途径识别</w:t>
            </w:r>
          </w:p>
          <w:p>
            <w:pPr>
              <w:adjustRightInd w:val="0"/>
              <w:spacing w:line="360" w:lineRule="auto"/>
              <w:ind w:firstLine="480" w:firstLineChars="200"/>
              <w:rPr>
                <w:sz w:val="24"/>
                <w:szCs w:val="28"/>
              </w:rPr>
            </w:pPr>
            <w:r>
              <w:rPr>
                <w:sz w:val="24"/>
                <w:szCs w:val="28"/>
              </w:rPr>
              <w:t>项目主要的危险物质为</w:t>
            </w:r>
            <w:r>
              <w:rPr>
                <w:rFonts w:hint="eastAsia"/>
                <w:sz w:val="24"/>
                <w:szCs w:val="28"/>
              </w:rPr>
              <w:t>导热油、废气污染物</w:t>
            </w:r>
            <w:r>
              <w:rPr>
                <w:sz w:val="24"/>
                <w:szCs w:val="28"/>
              </w:rPr>
              <w:t>。其中</w:t>
            </w:r>
            <w:r>
              <w:rPr>
                <w:rFonts w:hint="eastAsia" w:cs="宋体"/>
                <w:sz w:val="24"/>
                <w:lang w:bidi="ar"/>
              </w:rPr>
              <w:t>5</w:t>
            </w:r>
            <w:r>
              <w:rPr>
                <w:rFonts w:cs="宋体"/>
                <w:sz w:val="24"/>
                <w:lang w:bidi="ar"/>
              </w:rPr>
              <w:t>t/h</w:t>
            </w:r>
            <w:r>
              <w:rPr>
                <w:rFonts w:hint="eastAsia" w:cs="宋体"/>
                <w:sz w:val="24"/>
                <w:lang w:bidi="ar"/>
              </w:rPr>
              <w:t>导热油锅炉导热油槽及管道导热油</w:t>
            </w:r>
            <w:r>
              <w:rPr>
                <w:rFonts w:hint="eastAsia"/>
                <w:sz w:val="24"/>
                <w:szCs w:val="28"/>
              </w:rPr>
              <w:t>泄漏</w:t>
            </w:r>
            <w:r>
              <w:rPr>
                <w:sz w:val="24"/>
                <w:szCs w:val="28"/>
              </w:rPr>
              <w:t>后主要是通过入渗地表污染土壤、地表水和地下水环境。</w:t>
            </w:r>
            <w:r>
              <w:rPr>
                <w:rFonts w:hint="eastAsia"/>
                <w:sz w:val="24"/>
                <w:szCs w:val="28"/>
              </w:rPr>
              <w:t>废气治理实施故障超标排放废气污染物</w:t>
            </w:r>
            <w:r>
              <w:rPr>
                <w:sz w:val="24"/>
                <w:szCs w:val="28"/>
              </w:rPr>
              <w:t>是通过</w:t>
            </w:r>
            <w:r>
              <w:rPr>
                <w:rFonts w:hint="eastAsia"/>
                <w:sz w:val="24"/>
                <w:szCs w:val="28"/>
              </w:rPr>
              <w:t>空气扩散至大气环境</w:t>
            </w:r>
            <w:r>
              <w:rPr>
                <w:sz w:val="24"/>
                <w:szCs w:val="28"/>
              </w:rPr>
              <w:t>。</w:t>
            </w:r>
          </w:p>
          <w:p>
            <w:pPr>
              <w:pStyle w:val="27"/>
              <w:spacing w:after="0" w:line="360" w:lineRule="auto"/>
              <w:ind w:firstLine="482"/>
              <w:rPr>
                <w:b/>
                <w:bCs/>
              </w:rPr>
            </w:pPr>
            <w:r>
              <w:rPr>
                <w:rFonts w:hint="eastAsia"/>
                <w:b/>
                <w:bCs/>
              </w:rPr>
              <w:t>4、环境风险分析</w:t>
            </w:r>
          </w:p>
          <w:p>
            <w:pPr>
              <w:pStyle w:val="27"/>
              <w:spacing w:after="0" w:line="360" w:lineRule="auto"/>
              <w:ind w:firstLine="480"/>
            </w:pPr>
            <w:r>
              <w:rPr>
                <w:rFonts w:hint="eastAsia"/>
              </w:rPr>
              <w:t>（1）大气环境风险影响分析</w:t>
            </w:r>
          </w:p>
          <w:p>
            <w:pPr>
              <w:pStyle w:val="27"/>
              <w:spacing w:after="0" w:line="360" w:lineRule="auto"/>
              <w:ind w:firstLine="480"/>
            </w:pPr>
            <w:bookmarkStart w:id="15" w:name="_Toc24051"/>
            <w:bookmarkStart w:id="16" w:name="_Toc5488"/>
            <w:r>
              <w:rPr>
                <w:rFonts w:hint="eastAsia"/>
              </w:rPr>
              <w:t>本</w:t>
            </w:r>
            <w:r>
              <w:t>项目</w:t>
            </w:r>
            <w:bookmarkEnd w:id="15"/>
            <w:bookmarkEnd w:id="16"/>
            <w:r>
              <w:rPr>
                <w:rFonts w:hint="eastAsia" w:cs="宋体"/>
                <w:lang w:bidi="ar"/>
              </w:rPr>
              <w:t>新增5</w:t>
            </w:r>
            <w:r>
              <w:rPr>
                <w:rFonts w:cs="宋体"/>
                <w:lang w:bidi="ar"/>
              </w:rPr>
              <w:t>t/h</w:t>
            </w:r>
            <w:r>
              <w:rPr>
                <w:rFonts w:hint="eastAsia" w:cs="宋体"/>
                <w:lang w:bidi="ar"/>
              </w:rPr>
              <w:t>导热油锅炉配套除尘设施，热压凉板废气治理设施及筛选打磨工序布袋除尘设施发生故障或损坏，导致废气污染物超标排放，对环境空气及下风向敏感目标造成污染</w:t>
            </w:r>
            <w:r>
              <w:rPr>
                <w:rFonts w:hint="eastAsia"/>
              </w:rPr>
              <w:t>。</w:t>
            </w:r>
          </w:p>
          <w:p>
            <w:pPr>
              <w:pStyle w:val="27"/>
              <w:spacing w:after="0" w:line="360" w:lineRule="auto"/>
              <w:ind w:firstLine="480"/>
            </w:pPr>
            <w:r>
              <w:rPr>
                <w:rFonts w:hint="eastAsia"/>
              </w:rPr>
              <w:t>（2）地表水环境风险影响分析</w:t>
            </w:r>
          </w:p>
          <w:p>
            <w:pPr>
              <w:pStyle w:val="27"/>
              <w:spacing w:after="0" w:line="360" w:lineRule="auto"/>
              <w:ind w:firstLine="480"/>
            </w:pPr>
            <w:r>
              <w:rPr>
                <w:szCs w:val="28"/>
              </w:rPr>
              <w:t>当</w:t>
            </w:r>
            <w:r>
              <w:rPr>
                <w:rFonts w:hint="eastAsia"/>
                <w:szCs w:val="28"/>
              </w:rPr>
              <w:t>锅炉</w:t>
            </w:r>
            <w:r>
              <w:rPr>
                <w:rFonts w:hint="eastAsia"/>
              </w:rPr>
              <w:t>导热油</w:t>
            </w:r>
            <w:r>
              <w:rPr>
                <w:rFonts w:hint="eastAsia"/>
                <w:szCs w:val="28"/>
              </w:rPr>
              <w:t>泄漏</w:t>
            </w:r>
            <w:r>
              <w:rPr>
                <w:szCs w:val="28"/>
              </w:rPr>
              <w:t>后</w:t>
            </w:r>
            <w:r>
              <w:rPr>
                <w:rFonts w:hint="eastAsia"/>
                <w:szCs w:val="28"/>
              </w:rPr>
              <w:t>，不及时处置，</w:t>
            </w:r>
            <w:r>
              <w:rPr>
                <w:szCs w:val="28"/>
              </w:rPr>
              <w:t>随着</w:t>
            </w:r>
            <w:r>
              <w:rPr>
                <w:rFonts w:hint="eastAsia"/>
                <w:szCs w:val="28"/>
              </w:rPr>
              <w:t>泄漏</w:t>
            </w:r>
            <w:r>
              <w:rPr>
                <w:szCs w:val="28"/>
              </w:rPr>
              <w:t>时间的推移，</w:t>
            </w:r>
            <w:r>
              <w:rPr>
                <w:rFonts w:hint="eastAsia"/>
                <w:szCs w:val="28"/>
              </w:rPr>
              <w:t>可能流入项目区雨水排水沟，通过雨水排放口进入园区雨水管网，随着</w:t>
            </w:r>
            <w:r>
              <w:rPr>
                <w:szCs w:val="28"/>
              </w:rPr>
              <w:t>雨水管网</w:t>
            </w:r>
            <w:r>
              <w:rPr>
                <w:rFonts w:hint="eastAsia"/>
                <w:szCs w:val="28"/>
              </w:rPr>
              <w:t>排入</w:t>
            </w:r>
            <w:r>
              <w:rPr>
                <w:szCs w:val="28"/>
              </w:rPr>
              <w:t>周边地表水体</w:t>
            </w:r>
            <w:r>
              <w:rPr>
                <w:rFonts w:hint="eastAsia"/>
                <w:szCs w:val="28"/>
              </w:rPr>
              <w:t>，</w:t>
            </w:r>
            <w:r>
              <w:t>由于</w:t>
            </w:r>
            <w:r>
              <w:rPr>
                <w:rFonts w:hint="eastAsia"/>
              </w:rPr>
              <w:t>导热油等</w:t>
            </w:r>
            <w:r>
              <w:t>难溶于水，大部分上浮在水层表面，形成一层油膜使空气隔离，造成水中溶解氧浓度降低，逐渐形成死水，致使水中生物死亡</w:t>
            </w:r>
            <w:r>
              <w:rPr>
                <w:rFonts w:hint="eastAsia"/>
              </w:rPr>
              <w:t>。</w:t>
            </w:r>
          </w:p>
          <w:p>
            <w:pPr>
              <w:pStyle w:val="27"/>
              <w:spacing w:after="0" w:line="360" w:lineRule="auto"/>
              <w:ind w:firstLine="480"/>
            </w:pPr>
            <w:r>
              <w:rPr>
                <w:rFonts w:hint="eastAsia"/>
              </w:rPr>
              <w:t>（3）土壤</w:t>
            </w:r>
            <w:r>
              <w:t>及</w:t>
            </w:r>
            <w:r>
              <w:rPr>
                <w:rFonts w:hint="eastAsia"/>
              </w:rPr>
              <w:t>地下水环境影响分析</w:t>
            </w:r>
          </w:p>
          <w:p>
            <w:pPr>
              <w:spacing w:line="360" w:lineRule="auto"/>
              <w:ind w:firstLine="480" w:firstLineChars="200"/>
            </w:pPr>
            <w:r>
              <w:rPr>
                <w:rFonts w:hint="eastAsia"/>
                <w:sz w:val="24"/>
              </w:rPr>
              <w:t>当锅炉导热油泄漏后，若不及时处置，随着泄漏时间的推移，可能通过项目区破裂地表入渗至土壤及地下水中，对土壤及地下水造成污染。</w:t>
            </w:r>
          </w:p>
          <w:p>
            <w:pPr>
              <w:pStyle w:val="27"/>
              <w:spacing w:after="0" w:line="360" w:lineRule="auto"/>
              <w:ind w:firstLine="482"/>
              <w:rPr>
                <w:b/>
                <w:bCs/>
              </w:rPr>
            </w:pPr>
            <w:r>
              <w:rPr>
                <w:rFonts w:hint="eastAsia"/>
                <w:b/>
                <w:bCs/>
              </w:rPr>
              <w:t>5、环境风险防范措施</w:t>
            </w:r>
          </w:p>
          <w:p>
            <w:pPr>
              <w:spacing w:line="360" w:lineRule="auto"/>
              <w:ind w:firstLine="480" w:firstLineChars="200"/>
              <w:rPr>
                <w:sz w:val="24"/>
              </w:rPr>
            </w:pPr>
            <w:r>
              <w:rPr>
                <w:rFonts w:hint="eastAsia"/>
                <w:sz w:val="24"/>
              </w:rPr>
              <w:t>①加强对5</w:t>
            </w:r>
            <w:r>
              <w:rPr>
                <w:sz w:val="24"/>
              </w:rPr>
              <w:t>t/h</w:t>
            </w:r>
            <w:r>
              <w:rPr>
                <w:rFonts w:hint="eastAsia"/>
                <w:sz w:val="24"/>
              </w:rPr>
              <w:t>导热油锅炉导热油槽及管道、锅炉房</w:t>
            </w:r>
            <w:r>
              <w:rPr>
                <w:sz w:val="24"/>
              </w:rPr>
              <w:t>地面</w:t>
            </w:r>
            <w:r>
              <w:rPr>
                <w:rFonts w:hint="eastAsia"/>
                <w:sz w:val="24"/>
              </w:rPr>
              <w:t>日常巡视及维护工作，防止油槽及管道因腐蚀、生锈等原因造成破裂而导致泄漏；防止地面破裂等情况发生导致渗漏污染物通过</w:t>
            </w:r>
            <w:r>
              <w:rPr>
                <w:sz w:val="24"/>
              </w:rPr>
              <w:t>破损地面下渗</w:t>
            </w:r>
            <w:r>
              <w:rPr>
                <w:rFonts w:hint="eastAsia"/>
                <w:sz w:val="24"/>
              </w:rPr>
              <w:t>，一旦发现破损地方，立即进行修复并达到防渗要求。</w:t>
            </w:r>
          </w:p>
          <w:p>
            <w:pPr>
              <w:spacing w:line="360" w:lineRule="auto"/>
              <w:ind w:firstLine="480" w:firstLineChars="200"/>
              <w:rPr>
                <w:sz w:val="24"/>
              </w:rPr>
            </w:pPr>
            <w:r>
              <w:rPr>
                <w:rFonts w:hint="eastAsia" w:ascii="宋体" w:hAnsi="宋体" w:cs="宋体"/>
                <w:sz w:val="24"/>
                <w:lang w:eastAsia="ja-JP"/>
              </w:rPr>
              <w:t>②</w:t>
            </w:r>
            <w:r>
              <w:rPr>
                <w:rFonts w:hint="eastAsia" w:ascii="宋体" w:hAnsi="宋体" w:cs="宋体"/>
                <w:sz w:val="24"/>
              </w:rPr>
              <w:t>加强</w:t>
            </w:r>
            <w:r>
              <w:rPr>
                <w:rFonts w:ascii="宋体" w:hAnsi="宋体" w:cs="宋体"/>
                <w:sz w:val="24"/>
              </w:rPr>
              <w:t>废气治理</w:t>
            </w:r>
            <w:r>
              <w:rPr>
                <w:rFonts w:hint="eastAsia" w:ascii="宋体" w:hAnsi="宋体" w:cs="宋体"/>
                <w:sz w:val="24"/>
              </w:rPr>
              <w:t>设施维护及管理，保证处理效率，严格按监测计划要求进行监测，发现超标排放，立即停止生产并进行检修</w:t>
            </w:r>
            <w:r>
              <w:rPr>
                <w:rFonts w:hint="eastAsia"/>
                <w:sz w:val="24"/>
              </w:rPr>
              <w:t>。</w:t>
            </w:r>
          </w:p>
          <w:p>
            <w:pPr>
              <w:pStyle w:val="27"/>
              <w:spacing w:after="0" w:line="360" w:lineRule="auto"/>
              <w:ind w:firstLine="482"/>
              <w:rPr>
                <w:b/>
                <w:bCs/>
              </w:rPr>
            </w:pPr>
            <w:r>
              <w:rPr>
                <w:rFonts w:hint="eastAsia"/>
                <w:b/>
                <w:bCs/>
              </w:rPr>
              <w:t>6、环境风险应急预案</w:t>
            </w:r>
          </w:p>
          <w:p>
            <w:pPr>
              <w:pStyle w:val="27"/>
              <w:adjustRightInd w:val="0"/>
              <w:spacing w:after="0" w:line="360" w:lineRule="auto"/>
              <w:ind w:firstLine="480"/>
            </w:pPr>
            <w:r>
              <w:rPr>
                <w:rFonts w:hint="eastAsia"/>
              </w:rPr>
              <w:t>建设单位于2019年7月编制了第一版突发环境事件应急预案，并于2019年8月8日通过昆明市生态环境局寻甸分局备案（备案编号：53012920190016M）；本项目技改完成后，建设单位应及时修订应急预案并报昆明市生态环境局寻甸分局备案。</w:t>
            </w:r>
          </w:p>
          <w:p>
            <w:pPr>
              <w:pStyle w:val="28"/>
              <w:spacing w:before="0" w:beforeAutospacing="0" w:after="0" w:afterAutospacing="0" w:line="360" w:lineRule="auto"/>
              <w:ind w:firstLine="482" w:firstLineChars="200"/>
              <w:jc w:val="both"/>
              <w:rPr>
                <w:rFonts w:ascii="Times New Roman" w:hAnsi="Times New Roman"/>
                <w:b/>
                <w:bCs/>
                <w:kern w:val="2"/>
              </w:rPr>
            </w:pPr>
            <w:r>
              <w:rPr>
                <w:rFonts w:hint="eastAsia" w:ascii="Times New Roman" w:hAnsi="Times New Roman"/>
                <w:b/>
                <w:bCs/>
                <w:kern w:val="2"/>
              </w:rPr>
              <w:t>7、环境风险影响分析结论</w:t>
            </w:r>
          </w:p>
          <w:p>
            <w:pPr>
              <w:adjustRightInd w:val="0"/>
              <w:spacing w:line="360" w:lineRule="auto"/>
              <w:ind w:firstLine="480" w:firstLineChars="200"/>
              <w:rPr>
                <w:b/>
                <w:bCs/>
                <w:szCs w:val="21"/>
              </w:rPr>
            </w:pPr>
            <w:r>
              <w:rPr>
                <w:sz w:val="24"/>
                <w:szCs w:val="28"/>
              </w:rPr>
              <w:t>根据以上分析，本项目环境风险潜势划分为</w:t>
            </w:r>
            <w:r>
              <w:rPr>
                <w:sz w:val="24"/>
                <w:szCs w:val="28"/>
              </w:rPr>
              <w:fldChar w:fldCharType="begin"/>
            </w:r>
            <w:r>
              <w:rPr>
                <w:sz w:val="24"/>
                <w:szCs w:val="28"/>
              </w:rPr>
              <w:instrText xml:space="preserve"> = 1 \* ROMAN \* MERGEFORMAT </w:instrText>
            </w:r>
            <w:r>
              <w:rPr>
                <w:sz w:val="24"/>
                <w:szCs w:val="28"/>
              </w:rPr>
              <w:fldChar w:fldCharType="separate"/>
            </w:r>
            <w:r>
              <w:rPr>
                <w:sz w:val="24"/>
                <w:szCs w:val="28"/>
              </w:rPr>
              <w:t>I</w:t>
            </w:r>
            <w:r>
              <w:rPr>
                <w:sz w:val="24"/>
                <w:szCs w:val="28"/>
              </w:rPr>
              <w:fldChar w:fldCharType="end"/>
            </w:r>
            <w:r>
              <w:rPr>
                <w:sz w:val="24"/>
                <w:szCs w:val="28"/>
              </w:rPr>
              <w:t>，</w:t>
            </w:r>
            <w:r>
              <w:rPr>
                <w:rFonts w:hint="eastAsia"/>
                <w:sz w:val="24"/>
                <w:szCs w:val="28"/>
              </w:rPr>
              <w:t>本</w:t>
            </w:r>
            <w:r>
              <w:rPr>
                <w:sz w:val="24"/>
                <w:szCs w:val="28"/>
              </w:rPr>
              <w:t>项目环境风险评价等级为简单分析，</w:t>
            </w:r>
            <w:r>
              <w:rPr>
                <w:rFonts w:hint="eastAsia"/>
                <w:sz w:val="24"/>
                <w:szCs w:val="28"/>
              </w:rPr>
              <w:t>本</w:t>
            </w:r>
            <w:r>
              <w:rPr>
                <w:sz w:val="24"/>
                <w:szCs w:val="28"/>
              </w:rPr>
              <w:t>项目环境风险在做好应急防范措施的基础上是可控的，可将环境风险事故发生的概率降低到最低。项目环境风险简单分析内容见表</w:t>
            </w:r>
            <w:r>
              <w:rPr>
                <w:rFonts w:hint="eastAsia"/>
                <w:sz w:val="24"/>
                <w:szCs w:val="28"/>
              </w:rPr>
              <w:t>4</w:t>
            </w:r>
            <w:r>
              <w:rPr>
                <w:sz w:val="24"/>
                <w:szCs w:val="28"/>
              </w:rPr>
              <w:t>-</w:t>
            </w:r>
            <w:r>
              <w:rPr>
                <w:rFonts w:hint="eastAsia"/>
                <w:sz w:val="24"/>
                <w:szCs w:val="28"/>
              </w:rPr>
              <w:t>26</w:t>
            </w:r>
            <w:r>
              <w:rPr>
                <w:sz w:val="24"/>
                <w:szCs w:val="28"/>
              </w:rPr>
              <w:t>所示。</w:t>
            </w:r>
          </w:p>
          <w:p>
            <w:pPr>
              <w:adjustRightInd w:val="0"/>
              <w:spacing w:line="360" w:lineRule="auto"/>
              <w:jc w:val="center"/>
              <w:rPr>
                <w:b/>
                <w:bCs/>
                <w:sz w:val="24"/>
              </w:rPr>
            </w:pPr>
            <w:r>
              <w:rPr>
                <w:rFonts w:hint="eastAsia"/>
                <w:b/>
                <w:bCs/>
                <w:sz w:val="24"/>
              </w:rPr>
              <w:t>表4-26  建设项目环境风险简单分析内容表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20"/>
              <w:gridCol w:w="894"/>
              <w:gridCol w:w="1673"/>
              <w:gridCol w:w="1612"/>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0" w:hRule="atLeast"/>
                <w:jc w:val="center"/>
              </w:trPr>
              <w:tc>
                <w:tcPr>
                  <w:tcW w:w="1233" w:type="pct"/>
                  <w:tcBorders>
                    <w:top w:val="single" w:color="auto" w:sz="4" w:space="0"/>
                    <w:left w:val="single" w:color="auto" w:sz="4" w:space="0"/>
                    <w:bottom w:val="single" w:color="auto" w:sz="4" w:space="0"/>
                    <w:right w:val="single" w:color="auto" w:sz="4" w:space="0"/>
                  </w:tcBorders>
                  <w:vAlign w:val="center"/>
                </w:tcPr>
                <w:p>
                  <w:pPr>
                    <w:adjustRightInd w:val="0"/>
                    <w:jc w:val="center"/>
                  </w:pPr>
                  <w:r>
                    <w:t>建设项目名称</w:t>
                  </w:r>
                </w:p>
              </w:tc>
              <w:tc>
                <w:tcPr>
                  <w:tcW w:w="3767" w:type="pct"/>
                  <w:gridSpan w:val="4"/>
                  <w:tcBorders>
                    <w:top w:val="single" w:color="auto" w:sz="4" w:space="0"/>
                    <w:left w:val="single" w:color="auto" w:sz="4" w:space="0"/>
                    <w:bottom w:val="single" w:color="auto" w:sz="4" w:space="0"/>
                    <w:right w:val="single" w:color="auto" w:sz="4" w:space="0"/>
                  </w:tcBorders>
                  <w:vAlign w:val="center"/>
                </w:tcPr>
                <w:p>
                  <w:pPr>
                    <w:adjustRightInd w:val="0"/>
                    <w:jc w:val="center"/>
                  </w:pPr>
                  <w:r>
                    <w:rPr>
                      <w:rFonts w:hint="eastAsia" w:cs="宋体"/>
                      <w:szCs w:val="21"/>
                    </w:rPr>
                    <w:t>昆明市澳松人造板制造有限责任公司年产5万立方米木质刨花板技改项目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5" w:hRule="atLeast"/>
                <w:jc w:val="center"/>
              </w:trPr>
              <w:tc>
                <w:tcPr>
                  <w:tcW w:w="1233" w:type="pct"/>
                  <w:tcBorders>
                    <w:top w:val="single" w:color="auto" w:sz="4" w:space="0"/>
                    <w:left w:val="single" w:color="auto" w:sz="4" w:space="0"/>
                    <w:bottom w:val="single" w:color="auto" w:sz="4" w:space="0"/>
                    <w:right w:val="single" w:color="auto" w:sz="4" w:space="0"/>
                  </w:tcBorders>
                  <w:vAlign w:val="center"/>
                </w:tcPr>
                <w:p>
                  <w:pPr>
                    <w:adjustRightInd w:val="0"/>
                    <w:jc w:val="center"/>
                  </w:pPr>
                  <w:r>
                    <w:t>建设地点</w:t>
                  </w:r>
                </w:p>
              </w:tc>
              <w:tc>
                <w:tcPr>
                  <w:tcW w:w="3767" w:type="pct"/>
                  <w:gridSpan w:val="4"/>
                  <w:tcBorders>
                    <w:top w:val="single" w:color="auto" w:sz="4" w:space="0"/>
                    <w:left w:val="single" w:color="auto" w:sz="4" w:space="0"/>
                    <w:bottom w:val="single" w:color="auto" w:sz="4" w:space="0"/>
                    <w:right w:val="single" w:color="auto" w:sz="4" w:space="0"/>
                  </w:tcBorders>
                  <w:vAlign w:val="center"/>
                </w:tcPr>
                <w:p>
                  <w:pPr>
                    <w:adjustRightInd w:val="0"/>
                    <w:jc w:val="center"/>
                  </w:pPr>
                  <w:r>
                    <w:rPr>
                      <w:rFonts w:hint="eastAsia"/>
                    </w:rPr>
                    <w:t>寻甸</w:t>
                  </w:r>
                  <w:r>
                    <w:t>特色产业园区</w:t>
                  </w:r>
                  <w:r>
                    <w:rPr>
                      <w:rFonts w:hint="eastAsia"/>
                    </w:rPr>
                    <w:t>羊街片区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9" w:hRule="atLeast"/>
                <w:jc w:val="center"/>
              </w:trPr>
              <w:tc>
                <w:tcPr>
                  <w:tcW w:w="1233" w:type="pct"/>
                  <w:tcBorders>
                    <w:top w:val="single" w:color="auto" w:sz="4" w:space="0"/>
                    <w:left w:val="single" w:color="auto" w:sz="4" w:space="0"/>
                    <w:bottom w:val="single" w:color="auto" w:sz="4" w:space="0"/>
                    <w:right w:val="single" w:color="auto" w:sz="4" w:space="0"/>
                  </w:tcBorders>
                  <w:vAlign w:val="center"/>
                </w:tcPr>
                <w:p>
                  <w:pPr>
                    <w:adjustRightInd w:val="0"/>
                    <w:jc w:val="center"/>
                  </w:pPr>
                  <w:r>
                    <w:t>地理坐标</w:t>
                  </w:r>
                </w:p>
              </w:tc>
              <w:tc>
                <w:tcPr>
                  <w:tcW w:w="546" w:type="pct"/>
                  <w:tcBorders>
                    <w:top w:val="single" w:color="auto" w:sz="4" w:space="0"/>
                    <w:left w:val="single" w:color="auto" w:sz="4" w:space="0"/>
                    <w:bottom w:val="single" w:color="auto" w:sz="4" w:space="0"/>
                    <w:right w:val="single" w:color="auto" w:sz="4" w:space="0"/>
                  </w:tcBorders>
                  <w:vAlign w:val="center"/>
                </w:tcPr>
                <w:p>
                  <w:pPr>
                    <w:adjustRightInd w:val="0"/>
                    <w:jc w:val="center"/>
                  </w:pPr>
                  <w:r>
                    <w:t>经度</w:t>
                  </w:r>
                </w:p>
              </w:tc>
              <w:tc>
                <w:tcPr>
                  <w:tcW w:w="1021" w:type="pct"/>
                  <w:tcBorders>
                    <w:top w:val="single" w:color="auto" w:sz="4" w:space="0"/>
                    <w:left w:val="single" w:color="auto" w:sz="4" w:space="0"/>
                    <w:bottom w:val="single" w:color="auto" w:sz="4" w:space="0"/>
                    <w:right w:val="single" w:color="auto" w:sz="4" w:space="0"/>
                  </w:tcBorders>
                  <w:vAlign w:val="center"/>
                </w:tcPr>
                <w:p>
                  <w:pPr>
                    <w:adjustRightInd w:val="0"/>
                    <w:jc w:val="center"/>
                    <w:rPr>
                      <w:szCs w:val="21"/>
                    </w:rPr>
                  </w:pPr>
                  <w:r>
                    <w:rPr>
                      <w:szCs w:val="21"/>
                    </w:rPr>
                    <w:t>103°</w:t>
                  </w:r>
                  <w:r>
                    <w:rPr>
                      <w:rFonts w:hint="eastAsia"/>
                      <w:szCs w:val="21"/>
                    </w:rPr>
                    <w:t>9</w:t>
                  </w:r>
                  <w:r>
                    <w:rPr>
                      <w:szCs w:val="21"/>
                    </w:rPr>
                    <w:t>′20.747″</w:t>
                  </w:r>
                </w:p>
              </w:tc>
              <w:tc>
                <w:tcPr>
                  <w:tcW w:w="984" w:type="pct"/>
                  <w:tcBorders>
                    <w:top w:val="single" w:color="auto" w:sz="4" w:space="0"/>
                    <w:left w:val="single" w:color="auto" w:sz="4" w:space="0"/>
                    <w:bottom w:val="single" w:color="auto" w:sz="4" w:space="0"/>
                    <w:right w:val="single" w:color="auto" w:sz="4" w:space="0"/>
                  </w:tcBorders>
                  <w:vAlign w:val="center"/>
                </w:tcPr>
                <w:p>
                  <w:pPr>
                    <w:adjustRightInd w:val="0"/>
                    <w:jc w:val="center"/>
                    <w:rPr>
                      <w:szCs w:val="21"/>
                    </w:rPr>
                  </w:pPr>
                  <w:r>
                    <w:rPr>
                      <w:szCs w:val="21"/>
                    </w:rPr>
                    <w:t>纬度</w:t>
                  </w:r>
                </w:p>
              </w:tc>
              <w:tc>
                <w:tcPr>
                  <w:tcW w:w="1216" w:type="pct"/>
                  <w:tcBorders>
                    <w:top w:val="single" w:color="auto" w:sz="4" w:space="0"/>
                    <w:left w:val="single" w:color="auto" w:sz="4" w:space="0"/>
                    <w:bottom w:val="single" w:color="auto" w:sz="4" w:space="0"/>
                    <w:right w:val="single" w:color="auto" w:sz="4" w:space="0"/>
                  </w:tcBorders>
                  <w:vAlign w:val="center"/>
                </w:tcPr>
                <w:p>
                  <w:pPr>
                    <w:adjustRightInd w:val="0"/>
                    <w:ind w:firstLine="210" w:firstLineChars="100"/>
                    <w:rPr>
                      <w:szCs w:val="21"/>
                    </w:rPr>
                  </w:pPr>
                  <w:r>
                    <w:rPr>
                      <w:szCs w:val="21"/>
                    </w:rPr>
                    <w:t>25°27′52.269″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33" w:type="pct"/>
                  <w:tcBorders>
                    <w:top w:val="single" w:color="auto" w:sz="4" w:space="0"/>
                    <w:left w:val="single" w:color="auto" w:sz="4" w:space="0"/>
                    <w:bottom w:val="single" w:color="auto" w:sz="4" w:space="0"/>
                    <w:right w:val="single" w:color="auto" w:sz="4" w:space="0"/>
                  </w:tcBorders>
                  <w:vAlign w:val="center"/>
                </w:tcPr>
                <w:p>
                  <w:pPr>
                    <w:adjustRightInd w:val="0"/>
                    <w:jc w:val="center"/>
                  </w:pPr>
                  <w:r>
                    <w:t>主要危险物质及分布</w:t>
                  </w:r>
                </w:p>
              </w:tc>
              <w:tc>
                <w:tcPr>
                  <w:tcW w:w="3767" w:type="pct"/>
                  <w:gridSpan w:val="4"/>
                  <w:tcBorders>
                    <w:top w:val="single" w:color="auto" w:sz="4" w:space="0"/>
                    <w:left w:val="single" w:color="auto" w:sz="4" w:space="0"/>
                    <w:bottom w:val="single" w:color="auto" w:sz="4" w:space="0"/>
                    <w:right w:val="single" w:color="auto" w:sz="4" w:space="0"/>
                  </w:tcBorders>
                  <w:vAlign w:val="center"/>
                </w:tcPr>
                <w:p>
                  <w:pPr>
                    <w:adjustRightInd w:val="0"/>
                    <w:jc w:val="left"/>
                  </w:pPr>
                  <w:r>
                    <w:rPr>
                      <w:rFonts w:hint="eastAsia"/>
                    </w:rPr>
                    <w:t>导热油</w:t>
                  </w:r>
                  <w:r>
                    <w:t>—</w:t>
                  </w:r>
                  <w:r>
                    <w:rPr>
                      <w:rFonts w:hint="eastAsia"/>
                    </w:rPr>
                    <w:t>导热油油槽</w:t>
                  </w:r>
                  <w:r>
                    <w:t>及管道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0" w:hRule="atLeast"/>
                <w:jc w:val="center"/>
              </w:trPr>
              <w:tc>
                <w:tcPr>
                  <w:tcW w:w="1233" w:type="pct"/>
                  <w:tcBorders>
                    <w:top w:val="single" w:color="auto" w:sz="4" w:space="0"/>
                    <w:left w:val="single" w:color="auto" w:sz="4" w:space="0"/>
                    <w:bottom w:val="single" w:color="auto" w:sz="4" w:space="0"/>
                    <w:right w:val="single" w:color="auto" w:sz="4" w:space="0"/>
                  </w:tcBorders>
                  <w:vAlign w:val="center"/>
                </w:tcPr>
                <w:p>
                  <w:pPr>
                    <w:adjustRightInd w:val="0"/>
                    <w:jc w:val="center"/>
                  </w:pPr>
                  <w:r>
                    <w:t>环境影响途径及危害后果（大气、地表水、地下水等）</w:t>
                  </w:r>
                </w:p>
              </w:tc>
              <w:tc>
                <w:tcPr>
                  <w:tcW w:w="3767" w:type="pct"/>
                  <w:gridSpan w:val="4"/>
                  <w:tcBorders>
                    <w:top w:val="single" w:color="auto" w:sz="4" w:space="0"/>
                    <w:left w:val="single" w:color="auto" w:sz="4" w:space="0"/>
                    <w:bottom w:val="single" w:color="auto" w:sz="4" w:space="0"/>
                    <w:right w:val="single" w:color="auto" w:sz="4" w:space="0"/>
                  </w:tcBorders>
                  <w:vAlign w:val="center"/>
                </w:tcPr>
                <w:p>
                  <w:pPr>
                    <w:jc w:val="left"/>
                  </w:pPr>
                  <w:r>
                    <w:rPr>
                      <w:rFonts w:hint="eastAsia"/>
                    </w:rPr>
                    <w:t>泄漏</w:t>
                  </w:r>
                  <w:r>
                    <w:t>：地下水环境、地表水、土壤环境污染；</w:t>
                  </w:r>
                </w:p>
                <w:p>
                  <w:pPr>
                    <w:jc w:val="left"/>
                  </w:pPr>
                  <w:r>
                    <w:rPr>
                      <w:rFonts w:hint="eastAsia"/>
                    </w:rPr>
                    <w:t>废气治理</w:t>
                  </w:r>
                  <w:r>
                    <w:t>设施故障</w:t>
                  </w:r>
                  <w:r>
                    <w:rPr>
                      <w:rFonts w:hint="eastAsia"/>
                    </w:rPr>
                    <w:t>污染物</w:t>
                  </w:r>
                  <w:r>
                    <w:t>超标排放</w:t>
                  </w:r>
                  <w:r>
                    <w:rPr>
                      <w:rFonts w:hint="eastAsia"/>
                    </w:rPr>
                    <w:t>：大气环境污染；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63" w:hRule="atLeast"/>
                <w:jc w:val="center"/>
              </w:trPr>
              <w:tc>
                <w:tcPr>
                  <w:tcW w:w="1233" w:type="pct"/>
                  <w:tcBorders>
                    <w:top w:val="single" w:color="auto" w:sz="4" w:space="0"/>
                    <w:left w:val="single" w:color="auto" w:sz="4" w:space="0"/>
                    <w:bottom w:val="single" w:color="auto" w:sz="4" w:space="0"/>
                    <w:right w:val="single" w:color="auto" w:sz="4" w:space="0"/>
                  </w:tcBorders>
                  <w:vAlign w:val="center"/>
                </w:tcPr>
                <w:p>
                  <w:pPr>
                    <w:adjustRightInd w:val="0"/>
                    <w:jc w:val="center"/>
                  </w:pPr>
                  <w:r>
                    <w:t>风险防范措施要求</w:t>
                  </w:r>
                </w:p>
              </w:tc>
              <w:tc>
                <w:tcPr>
                  <w:tcW w:w="3767" w:type="pct"/>
                  <w:gridSpan w:val="4"/>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ascii="宋体" w:hAnsi="宋体" w:cs="宋体"/>
                      <w:szCs w:val="21"/>
                    </w:rPr>
                    <w:t>①</w:t>
                  </w:r>
                  <w:r>
                    <w:rPr>
                      <w:szCs w:val="21"/>
                    </w:rPr>
                    <w:t>加强对5t/h导热油锅炉导热油槽及管道、锅炉房地面日常巡视及维护工作，防止油槽及管道因腐蚀、生锈等原因造成破裂而导致泄漏；防止地面破裂等情况发生导致渗漏污染物通过破损地面下渗，一旦发现破损地方，立即进行修复并达到防渗要求。</w:t>
                  </w:r>
                </w:p>
                <w:p>
                  <w:pPr>
                    <w:rPr>
                      <w:szCs w:val="21"/>
                    </w:rPr>
                  </w:pPr>
                  <w:r>
                    <w:rPr>
                      <w:rFonts w:hint="eastAsia" w:ascii="宋体" w:hAnsi="宋体" w:cs="宋体"/>
                      <w:szCs w:val="21"/>
                      <w:lang w:eastAsia="ja-JP"/>
                    </w:rPr>
                    <w:t>②</w:t>
                  </w:r>
                  <w:r>
                    <w:rPr>
                      <w:szCs w:val="21"/>
                    </w:rPr>
                    <w:t>加强废气治理设施维护及管理，保证处理效率，严格按监测计划要求进行监测，发现超标排放，立即停止生产并进行检修。</w:t>
                  </w:r>
                </w:p>
                <w:p>
                  <w:pPr>
                    <w:jc w:val="left"/>
                  </w:pPr>
                  <w:r>
                    <w:rPr>
                      <w:rFonts w:hint="eastAsia" w:ascii="宋体" w:hAnsi="宋体" w:cs="宋体"/>
                      <w:szCs w:val="21"/>
                    </w:rPr>
                    <w:t>③</w:t>
                  </w:r>
                  <w:r>
                    <w:rPr>
                      <w:szCs w:val="21"/>
                    </w:rPr>
                    <w:t>及时修订现有突发环境事件应急预案，并报昆明市生态环境局寻甸分局备案。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24"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pPr>
                    <w:adjustRightInd w:val="0"/>
                  </w:pPr>
                  <w:r>
                    <w:t>填表说明（列出项目相关信息及评价说明）：</w:t>
                  </w:r>
                </w:p>
                <w:p>
                  <w:pPr>
                    <w:adjustRightInd w:val="0"/>
                    <w:ind w:firstLine="420" w:firstLineChars="200"/>
                  </w:pPr>
                  <w:r>
                    <w:t>项目风险主要存在于</w:t>
                  </w:r>
                  <w:r>
                    <w:rPr>
                      <w:rFonts w:hint="eastAsia"/>
                    </w:rPr>
                    <w:t>5t</w:t>
                  </w:r>
                  <w:r>
                    <w:t>/h</w:t>
                  </w:r>
                  <w:r>
                    <w:rPr>
                      <w:rFonts w:hint="eastAsia"/>
                    </w:rPr>
                    <w:t>导热油锅炉的导热油槽及管道破损</w:t>
                  </w:r>
                  <w:r>
                    <w:t>引起泄露事故</w:t>
                  </w:r>
                  <w:r>
                    <w:rPr>
                      <w:rFonts w:hint="eastAsia"/>
                    </w:rPr>
                    <w:t>；废气治理设施故障引起废气污染物超标排放</w:t>
                  </w:r>
                  <w:r>
                    <w:t>。</w:t>
                  </w:r>
                </w:p>
                <w:p>
                  <w:pPr>
                    <w:adjustRightInd w:val="0"/>
                    <w:ind w:firstLine="420" w:firstLineChars="200"/>
                  </w:pPr>
                  <w:r>
                    <w:t>根据《建设项目环境风险评价技术导则》（HJ 169-2018）附录C，项目环境综合风险潜势为</w:t>
                  </w:r>
                  <w:r>
                    <w:fldChar w:fldCharType="begin"/>
                  </w:r>
                  <w:r>
                    <w:instrText xml:space="preserve"> = 2 \* ROMAN \* MERGEFORMAT </w:instrText>
                  </w:r>
                  <w:r>
                    <w:fldChar w:fldCharType="separate"/>
                  </w:r>
                  <w:r>
                    <w:t>I</w:t>
                  </w:r>
                  <w:r>
                    <w:fldChar w:fldCharType="end"/>
                  </w:r>
                  <w:r>
                    <w:t>，风险评价等级为简单分析。因此不对环境风险进行进一步预测分析。</w:t>
                  </w:r>
                </w:p>
                <w:p>
                  <w:pPr>
                    <w:adjustRightInd w:val="0"/>
                    <w:ind w:firstLine="420" w:firstLineChars="200"/>
                  </w:pPr>
                  <w:r>
                    <w:rPr>
                      <w:rFonts w:hint="eastAsia"/>
                    </w:rPr>
                    <w:t>本</w:t>
                  </w:r>
                  <w:r>
                    <w:t>项目在做好应急防范措施的基础上，环境风险是可控的，环境风险事故发生的概率可降低到最低。</w:t>
                  </w:r>
                </w:p>
              </w:tc>
            </w:tr>
          </w:tbl>
          <w:p>
            <w:pPr>
              <w:spacing w:before="120" w:beforeLines="50" w:line="360" w:lineRule="auto"/>
              <w:ind w:firstLine="482" w:firstLineChars="200"/>
              <w:rPr>
                <w:b/>
                <w:bCs/>
                <w:sz w:val="24"/>
              </w:rPr>
            </w:pPr>
            <w:r>
              <w:rPr>
                <w:rFonts w:hint="eastAsia"/>
                <w:b/>
                <w:bCs/>
                <w:sz w:val="24"/>
              </w:rPr>
              <w:t>七、固定污染源排污许可</w:t>
            </w:r>
          </w:p>
          <w:p>
            <w:pPr>
              <w:adjustRightInd w:val="0"/>
              <w:spacing w:line="360" w:lineRule="auto"/>
              <w:ind w:firstLine="480" w:firstLineChars="200"/>
              <w:rPr>
                <w:sz w:val="24"/>
                <w:szCs w:val="21"/>
              </w:rPr>
            </w:pPr>
            <w:r>
              <w:rPr>
                <w:rFonts w:hint="eastAsia"/>
                <w:sz w:val="24"/>
                <w:szCs w:val="21"/>
              </w:rPr>
              <w:t>根据《固定污染源排污许可分类管理名录（2019年版）》：国家根据排放污染物的企业事业单位和其他生产经营者（以下简称“排污单位”）污染物产生量、排放量、对环境的影响程度等因素，实行排污许可重点管理、简化管理和登记管理。对污染物产生量、排放量或者对环境的影响程度较大的排污单位，实行排污许可重点管理；对污染物产生量、排放量和对环境的影响程度较小的排污单位，实行排污许可简化管理。对污染物产生量、排放量和对环境的影响程度很小的排污单位，实行排污登记管理。</w:t>
            </w:r>
          </w:p>
          <w:p>
            <w:pPr>
              <w:adjustRightInd w:val="0"/>
              <w:spacing w:line="360" w:lineRule="auto"/>
              <w:ind w:firstLine="480" w:firstLineChars="200"/>
              <w:rPr>
                <w:sz w:val="24"/>
                <w:szCs w:val="21"/>
              </w:rPr>
            </w:pPr>
            <w:r>
              <w:rPr>
                <w:rFonts w:hint="eastAsia"/>
                <w:sz w:val="24"/>
                <w:szCs w:val="21"/>
              </w:rPr>
              <w:t>企业年产5万立方米木质刨花板，根据《固定污染源排污许可分类管理名录（2019年版）》，排污许可属于简化管理，本次技改在现有项目基础上进行，新增5</w:t>
            </w:r>
            <w:r>
              <w:rPr>
                <w:sz w:val="24"/>
                <w:szCs w:val="21"/>
              </w:rPr>
              <w:t>t/h</w:t>
            </w:r>
            <w:r>
              <w:rPr>
                <w:rFonts w:hint="eastAsia"/>
                <w:sz w:val="24"/>
                <w:szCs w:val="21"/>
              </w:rPr>
              <w:t>导热油锅炉属于“五十一、通用工序，单台且合计出力20吨/小时（14兆瓦）以下的锅炉（不含电热锅炉）”，属于登记管理；环保工程技改不属于“四十五、生态保护和环境治理业77”中重点管理范畴，不做简化和登记管理。企业已取得了排污许可证，排污许可编号为91530129061590569B001V</w:t>
            </w:r>
            <w:r>
              <w:rPr>
                <w:sz w:val="24"/>
                <w:szCs w:val="21"/>
              </w:rPr>
              <w:t>（附件</w:t>
            </w:r>
            <w:r>
              <w:rPr>
                <w:rFonts w:hint="eastAsia"/>
                <w:sz w:val="24"/>
                <w:szCs w:val="21"/>
              </w:rPr>
              <w:t>8</w:t>
            </w:r>
            <w:r>
              <w:rPr>
                <w:sz w:val="24"/>
                <w:szCs w:val="21"/>
              </w:rPr>
              <w:t>）</w:t>
            </w:r>
            <w:r>
              <w:rPr>
                <w:rFonts w:hint="eastAsia"/>
                <w:sz w:val="24"/>
                <w:szCs w:val="21"/>
              </w:rPr>
              <w:t>。本次技改完成后，排污许可证应做相应变更，根据《排污许可证申请与核发技术规范 锅炉》（HJ953-2018）对本次技改新增的5t/h导热油锅炉进行登记。</w:t>
            </w:r>
          </w:p>
          <w:p>
            <w:pPr>
              <w:spacing w:before="120" w:beforeLines="50" w:line="360" w:lineRule="auto"/>
              <w:ind w:firstLine="482" w:firstLineChars="200"/>
              <w:rPr>
                <w:b/>
                <w:bCs/>
                <w:sz w:val="24"/>
                <w:szCs w:val="21"/>
              </w:rPr>
            </w:pPr>
            <w:r>
              <w:rPr>
                <w:rFonts w:hint="eastAsia"/>
                <w:b/>
                <w:bCs/>
                <w:sz w:val="24"/>
                <w:szCs w:val="21"/>
              </w:rPr>
              <w:t>八、项目“三本账”情况</w:t>
            </w:r>
          </w:p>
          <w:p>
            <w:pPr>
              <w:widowControl/>
              <w:adjustRightInd w:val="0"/>
              <w:spacing w:line="360" w:lineRule="auto"/>
              <w:ind w:firstLine="480" w:firstLineChars="200"/>
              <w:rPr>
                <w:sz w:val="24"/>
                <w:szCs w:val="21"/>
              </w:rPr>
            </w:pPr>
            <w:r>
              <w:rPr>
                <w:rFonts w:hint="eastAsia"/>
                <w:sz w:val="24"/>
                <w:szCs w:val="21"/>
              </w:rPr>
              <w:t>1、</w:t>
            </w:r>
            <w:r>
              <w:rPr>
                <w:sz w:val="24"/>
                <w:szCs w:val="21"/>
              </w:rPr>
              <w:t>本项目</w:t>
            </w:r>
            <w:r>
              <w:rPr>
                <w:rFonts w:hint="eastAsia"/>
                <w:sz w:val="24"/>
                <w:szCs w:val="21"/>
              </w:rPr>
              <w:t>属于技改项目</w:t>
            </w:r>
            <w:r>
              <w:rPr>
                <w:sz w:val="24"/>
                <w:szCs w:val="21"/>
              </w:rPr>
              <w:t>，</w:t>
            </w:r>
            <w:r>
              <w:rPr>
                <w:rFonts w:hint="eastAsia" w:cs="宋体"/>
                <w:kern w:val="0"/>
                <w:sz w:val="24"/>
                <w:lang w:bidi="ar"/>
              </w:rPr>
              <w:t>技改完成后将导致</w:t>
            </w:r>
            <w:r>
              <w:rPr>
                <w:rFonts w:hint="eastAsia"/>
                <w:kern w:val="0"/>
                <w:sz w:val="24"/>
                <w:lang w:bidi="ar"/>
              </w:rPr>
              <w:t>“</w:t>
            </w:r>
            <w:r>
              <w:rPr>
                <w:rFonts w:hint="eastAsia" w:cs="宋体"/>
                <w:kern w:val="0"/>
                <w:sz w:val="24"/>
                <w:lang w:bidi="ar"/>
              </w:rPr>
              <w:t>三废</w:t>
            </w:r>
            <w:r>
              <w:rPr>
                <w:rFonts w:hint="eastAsia"/>
                <w:kern w:val="0"/>
                <w:sz w:val="24"/>
                <w:lang w:bidi="ar"/>
              </w:rPr>
              <w:t>”</w:t>
            </w:r>
            <w:r>
              <w:rPr>
                <w:rFonts w:hint="eastAsia" w:cs="宋体"/>
                <w:kern w:val="0"/>
                <w:sz w:val="24"/>
                <w:lang w:bidi="ar"/>
              </w:rPr>
              <w:t>排放发生变化，具体变化情况见表</w:t>
            </w:r>
            <w:r>
              <w:rPr>
                <w:kern w:val="0"/>
                <w:sz w:val="24"/>
                <w:lang w:bidi="ar"/>
              </w:rPr>
              <w:t>4-</w:t>
            </w:r>
            <w:r>
              <w:rPr>
                <w:rFonts w:hint="eastAsia"/>
                <w:kern w:val="0"/>
                <w:sz w:val="24"/>
                <w:lang w:bidi="ar"/>
              </w:rPr>
              <w:t>27</w:t>
            </w:r>
            <w:r>
              <w:rPr>
                <w:rFonts w:hint="eastAsia"/>
                <w:sz w:val="24"/>
                <w:szCs w:val="21"/>
              </w:rPr>
              <w:t>。</w:t>
            </w:r>
          </w:p>
          <w:p>
            <w:pPr>
              <w:widowControl/>
              <w:adjustRightInd w:val="0"/>
              <w:spacing w:line="360" w:lineRule="auto"/>
              <w:jc w:val="center"/>
              <w:rPr>
                <w:rFonts w:cs="宋体"/>
                <w:b/>
                <w:bCs/>
                <w:kern w:val="0"/>
                <w:sz w:val="24"/>
                <w:szCs w:val="20"/>
                <w:lang w:bidi="ar"/>
              </w:rPr>
            </w:pPr>
            <w:r>
              <w:rPr>
                <w:rFonts w:cs="宋体"/>
                <w:b/>
                <w:bCs/>
                <w:kern w:val="0"/>
                <w:sz w:val="24"/>
                <w:szCs w:val="20"/>
                <w:lang w:bidi="ar"/>
              </w:rPr>
              <w:t>表</w:t>
            </w:r>
            <w:r>
              <w:rPr>
                <w:rFonts w:hint="eastAsia" w:cs="宋体"/>
                <w:b/>
                <w:bCs/>
                <w:kern w:val="0"/>
                <w:sz w:val="24"/>
                <w:szCs w:val="20"/>
                <w:lang w:bidi="ar"/>
              </w:rPr>
              <w:t>4-27</w:t>
            </w:r>
            <w:r>
              <w:rPr>
                <w:rFonts w:cs="宋体"/>
                <w:b/>
                <w:bCs/>
                <w:kern w:val="0"/>
                <w:sz w:val="24"/>
                <w:szCs w:val="20"/>
                <w:lang w:bidi="ar"/>
              </w:rPr>
              <w:t xml:space="preserve">  </w:t>
            </w:r>
            <w:r>
              <w:rPr>
                <w:rFonts w:hint="eastAsia" w:cs="宋体"/>
                <w:b/>
                <w:bCs/>
                <w:kern w:val="0"/>
                <w:sz w:val="24"/>
                <w:szCs w:val="20"/>
                <w:lang w:bidi="ar"/>
              </w:rPr>
              <w:t>本</w:t>
            </w:r>
            <w:r>
              <w:rPr>
                <w:rFonts w:cs="宋体"/>
                <w:b/>
                <w:bCs/>
                <w:kern w:val="0"/>
                <w:sz w:val="24"/>
                <w:szCs w:val="20"/>
                <w:lang w:bidi="ar"/>
              </w:rPr>
              <w:t>项目“三本账”汇总一览表</w:t>
            </w:r>
          </w:p>
          <w:tbl>
            <w:tblPr>
              <w:tblStyle w:val="32"/>
              <w:tblW w:w="497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754"/>
              <w:gridCol w:w="1742"/>
              <w:gridCol w:w="1112"/>
              <w:gridCol w:w="1112"/>
              <w:gridCol w:w="1288"/>
              <w:gridCol w:w="1170"/>
              <w:gridCol w:w="9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463" w:type="pct"/>
                  <w:vAlign w:val="center"/>
                </w:tcPr>
                <w:p>
                  <w:pPr>
                    <w:adjustRightInd w:val="0"/>
                    <w:jc w:val="center"/>
                    <w:rPr>
                      <w:b/>
                      <w:szCs w:val="20"/>
                    </w:rPr>
                  </w:pPr>
                  <w:r>
                    <w:rPr>
                      <w:b/>
                      <w:szCs w:val="20"/>
                    </w:rPr>
                    <w:t>污染源</w:t>
                  </w:r>
                </w:p>
              </w:tc>
              <w:tc>
                <w:tcPr>
                  <w:tcW w:w="1069" w:type="pct"/>
                  <w:vAlign w:val="center"/>
                </w:tcPr>
                <w:p>
                  <w:pPr>
                    <w:adjustRightInd w:val="0"/>
                    <w:jc w:val="center"/>
                    <w:rPr>
                      <w:b/>
                      <w:szCs w:val="20"/>
                    </w:rPr>
                  </w:pPr>
                  <w:r>
                    <w:rPr>
                      <w:b/>
                      <w:szCs w:val="20"/>
                    </w:rPr>
                    <w:t>污染物名称</w:t>
                  </w:r>
                </w:p>
              </w:tc>
              <w:tc>
                <w:tcPr>
                  <w:tcW w:w="682" w:type="pct"/>
                  <w:vAlign w:val="center"/>
                </w:tcPr>
                <w:p>
                  <w:pPr>
                    <w:adjustRightInd w:val="0"/>
                    <w:jc w:val="center"/>
                    <w:rPr>
                      <w:b/>
                      <w:szCs w:val="20"/>
                    </w:rPr>
                  </w:pPr>
                  <w:r>
                    <w:rPr>
                      <w:b/>
                      <w:szCs w:val="20"/>
                    </w:rPr>
                    <w:t>现有工程排放量（t/a）</w:t>
                  </w:r>
                </w:p>
              </w:tc>
              <w:tc>
                <w:tcPr>
                  <w:tcW w:w="682" w:type="pct"/>
                  <w:vAlign w:val="center"/>
                </w:tcPr>
                <w:p>
                  <w:pPr>
                    <w:adjustRightInd w:val="0"/>
                    <w:jc w:val="center"/>
                    <w:rPr>
                      <w:b/>
                      <w:szCs w:val="20"/>
                    </w:rPr>
                  </w:pPr>
                  <w:r>
                    <w:rPr>
                      <w:rFonts w:hint="eastAsia"/>
                      <w:b/>
                      <w:szCs w:val="20"/>
                    </w:rPr>
                    <w:t>本项目</w:t>
                  </w:r>
                  <w:r>
                    <w:rPr>
                      <w:b/>
                      <w:szCs w:val="20"/>
                    </w:rPr>
                    <w:t>排放量（t/a）</w:t>
                  </w:r>
                </w:p>
              </w:tc>
              <w:tc>
                <w:tcPr>
                  <w:tcW w:w="790" w:type="pct"/>
                  <w:vAlign w:val="center"/>
                </w:tcPr>
                <w:p>
                  <w:pPr>
                    <w:adjustRightInd w:val="0"/>
                    <w:jc w:val="center"/>
                    <w:rPr>
                      <w:b/>
                      <w:szCs w:val="20"/>
                    </w:rPr>
                  </w:pPr>
                  <w:r>
                    <w:rPr>
                      <w:rFonts w:hint="eastAsia"/>
                      <w:b/>
                      <w:szCs w:val="20"/>
                    </w:rPr>
                    <w:t>“</w:t>
                  </w:r>
                  <w:r>
                    <w:rPr>
                      <w:b/>
                      <w:szCs w:val="20"/>
                    </w:rPr>
                    <w:t>以新带老</w:t>
                  </w:r>
                  <w:r>
                    <w:rPr>
                      <w:rFonts w:hint="eastAsia"/>
                      <w:b/>
                      <w:szCs w:val="20"/>
                    </w:rPr>
                    <w:t>”</w:t>
                  </w:r>
                  <w:r>
                    <w:rPr>
                      <w:b/>
                      <w:szCs w:val="20"/>
                    </w:rPr>
                    <w:t>消减量（t/a）</w:t>
                  </w:r>
                </w:p>
              </w:tc>
              <w:tc>
                <w:tcPr>
                  <w:tcW w:w="718" w:type="pct"/>
                  <w:vAlign w:val="center"/>
                </w:tcPr>
                <w:p>
                  <w:pPr>
                    <w:adjustRightInd w:val="0"/>
                    <w:jc w:val="center"/>
                    <w:rPr>
                      <w:b/>
                      <w:szCs w:val="20"/>
                    </w:rPr>
                  </w:pPr>
                  <w:r>
                    <w:rPr>
                      <w:rFonts w:hint="eastAsia"/>
                      <w:b/>
                      <w:szCs w:val="20"/>
                    </w:rPr>
                    <w:t>总体工程</w:t>
                  </w:r>
                  <w:r>
                    <w:rPr>
                      <w:b/>
                      <w:szCs w:val="20"/>
                    </w:rPr>
                    <w:t>排放量（t/a）</w:t>
                  </w:r>
                </w:p>
              </w:tc>
              <w:tc>
                <w:tcPr>
                  <w:tcW w:w="597" w:type="pct"/>
                  <w:vAlign w:val="center"/>
                </w:tcPr>
                <w:p>
                  <w:pPr>
                    <w:adjustRightInd w:val="0"/>
                    <w:jc w:val="center"/>
                    <w:rPr>
                      <w:b/>
                      <w:szCs w:val="20"/>
                    </w:rPr>
                  </w:pPr>
                  <w:r>
                    <w:rPr>
                      <w:b/>
                      <w:szCs w:val="20"/>
                    </w:rPr>
                    <w:t>增减量变化（t/a）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Align w:val="center"/>
                </w:tcPr>
                <w:p>
                  <w:pPr>
                    <w:adjustRightInd w:val="0"/>
                    <w:jc w:val="center"/>
                    <w:rPr>
                      <w:szCs w:val="20"/>
                    </w:rPr>
                  </w:pPr>
                  <w:r>
                    <w:rPr>
                      <w:szCs w:val="20"/>
                    </w:rPr>
                    <w:t>废水</w:t>
                  </w:r>
                </w:p>
              </w:tc>
              <w:tc>
                <w:tcPr>
                  <w:tcW w:w="1069" w:type="pct"/>
                  <w:vAlign w:val="center"/>
                </w:tcPr>
                <w:p>
                  <w:pPr>
                    <w:adjustRightInd w:val="0"/>
                    <w:jc w:val="center"/>
                    <w:rPr>
                      <w:szCs w:val="20"/>
                    </w:rPr>
                  </w:pPr>
                  <w:r>
                    <w:rPr>
                      <w:rFonts w:hint="eastAsia"/>
                      <w:kern w:val="0"/>
                      <w:szCs w:val="20"/>
                    </w:rPr>
                    <w:t>废水总量</w:t>
                  </w:r>
                </w:p>
              </w:tc>
              <w:tc>
                <w:tcPr>
                  <w:tcW w:w="682" w:type="pct"/>
                  <w:vAlign w:val="center"/>
                </w:tcPr>
                <w:p>
                  <w:pPr>
                    <w:adjustRightInd w:val="0"/>
                    <w:jc w:val="center"/>
                    <w:rPr>
                      <w:szCs w:val="20"/>
                    </w:rPr>
                  </w:pPr>
                  <w:r>
                    <w:rPr>
                      <w:rFonts w:hint="eastAsia"/>
                      <w:szCs w:val="20"/>
                    </w:rPr>
                    <w:t>0</w:t>
                  </w:r>
                </w:p>
              </w:tc>
              <w:tc>
                <w:tcPr>
                  <w:tcW w:w="682" w:type="pct"/>
                  <w:vAlign w:val="center"/>
                </w:tcPr>
                <w:p>
                  <w:pPr>
                    <w:adjustRightInd w:val="0"/>
                    <w:jc w:val="center"/>
                    <w:rPr>
                      <w:szCs w:val="20"/>
                    </w:rPr>
                  </w:pPr>
                  <w:r>
                    <w:rPr>
                      <w:rFonts w:hint="eastAsia"/>
                      <w:szCs w:val="20"/>
                    </w:rPr>
                    <w:t>0</w:t>
                  </w:r>
                </w:p>
              </w:tc>
              <w:tc>
                <w:tcPr>
                  <w:tcW w:w="790" w:type="pct"/>
                  <w:vAlign w:val="center"/>
                </w:tcPr>
                <w:p>
                  <w:pPr>
                    <w:adjustRightInd w:val="0"/>
                    <w:jc w:val="center"/>
                    <w:rPr>
                      <w:szCs w:val="20"/>
                    </w:rPr>
                  </w:pPr>
                  <w:r>
                    <w:rPr>
                      <w:rFonts w:hint="eastAsia"/>
                      <w:szCs w:val="20"/>
                    </w:rPr>
                    <w:t>0</w:t>
                  </w:r>
                </w:p>
              </w:tc>
              <w:tc>
                <w:tcPr>
                  <w:tcW w:w="718" w:type="pct"/>
                  <w:vAlign w:val="center"/>
                </w:tcPr>
                <w:p>
                  <w:pPr>
                    <w:adjustRightInd w:val="0"/>
                    <w:jc w:val="center"/>
                    <w:rPr>
                      <w:szCs w:val="20"/>
                    </w:rPr>
                  </w:pPr>
                  <w:r>
                    <w:rPr>
                      <w:rFonts w:hint="eastAsia"/>
                      <w:szCs w:val="20"/>
                    </w:rPr>
                    <w:t>0</w:t>
                  </w:r>
                </w:p>
              </w:tc>
              <w:tc>
                <w:tcPr>
                  <w:tcW w:w="597" w:type="pct"/>
                  <w:vAlign w:val="center"/>
                </w:tcPr>
                <w:p>
                  <w:pPr>
                    <w:adjustRightInd w:val="0"/>
                    <w:jc w:val="center"/>
                    <w:rPr>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restart"/>
                  <w:vAlign w:val="center"/>
                </w:tcPr>
                <w:p>
                  <w:pPr>
                    <w:adjustRightInd w:val="0"/>
                    <w:jc w:val="center"/>
                    <w:rPr>
                      <w:szCs w:val="20"/>
                    </w:rPr>
                  </w:pPr>
                  <w:r>
                    <w:rPr>
                      <w:rFonts w:hint="eastAsia"/>
                      <w:szCs w:val="20"/>
                    </w:rPr>
                    <w:t>废气</w:t>
                  </w:r>
                </w:p>
              </w:tc>
              <w:tc>
                <w:tcPr>
                  <w:tcW w:w="1069" w:type="pct"/>
                  <w:vAlign w:val="center"/>
                </w:tcPr>
                <w:p>
                  <w:pPr>
                    <w:adjustRightInd w:val="0"/>
                    <w:jc w:val="center"/>
                    <w:rPr>
                      <w:szCs w:val="20"/>
                    </w:rPr>
                  </w:pPr>
                  <w:r>
                    <w:rPr>
                      <w:rFonts w:hint="eastAsia"/>
                      <w:szCs w:val="20"/>
                    </w:rPr>
                    <w:t>颗粒物</w:t>
                  </w:r>
                </w:p>
              </w:tc>
              <w:tc>
                <w:tcPr>
                  <w:tcW w:w="682" w:type="pct"/>
                  <w:vAlign w:val="center"/>
                </w:tcPr>
                <w:p>
                  <w:pPr>
                    <w:adjustRightInd w:val="0"/>
                    <w:jc w:val="center"/>
                    <w:rPr>
                      <w:szCs w:val="20"/>
                    </w:rPr>
                  </w:pPr>
                  <w:r>
                    <w:rPr>
                      <w:szCs w:val="20"/>
                      <w:highlight w:val="green"/>
                    </w:rPr>
                    <w:t>10.36</w:t>
                  </w:r>
                  <w:r>
                    <w:rPr>
                      <w:rFonts w:hint="eastAsia"/>
                      <w:szCs w:val="20"/>
                      <w:highlight w:val="green"/>
                    </w:rPr>
                    <w:t>6</w:t>
                  </w:r>
                </w:p>
              </w:tc>
              <w:tc>
                <w:tcPr>
                  <w:tcW w:w="1112" w:type="dxa"/>
                  <w:vAlign w:val="center"/>
                </w:tcPr>
                <w:p>
                  <w:pPr>
                    <w:jc w:val="center"/>
                    <w:rPr>
                      <w:szCs w:val="20"/>
                    </w:rPr>
                  </w:pPr>
                  <w:r>
                    <w:rPr>
                      <w:rFonts w:hint="eastAsia"/>
                      <w:szCs w:val="21"/>
                      <w:highlight w:val="green"/>
                    </w:rPr>
                    <w:t>0.864</w:t>
                  </w:r>
                </w:p>
              </w:tc>
              <w:tc>
                <w:tcPr>
                  <w:tcW w:w="790" w:type="pct"/>
                  <w:vAlign w:val="center"/>
                </w:tcPr>
                <w:p>
                  <w:pPr>
                    <w:adjustRightInd w:val="0"/>
                    <w:jc w:val="center"/>
                    <w:rPr>
                      <w:szCs w:val="20"/>
                    </w:rPr>
                  </w:pPr>
                  <w:r>
                    <w:rPr>
                      <w:rFonts w:hint="eastAsia"/>
                      <w:szCs w:val="20"/>
                      <w:highlight w:val="green"/>
                    </w:rPr>
                    <w:t>2.414</w:t>
                  </w:r>
                </w:p>
              </w:tc>
              <w:tc>
                <w:tcPr>
                  <w:tcW w:w="718" w:type="pct"/>
                  <w:vAlign w:val="center"/>
                </w:tcPr>
                <w:p>
                  <w:pPr>
                    <w:adjustRightInd w:val="0"/>
                    <w:jc w:val="center"/>
                    <w:rPr>
                      <w:szCs w:val="20"/>
                    </w:rPr>
                  </w:pPr>
                  <w:r>
                    <w:rPr>
                      <w:rFonts w:hint="eastAsia"/>
                      <w:szCs w:val="20"/>
                      <w:highlight w:val="green"/>
                    </w:rPr>
                    <w:t>8.816</w:t>
                  </w:r>
                </w:p>
              </w:tc>
              <w:tc>
                <w:tcPr>
                  <w:tcW w:w="597" w:type="pct"/>
                  <w:vAlign w:val="center"/>
                </w:tcPr>
                <w:p>
                  <w:pPr>
                    <w:adjustRightInd w:val="0"/>
                    <w:jc w:val="center"/>
                    <w:rPr>
                      <w:szCs w:val="20"/>
                    </w:rPr>
                  </w:pPr>
                  <w:r>
                    <w:rPr>
                      <w:rFonts w:hint="eastAsia"/>
                      <w:szCs w:val="20"/>
                      <w:highlight w:val="green"/>
                    </w:rPr>
                    <w:t>-2.414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utoSpaceDE w:val="0"/>
                    <w:autoSpaceDN w:val="0"/>
                    <w:adjustRightInd w:val="0"/>
                    <w:jc w:val="center"/>
                    <w:rPr>
                      <w:bCs/>
                      <w:szCs w:val="21"/>
                    </w:rPr>
                  </w:pPr>
                  <w:r>
                    <w:rPr>
                      <w:bCs/>
                      <w:szCs w:val="21"/>
                    </w:rPr>
                    <w:t>SO</w:t>
                  </w:r>
                  <w:r>
                    <w:rPr>
                      <w:bCs/>
                      <w:szCs w:val="21"/>
                      <w:vertAlign w:val="subscript"/>
                    </w:rPr>
                    <w:t>2</w:t>
                  </w:r>
                </w:p>
              </w:tc>
              <w:tc>
                <w:tcPr>
                  <w:tcW w:w="682" w:type="pct"/>
                  <w:vAlign w:val="center"/>
                </w:tcPr>
                <w:p>
                  <w:pPr>
                    <w:autoSpaceDE w:val="0"/>
                    <w:autoSpaceDN w:val="0"/>
                    <w:adjustRightInd w:val="0"/>
                    <w:jc w:val="center"/>
                    <w:rPr>
                      <w:szCs w:val="20"/>
                    </w:rPr>
                  </w:pPr>
                  <w:r>
                    <w:rPr>
                      <w:bCs/>
                      <w:szCs w:val="21"/>
                    </w:rPr>
                    <w:t>5.19</w:t>
                  </w:r>
                </w:p>
              </w:tc>
              <w:tc>
                <w:tcPr>
                  <w:tcW w:w="1112" w:type="dxa"/>
                  <w:vAlign w:val="center"/>
                </w:tcPr>
                <w:p>
                  <w:pPr>
                    <w:jc w:val="center"/>
                    <w:rPr>
                      <w:szCs w:val="20"/>
                    </w:rPr>
                  </w:pPr>
                  <w:r>
                    <w:rPr>
                      <w:rFonts w:hint="eastAsia"/>
                      <w:szCs w:val="21"/>
                      <w:highlight w:val="green"/>
                    </w:rPr>
                    <w:t>4.69</w:t>
                  </w:r>
                </w:p>
              </w:tc>
              <w:tc>
                <w:tcPr>
                  <w:tcW w:w="790" w:type="pct"/>
                  <w:vAlign w:val="center"/>
                </w:tcPr>
                <w:p>
                  <w:pPr>
                    <w:adjustRightInd w:val="0"/>
                    <w:jc w:val="center"/>
                    <w:rPr>
                      <w:szCs w:val="20"/>
                    </w:rPr>
                  </w:pPr>
                  <w:r>
                    <w:rPr>
                      <w:szCs w:val="20"/>
                    </w:rPr>
                    <w:t>0</w:t>
                  </w:r>
                </w:p>
              </w:tc>
              <w:tc>
                <w:tcPr>
                  <w:tcW w:w="718" w:type="pct"/>
                  <w:vAlign w:val="center"/>
                </w:tcPr>
                <w:p>
                  <w:pPr>
                    <w:adjustRightInd w:val="0"/>
                    <w:jc w:val="center"/>
                    <w:rPr>
                      <w:szCs w:val="20"/>
                    </w:rPr>
                  </w:pPr>
                  <w:r>
                    <w:rPr>
                      <w:szCs w:val="20"/>
                    </w:rPr>
                    <w:t>9.88</w:t>
                  </w:r>
                </w:p>
              </w:tc>
              <w:tc>
                <w:tcPr>
                  <w:tcW w:w="597" w:type="pct"/>
                  <w:vAlign w:val="center"/>
                </w:tcPr>
                <w:p>
                  <w:pPr>
                    <w:adjustRightInd w:val="0"/>
                    <w:jc w:val="center"/>
                    <w:rPr>
                      <w:szCs w:val="20"/>
                    </w:rPr>
                  </w:pPr>
                  <w:r>
                    <w:rPr>
                      <w:rFonts w:hint="eastAsia"/>
                      <w:szCs w:val="20"/>
                    </w:rPr>
                    <w:t>+</w:t>
                  </w:r>
                  <w:r>
                    <w:rPr>
                      <w:szCs w:val="20"/>
                    </w:rPr>
                    <w:t>4.69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utoSpaceDE w:val="0"/>
                    <w:autoSpaceDN w:val="0"/>
                    <w:adjustRightInd w:val="0"/>
                    <w:jc w:val="center"/>
                    <w:rPr>
                      <w:bCs/>
                      <w:szCs w:val="21"/>
                    </w:rPr>
                  </w:pPr>
                  <w:r>
                    <w:rPr>
                      <w:bCs/>
                      <w:szCs w:val="21"/>
                    </w:rPr>
                    <w:t>NO</w:t>
                  </w:r>
                  <w:r>
                    <w:rPr>
                      <w:bCs/>
                      <w:szCs w:val="21"/>
                      <w:vertAlign w:val="subscript"/>
                    </w:rPr>
                    <w:t>x</w:t>
                  </w:r>
                </w:p>
              </w:tc>
              <w:tc>
                <w:tcPr>
                  <w:tcW w:w="682" w:type="pct"/>
                  <w:vAlign w:val="center"/>
                </w:tcPr>
                <w:p>
                  <w:pPr>
                    <w:autoSpaceDE w:val="0"/>
                    <w:autoSpaceDN w:val="0"/>
                    <w:adjustRightInd w:val="0"/>
                    <w:jc w:val="center"/>
                    <w:rPr>
                      <w:szCs w:val="20"/>
                    </w:rPr>
                  </w:pPr>
                  <w:r>
                    <w:rPr>
                      <w:bCs/>
                      <w:szCs w:val="21"/>
                    </w:rPr>
                    <w:t>6.08</w:t>
                  </w:r>
                </w:p>
              </w:tc>
              <w:tc>
                <w:tcPr>
                  <w:tcW w:w="1112" w:type="dxa"/>
                  <w:vAlign w:val="center"/>
                </w:tcPr>
                <w:p>
                  <w:pPr>
                    <w:jc w:val="center"/>
                    <w:rPr>
                      <w:szCs w:val="20"/>
                    </w:rPr>
                  </w:pPr>
                  <w:r>
                    <w:rPr>
                      <w:rFonts w:hint="eastAsia"/>
                      <w:szCs w:val="21"/>
                      <w:highlight w:val="green"/>
                    </w:rPr>
                    <w:t>4.37</w:t>
                  </w:r>
                </w:p>
              </w:tc>
              <w:tc>
                <w:tcPr>
                  <w:tcW w:w="790" w:type="pct"/>
                  <w:vAlign w:val="center"/>
                </w:tcPr>
                <w:p>
                  <w:pPr>
                    <w:adjustRightInd w:val="0"/>
                    <w:jc w:val="center"/>
                    <w:rPr>
                      <w:szCs w:val="20"/>
                    </w:rPr>
                  </w:pPr>
                  <w:r>
                    <w:rPr>
                      <w:szCs w:val="20"/>
                    </w:rPr>
                    <w:t>0</w:t>
                  </w:r>
                </w:p>
              </w:tc>
              <w:tc>
                <w:tcPr>
                  <w:tcW w:w="718" w:type="pct"/>
                  <w:vAlign w:val="center"/>
                </w:tcPr>
                <w:p>
                  <w:pPr>
                    <w:adjustRightInd w:val="0"/>
                    <w:jc w:val="center"/>
                    <w:rPr>
                      <w:szCs w:val="20"/>
                    </w:rPr>
                  </w:pPr>
                  <w:r>
                    <w:rPr>
                      <w:szCs w:val="20"/>
                    </w:rPr>
                    <w:t>10.45</w:t>
                  </w:r>
                </w:p>
              </w:tc>
              <w:tc>
                <w:tcPr>
                  <w:tcW w:w="597" w:type="pct"/>
                  <w:vAlign w:val="center"/>
                </w:tcPr>
                <w:p>
                  <w:pPr>
                    <w:adjustRightInd w:val="0"/>
                    <w:jc w:val="center"/>
                    <w:rPr>
                      <w:szCs w:val="20"/>
                    </w:rPr>
                  </w:pPr>
                  <w:r>
                    <w:rPr>
                      <w:rFonts w:hint="eastAsia"/>
                      <w:szCs w:val="20"/>
                    </w:rPr>
                    <w:t>+</w:t>
                  </w:r>
                  <w:r>
                    <w:rPr>
                      <w:szCs w:val="20"/>
                    </w:rPr>
                    <w:t>4.37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utoSpaceDE w:val="0"/>
                    <w:autoSpaceDN w:val="0"/>
                    <w:adjustRightInd w:val="0"/>
                    <w:jc w:val="center"/>
                    <w:rPr>
                      <w:bCs/>
                      <w:szCs w:val="21"/>
                    </w:rPr>
                  </w:pPr>
                  <w:r>
                    <w:rPr>
                      <w:rFonts w:hint="eastAsia"/>
                      <w:bCs/>
                      <w:szCs w:val="21"/>
                    </w:rPr>
                    <w:t>甲醛</w:t>
                  </w:r>
                </w:p>
              </w:tc>
              <w:tc>
                <w:tcPr>
                  <w:tcW w:w="682" w:type="pct"/>
                  <w:vAlign w:val="center"/>
                </w:tcPr>
                <w:p>
                  <w:pPr>
                    <w:autoSpaceDE w:val="0"/>
                    <w:autoSpaceDN w:val="0"/>
                    <w:adjustRightInd w:val="0"/>
                    <w:jc w:val="center"/>
                    <w:rPr>
                      <w:szCs w:val="20"/>
                    </w:rPr>
                  </w:pPr>
                  <w:r>
                    <w:rPr>
                      <w:bCs/>
                      <w:szCs w:val="21"/>
                    </w:rPr>
                    <w:t>0.63</w:t>
                  </w:r>
                </w:p>
              </w:tc>
              <w:tc>
                <w:tcPr>
                  <w:tcW w:w="682" w:type="pct"/>
                  <w:vAlign w:val="center"/>
                </w:tcPr>
                <w:p>
                  <w:pPr>
                    <w:adjustRightInd w:val="0"/>
                    <w:jc w:val="center"/>
                    <w:rPr>
                      <w:szCs w:val="20"/>
                      <w:highlight w:val="green"/>
                    </w:rPr>
                  </w:pPr>
                  <w:r>
                    <w:rPr>
                      <w:rFonts w:hint="eastAsia"/>
                      <w:szCs w:val="20"/>
                      <w:highlight w:val="green"/>
                    </w:rPr>
                    <w:t>0</w:t>
                  </w:r>
                </w:p>
              </w:tc>
              <w:tc>
                <w:tcPr>
                  <w:tcW w:w="790" w:type="pct"/>
                  <w:vAlign w:val="center"/>
                </w:tcPr>
                <w:p>
                  <w:pPr>
                    <w:adjustRightInd w:val="0"/>
                    <w:jc w:val="center"/>
                    <w:rPr>
                      <w:szCs w:val="20"/>
                      <w:highlight w:val="green"/>
                    </w:rPr>
                  </w:pPr>
                  <w:r>
                    <w:rPr>
                      <w:rFonts w:hint="eastAsia"/>
                      <w:szCs w:val="20"/>
                      <w:highlight w:val="green"/>
                    </w:rPr>
                    <w:t>0.504</w:t>
                  </w:r>
                </w:p>
              </w:tc>
              <w:tc>
                <w:tcPr>
                  <w:tcW w:w="718" w:type="pct"/>
                  <w:vAlign w:val="center"/>
                </w:tcPr>
                <w:p>
                  <w:pPr>
                    <w:adjustRightInd w:val="0"/>
                    <w:jc w:val="center"/>
                    <w:rPr>
                      <w:szCs w:val="20"/>
                      <w:highlight w:val="green"/>
                    </w:rPr>
                  </w:pPr>
                  <w:r>
                    <w:rPr>
                      <w:rFonts w:hint="eastAsia"/>
                      <w:szCs w:val="20"/>
                      <w:highlight w:val="green"/>
                    </w:rPr>
                    <w:t>0.126</w:t>
                  </w:r>
                </w:p>
              </w:tc>
              <w:tc>
                <w:tcPr>
                  <w:tcW w:w="597" w:type="pct"/>
                  <w:vAlign w:val="center"/>
                </w:tcPr>
                <w:p>
                  <w:pPr>
                    <w:adjustRightInd w:val="0"/>
                    <w:jc w:val="center"/>
                    <w:rPr>
                      <w:szCs w:val="20"/>
                      <w:highlight w:val="green"/>
                    </w:rPr>
                  </w:pPr>
                  <w:r>
                    <w:rPr>
                      <w:rFonts w:hint="eastAsia"/>
                      <w:szCs w:val="20"/>
                      <w:highlight w:val="green"/>
                    </w:rPr>
                    <w:t>-</w:t>
                  </w:r>
                  <w:r>
                    <w:rPr>
                      <w:szCs w:val="20"/>
                      <w:highlight w:val="green"/>
                    </w:rPr>
                    <w:t>0.504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utoSpaceDE w:val="0"/>
                    <w:autoSpaceDN w:val="0"/>
                    <w:adjustRightInd w:val="0"/>
                    <w:jc w:val="center"/>
                    <w:rPr>
                      <w:bCs/>
                      <w:szCs w:val="21"/>
                    </w:rPr>
                  </w:pPr>
                  <w:r>
                    <w:rPr>
                      <w:rFonts w:hint="eastAsia"/>
                      <w:bCs/>
                      <w:szCs w:val="21"/>
                    </w:rPr>
                    <w:t>非甲烷总烃</w:t>
                  </w:r>
                </w:p>
              </w:tc>
              <w:tc>
                <w:tcPr>
                  <w:tcW w:w="682" w:type="pct"/>
                  <w:vAlign w:val="center"/>
                </w:tcPr>
                <w:p>
                  <w:pPr>
                    <w:autoSpaceDE w:val="0"/>
                    <w:autoSpaceDN w:val="0"/>
                    <w:adjustRightInd w:val="0"/>
                    <w:jc w:val="center"/>
                    <w:rPr>
                      <w:szCs w:val="20"/>
                    </w:rPr>
                  </w:pPr>
                  <w:r>
                    <w:rPr>
                      <w:bCs/>
                      <w:szCs w:val="21"/>
                    </w:rPr>
                    <w:t>1.4292</w:t>
                  </w:r>
                </w:p>
              </w:tc>
              <w:tc>
                <w:tcPr>
                  <w:tcW w:w="682" w:type="pct"/>
                  <w:vAlign w:val="center"/>
                </w:tcPr>
                <w:p>
                  <w:pPr>
                    <w:adjustRightInd w:val="0"/>
                    <w:jc w:val="center"/>
                    <w:rPr>
                      <w:szCs w:val="20"/>
                      <w:highlight w:val="green"/>
                    </w:rPr>
                  </w:pPr>
                  <w:r>
                    <w:rPr>
                      <w:rFonts w:hint="eastAsia"/>
                      <w:szCs w:val="20"/>
                      <w:highlight w:val="green"/>
                    </w:rPr>
                    <w:t>0</w:t>
                  </w:r>
                </w:p>
              </w:tc>
              <w:tc>
                <w:tcPr>
                  <w:tcW w:w="790" w:type="pct"/>
                  <w:vAlign w:val="center"/>
                </w:tcPr>
                <w:p>
                  <w:pPr>
                    <w:adjustRightInd w:val="0"/>
                    <w:jc w:val="center"/>
                    <w:rPr>
                      <w:szCs w:val="20"/>
                      <w:highlight w:val="green"/>
                    </w:rPr>
                  </w:pPr>
                  <w:r>
                    <w:rPr>
                      <w:rFonts w:hint="eastAsia"/>
                      <w:szCs w:val="20"/>
                      <w:highlight w:val="green"/>
                    </w:rPr>
                    <w:t>1.1432</w:t>
                  </w:r>
                </w:p>
              </w:tc>
              <w:tc>
                <w:tcPr>
                  <w:tcW w:w="718" w:type="pct"/>
                  <w:vAlign w:val="center"/>
                </w:tcPr>
                <w:p>
                  <w:pPr>
                    <w:adjustRightInd w:val="0"/>
                    <w:jc w:val="center"/>
                    <w:rPr>
                      <w:szCs w:val="20"/>
                      <w:highlight w:val="green"/>
                    </w:rPr>
                  </w:pPr>
                  <w:r>
                    <w:rPr>
                      <w:rFonts w:hint="eastAsia"/>
                      <w:szCs w:val="20"/>
                      <w:highlight w:val="green"/>
                    </w:rPr>
                    <w:t>0.286</w:t>
                  </w:r>
                </w:p>
              </w:tc>
              <w:tc>
                <w:tcPr>
                  <w:tcW w:w="597" w:type="pct"/>
                  <w:vAlign w:val="center"/>
                </w:tcPr>
                <w:p>
                  <w:pPr>
                    <w:adjustRightInd w:val="0"/>
                    <w:jc w:val="center"/>
                    <w:rPr>
                      <w:szCs w:val="20"/>
                      <w:highlight w:val="green"/>
                    </w:rPr>
                  </w:pPr>
                  <w:r>
                    <w:rPr>
                      <w:rFonts w:hint="eastAsia"/>
                      <w:szCs w:val="20"/>
                      <w:highlight w:val="green"/>
                    </w:rPr>
                    <w:t>-</w:t>
                  </w:r>
                  <w:r>
                    <w:rPr>
                      <w:szCs w:val="20"/>
                      <w:highlight w:val="green"/>
                    </w:rPr>
                    <w:t>1.1432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50" w:hRule="atLeast"/>
              </w:trPr>
              <w:tc>
                <w:tcPr>
                  <w:tcW w:w="463" w:type="pct"/>
                  <w:vMerge w:val="restart"/>
                  <w:vAlign w:val="center"/>
                </w:tcPr>
                <w:p>
                  <w:pPr>
                    <w:adjustRightInd w:val="0"/>
                    <w:jc w:val="center"/>
                    <w:rPr>
                      <w:szCs w:val="20"/>
                    </w:rPr>
                  </w:pPr>
                  <w:r>
                    <w:rPr>
                      <w:szCs w:val="20"/>
                    </w:rPr>
                    <w:t>固废</w:t>
                  </w:r>
                </w:p>
              </w:tc>
              <w:tc>
                <w:tcPr>
                  <w:tcW w:w="1069" w:type="pct"/>
                  <w:vAlign w:val="center"/>
                </w:tcPr>
                <w:p>
                  <w:pPr>
                    <w:adjustRightInd w:val="0"/>
                    <w:jc w:val="center"/>
                    <w:rPr>
                      <w:szCs w:val="20"/>
                    </w:rPr>
                  </w:pPr>
                  <w:r>
                    <w:rPr>
                      <w:rFonts w:hint="eastAsia"/>
                      <w:szCs w:val="20"/>
                    </w:rPr>
                    <w:t>锅炉灰渣</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zCs w:val="20"/>
                    </w:rPr>
                  </w:pPr>
                  <w:r>
                    <w:rPr>
                      <w:rFonts w:hint="eastAsia"/>
                      <w:szCs w:val="20"/>
                    </w:rPr>
                    <w:t>0</w:t>
                  </w:r>
                </w:p>
              </w:tc>
              <w:tc>
                <w:tcPr>
                  <w:tcW w:w="597" w:type="pct"/>
                </w:tcPr>
                <w:p>
                  <w:pPr>
                    <w:adjustRightInd w:val="0"/>
                    <w:jc w:val="center"/>
                    <w:rPr>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rFonts w:hint="eastAsia"/>
                      <w:szCs w:val="20"/>
                    </w:rPr>
                    <w:t>树皮枝叶</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zCs w:val="20"/>
                    </w:rPr>
                  </w:pPr>
                  <w:r>
                    <w:rPr>
                      <w:rFonts w:hint="eastAsia"/>
                      <w:szCs w:val="20"/>
                    </w:rPr>
                    <w:t>0</w:t>
                  </w:r>
                </w:p>
              </w:tc>
              <w:tc>
                <w:tcPr>
                  <w:tcW w:w="597" w:type="pct"/>
                </w:tcPr>
                <w:p>
                  <w:pPr>
                    <w:adjustRightInd w:val="0"/>
                    <w:jc w:val="center"/>
                    <w:rPr>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rFonts w:hint="eastAsia"/>
                      <w:szCs w:val="20"/>
                    </w:rPr>
                    <w:t>除尘灰、除尘渣</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zCs w:val="20"/>
                    </w:rPr>
                  </w:pPr>
                  <w:r>
                    <w:rPr>
                      <w:rFonts w:hint="eastAsia"/>
                      <w:szCs w:val="20"/>
                    </w:rPr>
                    <w:t>0</w:t>
                  </w:r>
                </w:p>
              </w:tc>
              <w:tc>
                <w:tcPr>
                  <w:tcW w:w="597" w:type="pct"/>
                </w:tcPr>
                <w:p>
                  <w:pPr>
                    <w:adjustRightInd w:val="0"/>
                    <w:jc w:val="center"/>
                    <w:rPr>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rFonts w:hint="eastAsia"/>
                      <w:szCs w:val="20"/>
                    </w:rPr>
                    <w:t>含砂石刨花</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zCs w:val="20"/>
                    </w:rPr>
                  </w:pPr>
                  <w:r>
                    <w:rPr>
                      <w:rFonts w:hint="eastAsia"/>
                      <w:szCs w:val="20"/>
                    </w:rPr>
                    <w:t>0</w:t>
                  </w:r>
                </w:p>
              </w:tc>
              <w:tc>
                <w:tcPr>
                  <w:tcW w:w="597" w:type="pct"/>
                </w:tcPr>
                <w:p>
                  <w:pPr>
                    <w:adjustRightInd w:val="0"/>
                    <w:jc w:val="center"/>
                    <w:rPr>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rFonts w:hint="eastAsia"/>
                      <w:szCs w:val="20"/>
                    </w:rPr>
                    <w:t>废胶</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napToGrid w:val="0"/>
                      <w:kern w:val="21"/>
                      <w:szCs w:val="20"/>
                    </w:rPr>
                  </w:pPr>
                  <w:r>
                    <w:rPr>
                      <w:rFonts w:hint="eastAsia"/>
                      <w:szCs w:val="20"/>
                    </w:rPr>
                    <w:t>0</w:t>
                  </w:r>
                </w:p>
              </w:tc>
              <w:tc>
                <w:tcPr>
                  <w:tcW w:w="597" w:type="pct"/>
                </w:tcPr>
                <w:p>
                  <w:pPr>
                    <w:adjustRightInd w:val="0"/>
                    <w:jc w:val="center"/>
                    <w:rPr>
                      <w:snapToGrid w:val="0"/>
                      <w:kern w:val="21"/>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rFonts w:hint="eastAsia"/>
                      <w:szCs w:val="20"/>
                    </w:rPr>
                    <w:t>不合格产品</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napToGrid w:val="0"/>
                      <w:kern w:val="21"/>
                      <w:szCs w:val="20"/>
                    </w:rPr>
                  </w:pPr>
                  <w:r>
                    <w:rPr>
                      <w:rFonts w:hint="eastAsia"/>
                      <w:szCs w:val="20"/>
                    </w:rPr>
                    <w:t>0</w:t>
                  </w:r>
                </w:p>
              </w:tc>
              <w:tc>
                <w:tcPr>
                  <w:tcW w:w="597" w:type="pct"/>
                </w:tcPr>
                <w:p>
                  <w:pPr>
                    <w:adjustRightInd w:val="0"/>
                    <w:jc w:val="center"/>
                    <w:rPr>
                      <w:snapToGrid w:val="0"/>
                      <w:kern w:val="21"/>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rFonts w:hint="eastAsia"/>
                      <w:szCs w:val="20"/>
                    </w:rPr>
                    <w:t>中水处理站污泥</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napToGrid w:val="0"/>
                      <w:kern w:val="21"/>
                      <w:szCs w:val="20"/>
                    </w:rPr>
                  </w:pPr>
                  <w:r>
                    <w:rPr>
                      <w:rFonts w:hint="eastAsia"/>
                      <w:szCs w:val="20"/>
                    </w:rPr>
                    <w:t>0</w:t>
                  </w:r>
                </w:p>
              </w:tc>
              <w:tc>
                <w:tcPr>
                  <w:tcW w:w="597" w:type="pct"/>
                </w:tcPr>
                <w:p>
                  <w:pPr>
                    <w:adjustRightInd w:val="0"/>
                    <w:jc w:val="center"/>
                    <w:rPr>
                      <w:snapToGrid w:val="0"/>
                      <w:kern w:val="21"/>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szCs w:val="20"/>
                    </w:rPr>
                    <w:t>生活垃圾</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zCs w:val="20"/>
                    </w:rPr>
                  </w:pPr>
                  <w:r>
                    <w:rPr>
                      <w:rFonts w:hint="eastAsia"/>
                      <w:szCs w:val="20"/>
                    </w:rPr>
                    <w:t>0</w:t>
                  </w:r>
                </w:p>
              </w:tc>
              <w:tc>
                <w:tcPr>
                  <w:tcW w:w="597" w:type="pct"/>
                </w:tcPr>
                <w:p>
                  <w:pPr>
                    <w:adjustRightInd w:val="0"/>
                    <w:jc w:val="center"/>
                    <w:rPr>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rFonts w:hint="eastAsia"/>
                      <w:szCs w:val="20"/>
                    </w:rPr>
                    <w:t>废机油</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zCs w:val="20"/>
                    </w:rPr>
                  </w:pPr>
                  <w:r>
                    <w:rPr>
                      <w:rFonts w:hint="eastAsia"/>
                      <w:szCs w:val="20"/>
                    </w:rPr>
                    <w:t>0</w:t>
                  </w:r>
                </w:p>
              </w:tc>
              <w:tc>
                <w:tcPr>
                  <w:tcW w:w="597" w:type="pct"/>
                </w:tcPr>
                <w:p>
                  <w:pPr>
                    <w:adjustRightInd w:val="0"/>
                    <w:jc w:val="center"/>
                    <w:rPr>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rFonts w:hint="eastAsia"/>
                      <w:szCs w:val="20"/>
                    </w:rPr>
                    <w:t>废导热油</w:t>
                  </w:r>
                </w:p>
              </w:tc>
              <w:tc>
                <w:tcPr>
                  <w:tcW w:w="682" w:type="pct"/>
                </w:tcPr>
                <w:p>
                  <w:pPr>
                    <w:adjustRightInd w:val="0"/>
                    <w:jc w:val="center"/>
                    <w:rPr>
                      <w:szCs w:val="20"/>
                    </w:rPr>
                  </w:pPr>
                  <w:r>
                    <w:rPr>
                      <w:rFonts w:hint="eastAsia"/>
                      <w:szCs w:val="20"/>
                    </w:rPr>
                    <w:t>0</w:t>
                  </w:r>
                </w:p>
              </w:tc>
              <w:tc>
                <w:tcPr>
                  <w:tcW w:w="682" w:type="pct"/>
                </w:tcPr>
                <w:p>
                  <w:pPr>
                    <w:adjustRightInd w:val="0"/>
                    <w:jc w:val="center"/>
                    <w:rPr>
                      <w:szCs w:val="20"/>
                    </w:rPr>
                  </w:pPr>
                  <w:r>
                    <w:rPr>
                      <w:rFonts w:hint="eastAsia"/>
                      <w:szCs w:val="20"/>
                    </w:rPr>
                    <w:t>0</w:t>
                  </w:r>
                </w:p>
              </w:tc>
              <w:tc>
                <w:tcPr>
                  <w:tcW w:w="790" w:type="pct"/>
                </w:tcPr>
                <w:p>
                  <w:pPr>
                    <w:adjustRightInd w:val="0"/>
                    <w:jc w:val="center"/>
                    <w:rPr>
                      <w:szCs w:val="20"/>
                    </w:rPr>
                  </w:pPr>
                  <w:r>
                    <w:rPr>
                      <w:rFonts w:hint="eastAsia"/>
                      <w:szCs w:val="20"/>
                    </w:rPr>
                    <w:t>0</w:t>
                  </w:r>
                </w:p>
              </w:tc>
              <w:tc>
                <w:tcPr>
                  <w:tcW w:w="718" w:type="pct"/>
                </w:tcPr>
                <w:p>
                  <w:pPr>
                    <w:adjustRightInd w:val="0"/>
                    <w:jc w:val="center"/>
                    <w:rPr>
                      <w:szCs w:val="20"/>
                    </w:rPr>
                  </w:pPr>
                  <w:r>
                    <w:rPr>
                      <w:rFonts w:hint="eastAsia"/>
                      <w:szCs w:val="20"/>
                    </w:rPr>
                    <w:t>0</w:t>
                  </w:r>
                </w:p>
              </w:tc>
              <w:tc>
                <w:tcPr>
                  <w:tcW w:w="597" w:type="pct"/>
                </w:tcPr>
                <w:p>
                  <w:pPr>
                    <w:adjustRightInd w:val="0"/>
                    <w:jc w:val="center"/>
                    <w:rPr>
                      <w:szCs w:val="20"/>
                    </w:rPr>
                  </w:pPr>
                  <w:r>
                    <w:rPr>
                      <w:rFonts w:hint="eastAsia"/>
                      <w:szCs w:val="20"/>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463" w:type="pct"/>
                  <w:vMerge w:val="continue"/>
                  <w:vAlign w:val="center"/>
                </w:tcPr>
                <w:p>
                  <w:pPr>
                    <w:adjustRightInd w:val="0"/>
                    <w:jc w:val="center"/>
                    <w:rPr>
                      <w:szCs w:val="20"/>
                    </w:rPr>
                  </w:pPr>
                </w:p>
              </w:tc>
              <w:tc>
                <w:tcPr>
                  <w:tcW w:w="1069" w:type="pct"/>
                  <w:vAlign w:val="center"/>
                </w:tcPr>
                <w:p>
                  <w:pPr>
                    <w:adjustRightInd w:val="0"/>
                    <w:jc w:val="center"/>
                    <w:rPr>
                      <w:szCs w:val="20"/>
                    </w:rPr>
                  </w:pPr>
                  <w:r>
                    <w:rPr>
                      <w:rFonts w:hint="eastAsia"/>
                      <w:szCs w:val="20"/>
                    </w:rPr>
                    <w:t>废活性炭</w:t>
                  </w:r>
                </w:p>
              </w:tc>
              <w:tc>
                <w:tcPr>
                  <w:tcW w:w="682" w:type="pct"/>
                  <w:vAlign w:val="center"/>
                </w:tcPr>
                <w:p>
                  <w:pPr>
                    <w:adjustRightInd w:val="0"/>
                    <w:jc w:val="center"/>
                    <w:rPr>
                      <w:szCs w:val="20"/>
                    </w:rPr>
                  </w:pPr>
                  <w:r>
                    <w:rPr>
                      <w:rFonts w:hint="eastAsia"/>
                      <w:szCs w:val="20"/>
                    </w:rPr>
                    <w:t>0</w:t>
                  </w:r>
                </w:p>
              </w:tc>
              <w:tc>
                <w:tcPr>
                  <w:tcW w:w="682" w:type="pct"/>
                  <w:vAlign w:val="center"/>
                </w:tcPr>
                <w:p>
                  <w:pPr>
                    <w:adjustRightInd w:val="0"/>
                    <w:jc w:val="center"/>
                    <w:rPr>
                      <w:szCs w:val="20"/>
                    </w:rPr>
                  </w:pPr>
                  <w:r>
                    <w:rPr>
                      <w:szCs w:val="20"/>
                    </w:rPr>
                    <w:t>0</w:t>
                  </w:r>
                </w:p>
              </w:tc>
              <w:tc>
                <w:tcPr>
                  <w:tcW w:w="790" w:type="pct"/>
                  <w:vAlign w:val="center"/>
                </w:tcPr>
                <w:p>
                  <w:pPr>
                    <w:adjustRightInd w:val="0"/>
                    <w:jc w:val="center"/>
                    <w:rPr>
                      <w:szCs w:val="20"/>
                    </w:rPr>
                  </w:pPr>
                  <w:r>
                    <w:rPr>
                      <w:rFonts w:hint="eastAsia"/>
                      <w:szCs w:val="20"/>
                    </w:rPr>
                    <w:t>0</w:t>
                  </w:r>
                </w:p>
              </w:tc>
              <w:tc>
                <w:tcPr>
                  <w:tcW w:w="718" w:type="pct"/>
                  <w:vAlign w:val="center"/>
                </w:tcPr>
                <w:p>
                  <w:pPr>
                    <w:adjustRightInd w:val="0"/>
                    <w:jc w:val="center"/>
                    <w:rPr>
                      <w:szCs w:val="20"/>
                    </w:rPr>
                  </w:pPr>
                  <w:r>
                    <w:rPr>
                      <w:rFonts w:hint="eastAsia"/>
                      <w:szCs w:val="20"/>
                    </w:rPr>
                    <w:t>0</w:t>
                  </w:r>
                </w:p>
              </w:tc>
              <w:tc>
                <w:tcPr>
                  <w:tcW w:w="597" w:type="pct"/>
                  <w:vAlign w:val="center"/>
                </w:tcPr>
                <w:p>
                  <w:pPr>
                    <w:adjustRightInd w:val="0"/>
                    <w:jc w:val="center"/>
                    <w:rPr>
                      <w:szCs w:val="20"/>
                    </w:rPr>
                  </w:pPr>
                  <w:r>
                    <w:rPr>
                      <w:rFonts w:hint="eastAsia"/>
                      <w:szCs w:val="20"/>
                    </w:rPr>
                    <w:t>0</w:t>
                  </w:r>
                </w:p>
              </w:tc>
            </w:tr>
          </w:tbl>
          <w:p>
            <w:pPr>
              <w:adjustRightInd w:val="0"/>
              <w:spacing w:before="120" w:beforeLines="50" w:line="360" w:lineRule="auto"/>
              <w:ind w:firstLine="436" w:firstLineChars="200"/>
              <w:rPr>
                <w:rFonts w:cs="宋体"/>
                <w:bCs/>
                <w:spacing w:val="-11"/>
                <w:sz w:val="24"/>
                <w:szCs w:val="21"/>
              </w:rPr>
            </w:pPr>
            <w:r>
              <w:rPr>
                <w:rFonts w:hint="eastAsia" w:cs="宋体"/>
                <w:bCs/>
                <w:spacing w:val="-11"/>
                <w:sz w:val="24"/>
                <w:szCs w:val="21"/>
              </w:rPr>
              <w:t>2、“以新带老”措施</w:t>
            </w:r>
          </w:p>
          <w:p>
            <w:pPr>
              <w:adjustRightInd w:val="0"/>
              <w:spacing w:line="360" w:lineRule="auto"/>
              <w:ind w:firstLine="480" w:firstLineChars="200"/>
              <w:rPr>
                <w:rFonts w:cs="宋体"/>
                <w:bCs/>
                <w:spacing w:val="-11"/>
                <w:sz w:val="24"/>
                <w:szCs w:val="21"/>
              </w:rPr>
            </w:pPr>
            <w:r>
              <w:rPr>
                <w:sz w:val="24"/>
              </w:rPr>
              <w:t>为保证原项目废气及本次</w:t>
            </w:r>
            <w:r>
              <w:rPr>
                <w:rFonts w:hint="eastAsia"/>
                <w:sz w:val="24"/>
              </w:rPr>
              <w:t>技改后</w:t>
            </w:r>
            <w:r>
              <w:rPr>
                <w:sz w:val="24"/>
              </w:rPr>
              <w:t>生产过程中环保设施能符合现行环保要求，本</w:t>
            </w:r>
            <w:r>
              <w:rPr>
                <w:rFonts w:hint="eastAsia"/>
                <w:sz w:val="24"/>
              </w:rPr>
              <w:t>次技改“</w:t>
            </w:r>
            <w:r>
              <w:rPr>
                <w:sz w:val="24"/>
              </w:rPr>
              <w:t>以新带老</w:t>
            </w:r>
            <w:r>
              <w:rPr>
                <w:rFonts w:hint="eastAsia"/>
                <w:sz w:val="24"/>
              </w:rPr>
              <w:t>”</w:t>
            </w:r>
            <w:r>
              <w:rPr>
                <w:sz w:val="24"/>
              </w:rPr>
              <w:t>措施如下</w:t>
            </w:r>
            <w:r>
              <w:rPr>
                <w:rFonts w:hint="eastAsia"/>
                <w:sz w:val="24"/>
              </w:rPr>
              <w:t>：</w:t>
            </w:r>
          </w:p>
          <w:p>
            <w:pPr>
              <w:adjustRightInd w:val="0"/>
              <w:spacing w:line="360" w:lineRule="auto"/>
              <w:ind w:firstLine="480" w:firstLineChars="200"/>
              <w:rPr>
                <w:bCs/>
                <w:sz w:val="24"/>
                <w:szCs w:val="21"/>
              </w:rPr>
            </w:pPr>
            <w:r>
              <w:rPr>
                <w:rFonts w:hint="eastAsia"/>
                <w:bCs/>
                <w:sz w:val="24"/>
                <w:szCs w:val="21"/>
              </w:rPr>
              <w:t>（1）针对现有项目</w:t>
            </w:r>
            <w:r>
              <w:rPr>
                <w:rFonts w:hint="eastAsia"/>
                <w:sz w:val="24"/>
              </w:rPr>
              <w:t>筛选工序废气、打磨工序废气处理，本次技改在旋风除尘器处理后增加布袋除尘器（风机位于旋风除尘器与布袋除尘器之间），筛选工序及打磨工序产生的废气首先通过风机经负压输送至旋风除尘器处理后，再通过风机正压输送至布袋除尘器处理后呈无组织排放</w:t>
            </w:r>
            <w:r>
              <w:rPr>
                <w:rFonts w:hint="eastAsia"/>
                <w:bCs/>
                <w:sz w:val="24"/>
                <w:szCs w:val="21"/>
              </w:rPr>
              <w:t>；</w:t>
            </w:r>
          </w:p>
          <w:p>
            <w:pPr>
              <w:adjustRightInd w:val="0"/>
              <w:spacing w:line="360" w:lineRule="auto"/>
              <w:ind w:firstLine="480" w:firstLineChars="200"/>
              <w:rPr>
                <w:bCs/>
                <w:sz w:val="24"/>
                <w:szCs w:val="21"/>
              </w:rPr>
            </w:pPr>
            <w:r>
              <w:rPr>
                <w:rFonts w:hint="eastAsia"/>
                <w:bCs/>
                <w:sz w:val="24"/>
                <w:szCs w:val="21"/>
              </w:rPr>
              <w:t>（</w:t>
            </w:r>
            <w:r>
              <w:rPr>
                <w:bCs/>
                <w:sz w:val="24"/>
                <w:szCs w:val="21"/>
              </w:rPr>
              <w:t>2</w:t>
            </w:r>
            <w:r>
              <w:rPr>
                <w:rFonts w:hint="eastAsia"/>
                <w:bCs/>
                <w:sz w:val="24"/>
                <w:szCs w:val="21"/>
              </w:rPr>
              <w:t>）7</w:t>
            </w:r>
            <w:r>
              <w:rPr>
                <w:bCs/>
                <w:sz w:val="24"/>
                <w:szCs w:val="21"/>
              </w:rPr>
              <w:t>t/h</w:t>
            </w:r>
            <w:r>
              <w:rPr>
                <w:rFonts w:hint="eastAsia" w:cs="宋体"/>
                <w:kern w:val="0"/>
                <w:sz w:val="24"/>
                <w:lang w:bidi="ar"/>
              </w:rPr>
              <w:t>导热油锅炉烟气处理在“多管旋风除尘器”后增加水膜除尘系统；</w:t>
            </w:r>
            <w:r>
              <w:rPr>
                <w:bCs/>
                <w:sz w:val="24"/>
                <w:szCs w:val="21"/>
              </w:rPr>
              <w:t xml:space="preserve"> </w:t>
            </w:r>
          </w:p>
          <w:p>
            <w:pPr>
              <w:adjustRightInd w:val="0"/>
              <w:spacing w:line="360" w:lineRule="auto"/>
              <w:ind w:firstLine="480" w:firstLineChars="200"/>
              <w:rPr>
                <w:bCs/>
                <w:sz w:val="24"/>
                <w:szCs w:val="21"/>
              </w:rPr>
            </w:pPr>
            <w:r>
              <w:rPr>
                <w:rFonts w:hint="eastAsia"/>
                <w:bCs/>
                <w:sz w:val="24"/>
                <w:szCs w:val="21"/>
              </w:rPr>
              <w:t>（</w:t>
            </w:r>
            <w:r>
              <w:rPr>
                <w:bCs/>
                <w:sz w:val="24"/>
                <w:szCs w:val="21"/>
              </w:rPr>
              <w:t>3</w:t>
            </w:r>
            <w:r>
              <w:rPr>
                <w:rFonts w:hint="eastAsia"/>
                <w:bCs/>
                <w:sz w:val="24"/>
                <w:szCs w:val="21"/>
              </w:rPr>
              <w:t>）对热压凉板工段新增1套活性炭吸附装置吸附处理有机废气；</w:t>
            </w:r>
          </w:p>
          <w:p>
            <w:pPr>
              <w:adjustRightInd w:val="0"/>
              <w:spacing w:line="360" w:lineRule="auto"/>
              <w:ind w:firstLine="480" w:firstLineChars="200"/>
              <w:rPr>
                <w:bCs/>
                <w:sz w:val="24"/>
                <w:szCs w:val="21"/>
              </w:rPr>
            </w:pPr>
            <w:r>
              <w:rPr>
                <w:rFonts w:hint="eastAsia"/>
                <w:bCs/>
                <w:sz w:val="24"/>
                <w:szCs w:val="21"/>
              </w:rPr>
              <w:t>（4）炉渣规范堆存至一般固废暂存区内，及时进行清运处置；</w:t>
            </w:r>
          </w:p>
          <w:p>
            <w:pPr>
              <w:adjustRightInd w:val="0"/>
              <w:spacing w:line="360" w:lineRule="auto"/>
              <w:ind w:firstLine="480" w:firstLineChars="200"/>
              <w:rPr>
                <w:bCs/>
                <w:sz w:val="24"/>
                <w:szCs w:val="21"/>
              </w:rPr>
            </w:pPr>
            <w:r>
              <w:rPr>
                <w:rFonts w:hint="eastAsia"/>
                <w:bCs/>
                <w:sz w:val="24"/>
                <w:szCs w:val="21"/>
              </w:rPr>
              <w:t>（5）规范设置刨花干燥工段排气筒采样监测平台；</w:t>
            </w:r>
          </w:p>
          <w:p>
            <w:pPr>
              <w:adjustRightInd w:val="0"/>
              <w:spacing w:line="360" w:lineRule="auto"/>
              <w:ind w:firstLine="480" w:firstLineChars="200"/>
              <w:rPr>
                <w:kern w:val="0"/>
                <w:sz w:val="24"/>
                <w:lang w:bidi="ar"/>
              </w:rPr>
            </w:pPr>
            <w:r>
              <w:rPr>
                <w:rFonts w:hint="eastAsia"/>
                <w:bCs/>
                <w:sz w:val="24"/>
                <w:szCs w:val="21"/>
              </w:rPr>
              <w:t>（6）及时更新修订应急预案，并按要求至少每年演练一次，并记录演练过程</w:t>
            </w:r>
            <w:r>
              <w:rPr>
                <w:kern w:val="0"/>
                <w:sz w:val="24"/>
                <w:lang w:bidi="ar"/>
              </w:rPr>
              <w:t>。</w:t>
            </w:r>
          </w:p>
          <w:p>
            <w:pPr>
              <w:adjustRightInd w:val="0"/>
              <w:spacing w:line="360" w:lineRule="auto"/>
              <w:ind w:firstLine="480" w:firstLineChars="200"/>
              <w:rPr>
                <w:bCs/>
                <w:sz w:val="24"/>
                <w:szCs w:val="21"/>
              </w:rPr>
            </w:pPr>
            <w:r>
              <w:rPr>
                <w:rFonts w:hint="eastAsia"/>
                <w:kern w:val="0"/>
                <w:sz w:val="24"/>
                <w:lang w:bidi="ar"/>
              </w:rPr>
              <w:t>（7）及时按</w:t>
            </w:r>
            <w:r>
              <w:rPr>
                <w:sz w:val="24"/>
                <w:szCs w:val="21"/>
              </w:rPr>
              <w:t>《危险废物贮存污染控制标准》（GB18596-20</w:t>
            </w:r>
            <w:r>
              <w:rPr>
                <w:rFonts w:hint="eastAsia"/>
                <w:sz w:val="24"/>
                <w:szCs w:val="21"/>
              </w:rPr>
              <w:t>23</w:t>
            </w:r>
            <w:r>
              <w:rPr>
                <w:sz w:val="24"/>
                <w:szCs w:val="21"/>
              </w:rPr>
              <w:t>）</w:t>
            </w:r>
            <w:r>
              <w:rPr>
                <w:rFonts w:hint="eastAsia"/>
                <w:sz w:val="24"/>
                <w:szCs w:val="21"/>
              </w:rPr>
              <w:t>的要求</w:t>
            </w:r>
            <w:r>
              <w:rPr>
                <w:rFonts w:hint="eastAsia"/>
                <w:kern w:val="0"/>
                <w:sz w:val="24"/>
                <w:lang w:bidi="ar"/>
              </w:rPr>
              <w:t>更新危险废物暂存间标识标牌。</w:t>
            </w:r>
          </w:p>
        </w:tc>
      </w:tr>
    </w:tbl>
    <w:p>
      <w:pPr>
        <w:adjustRightIn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28"/>
        <w:jc w:val="center"/>
        <w:outlineLvl w:val="0"/>
        <w:rPr>
          <w:rFonts w:ascii="黑体" w:hAnsi="黑体" w:eastAsia="黑体"/>
          <w:snapToGrid w:val="0"/>
          <w:sz w:val="30"/>
          <w:szCs w:val="30"/>
        </w:rPr>
      </w:pPr>
      <w:bookmarkStart w:id="17" w:name="_Toc140937505"/>
      <w:r>
        <w:rPr>
          <w:rFonts w:hint="eastAsia" w:ascii="黑体" w:hAnsi="黑体" w:eastAsia="黑体"/>
          <w:snapToGrid w:val="0"/>
          <w:sz w:val="30"/>
          <w:szCs w:val="30"/>
        </w:rPr>
        <w:t>五、</w:t>
      </w:r>
      <w:bookmarkStart w:id="18" w:name="_Hlk54167917"/>
      <w:r>
        <w:rPr>
          <w:rFonts w:hint="eastAsia" w:ascii="黑体" w:hAnsi="黑体" w:eastAsia="黑体"/>
          <w:snapToGrid w:val="0"/>
          <w:sz w:val="30"/>
          <w:szCs w:val="30"/>
        </w:rPr>
        <w:t>环境保护措施监督检查清单</w:t>
      </w:r>
      <w:bookmarkEnd w:id="17"/>
      <w:bookmarkEnd w:id="18"/>
    </w:p>
    <w:tbl>
      <w:tblPr>
        <w:tblStyle w:val="3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055"/>
        <w:gridCol w:w="1696"/>
        <w:gridCol w:w="1895"/>
        <w:gridCol w:w="1816"/>
        <w:gridCol w:w="2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89" w:type="pct"/>
            <w:tcBorders>
              <w:tl2br w:val="single" w:color="auto" w:sz="4" w:space="0"/>
            </w:tcBorders>
            <w:vAlign w:val="center"/>
          </w:tcPr>
          <w:p>
            <w:pPr>
              <w:adjustRightInd w:val="0"/>
              <w:ind w:firstLine="422" w:firstLineChars="200"/>
              <w:jc w:val="right"/>
              <w:rPr>
                <w:rFonts w:cs="宋体"/>
                <w:b/>
                <w:bCs/>
                <w:szCs w:val="21"/>
              </w:rPr>
            </w:pPr>
            <w:r>
              <w:rPr>
                <w:rFonts w:hint="eastAsia" w:cs="宋体"/>
                <w:b/>
                <w:bCs/>
                <w:szCs w:val="21"/>
              </w:rPr>
              <w:t>内容</w:t>
            </w:r>
          </w:p>
          <w:p>
            <w:pPr>
              <w:adjustRightInd w:val="0"/>
              <w:rPr>
                <w:rFonts w:cs="宋体"/>
                <w:b/>
                <w:bCs/>
                <w:szCs w:val="21"/>
              </w:rPr>
            </w:pPr>
            <w:r>
              <w:rPr>
                <w:rFonts w:hint="eastAsia" w:cs="宋体"/>
                <w:b/>
                <w:bCs/>
                <w:szCs w:val="21"/>
              </w:rPr>
              <w:t>要素</w:t>
            </w:r>
          </w:p>
        </w:tc>
        <w:tc>
          <w:tcPr>
            <w:tcW w:w="947" w:type="pct"/>
            <w:vAlign w:val="center"/>
          </w:tcPr>
          <w:p>
            <w:pPr>
              <w:adjustRightInd w:val="0"/>
              <w:jc w:val="center"/>
              <w:rPr>
                <w:rFonts w:cs="宋体"/>
                <w:b/>
                <w:bCs/>
                <w:szCs w:val="21"/>
              </w:rPr>
            </w:pPr>
            <w:r>
              <w:rPr>
                <w:rFonts w:hint="eastAsia" w:cs="宋体"/>
                <w:b/>
                <w:bCs/>
                <w:szCs w:val="21"/>
              </w:rPr>
              <w:t>排放口（编号、名称）/污染源</w:t>
            </w:r>
          </w:p>
        </w:tc>
        <w:tc>
          <w:tcPr>
            <w:tcW w:w="1058" w:type="pct"/>
            <w:vAlign w:val="center"/>
          </w:tcPr>
          <w:p>
            <w:pPr>
              <w:adjustRightInd w:val="0"/>
              <w:jc w:val="center"/>
              <w:rPr>
                <w:rFonts w:cs="宋体"/>
                <w:b/>
                <w:bCs/>
                <w:szCs w:val="21"/>
              </w:rPr>
            </w:pPr>
            <w:r>
              <w:rPr>
                <w:rFonts w:hint="eastAsia" w:cs="宋体"/>
                <w:b/>
                <w:bCs/>
                <w:szCs w:val="21"/>
              </w:rPr>
              <w:t>污染物项目</w:t>
            </w:r>
          </w:p>
        </w:tc>
        <w:tc>
          <w:tcPr>
            <w:tcW w:w="1014" w:type="pct"/>
            <w:vAlign w:val="center"/>
          </w:tcPr>
          <w:p>
            <w:pPr>
              <w:adjustRightInd w:val="0"/>
              <w:jc w:val="center"/>
              <w:rPr>
                <w:rFonts w:cs="宋体"/>
                <w:b/>
                <w:bCs/>
                <w:szCs w:val="21"/>
              </w:rPr>
            </w:pPr>
            <w:r>
              <w:rPr>
                <w:rFonts w:hint="eastAsia" w:cs="宋体"/>
                <w:b/>
                <w:bCs/>
                <w:szCs w:val="21"/>
              </w:rPr>
              <w:t>环境保护措施</w:t>
            </w:r>
          </w:p>
        </w:tc>
        <w:tc>
          <w:tcPr>
            <w:tcW w:w="1391" w:type="pct"/>
            <w:vAlign w:val="center"/>
          </w:tcPr>
          <w:p>
            <w:pPr>
              <w:adjustRightInd w:val="0"/>
              <w:jc w:val="center"/>
              <w:rPr>
                <w:rFonts w:cs="宋体"/>
                <w:b/>
                <w:bCs/>
                <w:szCs w:val="21"/>
              </w:rPr>
            </w:pPr>
            <w:r>
              <w:rPr>
                <w:rFonts w:hint="eastAsia" w:cs="宋体"/>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17" w:hRule="atLeast"/>
          <w:jc w:val="center"/>
        </w:trPr>
        <w:tc>
          <w:tcPr>
            <w:tcW w:w="589" w:type="pct"/>
            <w:vMerge w:val="restart"/>
            <w:vAlign w:val="center"/>
          </w:tcPr>
          <w:p>
            <w:pPr>
              <w:adjustRightInd w:val="0"/>
              <w:jc w:val="center"/>
              <w:rPr>
                <w:rFonts w:cs="宋体"/>
                <w:szCs w:val="21"/>
              </w:rPr>
            </w:pPr>
            <w:r>
              <w:rPr>
                <w:rFonts w:hint="eastAsia" w:cs="宋体"/>
                <w:szCs w:val="21"/>
              </w:rPr>
              <w:t>大气环境</w:t>
            </w:r>
          </w:p>
        </w:tc>
        <w:tc>
          <w:tcPr>
            <w:tcW w:w="947" w:type="pct"/>
            <w:vAlign w:val="center"/>
          </w:tcPr>
          <w:p>
            <w:pPr>
              <w:adjustRightInd w:val="0"/>
              <w:jc w:val="center"/>
              <w:rPr>
                <w:rFonts w:cs="宋体"/>
                <w:szCs w:val="21"/>
              </w:rPr>
            </w:pPr>
            <w:r>
              <w:rPr>
                <w:rFonts w:hint="eastAsia" w:cs="宋体"/>
                <w:szCs w:val="21"/>
              </w:rPr>
              <w:t>5t/h锅炉排气筒（DA001）</w:t>
            </w:r>
          </w:p>
        </w:tc>
        <w:tc>
          <w:tcPr>
            <w:tcW w:w="1058" w:type="pct"/>
            <w:vAlign w:val="center"/>
          </w:tcPr>
          <w:p>
            <w:pPr>
              <w:adjustRightInd w:val="0"/>
              <w:jc w:val="center"/>
              <w:rPr>
                <w:rFonts w:cs="宋体"/>
                <w:szCs w:val="21"/>
              </w:rPr>
            </w:pPr>
            <w:r>
              <w:rPr>
                <w:szCs w:val="21"/>
              </w:rPr>
              <w:t>SO</w:t>
            </w:r>
            <w:r>
              <w:rPr>
                <w:szCs w:val="21"/>
                <w:vertAlign w:val="subscript"/>
              </w:rPr>
              <w:t>2</w:t>
            </w:r>
            <w:r>
              <w:rPr>
                <w:szCs w:val="21"/>
              </w:rPr>
              <w:t>、颗粒物、NO</w:t>
            </w:r>
            <w:r>
              <w:rPr>
                <w:szCs w:val="21"/>
                <w:vertAlign w:val="subscript"/>
              </w:rPr>
              <w:t>X</w:t>
            </w:r>
            <w:r>
              <w:rPr>
                <w:szCs w:val="21"/>
              </w:rPr>
              <w:t>、烟气黑度（林格曼黑度）</w:t>
            </w:r>
          </w:p>
        </w:tc>
        <w:tc>
          <w:tcPr>
            <w:tcW w:w="1014" w:type="pct"/>
            <w:vAlign w:val="center"/>
          </w:tcPr>
          <w:p>
            <w:pPr>
              <w:adjustRightInd w:val="0"/>
              <w:jc w:val="center"/>
              <w:rPr>
                <w:rFonts w:cs="宋体"/>
                <w:szCs w:val="21"/>
              </w:rPr>
            </w:pPr>
            <w:r>
              <w:rPr>
                <w:rFonts w:hint="eastAsia" w:cs="宋体"/>
                <w:szCs w:val="21"/>
              </w:rPr>
              <w:t>多管旋风除尘+水膜除尘+35m高排气筒</w:t>
            </w:r>
          </w:p>
        </w:tc>
        <w:tc>
          <w:tcPr>
            <w:tcW w:w="1391" w:type="pct"/>
            <w:vMerge w:val="restart"/>
            <w:vAlign w:val="center"/>
          </w:tcPr>
          <w:p>
            <w:pPr>
              <w:adjustRightInd w:val="0"/>
              <w:jc w:val="center"/>
              <w:rPr>
                <w:rFonts w:cs="宋体"/>
                <w:szCs w:val="21"/>
              </w:rPr>
            </w:pPr>
            <w:r>
              <w:rPr>
                <w:szCs w:val="21"/>
              </w:rPr>
              <w:t>《锅炉大气污染物综合排放标准》（GB13271-2014）中表2新建锅炉大气污染物排放浓度限值中燃煤锅炉的排放限值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89" w:type="pct"/>
            <w:vMerge w:val="continue"/>
            <w:vAlign w:val="center"/>
          </w:tcPr>
          <w:p>
            <w:pPr>
              <w:adjustRightInd w:val="0"/>
              <w:jc w:val="center"/>
              <w:rPr>
                <w:rFonts w:cs="宋体"/>
                <w:szCs w:val="21"/>
              </w:rPr>
            </w:pPr>
          </w:p>
        </w:tc>
        <w:tc>
          <w:tcPr>
            <w:tcW w:w="947" w:type="pct"/>
            <w:vAlign w:val="center"/>
          </w:tcPr>
          <w:p>
            <w:pPr>
              <w:adjustRightInd w:val="0"/>
              <w:jc w:val="center"/>
              <w:rPr>
                <w:rFonts w:cs="宋体"/>
                <w:szCs w:val="21"/>
              </w:rPr>
            </w:pPr>
            <w:r>
              <w:rPr>
                <w:rFonts w:hint="eastAsia" w:cs="宋体"/>
                <w:szCs w:val="21"/>
              </w:rPr>
              <w:t>7t/h锅炉排气筒（DA002）</w:t>
            </w:r>
          </w:p>
        </w:tc>
        <w:tc>
          <w:tcPr>
            <w:tcW w:w="1058" w:type="pct"/>
            <w:vAlign w:val="center"/>
          </w:tcPr>
          <w:p>
            <w:pPr>
              <w:adjustRightInd w:val="0"/>
              <w:jc w:val="center"/>
              <w:rPr>
                <w:rFonts w:cs="宋体"/>
                <w:szCs w:val="21"/>
              </w:rPr>
            </w:pPr>
            <w:r>
              <w:rPr>
                <w:szCs w:val="21"/>
              </w:rPr>
              <w:t>SO</w:t>
            </w:r>
            <w:r>
              <w:rPr>
                <w:szCs w:val="21"/>
                <w:vertAlign w:val="subscript"/>
              </w:rPr>
              <w:t>2</w:t>
            </w:r>
            <w:r>
              <w:rPr>
                <w:szCs w:val="21"/>
              </w:rPr>
              <w:t>、颗粒物、NO</w:t>
            </w:r>
            <w:r>
              <w:rPr>
                <w:szCs w:val="21"/>
                <w:vertAlign w:val="subscript"/>
              </w:rPr>
              <w:t>X</w:t>
            </w:r>
            <w:r>
              <w:rPr>
                <w:szCs w:val="21"/>
              </w:rPr>
              <w:t>、烟气黑度（林格曼黑度）</w:t>
            </w:r>
          </w:p>
        </w:tc>
        <w:tc>
          <w:tcPr>
            <w:tcW w:w="1014" w:type="pct"/>
            <w:vAlign w:val="center"/>
          </w:tcPr>
          <w:p>
            <w:pPr>
              <w:adjustRightInd w:val="0"/>
              <w:jc w:val="center"/>
              <w:rPr>
                <w:rFonts w:cs="宋体"/>
                <w:szCs w:val="21"/>
              </w:rPr>
            </w:pPr>
            <w:r>
              <w:rPr>
                <w:rFonts w:hint="eastAsia" w:cs="宋体"/>
                <w:szCs w:val="21"/>
              </w:rPr>
              <w:t>多管旋风除尘+水膜除尘+35m高排气筒</w:t>
            </w:r>
          </w:p>
        </w:tc>
        <w:tc>
          <w:tcPr>
            <w:tcW w:w="1391" w:type="pct"/>
            <w:vMerge w:val="continue"/>
            <w:vAlign w:val="center"/>
          </w:tcPr>
          <w:p>
            <w:pPr>
              <w:adjustRightInd w:val="0"/>
              <w:jc w:val="center"/>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10" w:hRule="atLeast"/>
          <w:jc w:val="center"/>
        </w:trPr>
        <w:tc>
          <w:tcPr>
            <w:tcW w:w="589" w:type="pct"/>
            <w:vMerge w:val="continue"/>
            <w:vAlign w:val="center"/>
          </w:tcPr>
          <w:p>
            <w:pPr>
              <w:adjustRightInd w:val="0"/>
              <w:jc w:val="center"/>
              <w:rPr>
                <w:rFonts w:cs="宋体"/>
                <w:szCs w:val="21"/>
              </w:rPr>
            </w:pPr>
          </w:p>
        </w:tc>
        <w:tc>
          <w:tcPr>
            <w:tcW w:w="947" w:type="pct"/>
            <w:vAlign w:val="center"/>
          </w:tcPr>
          <w:p>
            <w:pPr>
              <w:adjustRightInd w:val="0"/>
              <w:jc w:val="center"/>
              <w:rPr>
                <w:rFonts w:cs="宋体"/>
                <w:szCs w:val="21"/>
              </w:rPr>
            </w:pPr>
            <w:r>
              <w:rPr>
                <w:rFonts w:hint="eastAsia" w:cs="宋体"/>
                <w:szCs w:val="21"/>
              </w:rPr>
              <w:t>热压、凉板工段排气筒（DA006）</w:t>
            </w:r>
          </w:p>
        </w:tc>
        <w:tc>
          <w:tcPr>
            <w:tcW w:w="1058" w:type="pct"/>
            <w:vAlign w:val="center"/>
          </w:tcPr>
          <w:p>
            <w:pPr>
              <w:adjustRightInd w:val="0"/>
              <w:jc w:val="center"/>
              <w:rPr>
                <w:rFonts w:cs="宋体"/>
                <w:szCs w:val="21"/>
              </w:rPr>
            </w:pPr>
            <w:r>
              <w:rPr>
                <w:rFonts w:hint="eastAsia" w:cs="宋体"/>
                <w:szCs w:val="21"/>
              </w:rPr>
              <w:t>颗粒物、甲醛、非甲烷总烃</w:t>
            </w:r>
          </w:p>
        </w:tc>
        <w:tc>
          <w:tcPr>
            <w:tcW w:w="1014" w:type="pct"/>
            <w:vAlign w:val="center"/>
          </w:tcPr>
          <w:p>
            <w:pPr>
              <w:adjustRightInd w:val="0"/>
              <w:jc w:val="center"/>
              <w:rPr>
                <w:rFonts w:cs="宋体"/>
                <w:szCs w:val="21"/>
              </w:rPr>
            </w:pPr>
            <w:r>
              <w:rPr>
                <w:rFonts w:hint="eastAsia" w:cs="宋体"/>
                <w:szCs w:val="21"/>
              </w:rPr>
              <w:t>集气罩+活性炭吸附+15m高排气筒</w:t>
            </w:r>
          </w:p>
        </w:tc>
        <w:tc>
          <w:tcPr>
            <w:tcW w:w="1391" w:type="pct"/>
            <w:vAlign w:val="center"/>
          </w:tcPr>
          <w:p>
            <w:pPr>
              <w:adjustRightInd w:val="0"/>
              <w:jc w:val="center"/>
              <w:rPr>
                <w:rFonts w:cs="宋体"/>
                <w:szCs w:val="21"/>
              </w:rPr>
            </w:pPr>
            <w:r>
              <w:rPr>
                <w:rFonts w:hint="eastAsia" w:cs="宋体"/>
                <w:szCs w:val="21"/>
              </w:rPr>
              <w:t>《大气污染物综</w:t>
            </w:r>
            <w:r>
              <w:rPr>
                <w:rFonts w:hint="eastAsia"/>
              </w:rPr>
              <w:t>合排放标准》（GB16297-1996）表2中二级标准要求。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89" w:type="pct"/>
            <w:vMerge w:val="continue"/>
            <w:vAlign w:val="center"/>
          </w:tcPr>
          <w:p>
            <w:pPr>
              <w:adjustRightInd w:val="0"/>
              <w:jc w:val="center"/>
              <w:rPr>
                <w:rFonts w:cs="宋体"/>
                <w:szCs w:val="21"/>
              </w:rPr>
            </w:pPr>
          </w:p>
        </w:tc>
        <w:tc>
          <w:tcPr>
            <w:tcW w:w="947" w:type="pct"/>
            <w:vAlign w:val="center"/>
          </w:tcPr>
          <w:p>
            <w:pPr>
              <w:adjustRightInd w:val="0"/>
              <w:jc w:val="center"/>
              <w:rPr>
                <w:rFonts w:cs="宋体"/>
                <w:szCs w:val="21"/>
              </w:rPr>
            </w:pPr>
            <w:r>
              <w:rPr>
                <w:rFonts w:hint="eastAsia" w:cs="宋体"/>
                <w:szCs w:val="21"/>
              </w:rPr>
              <w:t>厂区无组织废气</w:t>
            </w:r>
          </w:p>
        </w:tc>
        <w:tc>
          <w:tcPr>
            <w:tcW w:w="1058" w:type="pct"/>
            <w:vAlign w:val="center"/>
          </w:tcPr>
          <w:p>
            <w:pPr>
              <w:adjustRightInd w:val="0"/>
              <w:jc w:val="center"/>
              <w:rPr>
                <w:rFonts w:cs="宋体"/>
                <w:szCs w:val="21"/>
              </w:rPr>
            </w:pPr>
            <w:r>
              <w:rPr>
                <w:rFonts w:hint="eastAsia" w:cs="宋体"/>
                <w:szCs w:val="21"/>
              </w:rPr>
              <w:t>甲醛、颗粒物、非甲烷总烃</w:t>
            </w:r>
          </w:p>
        </w:tc>
        <w:tc>
          <w:tcPr>
            <w:tcW w:w="1014" w:type="pct"/>
            <w:vAlign w:val="center"/>
          </w:tcPr>
          <w:p>
            <w:pPr>
              <w:adjustRightInd w:val="0"/>
              <w:jc w:val="center"/>
              <w:rPr>
                <w:rFonts w:cs="宋体"/>
                <w:szCs w:val="21"/>
              </w:rPr>
            </w:pPr>
            <w:r>
              <w:rPr>
                <w:rFonts w:hint="eastAsia"/>
                <w:szCs w:val="21"/>
              </w:rPr>
              <w:t>加强厂内通风、厂房阻隔粉尘、呈无组织排放</w:t>
            </w:r>
          </w:p>
        </w:tc>
        <w:tc>
          <w:tcPr>
            <w:tcW w:w="1391" w:type="pct"/>
            <w:vAlign w:val="center"/>
          </w:tcPr>
          <w:p>
            <w:pPr>
              <w:adjustRightInd w:val="0"/>
              <w:jc w:val="center"/>
              <w:rPr>
                <w:rFonts w:cs="宋体"/>
                <w:szCs w:val="21"/>
              </w:rPr>
            </w:pPr>
            <w:r>
              <w:rPr>
                <w:rFonts w:hint="eastAsia"/>
                <w:szCs w:val="21"/>
              </w:rPr>
              <w:t>《大气污染综合排放标准》（GB16297-1996）表2中二级标准要求无组织排放限制要求。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47" w:hRule="atLeast"/>
          <w:jc w:val="center"/>
        </w:trPr>
        <w:tc>
          <w:tcPr>
            <w:tcW w:w="589" w:type="pct"/>
            <w:vAlign w:val="center"/>
          </w:tcPr>
          <w:p>
            <w:pPr>
              <w:adjustRightInd w:val="0"/>
              <w:jc w:val="center"/>
              <w:rPr>
                <w:rFonts w:cs="宋体"/>
                <w:szCs w:val="21"/>
              </w:rPr>
            </w:pPr>
            <w:r>
              <w:rPr>
                <w:rFonts w:hint="eastAsia" w:cs="宋体"/>
                <w:szCs w:val="21"/>
              </w:rPr>
              <w:t>地表水环境</w:t>
            </w:r>
          </w:p>
        </w:tc>
        <w:tc>
          <w:tcPr>
            <w:tcW w:w="947" w:type="pct"/>
            <w:vAlign w:val="center"/>
          </w:tcPr>
          <w:p>
            <w:pPr>
              <w:adjustRightInd w:val="0"/>
              <w:jc w:val="center"/>
              <w:rPr>
                <w:szCs w:val="18"/>
              </w:rPr>
            </w:pPr>
            <w:r>
              <w:rPr>
                <w:rFonts w:hint="eastAsia"/>
                <w:szCs w:val="18"/>
              </w:rPr>
              <w:t>水膜除尘废水</w:t>
            </w:r>
          </w:p>
        </w:tc>
        <w:tc>
          <w:tcPr>
            <w:tcW w:w="1058" w:type="pct"/>
            <w:vAlign w:val="center"/>
          </w:tcPr>
          <w:p>
            <w:pPr>
              <w:adjustRightInd w:val="0"/>
              <w:jc w:val="center"/>
              <w:rPr>
                <w:szCs w:val="18"/>
              </w:rPr>
            </w:pPr>
            <w:r>
              <w:rPr>
                <w:rFonts w:hint="eastAsia"/>
                <w:szCs w:val="18"/>
              </w:rPr>
              <w:t>SS</w:t>
            </w:r>
          </w:p>
        </w:tc>
        <w:tc>
          <w:tcPr>
            <w:tcW w:w="1014" w:type="pct"/>
            <w:vAlign w:val="center"/>
          </w:tcPr>
          <w:p>
            <w:pPr>
              <w:adjustRightInd w:val="0"/>
              <w:jc w:val="center"/>
              <w:rPr>
                <w:rFonts w:cs="宋体"/>
                <w:szCs w:val="21"/>
              </w:rPr>
            </w:pPr>
            <w:r>
              <w:rPr>
                <w:rFonts w:hint="eastAsia"/>
                <w:szCs w:val="18"/>
              </w:rPr>
              <w:t>沉淀池（容积16m</w:t>
            </w:r>
            <w:r>
              <w:rPr>
                <w:rFonts w:hint="eastAsia"/>
                <w:szCs w:val="18"/>
                <w:vertAlign w:val="superscript"/>
              </w:rPr>
              <w:t>3</w:t>
            </w:r>
            <w:r>
              <w:rPr>
                <w:rFonts w:hint="eastAsia"/>
                <w:szCs w:val="18"/>
              </w:rPr>
              <w:t>）沉淀后循环利用</w:t>
            </w:r>
          </w:p>
        </w:tc>
        <w:tc>
          <w:tcPr>
            <w:tcW w:w="1391" w:type="pct"/>
            <w:vAlign w:val="center"/>
          </w:tcPr>
          <w:p>
            <w:pPr>
              <w:adjustRightInd w:val="0"/>
              <w:jc w:val="center"/>
              <w:rPr>
                <w:rFonts w:cs="宋体"/>
                <w:szCs w:val="21"/>
              </w:rPr>
            </w:pPr>
            <w:r>
              <w:rPr>
                <w:rFonts w:hint="eastAsia" w:cs="宋体"/>
                <w:szCs w:val="21"/>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3" w:hRule="atLeast"/>
          <w:jc w:val="center"/>
        </w:trPr>
        <w:tc>
          <w:tcPr>
            <w:tcW w:w="589" w:type="pct"/>
            <w:vAlign w:val="center"/>
          </w:tcPr>
          <w:p>
            <w:pPr>
              <w:adjustRightInd w:val="0"/>
              <w:jc w:val="center"/>
              <w:rPr>
                <w:rFonts w:cs="宋体"/>
                <w:szCs w:val="21"/>
              </w:rPr>
            </w:pPr>
            <w:r>
              <w:rPr>
                <w:rFonts w:hint="eastAsia" w:cs="宋体"/>
                <w:szCs w:val="21"/>
              </w:rPr>
              <w:t>声环境</w:t>
            </w:r>
          </w:p>
        </w:tc>
        <w:tc>
          <w:tcPr>
            <w:tcW w:w="947" w:type="pct"/>
            <w:vAlign w:val="center"/>
          </w:tcPr>
          <w:p>
            <w:pPr>
              <w:adjustRightInd w:val="0"/>
              <w:jc w:val="center"/>
              <w:rPr>
                <w:szCs w:val="21"/>
              </w:rPr>
            </w:pPr>
            <w:r>
              <w:rPr>
                <w:rFonts w:hint="eastAsia"/>
                <w:szCs w:val="21"/>
              </w:rPr>
              <w:t>生产设备噪声</w:t>
            </w:r>
          </w:p>
        </w:tc>
        <w:tc>
          <w:tcPr>
            <w:tcW w:w="1058" w:type="pct"/>
            <w:vAlign w:val="center"/>
          </w:tcPr>
          <w:p>
            <w:pPr>
              <w:adjustRightInd w:val="0"/>
              <w:jc w:val="center"/>
              <w:rPr>
                <w:szCs w:val="21"/>
              </w:rPr>
            </w:pPr>
            <w:r>
              <w:rPr>
                <w:rFonts w:hint="eastAsia"/>
                <w:szCs w:val="21"/>
              </w:rPr>
              <w:t>Leq（A）</w:t>
            </w:r>
          </w:p>
        </w:tc>
        <w:tc>
          <w:tcPr>
            <w:tcW w:w="1014" w:type="pct"/>
            <w:vAlign w:val="center"/>
          </w:tcPr>
          <w:p>
            <w:pPr>
              <w:adjustRightInd w:val="0"/>
              <w:jc w:val="center"/>
              <w:rPr>
                <w:szCs w:val="21"/>
              </w:rPr>
            </w:pPr>
            <w:r>
              <w:rPr>
                <w:rFonts w:hint="eastAsia"/>
                <w:szCs w:val="21"/>
              </w:rPr>
              <w:t>选用低噪音设备、优化设备布局，厂房隔声</w:t>
            </w:r>
          </w:p>
        </w:tc>
        <w:tc>
          <w:tcPr>
            <w:tcW w:w="1391" w:type="pct"/>
            <w:vAlign w:val="center"/>
          </w:tcPr>
          <w:p>
            <w:pPr>
              <w:adjustRightInd w:val="0"/>
              <w:jc w:val="center"/>
              <w:rPr>
                <w:szCs w:val="21"/>
              </w:rPr>
            </w:pPr>
            <w:r>
              <w:rPr>
                <w:rFonts w:hint="eastAsia"/>
                <w:szCs w:val="21"/>
              </w:rPr>
              <w:t>《工业企业厂界环境噪声排放标准》（GB12348-2008）中</w:t>
            </w:r>
            <w:r>
              <w:rPr>
                <w:szCs w:val="21"/>
              </w:rPr>
              <w:t>3</w:t>
            </w:r>
            <w:r>
              <w:rPr>
                <w:rFonts w:hint="eastAsia"/>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89" w:type="pct"/>
            <w:vAlign w:val="center"/>
          </w:tcPr>
          <w:p>
            <w:pPr>
              <w:adjustRightInd w:val="0"/>
              <w:jc w:val="center"/>
              <w:rPr>
                <w:rFonts w:cs="宋体"/>
                <w:szCs w:val="21"/>
              </w:rPr>
            </w:pPr>
            <w:r>
              <w:rPr>
                <w:rFonts w:hint="eastAsia" w:cs="宋体"/>
                <w:szCs w:val="21"/>
              </w:rPr>
              <w:t>电磁辐射</w:t>
            </w:r>
          </w:p>
        </w:tc>
        <w:tc>
          <w:tcPr>
            <w:tcW w:w="947" w:type="pct"/>
            <w:vAlign w:val="center"/>
          </w:tcPr>
          <w:p>
            <w:pPr>
              <w:adjustRightInd w:val="0"/>
              <w:jc w:val="center"/>
              <w:rPr>
                <w:rFonts w:cs="宋体"/>
                <w:szCs w:val="21"/>
              </w:rPr>
            </w:pPr>
            <w:r>
              <w:rPr>
                <w:rFonts w:hint="eastAsia" w:cs="宋体"/>
                <w:szCs w:val="21"/>
              </w:rPr>
              <w:t>/</w:t>
            </w:r>
          </w:p>
        </w:tc>
        <w:tc>
          <w:tcPr>
            <w:tcW w:w="1058" w:type="pct"/>
            <w:vAlign w:val="center"/>
          </w:tcPr>
          <w:p>
            <w:pPr>
              <w:adjustRightInd w:val="0"/>
              <w:jc w:val="center"/>
              <w:rPr>
                <w:rFonts w:cs="宋体"/>
                <w:szCs w:val="21"/>
              </w:rPr>
            </w:pPr>
            <w:r>
              <w:rPr>
                <w:rFonts w:hint="eastAsia" w:cs="宋体"/>
                <w:szCs w:val="21"/>
              </w:rPr>
              <w:t>/</w:t>
            </w:r>
          </w:p>
        </w:tc>
        <w:tc>
          <w:tcPr>
            <w:tcW w:w="1014" w:type="pct"/>
            <w:vAlign w:val="center"/>
          </w:tcPr>
          <w:p>
            <w:pPr>
              <w:adjustRightInd w:val="0"/>
              <w:jc w:val="center"/>
              <w:rPr>
                <w:rFonts w:cs="宋体"/>
                <w:szCs w:val="21"/>
              </w:rPr>
            </w:pPr>
            <w:r>
              <w:rPr>
                <w:rFonts w:hint="eastAsia" w:cs="宋体"/>
                <w:szCs w:val="21"/>
              </w:rPr>
              <w:t>/</w:t>
            </w:r>
          </w:p>
        </w:tc>
        <w:tc>
          <w:tcPr>
            <w:tcW w:w="1391" w:type="pct"/>
            <w:vAlign w:val="center"/>
          </w:tcPr>
          <w:p>
            <w:pPr>
              <w:adjustRightIn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76" w:hRule="atLeast"/>
          <w:jc w:val="center"/>
        </w:trPr>
        <w:tc>
          <w:tcPr>
            <w:tcW w:w="589" w:type="pct"/>
            <w:vAlign w:val="center"/>
          </w:tcPr>
          <w:p>
            <w:pPr>
              <w:adjustRightInd w:val="0"/>
              <w:jc w:val="center"/>
              <w:rPr>
                <w:rFonts w:cs="宋体"/>
                <w:szCs w:val="21"/>
              </w:rPr>
            </w:pPr>
            <w:r>
              <w:rPr>
                <w:rFonts w:hint="eastAsia" w:cs="宋体"/>
                <w:szCs w:val="21"/>
              </w:rPr>
              <w:t>固体废物</w:t>
            </w:r>
          </w:p>
        </w:tc>
        <w:tc>
          <w:tcPr>
            <w:tcW w:w="4410" w:type="pct"/>
            <w:gridSpan w:val="4"/>
            <w:vAlign w:val="center"/>
          </w:tcPr>
          <w:p>
            <w:pPr>
              <w:adjustRightInd w:val="0"/>
              <w:ind w:firstLine="420" w:firstLineChars="200"/>
              <w:rPr>
                <w:szCs w:val="21"/>
              </w:rPr>
            </w:pPr>
            <w:r>
              <w:rPr>
                <w:szCs w:val="21"/>
              </w:rPr>
              <w:t>（1）</w:t>
            </w:r>
            <w:r>
              <w:rPr>
                <w:rFonts w:hint="eastAsia"/>
                <w:szCs w:val="21"/>
              </w:rPr>
              <w:t>5t/h导热油锅炉</w:t>
            </w:r>
            <w:r>
              <w:rPr>
                <w:szCs w:val="21"/>
              </w:rPr>
              <w:t>炉渣、</w:t>
            </w:r>
            <w:r>
              <w:rPr>
                <w:rFonts w:hint="eastAsia"/>
                <w:szCs w:val="21"/>
              </w:rPr>
              <w:t>多管旋风除尘器收集的除尘灰</w:t>
            </w:r>
            <w:r>
              <w:rPr>
                <w:szCs w:val="21"/>
              </w:rPr>
              <w:t>、水膜除尘装置除尘渣</w:t>
            </w:r>
            <w:r>
              <w:rPr>
                <w:rFonts w:hint="eastAsia"/>
                <w:szCs w:val="21"/>
              </w:rPr>
              <w:t>、沉淀池污泥</w:t>
            </w:r>
            <w:r>
              <w:rPr>
                <w:szCs w:val="21"/>
              </w:rPr>
              <w:t>统一收集后暂存于一般固废暂存区定期委托环卫部门清运处置。</w:t>
            </w:r>
          </w:p>
          <w:p>
            <w:pPr>
              <w:adjustRightInd w:val="0"/>
              <w:ind w:firstLine="420" w:firstLineChars="200"/>
              <w:rPr>
                <w:szCs w:val="21"/>
              </w:rPr>
            </w:pPr>
            <w:r>
              <w:rPr>
                <w:rFonts w:hint="eastAsia"/>
                <w:szCs w:val="21"/>
              </w:rPr>
              <w:t>（2）筛选打磨工序除尘装置收集除尘灰统一收集后用作导热油锅炉燃料。</w:t>
            </w:r>
          </w:p>
          <w:p>
            <w:pPr>
              <w:adjustRightInd w:val="0"/>
              <w:ind w:firstLine="420" w:firstLineChars="200"/>
              <w:rPr>
                <w:szCs w:val="21"/>
              </w:rPr>
            </w:pPr>
            <w:r>
              <w:rPr>
                <w:szCs w:val="21"/>
              </w:rPr>
              <w:t>（3）</w:t>
            </w:r>
            <w:r>
              <w:rPr>
                <w:rFonts w:hint="eastAsia"/>
                <w:szCs w:val="21"/>
              </w:rPr>
              <w:t>5</w:t>
            </w:r>
            <w:r>
              <w:rPr>
                <w:szCs w:val="21"/>
              </w:rPr>
              <w:t>t/h</w:t>
            </w:r>
            <w:r>
              <w:rPr>
                <w:rFonts w:hint="eastAsia"/>
                <w:szCs w:val="21"/>
              </w:rPr>
              <w:t>导热油锅炉更换</w:t>
            </w:r>
            <w:r>
              <w:rPr>
                <w:szCs w:val="21"/>
              </w:rPr>
              <w:t>废导热油统一收集后暂存于危险废物暂存间，定期委托寻甸同磊再生资源回收有限公司清运处置。</w:t>
            </w:r>
          </w:p>
          <w:p>
            <w:pPr>
              <w:adjustRightInd w:val="0"/>
              <w:ind w:firstLine="420" w:firstLineChars="200"/>
              <w:rPr>
                <w:rFonts w:cs="宋体"/>
                <w:szCs w:val="21"/>
              </w:rPr>
            </w:pPr>
            <w:r>
              <w:rPr>
                <w:szCs w:val="21"/>
              </w:rPr>
              <w:t>（4）</w:t>
            </w:r>
            <w:r>
              <w:rPr>
                <w:rFonts w:hint="eastAsia"/>
                <w:szCs w:val="21"/>
              </w:rPr>
              <w:t>热压凉板工序活性炭吸附装置产生的</w:t>
            </w:r>
            <w:r>
              <w:rPr>
                <w:szCs w:val="21"/>
              </w:rPr>
              <w:t>废活性炭集中收集后暂存于危废暂存间内，委托曲靖银发危险废物集中处置中心有限公司处置。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4" w:hRule="atLeast"/>
          <w:jc w:val="center"/>
        </w:trPr>
        <w:tc>
          <w:tcPr>
            <w:tcW w:w="589" w:type="pct"/>
            <w:vAlign w:val="center"/>
          </w:tcPr>
          <w:p>
            <w:pPr>
              <w:adjustRightInd w:val="0"/>
              <w:rPr>
                <w:rFonts w:cs="宋体"/>
                <w:szCs w:val="21"/>
              </w:rPr>
            </w:pPr>
            <w:r>
              <w:rPr>
                <w:rFonts w:hint="eastAsia" w:cs="宋体"/>
                <w:szCs w:val="21"/>
              </w:rPr>
              <w:t>土壤及地下水污染防治措施</w:t>
            </w:r>
          </w:p>
        </w:tc>
        <w:tc>
          <w:tcPr>
            <w:tcW w:w="4410" w:type="pct"/>
            <w:gridSpan w:val="4"/>
            <w:vAlign w:val="center"/>
          </w:tcPr>
          <w:p>
            <w:pPr>
              <w:adjustRightIn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01" w:hRule="atLeast"/>
          <w:jc w:val="center"/>
        </w:trPr>
        <w:tc>
          <w:tcPr>
            <w:tcW w:w="589" w:type="pct"/>
            <w:vAlign w:val="center"/>
          </w:tcPr>
          <w:p>
            <w:pPr>
              <w:adjustRightInd w:val="0"/>
              <w:jc w:val="center"/>
              <w:rPr>
                <w:rFonts w:cs="宋体"/>
                <w:szCs w:val="21"/>
              </w:rPr>
            </w:pPr>
            <w:r>
              <w:rPr>
                <w:rFonts w:hint="eastAsia" w:cs="宋体"/>
                <w:szCs w:val="21"/>
              </w:rPr>
              <w:t>生态保护措施</w:t>
            </w:r>
          </w:p>
        </w:tc>
        <w:tc>
          <w:tcPr>
            <w:tcW w:w="4410" w:type="pct"/>
            <w:gridSpan w:val="4"/>
            <w:vAlign w:val="center"/>
          </w:tcPr>
          <w:p>
            <w:pPr>
              <w:adjustRightIn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78" w:hRule="atLeast"/>
          <w:jc w:val="center"/>
        </w:trPr>
        <w:tc>
          <w:tcPr>
            <w:tcW w:w="589" w:type="pct"/>
            <w:vAlign w:val="center"/>
          </w:tcPr>
          <w:p>
            <w:pPr>
              <w:adjustRightInd w:val="0"/>
              <w:jc w:val="center"/>
              <w:rPr>
                <w:rFonts w:cs="宋体"/>
                <w:spacing w:val="-8"/>
                <w:szCs w:val="21"/>
              </w:rPr>
            </w:pPr>
            <w:r>
              <w:rPr>
                <w:rFonts w:hint="eastAsia" w:cs="宋体"/>
                <w:spacing w:val="-8"/>
                <w:szCs w:val="21"/>
              </w:rPr>
              <w:t>环境风险</w:t>
            </w:r>
          </w:p>
          <w:p>
            <w:pPr>
              <w:adjustRightInd w:val="0"/>
              <w:jc w:val="center"/>
              <w:rPr>
                <w:rFonts w:cs="宋体"/>
                <w:spacing w:val="-8"/>
                <w:szCs w:val="21"/>
              </w:rPr>
            </w:pPr>
            <w:r>
              <w:rPr>
                <w:rFonts w:hint="eastAsia" w:cs="宋体"/>
                <w:spacing w:val="-8"/>
                <w:szCs w:val="21"/>
              </w:rPr>
              <w:t>防范措施</w:t>
            </w:r>
          </w:p>
        </w:tc>
        <w:tc>
          <w:tcPr>
            <w:tcW w:w="4410" w:type="pct"/>
            <w:gridSpan w:val="4"/>
            <w:vAlign w:val="center"/>
          </w:tcPr>
          <w:p>
            <w:pPr>
              <w:rPr>
                <w:szCs w:val="21"/>
              </w:rPr>
            </w:pPr>
            <w:r>
              <w:rPr>
                <w:rFonts w:hint="eastAsia" w:ascii="宋体" w:hAnsi="宋体" w:cs="宋体"/>
                <w:szCs w:val="21"/>
              </w:rPr>
              <w:t>①</w:t>
            </w:r>
            <w:r>
              <w:rPr>
                <w:szCs w:val="21"/>
              </w:rPr>
              <w:t>加强对5t/h导热油锅炉导热油槽及管道、锅炉房地面日常巡视及维护工作，防止油槽及管道因腐蚀、生锈等原因造成破裂而导致泄漏；防止地面破裂等情况发生导致渗漏污染物通过破损地面下渗，一旦发现破损地方，立即进行修复并达到防渗要求。</w:t>
            </w:r>
          </w:p>
          <w:p>
            <w:pPr>
              <w:rPr>
                <w:szCs w:val="21"/>
              </w:rPr>
            </w:pPr>
            <w:r>
              <w:rPr>
                <w:rFonts w:hint="eastAsia" w:ascii="宋体" w:hAnsi="宋体" w:cs="宋体"/>
                <w:szCs w:val="21"/>
                <w:lang w:eastAsia="ja-JP"/>
              </w:rPr>
              <w:t>②</w:t>
            </w:r>
            <w:r>
              <w:rPr>
                <w:szCs w:val="21"/>
              </w:rPr>
              <w:t>加强废气治理设施维护及管理，保证处理效率，严格按监测计划要求进行监测，发现超标排放，立即停止生产并进行检修。</w:t>
            </w:r>
          </w:p>
          <w:p>
            <w:pPr>
              <w:adjustRightInd w:val="0"/>
              <w:rPr>
                <w:rFonts w:cs="宋体"/>
                <w:szCs w:val="21"/>
              </w:rPr>
            </w:pPr>
            <w:r>
              <w:rPr>
                <w:rFonts w:hint="eastAsia" w:ascii="宋体" w:hAnsi="宋体" w:cs="宋体"/>
                <w:szCs w:val="21"/>
              </w:rPr>
              <w:t>③</w:t>
            </w:r>
            <w:r>
              <w:rPr>
                <w:szCs w:val="21"/>
              </w:rPr>
              <w:t>及时修订现有突发环境事件应急预案，并报昆明市生态环境局寻甸分局备案。</w:t>
            </w:r>
          </w:p>
        </w:tc>
      </w:tr>
      <w:tr>
        <w:tblPrEx>
          <w:tblCellMar>
            <w:top w:w="0" w:type="dxa"/>
            <w:left w:w="57" w:type="dxa"/>
            <w:bottom w:w="0" w:type="dxa"/>
            <w:right w:w="57" w:type="dxa"/>
          </w:tblCellMar>
        </w:tblPrEx>
        <w:trPr>
          <w:trHeight w:val="1002" w:hRule="atLeast"/>
          <w:jc w:val="center"/>
        </w:trPr>
        <w:tc>
          <w:tcPr>
            <w:tcW w:w="589" w:type="pct"/>
            <w:vAlign w:val="center"/>
          </w:tcPr>
          <w:p>
            <w:pPr>
              <w:adjustRightInd w:val="0"/>
              <w:jc w:val="center"/>
              <w:rPr>
                <w:rFonts w:cs="宋体"/>
                <w:spacing w:val="-8"/>
                <w:szCs w:val="21"/>
              </w:rPr>
            </w:pPr>
            <w:r>
              <w:rPr>
                <w:rFonts w:hint="eastAsia" w:cs="宋体"/>
                <w:spacing w:val="-8"/>
                <w:szCs w:val="21"/>
              </w:rPr>
              <w:t>其他环境</w:t>
            </w:r>
          </w:p>
          <w:p>
            <w:pPr>
              <w:adjustRightInd w:val="0"/>
              <w:jc w:val="center"/>
              <w:rPr>
                <w:rFonts w:cs="宋体"/>
                <w:spacing w:val="-8"/>
                <w:szCs w:val="21"/>
              </w:rPr>
            </w:pPr>
            <w:r>
              <w:rPr>
                <w:rFonts w:hint="eastAsia" w:cs="宋体"/>
                <w:spacing w:val="-8"/>
                <w:szCs w:val="21"/>
              </w:rPr>
              <w:t>管理要求</w:t>
            </w:r>
          </w:p>
        </w:tc>
        <w:tc>
          <w:tcPr>
            <w:tcW w:w="4410" w:type="pct"/>
            <w:gridSpan w:val="4"/>
            <w:vAlign w:val="center"/>
          </w:tcPr>
          <w:p>
            <w:pPr>
              <w:adjustRightInd w:val="0"/>
              <w:ind w:firstLine="420" w:firstLineChars="200"/>
            </w:pPr>
            <w:r>
              <w:rPr>
                <w:rFonts w:hint="eastAsia" w:cs="宋体"/>
              </w:rPr>
              <w:t>①</w:t>
            </w:r>
            <w:r>
              <w:t>及时申报排污许可证，并按照排污许可证的规定排放污染；</w:t>
            </w:r>
          </w:p>
          <w:p>
            <w:pPr>
              <w:adjustRightInd w:val="0"/>
              <w:ind w:firstLine="420" w:firstLineChars="200"/>
            </w:pPr>
            <w:r>
              <w:rPr>
                <w:rFonts w:hint="eastAsia" w:cs="宋体"/>
              </w:rPr>
              <w:t>②</w:t>
            </w:r>
            <w:r>
              <w:t>按照《排污单位自行监测技术指南》等相关监测规范开展自行监测工作，并留存监测报告</w:t>
            </w:r>
          </w:p>
          <w:p>
            <w:pPr>
              <w:adjustRightInd w:val="0"/>
              <w:ind w:firstLine="420" w:firstLineChars="200"/>
            </w:pPr>
            <w:r>
              <w:rPr>
                <w:rFonts w:hint="eastAsia" w:cs="宋体"/>
              </w:rPr>
              <w:t>③</w:t>
            </w:r>
            <w:r>
              <w:t>按照排污许可证中关于台账记录的要求，根据生产特点和污染物排放特点，按照排污口或者无组织排放源进行记录。</w:t>
            </w:r>
          </w:p>
          <w:p>
            <w:pPr>
              <w:adjustRightInd w:val="0"/>
              <w:ind w:firstLine="420" w:firstLineChars="200"/>
            </w:pPr>
            <w:r>
              <w:rPr>
                <w:rFonts w:hint="eastAsia" w:cs="宋体"/>
              </w:rPr>
              <w:t>④</w:t>
            </w:r>
            <w:r>
              <w:t>按照排污许可证规定的关于执行报告内容和频次的要求，编制排污许可证执行报告；</w:t>
            </w:r>
          </w:p>
          <w:p>
            <w:pPr>
              <w:adjustRightInd w:val="0"/>
              <w:ind w:firstLine="420" w:firstLineChars="200"/>
              <w:rPr>
                <w:rFonts w:cs="宋体"/>
                <w:szCs w:val="21"/>
              </w:rPr>
            </w:pPr>
            <w:r>
              <w:rPr>
                <w:rFonts w:hint="eastAsia" w:cs="宋体"/>
              </w:rPr>
              <w:t>⑤</w:t>
            </w:r>
            <w:r>
              <w:t>排污单位自行监测、执行报告及生态环境部门监管执法信息应当在全国排污许可证管理信息平台上记载并公开。</w:t>
            </w:r>
          </w:p>
        </w:tc>
      </w:tr>
    </w:tbl>
    <w:p>
      <w:pPr>
        <w:pStyle w:val="28"/>
        <w:jc w:val="center"/>
        <w:outlineLvl w:val="0"/>
        <w:rPr>
          <w:rFonts w:ascii="黑体" w:hAnsi="黑体" w:eastAsia="黑体"/>
          <w:snapToGrid w:val="0"/>
          <w:sz w:val="30"/>
          <w:szCs w:val="30"/>
        </w:rPr>
      </w:pPr>
      <w:r>
        <w:rPr>
          <w:snapToGrid w:val="0"/>
        </w:rPr>
        <w:br w:type="page"/>
      </w:r>
      <w:bookmarkStart w:id="19" w:name="_Toc140937506"/>
      <w:r>
        <w:rPr>
          <w:rFonts w:hint="eastAsia" w:ascii="黑体" w:hAnsi="黑体" w:eastAsia="黑体"/>
          <w:snapToGrid w:val="0"/>
          <w:sz w:val="30"/>
          <w:szCs w:val="30"/>
        </w:rPr>
        <w:t>六、结论</w:t>
      </w:r>
      <w:bookmarkEnd w:id="19"/>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before="120" w:beforeLines="50" w:line="360" w:lineRule="auto"/>
              <w:ind w:firstLine="480" w:firstLineChars="200"/>
              <w:rPr>
                <w:sz w:val="24"/>
              </w:rPr>
            </w:pPr>
            <w:r>
              <w:rPr>
                <w:rFonts w:hint="eastAsia"/>
                <w:sz w:val="24"/>
              </w:rPr>
              <w:t>根据分析评价，本项目符合国家和地方相关产业政策，符合达标排放和总量控制要求，场内平面布置合理。该项目的建设，对产生的废气、污水、噪声、固废采取措施治理后，能够实现污染物的达标排放，不会对环境造成大的影响，不会降低当地的环境功能。在严格执行有关环保法规和“三同时”制度，认真落实本报告提出的各项污染防治措施的基础上，该项目能够实现社会效益、经济效益和环境效益的协调发展。从环境保护角度分析，该项目可行。</w:t>
            </w:r>
          </w:p>
          <w:p>
            <w:pPr>
              <w:spacing w:before="120" w:beforeLines="50" w:line="360" w:lineRule="auto"/>
              <w:ind w:firstLine="480" w:firstLineChars="200"/>
              <w:rPr>
                <w:sz w:val="24"/>
              </w:rPr>
            </w:pPr>
          </w:p>
          <w:p>
            <w:pPr>
              <w:spacing w:before="120" w:beforeLines="50" w:line="360" w:lineRule="auto"/>
              <w:ind w:firstLine="480" w:firstLineChars="200"/>
              <w:rPr>
                <w:sz w:val="24"/>
              </w:rPr>
            </w:pPr>
          </w:p>
          <w:p>
            <w:pPr>
              <w:spacing w:before="120" w:beforeLines="50" w:line="360" w:lineRule="auto"/>
              <w:ind w:firstLine="480" w:firstLineChars="200"/>
              <w:rPr>
                <w:sz w:val="24"/>
              </w:rPr>
            </w:pPr>
          </w:p>
          <w:p>
            <w:pPr>
              <w:spacing w:before="120" w:beforeLines="50" w:line="360" w:lineRule="auto"/>
              <w:ind w:firstLine="480" w:firstLineChars="200"/>
              <w:rPr>
                <w:sz w:val="24"/>
              </w:rPr>
            </w:pPr>
          </w:p>
          <w:p>
            <w:pPr>
              <w:spacing w:before="120" w:beforeLines="50" w:line="360" w:lineRule="auto"/>
              <w:ind w:firstLine="480" w:firstLineChars="200"/>
              <w:rPr>
                <w:sz w:val="24"/>
              </w:rPr>
            </w:pPr>
          </w:p>
          <w:p>
            <w:pPr>
              <w:spacing w:before="120" w:beforeLines="50" w:line="360" w:lineRule="auto"/>
              <w:ind w:firstLine="480" w:firstLineChars="200"/>
              <w:rPr>
                <w:sz w:val="24"/>
              </w:rPr>
            </w:pPr>
          </w:p>
          <w:p>
            <w:pPr>
              <w:spacing w:before="120" w:beforeLines="50" w:line="360" w:lineRule="auto"/>
              <w:ind w:firstLine="480" w:firstLineChars="200"/>
              <w:rPr>
                <w:sz w:val="24"/>
              </w:rPr>
            </w:pPr>
          </w:p>
          <w:p>
            <w:pPr>
              <w:spacing w:before="120" w:beforeLines="50" w:line="360" w:lineRule="auto"/>
              <w:ind w:firstLine="480" w:firstLineChars="200"/>
              <w:rPr>
                <w:sz w:val="24"/>
              </w:rPr>
            </w:pPr>
          </w:p>
          <w:p>
            <w:pPr>
              <w:spacing w:before="120" w:beforeLines="50" w:line="360" w:lineRule="auto"/>
              <w:ind w:firstLine="480" w:firstLineChars="200"/>
              <w:rPr>
                <w:sz w:val="24"/>
              </w:rPr>
            </w:pPr>
          </w:p>
          <w:p>
            <w:pPr>
              <w:spacing w:before="120" w:beforeLines="50" w:line="360" w:lineRule="auto"/>
              <w:ind w:firstLine="480" w:firstLineChars="200"/>
              <w:rPr>
                <w:rFonts w:ascii="宋体" w:cs="宋体"/>
                <w:sz w:val="24"/>
              </w:rPr>
            </w:pPr>
          </w:p>
          <w:p>
            <w:pPr>
              <w:spacing w:before="120" w:beforeLines="50" w:line="360" w:lineRule="auto"/>
              <w:ind w:firstLine="480" w:firstLineChars="200"/>
              <w:rPr>
                <w:rFonts w:ascii="宋体" w:cs="宋体"/>
                <w:sz w:val="24"/>
              </w:rPr>
            </w:pPr>
          </w:p>
          <w:p>
            <w:pPr>
              <w:spacing w:before="120" w:beforeLines="50" w:line="360" w:lineRule="auto"/>
              <w:ind w:firstLine="480" w:firstLineChars="200"/>
              <w:rPr>
                <w:rFonts w:ascii="宋体" w:cs="宋体"/>
                <w:sz w:val="24"/>
              </w:rPr>
            </w:pPr>
          </w:p>
          <w:p>
            <w:pPr>
              <w:spacing w:before="120" w:beforeLines="50" w:line="360" w:lineRule="auto"/>
              <w:ind w:firstLine="480" w:firstLineChars="200"/>
              <w:rPr>
                <w:rFonts w:ascii="宋体" w:cs="宋体"/>
                <w:sz w:val="24"/>
              </w:rPr>
            </w:pPr>
          </w:p>
          <w:p>
            <w:pPr>
              <w:spacing w:before="120" w:beforeLines="50" w:line="360" w:lineRule="auto"/>
              <w:ind w:firstLine="480" w:firstLineChars="200"/>
              <w:rPr>
                <w:rFonts w:ascii="宋体" w:cs="宋体"/>
                <w:sz w:val="24"/>
              </w:rPr>
            </w:pPr>
          </w:p>
          <w:p>
            <w:pPr>
              <w:spacing w:before="120" w:beforeLines="50" w:line="360" w:lineRule="auto"/>
              <w:ind w:firstLine="480" w:firstLineChars="200"/>
              <w:rPr>
                <w:rFonts w:ascii="宋体" w:cs="宋体"/>
                <w:sz w:val="24"/>
              </w:rPr>
            </w:pPr>
          </w:p>
          <w:p>
            <w:pPr>
              <w:spacing w:before="120" w:beforeLines="50" w:line="360" w:lineRule="auto"/>
              <w:ind w:firstLine="480" w:firstLineChars="200"/>
              <w:rPr>
                <w:rFonts w:ascii="宋体" w:cs="宋体"/>
                <w:sz w:val="24"/>
              </w:rPr>
            </w:pPr>
          </w:p>
          <w:p>
            <w:pPr>
              <w:spacing w:before="120" w:beforeLines="50" w:line="360" w:lineRule="auto"/>
              <w:ind w:firstLine="480" w:firstLineChars="200"/>
              <w:rPr>
                <w:rFonts w:ascii="宋体" w:cs="宋体"/>
                <w:sz w:val="24"/>
              </w:rPr>
            </w:pPr>
          </w:p>
        </w:tc>
      </w:tr>
    </w:tbl>
    <w:p>
      <w:pPr>
        <w:rPr>
          <w:rFonts w:ascii="宋体"/>
        </w:rPr>
        <w:sectPr>
          <w:pgSz w:w="11906" w:h="16838"/>
          <w:pgMar w:top="1701" w:right="1531" w:bottom="1701" w:left="1531" w:header="851" w:footer="851" w:gutter="0"/>
          <w:cols w:space="720" w:num="1"/>
          <w:docGrid w:linePitch="312" w:charSpace="0"/>
        </w:sectPr>
      </w:pPr>
    </w:p>
    <w:p>
      <w:pPr>
        <w:pStyle w:val="27"/>
        <w:spacing w:after="0"/>
        <w:ind w:firstLine="0" w:firstLineChars="0"/>
        <w:jc w:val="left"/>
        <w:rPr>
          <w:b/>
          <w:bCs/>
          <w:sz w:val="32"/>
          <w:szCs w:val="32"/>
        </w:rPr>
      </w:pPr>
      <w:r>
        <w:rPr>
          <w:rFonts w:hint="eastAsia"/>
          <w:b/>
          <w:bCs/>
          <w:sz w:val="32"/>
          <w:szCs w:val="32"/>
        </w:rPr>
        <w:t>附表：</w:t>
      </w:r>
    </w:p>
    <w:p>
      <w:pPr>
        <w:pStyle w:val="28"/>
        <w:jc w:val="center"/>
        <w:outlineLvl w:val="0"/>
        <w:rPr>
          <w:rFonts w:ascii="黑体" w:hAnsi="黑体" w:eastAsia="黑体"/>
          <w:snapToGrid w:val="0"/>
          <w:sz w:val="30"/>
          <w:szCs w:val="30"/>
        </w:rPr>
      </w:pPr>
      <w:bookmarkStart w:id="20" w:name="_Toc140937507"/>
      <w:r>
        <w:rPr>
          <w:rFonts w:hint="eastAsia" w:ascii="黑体" w:hAnsi="黑体" w:eastAsia="黑体"/>
          <w:snapToGrid w:val="0"/>
          <w:sz w:val="30"/>
          <w:szCs w:val="30"/>
        </w:rPr>
        <w:t>建设项目污染物排放量汇总表</w:t>
      </w:r>
      <w:bookmarkEnd w:id="20"/>
    </w:p>
    <w:tbl>
      <w:tblPr>
        <w:tblStyle w:val="3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535"/>
        <w:gridCol w:w="1484"/>
        <w:gridCol w:w="1318"/>
        <w:gridCol w:w="1407"/>
        <w:gridCol w:w="1571"/>
        <w:gridCol w:w="1466"/>
        <w:gridCol w:w="1422"/>
        <w:gridCol w:w="14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tcBorders>
              <w:tl2br w:val="single" w:color="auto" w:sz="4" w:space="0"/>
            </w:tcBorders>
            <w:tcMar>
              <w:left w:w="28" w:type="dxa"/>
              <w:right w:w="28" w:type="dxa"/>
            </w:tcMar>
            <w:vAlign w:val="center"/>
          </w:tcPr>
          <w:p>
            <w:pPr>
              <w:pStyle w:val="54"/>
              <w:snapToGrid/>
              <w:spacing w:beforeLines="0" w:afterLines="0" w:line="240" w:lineRule="auto"/>
              <w:ind w:firstLine="398" w:firstLineChars="200"/>
              <w:rPr>
                <w:rFonts w:ascii="Times New Roman" w:cs="宋体"/>
                <w:snapToGrid w:val="0"/>
                <w:spacing w:val="-6"/>
                <w:kern w:val="21"/>
                <w:szCs w:val="21"/>
              </w:rPr>
            </w:pPr>
            <w:r>
              <w:rPr>
                <w:rFonts w:hint="eastAsia" w:ascii="Times New Roman" w:cs="宋体"/>
                <w:snapToGrid w:val="0"/>
                <w:spacing w:val="-6"/>
                <w:kern w:val="21"/>
                <w:szCs w:val="21"/>
              </w:rPr>
              <w:t>项目</w:t>
            </w:r>
          </w:p>
          <w:p>
            <w:pPr>
              <w:pStyle w:val="54"/>
              <w:snapToGrid/>
              <w:spacing w:beforeLines="0" w:afterLines="0" w:line="240" w:lineRule="auto"/>
              <w:jc w:val="both"/>
              <w:rPr>
                <w:rFonts w:ascii="Times New Roman" w:cs="宋体"/>
                <w:snapToGrid w:val="0"/>
                <w:spacing w:val="-6"/>
                <w:kern w:val="21"/>
                <w:szCs w:val="21"/>
              </w:rPr>
            </w:pPr>
            <w:r>
              <w:rPr>
                <w:rFonts w:hint="eastAsia" w:ascii="Times New Roman" w:cs="宋体"/>
                <w:snapToGrid w:val="0"/>
                <w:spacing w:val="-6"/>
                <w:kern w:val="21"/>
                <w:szCs w:val="21"/>
              </w:rPr>
              <w:t>分类</w:t>
            </w:r>
          </w:p>
        </w:tc>
        <w:tc>
          <w:tcPr>
            <w:tcW w:w="2535" w:type="dxa"/>
            <w:tcMar>
              <w:left w:w="28" w:type="dxa"/>
              <w:right w:w="28" w:type="dxa"/>
            </w:tcMar>
            <w:vAlign w:val="center"/>
          </w:tcPr>
          <w:p>
            <w:pPr>
              <w:pStyle w:val="54"/>
              <w:snapToGrid/>
              <w:spacing w:beforeLines="0" w:afterLines="0" w:line="240" w:lineRule="auto"/>
              <w:rPr>
                <w:rFonts w:ascii="Times New Roman" w:cs="宋体"/>
                <w:snapToGrid w:val="0"/>
                <w:spacing w:val="-6"/>
                <w:kern w:val="21"/>
                <w:szCs w:val="21"/>
              </w:rPr>
            </w:pPr>
            <w:r>
              <w:rPr>
                <w:rFonts w:hint="eastAsia" w:ascii="Times New Roman" w:cs="宋体"/>
                <w:snapToGrid w:val="0"/>
                <w:spacing w:val="-6"/>
                <w:kern w:val="21"/>
                <w:szCs w:val="21"/>
              </w:rPr>
              <w:t>污染物名称</w:t>
            </w:r>
          </w:p>
        </w:tc>
        <w:tc>
          <w:tcPr>
            <w:tcW w:w="1484" w:type="dxa"/>
            <w:tcMar>
              <w:left w:w="28" w:type="dxa"/>
              <w:right w:w="28" w:type="dxa"/>
            </w:tcMar>
            <w:vAlign w:val="center"/>
          </w:tcPr>
          <w:p>
            <w:pPr>
              <w:pStyle w:val="54"/>
              <w:snapToGrid/>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54"/>
              <w:snapToGrid/>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w:t>
            </w:r>
            <w:r>
              <w:rPr>
                <w:rFonts w:hint="eastAsia" w:ascii="Times New Roman"/>
                <w:snapToGrid w:val="0"/>
                <w:spacing w:val="-6"/>
                <w:kern w:val="21"/>
                <w:szCs w:val="21"/>
              </w:rPr>
              <w:t>体</w:t>
            </w:r>
            <w:r>
              <w:rPr>
                <w:rFonts w:ascii="Times New Roman"/>
                <w:snapToGrid w:val="0"/>
                <w:spacing w:val="-6"/>
                <w:kern w:val="21"/>
                <w:szCs w:val="21"/>
              </w:rPr>
              <w:t>废</w:t>
            </w:r>
            <w:r>
              <w:rPr>
                <w:rFonts w:hint="eastAsia" w:ascii="Times New Roman"/>
                <w:snapToGrid w:val="0"/>
                <w:spacing w:val="-6"/>
                <w:kern w:val="21"/>
                <w:szCs w:val="21"/>
              </w:rPr>
              <w:t>物</w:t>
            </w:r>
            <w:r>
              <w:rPr>
                <w:rFonts w:ascii="Times New Roman"/>
                <w:snapToGrid w:val="0"/>
                <w:spacing w:val="-6"/>
                <w:kern w:val="21"/>
                <w:szCs w:val="21"/>
              </w:rPr>
              <w:t>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cs="宋体"/>
                <w:kern w:val="2"/>
                <w:szCs w:val="21"/>
              </w:rPr>
              <w:t>①</w:t>
            </w:r>
            <w:r>
              <w:rPr>
                <w:rFonts w:ascii="Times New Roman"/>
                <w:snapToGrid w:val="0"/>
                <w:spacing w:val="-6"/>
                <w:kern w:val="21"/>
                <w:szCs w:val="21"/>
              </w:rPr>
              <w:fldChar w:fldCharType="end"/>
            </w:r>
          </w:p>
        </w:tc>
        <w:tc>
          <w:tcPr>
            <w:tcW w:w="1318" w:type="dxa"/>
            <w:tcMar>
              <w:left w:w="28" w:type="dxa"/>
              <w:right w:w="28" w:type="dxa"/>
            </w:tcMar>
            <w:vAlign w:val="center"/>
          </w:tcPr>
          <w:p>
            <w:pPr>
              <w:pStyle w:val="54"/>
              <w:snapToGrid/>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54"/>
              <w:snapToGrid/>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ascii="Times New Roman" w:cs="宋体"/>
                <w:snapToGrid w:val="0"/>
                <w:spacing w:val="-6"/>
                <w:kern w:val="21"/>
                <w:szCs w:val="21"/>
              </w:rPr>
              <w:t>②</w:t>
            </w:r>
            <w:r>
              <w:rPr>
                <w:rFonts w:ascii="Times New Roman"/>
                <w:snapToGrid w:val="0"/>
                <w:spacing w:val="-6"/>
                <w:kern w:val="21"/>
                <w:szCs w:val="21"/>
              </w:rPr>
              <w:fldChar w:fldCharType="end"/>
            </w:r>
          </w:p>
        </w:tc>
        <w:tc>
          <w:tcPr>
            <w:tcW w:w="1407" w:type="dxa"/>
            <w:tcMar>
              <w:left w:w="28" w:type="dxa"/>
              <w:right w:w="28" w:type="dxa"/>
            </w:tcMar>
            <w:vAlign w:val="center"/>
          </w:tcPr>
          <w:p>
            <w:pPr>
              <w:pStyle w:val="54"/>
              <w:snapToGrid/>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pPr>
              <w:pStyle w:val="54"/>
              <w:snapToGrid/>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w:t>
            </w:r>
            <w:r>
              <w:rPr>
                <w:rFonts w:hint="eastAsia" w:ascii="Times New Roman"/>
                <w:snapToGrid w:val="0"/>
                <w:spacing w:val="-6"/>
                <w:kern w:val="21"/>
                <w:szCs w:val="21"/>
              </w:rPr>
              <w:t>体</w:t>
            </w:r>
            <w:r>
              <w:rPr>
                <w:rFonts w:ascii="Times New Roman"/>
                <w:snapToGrid w:val="0"/>
                <w:spacing w:val="-6"/>
                <w:kern w:val="21"/>
                <w:szCs w:val="21"/>
              </w:rPr>
              <w:t>废</w:t>
            </w:r>
            <w:r>
              <w:rPr>
                <w:rFonts w:hint="eastAsia" w:ascii="Times New Roman"/>
                <w:snapToGrid w:val="0"/>
                <w:spacing w:val="-6"/>
                <w:kern w:val="21"/>
                <w:szCs w:val="21"/>
              </w:rPr>
              <w:t>物</w:t>
            </w:r>
            <w:r>
              <w:rPr>
                <w:rFonts w:ascii="Times New Roman"/>
                <w:snapToGrid w:val="0"/>
                <w:spacing w:val="-6"/>
                <w:kern w:val="21"/>
                <w:szCs w:val="21"/>
              </w:rPr>
              <w:t>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ascii="Times New Roman" w:cs="宋体"/>
                <w:kern w:val="2"/>
                <w:szCs w:val="21"/>
              </w:rPr>
              <w:t>③</w:t>
            </w:r>
            <w:r>
              <w:rPr>
                <w:rFonts w:ascii="Times New Roman"/>
                <w:snapToGrid w:val="0"/>
                <w:spacing w:val="-6"/>
                <w:kern w:val="21"/>
                <w:szCs w:val="21"/>
              </w:rPr>
              <w:fldChar w:fldCharType="end"/>
            </w:r>
          </w:p>
        </w:tc>
        <w:tc>
          <w:tcPr>
            <w:tcW w:w="1571" w:type="dxa"/>
            <w:tcMar>
              <w:left w:w="28" w:type="dxa"/>
              <w:right w:w="28" w:type="dxa"/>
            </w:tcMar>
            <w:vAlign w:val="center"/>
          </w:tcPr>
          <w:p>
            <w:pPr>
              <w:pStyle w:val="54"/>
              <w:snapToGrid/>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pPr>
              <w:pStyle w:val="54"/>
              <w:snapToGrid/>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w:t>
            </w:r>
            <w:r>
              <w:rPr>
                <w:rFonts w:hint="eastAsia" w:ascii="Times New Roman"/>
                <w:snapToGrid w:val="0"/>
                <w:spacing w:val="-6"/>
                <w:kern w:val="21"/>
                <w:szCs w:val="21"/>
              </w:rPr>
              <w:t>体</w:t>
            </w:r>
            <w:r>
              <w:rPr>
                <w:rFonts w:ascii="Times New Roman"/>
                <w:snapToGrid w:val="0"/>
                <w:spacing w:val="-6"/>
                <w:kern w:val="21"/>
                <w:szCs w:val="21"/>
              </w:rPr>
              <w:t>废</w:t>
            </w:r>
            <w:r>
              <w:rPr>
                <w:rFonts w:hint="eastAsia" w:ascii="Times New Roman"/>
                <w:snapToGrid w:val="0"/>
                <w:spacing w:val="-6"/>
                <w:kern w:val="21"/>
                <w:szCs w:val="21"/>
              </w:rPr>
              <w:t>物</w:t>
            </w:r>
            <w:r>
              <w:rPr>
                <w:rFonts w:ascii="Times New Roman"/>
                <w:snapToGrid w:val="0"/>
                <w:spacing w:val="-6"/>
                <w:kern w:val="21"/>
                <w:szCs w:val="21"/>
              </w:rPr>
              <w:t>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ascii="Times New Roman" w:cs="宋体"/>
                <w:kern w:val="2"/>
                <w:szCs w:val="21"/>
              </w:rPr>
              <w:t>④</w:t>
            </w:r>
            <w:r>
              <w:rPr>
                <w:rFonts w:ascii="Times New Roman"/>
                <w:snapToGrid w:val="0"/>
                <w:spacing w:val="-6"/>
                <w:kern w:val="21"/>
                <w:szCs w:val="21"/>
              </w:rPr>
              <w:fldChar w:fldCharType="end"/>
            </w:r>
          </w:p>
        </w:tc>
        <w:tc>
          <w:tcPr>
            <w:tcW w:w="1466" w:type="dxa"/>
            <w:tcMar>
              <w:left w:w="28" w:type="dxa"/>
              <w:right w:w="28" w:type="dxa"/>
            </w:tcMar>
            <w:vAlign w:val="center"/>
          </w:tcPr>
          <w:p>
            <w:pPr>
              <w:pStyle w:val="54"/>
              <w:snapToGrid/>
              <w:spacing w:beforeLines="0" w:afterLines="0" w:line="240" w:lineRule="auto"/>
              <w:rPr>
                <w:rFonts w:ascii="Times New Roman"/>
                <w:snapToGrid w:val="0"/>
                <w:spacing w:val="-16"/>
                <w:kern w:val="21"/>
                <w:szCs w:val="21"/>
              </w:rPr>
            </w:pPr>
            <w:r>
              <w:rPr>
                <w:rFonts w:hint="eastAsia" w:ascii="Times New Roman"/>
                <w:snapToGrid w:val="0"/>
                <w:spacing w:val="-16"/>
                <w:kern w:val="21"/>
                <w:szCs w:val="21"/>
              </w:rPr>
              <w:t>“</w:t>
            </w:r>
            <w:r>
              <w:rPr>
                <w:rFonts w:ascii="Times New Roman"/>
                <w:snapToGrid w:val="0"/>
                <w:spacing w:val="-16"/>
                <w:kern w:val="21"/>
                <w:szCs w:val="21"/>
              </w:rPr>
              <w:t>以新带老</w:t>
            </w:r>
            <w:r>
              <w:rPr>
                <w:rFonts w:hint="eastAsia" w:ascii="Times New Roman"/>
                <w:snapToGrid w:val="0"/>
                <w:spacing w:val="-16"/>
                <w:kern w:val="21"/>
                <w:szCs w:val="21"/>
              </w:rPr>
              <w:t>”</w:t>
            </w:r>
            <w:r>
              <w:rPr>
                <w:rFonts w:ascii="Times New Roman"/>
                <w:snapToGrid w:val="0"/>
                <w:spacing w:val="-16"/>
                <w:kern w:val="21"/>
                <w:szCs w:val="21"/>
              </w:rPr>
              <w:t>削减量（新建项目不填）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ascii="Times New Roman" w:cs="宋体"/>
                <w:kern w:val="2"/>
                <w:szCs w:val="21"/>
              </w:rPr>
              <w:t>⑤</w:t>
            </w:r>
            <w:r>
              <w:rPr>
                <w:rFonts w:ascii="Times New Roman"/>
                <w:snapToGrid w:val="0"/>
                <w:spacing w:val="-16"/>
                <w:kern w:val="21"/>
                <w:szCs w:val="21"/>
              </w:rPr>
              <w:fldChar w:fldCharType="end"/>
            </w:r>
          </w:p>
        </w:tc>
        <w:tc>
          <w:tcPr>
            <w:tcW w:w="1422" w:type="dxa"/>
            <w:tcMar>
              <w:left w:w="28" w:type="dxa"/>
              <w:right w:w="28" w:type="dxa"/>
            </w:tcMar>
            <w:vAlign w:val="center"/>
          </w:tcPr>
          <w:p>
            <w:pPr>
              <w:pStyle w:val="54"/>
              <w:snapToGrid/>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pPr>
              <w:pStyle w:val="54"/>
              <w:snapToGrid/>
              <w:spacing w:beforeLines="0" w:afterLines="0" w:line="240" w:lineRule="auto"/>
              <w:rPr>
                <w:rFonts w:ascii="Times New Roman"/>
                <w:snapToGrid w:val="0"/>
                <w:spacing w:val="-16"/>
                <w:kern w:val="21"/>
                <w:szCs w:val="21"/>
              </w:rPr>
            </w:pPr>
            <w:r>
              <w:rPr>
                <w:rFonts w:hint="eastAsia" w:ascii="Times New Roman"/>
                <w:snapToGrid w:val="0"/>
                <w:spacing w:val="-16"/>
                <w:kern w:val="21"/>
                <w:szCs w:val="21"/>
              </w:rPr>
              <w:t>全厂</w:t>
            </w:r>
            <w:r>
              <w:rPr>
                <w:rFonts w:ascii="Times New Roman"/>
                <w:snapToGrid w:val="0"/>
                <w:spacing w:val="-16"/>
                <w:kern w:val="21"/>
                <w:szCs w:val="21"/>
              </w:rPr>
              <w:t>排放量（固</w:t>
            </w:r>
            <w:r>
              <w:rPr>
                <w:rFonts w:hint="eastAsia" w:ascii="Times New Roman"/>
                <w:snapToGrid w:val="0"/>
                <w:spacing w:val="-16"/>
                <w:kern w:val="21"/>
                <w:szCs w:val="21"/>
              </w:rPr>
              <w:t>体</w:t>
            </w:r>
            <w:r>
              <w:rPr>
                <w:rFonts w:ascii="Times New Roman"/>
                <w:snapToGrid w:val="0"/>
                <w:spacing w:val="-16"/>
                <w:kern w:val="21"/>
                <w:szCs w:val="21"/>
              </w:rPr>
              <w:t>废</w:t>
            </w:r>
            <w:r>
              <w:rPr>
                <w:rFonts w:hint="eastAsia" w:ascii="Times New Roman"/>
                <w:snapToGrid w:val="0"/>
                <w:spacing w:val="-16"/>
                <w:kern w:val="21"/>
                <w:szCs w:val="21"/>
              </w:rPr>
              <w:t>物</w:t>
            </w:r>
            <w:r>
              <w:rPr>
                <w:rFonts w:ascii="Times New Roman"/>
                <w:snapToGrid w:val="0"/>
                <w:spacing w:val="-16"/>
                <w:kern w:val="21"/>
                <w:szCs w:val="21"/>
              </w:rPr>
              <w:t>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cs="宋体"/>
                <w:kern w:val="2"/>
                <w:szCs w:val="21"/>
              </w:rPr>
              <w:t>⑥</w:t>
            </w:r>
            <w:r>
              <w:rPr>
                <w:rFonts w:ascii="Times New Roman"/>
                <w:snapToGrid w:val="0"/>
                <w:spacing w:val="-16"/>
                <w:kern w:val="21"/>
                <w:szCs w:val="21"/>
              </w:rPr>
              <w:fldChar w:fldCharType="end"/>
            </w:r>
          </w:p>
        </w:tc>
        <w:tc>
          <w:tcPr>
            <w:tcW w:w="1412" w:type="dxa"/>
            <w:tcMar>
              <w:left w:w="28" w:type="dxa"/>
              <w:right w:w="28" w:type="dxa"/>
            </w:tcMar>
            <w:vAlign w:val="center"/>
          </w:tcPr>
          <w:p>
            <w:pPr>
              <w:pStyle w:val="54"/>
              <w:snapToGrid/>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ascii="Times New Roman" w:cs="宋体"/>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restart"/>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废气</w:t>
            </w:r>
          </w:p>
        </w:tc>
        <w:tc>
          <w:tcPr>
            <w:tcW w:w="2535" w:type="dxa"/>
            <w:vAlign w:val="center"/>
          </w:tcPr>
          <w:p>
            <w:pPr>
              <w:adjustRightInd w:val="0"/>
              <w:jc w:val="center"/>
              <w:rPr>
                <w:szCs w:val="21"/>
              </w:rPr>
            </w:pPr>
            <w:r>
              <w:rPr>
                <w:rFonts w:hint="eastAsia"/>
                <w:szCs w:val="21"/>
              </w:rPr>
              <w:t>废气量</w:t>
            </w:r>
          </w:p>
        </w:tc>
        <w:tc>
          <w:tcPr>
            <w:tcW w:w="1484" w:type="dxa"/>
            <w:vAlign w:val="center"/>
          </w:tcPr>
          <w:p>
            <w:pPr>
              <w:adjustRightInd w:val="0"/>
              <w:jc w:val="center"/>
              <w:rPr>
                <w:szCs w:val="20"/>
              </w:rPr>
            </w:pPr>
            <w:r>
              <w:rPr>
                <w:szCs w:val="20"/>
              </w:rPr>
              <w:t>47570.4</w:t>
            </w:r>
          </w:p>
          <w:p>
            <w:pPr>
              <w:adjustRightInd w:val="0"/>
              <w:jc w:val="center"/>
              <w:rPr>
                <w:szCs w:val="20"/>
              </w:rPr>
            </w:pPr>
            <w:r>
              <w:rPr>
                <w:rFonts w:hint="eastAsia"/>
                <w:szCs w:val="20"/>
              </w:rPr>
              <w:t>万m</w:t>
            </w:r>
            <w:r>
              <w:rPr>
                <w:rFonts w:hint="eastAsia"/>
                <w:szCs w:val="20"/>
                <w:vertAlign w:val="superscript"/>
              </w:rPr>
              <w:t>3</w:t>
            </w:r>
            <w:r>
              <w:rPr>
                <w:rFonts w:hint="eastAsia"/>
                <w:szCs w:val="20"/>
              </w:rPr>
              <w: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highlight w:val="green"/>
              </w:rPr>
            </w:pPr>
            <w:r>
              <w:rPr>
                <w:rFonts w:hint="eastAsia" w:cs="宋体"/>
                <w:bCs/>
                <w:snapToGrid w:val="0"/>
                <w:kern w:val="21"/>
                <w:szCs w:val="21"/>
                <w:highlight w:val="green"/>
              </w:rPr>
              <w:t>8629.92</w:t>
            </w:r>
            <w:r>
              <w:rPr>
                <w:rFonts w:hint="eastAsia"/>
                <w:szCs w:val="20"/>
                <w:highlight w:val="green"/>
              </w:rPr>
              <w:t>万m</w:t>
            </w:r>
            <w:r>
              <w:rPr>
                <w:rFonts w:hint="eastAsia"/>
                <w:szCs w:val="20"/>
                <w:highlight w:val="green"/>
                <w:vertAlign w:val="superscript"/>
              </w:rPr>
              <w:t>3</w:t>
            </w:r>
            <w:r>
              <w:rPr>
                <w:rFonts w:hint="eastAsia"/>
                <w:szCs w:val="20"/>
                <w:highlight w:val="green"/>
              </w:rPr>
              <w:t>/a</w:t>
            </w:r>
          </w:p>
        </w:tc>
        <w:tc>
          <w:tcPr>
            <w:tcW w:w="1466" w:type="dxa"/>
            <w:vAlign w:val="center"/>
          </w:tcPr>
          <w:p>
            <w:pPr>
              <w:adjustRightInd w:val="0"/>
              <w:jc w:val="center"/>
              <w:rPr>
                <w:szCs w:val="20"/>
              </w:rPr>
            </w:pPr>
            <w:r>
              <w:rPr>
                <w:rFonts w:hint="eastAsia"/>
                <w:szCs w:val="20"/>
                <w:highlight w:val="green"/>
              </w:rPr>
              <w:t>/</w:t>
            </w:r>
          </w:p>
        </w:tc>
        <w:tc>
          <w:tcPr>
            <w:tcW w:w="1422" w:type="dxa"/>
            <w:vAlign w:val="center"/>
          </w:tcPr>
          <w:p>
            <w:pPr>
              <w:adjustRightInd w:val="0"/>
              <w:jc w:val="center"/>
              <w:rPr>
                <w:szCs w:val="20"/>
              </w:rPr>
            </w:pPr>
            <w:r>
              <w:rPr>
                <w:rFonts w:hint="eastAsia" w:cs="宋体"/>
                <w:bCs/>
                <w:snapToGrid w:val="0"/>
                <w:kern w:val="21"/>
                <w:szCs w:val="21"/>
                <w:highlight w:val="green"/>
              </w:rPr>
              <w:t>56200.32</w:t>
            </w:r>
            <w:r>
              <w:rPr>
                <w:rFonts w:hint="eastAsia"/>
                <w:szCs w:val="20"/>
                <w:highlight w:val="green"/>
              </w:rPr>
              <w:t>万m</w:t>
            </w:r>
            <w:r>
              <w:rPr>
                <w:rFonts w:hint="eastAsia"/>
                <w:szCs w:val="20"/>
                <w:highlight w:val="green"/>
                <w:vertAlign w:val="superscript"/>
              </w:rPr>
              <w:t>3</w:t>
            </w:r>
            <w:r>
              <w:rPr>
                <w:rFonts w:hint="eastAsia"/>
                <w:szCs w:val="20"/>
                <w:highlight w:val="green"/>
              </w:rPr>
              <w:t>/a</w:t>
            </w:r>
          </w:p>
        </w:tc>
        <w:tc>
          <w:tcPr>
            <w:tcW w:w="1412" w:type="dxa"/>
            <w:vAlign w:val="center"/>
          </w:tcPr>
          <w:p>
            <w:pPr>
              <w:adjustRightInd w:val="0"/>
              <w:jc w:val="center"/>
              <w:rPr>
                <w:rFonts w:cs="宋体"/>
                <w:snapToGrid w:val="0"/>
                <w:kern w:val="21"/>
                <w:szCs w:val="21"/>
              </w:rPr>
            </w:pPr>
            <w:r>
              <w:rPr>
                <w:rFonts w:hint="eastAsia" w:cs="宋体"/>
                <w:bCs/>
                <w:snapToGrid w:val="0"/>
                <w:kern w:val="21"/>
                <w:szCs w:val="21"/>
                <w:highlight w:val="green"/>
              </w:rPr>
              <w:t>+8629.92</w:t>
            </w:r>
            <w:r>
              <w:rPr>
                <w:rFonts w:hint="eastAsia"/>
                <w:szCs w:val="20"/>
                <w:highlight w:val="green"/>
              </w:rPr>
              <w:t>万m</w:t>
            </w:r>
            <w:r>
              <w:rPr>
                <w:rFonts w:hint="eastAsia"/>
                <w:szCs w:val="20"/>
                <w:highlight w:val="green"/>
                <w:vertAlign w:val="superscript"/>
              </w:rPr>
              <w:t>3</w:t>
            </w:r>
            <w:r>
              <w:rPr>
                <w:rFonts w:hint="eastAsia"/>
                <w:szCs w:val="20"/>
                <w:highlight w:val="gree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adjustRightInd w:val="0"/>
              <w:jc w:val="center"/>
              <w:rPr>
                <w:szCs w:val="21"/>
              </w:rPr>
            </w:pPr>
            <w:r>
              <w:rPr>
                <w:szCs w:val="21"/>
              </w:rPr>
              <w:t>颗粒物</w:t>
            </w:r>
          </w:p>
        </w:tc>
        <w:tc>
          <w:tcPr>
            <w:tcW w:w="1484" w:type="dxa"/>
            <w:vAlign w:val="center"/>
          </w:tcPr>
          <w:p>
            <w:pPr>
              <w:adjustRightInd w:val="0"/>
              <w:jc w:val="center"/>
              <w:rPr>
                <w:szCs w:val="20"/>
              </w:rPr>
            </w:pPr>
            <w:r>
              <w:rPr>
                <w:szCs w:val="20"/>
              </w:rPr>
              <w:t>10.36</w:t>
            </w:r>
            <w:r>
              <w:rPr>
                <w:rFonts w:hint="eastAsia"/>
                <w:szCs w:val="20"/>
              </w:rPr>
              <w:t>6t/a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highlight w:val="green"/>
              </w:rPr>
            </w:pPr>
            <w:r>
              <w:rPr>
                <w:rFonts w:hint="eastAsia"/>
                <w:szCs w:val="20"/>
                <w:highlight w:val="green"/>
              </w:rPr>
              <w:t>0.864t/a</w:t>
            </w:r>
          </w:p>
        </w:tc>
        <w:tc>
          <w:tcPr>
            <w:tcW w:w="1466" w:type="dxa"/>
            <w:vAlign w:val="center"/>
          </w:tcPr>
          <w:p>
            <w:pPr>
              <w:adjustRightInd w:val="0"/>
              <w:jc w:val="center"/>
              <w:rPr>
                <w:szCs w:val="20"/>
                <w:highlight w:val="green"/>
              </w:rPr>
            </w:pPr>
            <w:r>
              <w:rPr>
                <w:rFonts w:hint="eastAsia"/>
                <w:szCs w:val="20"/>
                <w:highlight w:val="green"/>
              </w:rPr>
              <w:t>2.414t/a</w:t>
            </w:r>
          </w:p>
        </w:tc>
        <w:tc>
          <w:tcPr>
            <w:tcW w:w="1422" w:type="dxa"/>
            <w:vAlign w:val="center"/>
          </w:tcPr>
          <w:p>
            <w:pPr>
              <w:adjustRightInd w:val="0"/>
              <w:jc w:val="center"/>
              <w:rPr>
                <w:szCs w:val="20"/>
                <w:highlight w:val="yellow"/>
              </w:rPr>
            </w:pPr>
            <w:r>
              <w:rPr>
                <w:rFonts w:hint="eastAsia"/>
                <w:szCs w:val="20"/>
                <w:highlight w:val="green"/>
              </w:rPr>
              <w:t>8.816t/a</w:t>
            </w:r>
          </w:p>
        </w:tc>
        <w:tc>
          <w:tcPr>
            <w:tcW w:w="1412" w:type="dxa"/>
            <w:vAlign w:val="center"/>
          </w:tcPr>
          <w:p>
            <w:pPr>
              <w:adjustRightInd w:val="0"/>
              <w:jc w:val="center"/>
              <w:rPr>
                <w:rFonts w:cs="宋体"/>
                <w:snapToGrid w:val="0"/>
                <w:kern w:val="21"/>
                <w:szCs w:val="21"/>
                <w:highlight w:val="yellow"/>
              </w:rPr>
            </w:pPr>
            <w:r>
              <w:rPr>
                <w:rFonts w:hint="eastAsia"/>
                <w:szCs w:val="20"/>
                <w:highlight w:val="green"/>
              </w:rPr>
              <w:t>-2.414t/a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adjustRightInd w:val="0"/>
              <w:jc w:val="center"/>
              <w:rPr>
                <w:szCs w:val="21"/>
              </w:rPr>
            </w:pPr>
            <w:r>
              <w:rPr>
                <w:szCs w:val="21"/>
              </w:rPr>
              <w:t>SO</w:t>
            </w:r>
            <w:r>
              <w:rPr>
                <w:szCs w:val="21"/>
                <w:vertAlign w:val="subscript"/>
              </w:rPr>
              <w:t>2</w:t>
            </w:r>
          </w:p>
        </w:tc>
        <w:tc>
          <w:tcPr>
            <w:tcW w:w="1484" w:type="dxa"/>
            <w:vAlign w:val="center"/>
          </w:tcPr>
          <w:p>
            <w:pPr>
              <w:autoSpaceDE w:val="0"/>
              <w:autoSpaceDN w:val="0"/>
              <w:adjustRightInd w:val="0"/>
              <w:jc w:val="center"/>
              <w:rPr>
                <w:szCs w:val="20"/>
              </w:rPr>
            </w:pPr>
            <w:r>
              <w:rPr>
                <w:bCs/>
                <w:szCs w:val="21"/>
              </w:rPr>
              <w:t>5.19</w:t>
            </w:r>
            <w:r>
              <w:rPr>
                <w:rFonts w:hint="eastAsia"/>
                <w:szCs w:val="20"/>
              </w:rPr>
              <w:t>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highlight w:val="green"/>
              </w:rPr>
            </w:pPr>
            <w:r>
              <w:rPr>
                <w:szCs w:val="20"/>
                <w:highlight w:val="green"/>
              </w:rPr>
              <w:t>4.69</w:t>
            </w:r>
            <w:r>
              <w:rPr>
                <w:rFonts w:hint="eastAsia"/>
                <w:szCs w:val="20"/>
                <w:highlight w:val="green"/>
              </w:rPr>
              <w:t>t/a</w:t>
            </w:r>
          </w:p>
        </w:tc>
        <w:tc>
          <w:tcPr>
            <w:tcW w:w="1466" w:type="dxa"/>
            <w:vAlign w:val="center"/>
          </w:tcPr>
          <w:p>
            <w:pPr>
              <w:adjustRightInd w:val="0"/>
              <w:jc w:val="center"/>
              <w:rPr>
                <w:szCs w:val="20"/>
                <w:highlight w:val="green"/>
              </w:rPr>
            </w:pPr>
            <w:r>
              <w:rPr>
                <w:szCs w:val="20"/>
                <w:highlight w:val="green"/>
              </w:rPr>
              <w:t>0</w:t>
            </w:r>
            <w:r>
              <w:rPr>
                <w:rFonts w:hint="eastAsia"/>
                <w:szCs w:val="20"/>
                <w:highlight w:val="green"/>
              </w:rPr>
              <w:t>t/a</w:t>
            </w:r>
          </w:p>
        </w:tc>
        <w:tc>
          <w:tcPr>
            <w:tcW w:w="1422" w:type="dxa"/>
            <w:vAlign w:val="center"/>
          </w:tcPr>
          <w:p>
            <w:pPr>
              <w:adjustRightInd w:val="0"/>
              <w:jc w:val="center"/>
              <w:rPr>
                <w:szCs w:val="20"/>
              </w:rPr>
            </w:pPr>
            <w:r>
              <w:rPr>
                <w:szCs w:val="20"/>
              </w:rPr>
              <w:t>9.88</w:t>
            </w:r>
            <w:r>
              <w:rPr>
                <w:rFonts w:hint="eastAsia"/>
                <w:szCs w:val="20"/>
              </w:rPr>
              <w:t>t/a</w:t>
            </w:r>
          </w:p>
        </w:tc>
        <w:tc>
          <w:tcPr>
            <w:tcW w:w="1412" w:type="dxa"/>
            <w:vAlign w:val="center"/>
          </w:tcPr>
          <w:p>
            <w:pPr>
              <w:adjustRightInd w:val="0"/>
              <w:jc w:val="center"/>
              <w:rPr>
                <w:rFonts w:cs="宋体"/>
                <w:snapToGrid w:val="0"/>
                <w:kern w:val="21"/>
                <w:szCs w:val="21"/>
              </w:rPr>
            </w:pPr>
            <w:r>
              <w:rPr>
                <w:rFonts w:hint="eastAsia"/>
                <w:szCs w:val="20"/>
              </w:rPr>
              <w:t>+</w:t>
            </w:r>
            <w:r>
              <w:rPr>
                <w:szCs w:val="20"/>
              </w:rPr>
              <w:t>4.69</w:t>
            </w:r>
            <w:r>
              <w:rPr>
                <w:rFonts w:hint="eastAsia"/>
                <w:szCs w:val="20"/>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adjustRightInd w:val="0"/>
              <w:jc w:val="center"/>
              <w:rPr>
                <w:szCs w:val="21"/>
              </w:rPr>
            </w:pPr>
            <w:r>
              <w:rPr>
                <w:szCs w:val="21"/>
              </w:rPr>
              <w:t>NO</w:t>
            </w:r>
            <w:r>
              <w:rPr>
                <w:szCs w:val="21"/>
                <w:vertAlign w:val="subscript"/>
              </w:rPr>
              <w:t>X</w:t>
            </w:r>
          </w:p>
        </w:tc>
        <w:tc>
          <w:tcPr>
            <w:tcW w:w="1484" w:type="dxa"/>
            <w:vAlign w:val="center"/>
          </w:tcPr>
          <w:p>
            <w:pPr>
              <w:autoSpaceDE w:val="0"/>
              <w:autoSpaceDN w:val="0"/>
              <w:adjustRightInd w:val="0"/>
              <w:jc w:val="center"/>
              <w:rPr>
                <w:szCs w:val="20"/>
              </w:rPr>
            </w:pPr>
            <w:r>
              <w:rPr>
                <w:szCs w:val="20"/>
              </w:rPr>
              <w:t>6.08</w:t>
            </w:r>
            <w:r>
              <w:rPr>
                <w:rFonts w:hint="eastAsia"/>
                <w:szCs w:val="20"/>
              </w:rPr>
              <w:t>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highlight w:val="green"/>
              </w:rPr>
            </w:pPr>
            <w:r>
              <w:rPr>
                <w:szCs w:val="20"/>
                <w:highlight w:val="green"/>
              </w:rPr>
              <w:t>4.37</w:t>
            </w:r>
            <w:r>
              <w:rPr>
                <w:rFonts w:hint="eastAsia"/>
                <w:szCs w:val="20"/>
                <w:highlight w:val="green"/>
              </w:rPr>
              <w:t>t/a</w:t>
            </w:r>
          </w:p>
        </w:tc>
        <w:tc>
          <w:tcPr>
            <w:tcW w:w="1466" w:type="dxa"/>
            <w:vAlign w:val="center"/>
          </w:tcPr>
          <w:p>
            <w:pPr>
              <w:adjustRightInd w:val="0"/>
              <w:jc w:val="center"/>
              <w:rPr>
                <w:szCs w:val="20"/>
                <w:highlight w:val="green"/>
              </w:rPr>
            </w:pPr>
            <w:r>
              <w:rPr>
                <w:szCs w:val="20"/>
                <w:highlight w:val="green"/>
              </w:rPr>
              <w:t>0</w:t>
            </w:r>
            <w:r>
              <w:rPr>
                <w:rFonts w:hint="eastAsia"/>
                <w:szCs w:val="20"/>
                <w:highlight w:val="green"/>
              </w:rPr>
              <w:t>t/a</w:t>
            </w:r>
          </w:p>
        </w:tc>
        <w:tc>
          <w:tcPr>
            <w:tcW w:w="1422" w:type="dxa"/>
            <w:vAlign w:val="center"/>
          </w:tcPr>
          <w:p>
            <w:pPr>
              <w:adjustRightInd w:val="0"/>
              <w:jc w:val="center"/>
              <w:rPr>
                <w:szCs w:val="20"/>
              </w:rPr>
            </w:pPr>
            <w:r>
              <w:rPr>
                <w:szCs w:val="20"/>
              </w:rPr>
              <w:t>10.45</w:t>
            </w:r>
            <w:r>
              <w:rPr>
                <w:rFonts w:hint="eastAsia"/>
                <w:szCs w:val="20"/>
              </w:rPr>
              <w:t>t/a</w:t>
            </w:r>
          </w:p>
        </w:tc>
        <w:tc>
          <w:tcPr>
            <w:tcW w:w="1412" w:type="dxa"/>
            <w:vAlign w:val="center"/>
          </w:tcPr>
          <w:p>
            <w:pPr>
              <w:adjustRightInd w:val="0"/>
              <w:jc w:val="center"/>
              <w:rPr>
                <w:rFonts w:cs="宋体"/>
                <w:snapToGrid w:val="0"/>
                <w:kern w:val="21"/>
                <w:szCs w:val="21"/>
              </w:rPr>
            </w:pPr>
            <w:r>
              <w:rPr>
                <w:rFonts w:hint="eastAsia"/>
                <w:szCs w:val="20"/>
              </w:rPr>
              <w:t>+</w:t>
            </w:r>
            <w:r>
              <w:rPr>
                <w:szCs w:val="20"/>
              </w:rPr>
              <w:t>4.37</w:t>
            </w:r>
            <w:r>
              <w:rPr>
                <w:rFonts w:hint="eastAsia"/>
                <w:szCs w:val="20"/>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adjustRightInd w:val="0"/>
              <w:jc w:val="center"/>
              <w:rPr>
                <w:szCs w:val="21"/>
              </w:rPr>
            </w:pPr>
            <w:r>
              <w:rPr>
                <w:szCs w:val="21"/>
              </w:rPr>
              <w:t>甲醛</w:t>
            </w:r>
          </w:p>
        </w:tc>
        <w:tc>
          <w:tcPr>
            <w:tcW w:w="1484" w:type="dxa"/>
            <w:vAlign w:val="center"/>
          </w:tcPr>
          <w:p>
            <w:pPr>
              <w:autoSpaceDE w:val="0"/>
              <w:autoSpaceDN w:val="0"/>
              <w:adjustRightInd w:val="0"/>
              <w:jc w:val="center"/>
              <w:rPr>
                <w:szCs w:val="20"/>
              </w:rPr>
            </w:pPr>
            <w:r>
              <w:rPr>
                <w:bCs/>
                <w:szCs w:val="21"/>
              </w:rPr>
              <w:t>0.63</w:t>
            </w:r>
            <w:r>
              <w:rPr>
                <w:rFonts w:hint="eastAsia"/>
                <w:szCs w:val="20"/>
              </w:rPr>
              <w:t>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rFonts w:hint="eastAsia" w:cs="宋体"/>
                <w:bCs/>
                <w:snapToGrid w:val="0"/>
                <w:kern w:val="21"/>
                <w:szCs w:val="21"/>
              </w:rPr>
              <w:t>/</w:t>
            </w:r>
          </w:p>
        </w:tc>
        <w:tc>
          <w:tcPr>
            <w:tcW w:w="1466" w:type="dxa"/>
            <w:vAlign w:val="center"/>
          </w:tcPr>
          <w:p>
            <w:pPr>
              <w:adjustRightInd w:val="0"/>
              <w:jc w:val="center"/>
              <w:rPr>
                <w:szCs w:val="20"/>
                <w:highlight w:val="green"/>
              </w:rPr>
            </w:pPr>
            <w:r>
              <w:rPr>
                <w:rFonts w:hint="eastAsia"/>
                <w:szCs w:val="20"/>
                <w:highlight w:val="green"/>
              </w:rPr>
              <w:t>0.504t/a</w:t>
            </w:r>
          </w:p>
        </w:tc>
        <w:tc>
          <w:tcPr>
            <w:tcW w:w="1422" w:type="dxa"/>
            <w:vAlign w:val="center"/>
          </w:tcPr>
          <w:p>
            <w:pPr>
              <w:adjustRightInd w:val="0"/>
              <w:jc w:val="center"/>
              <w:rPr>
                <w:szCs w:val="20"/>
                <w:highlight w:val="green"/>
              </w:rPr>
            </w:pPr>
            <w:r>
              <w:rPr>
                <w:rFonts w:hint="eastAsia"/>
                <w:szCs w:val="20"/>
                <w:highlight w:val="green"/>
              </w:rPr>
              <w:t>0.126t/a</w:t>
            </w:r>
          </w:p>
        </w:tc>
        <w:tc>
          <w:tcPr>
            <w:tcW w:w="1412" w:type="dxa"/>
            <w:vAlign w:val="center"/>
          </w:tcPr>
          <w:p>
            <w:pPr>
              <w:adjustRightInd w:val="0"/>
              <w:jc w:val="center"/>
              <w:rPr>
                <w:rFonts w:cs="宋体"/>
                <w:snapToGrid w:val="0"/>
                <w:kern w:val="21"/>
                <w:szCs w:val="21"/>
                <w:highlight w:val="green"/>
              </w:rPr>
            </w:pPr>
            <w:r>
              <w:rPr>
                <w:rFonts w:hint="eastAsia"/>
                <w:szCs w:val="20"/>
                <w:highlight w:val="green"/>
              </w:rPr>
              <w:t>-</w:t>
            </w:r>
            <w:r>
              <w:rPr>
                <w:szCs w:val="20"/>
                <w:highlight w:val="green"/>
              </w:rPr>
              <w:t>0.504</w:t>
            </w:r>
            <w:r>
              <w:rPr>
                <w:rFonts w:hint="eastAsia"/>
                <w:szCs w:val="20"/>
                <w:highlight w:val="gree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adjustRightInd w:val="0"/>
              <w:jc w:val="center"/>
              <w:rPr>
                <w:szCs w:val="21"/>
              </w:rPr>
            </w:pPr>
            <w:r>
              <w:rPr>
                <w:rFonts w:hint="eastAsia"/>
                <w:szCs w:val="21"/>
              </w:rPr>
              <w:t>非甲烷总烃</w:t>
            </w:r>
          </w:p>
        </w:tc>
        <w:tc>
          <w:tcPr>
            <w:tcW w:w="1484" w:type="dxa"/>
            <w:vAlign w:val="center"/>
          </w:tcPr>
          <w:p>
            <w:pPr>
              <w:autoSpaceDE w:val="0"/>
              <w:autoSpaceDN w:val="0"/>
              <w:adjustRightInd w:val="0"/>
              <w:jc w:val="center"/>
              <w:rPr>
                <w:szCs w:val="20"/>
              </w:rPr>
            </w:pPr>
            <w:r>
              <w:rPr>
                <w:bCs/>
                <w:szCs w:val="21"/>
              </w:rPr>
              <w:t>1.4292</w:t>
            </w:r>
            <w:r>
              <w:rPr>
                <w:rFonts w:hint="eastAsia"/>
                <w:szCs w:val="20"/>
              </w:rPr>
              <w:t>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rFonts w:hint="eastAsia" w:cs="宋体"/>
                <w:bCs/>
                <w:snapToGrid w:val="0"/>
                <w:kern w:val="21"/>
                <w:szCs w:val="21"/>
              </w:rPr>
              <w:t>/</w:t>
            </w:r>
          </w:p>
        </w:tc>
        <w:tc>
          <w:tcPr>
            <w:tcW w:w="1466" w:type="dxa"/>
            <w:vAlign w:val="center"/>
          </w:tcPr>
          <w:p>
            <w:pPr>
              <w:adjustRightInd w:val="0"/>
              <w:jc w:val="center"/>
              <w:rPr>
                <w:szCs w:val="20"/>
                <w:highlight w:val="green"/>
              </w:rPr>
            </w:pPr>
            <w:r>
              <w:rPr>
                <w:rFonts w:hint="eastAsia"/>
                <w:szCs w:val="20"/>
                <w:highlight w:val="green"/>
              </w:rPr>
              <w:t>1.432t/a</w:t>
            </w:r>
          </w:p>
        </w:tc>
        <w:tc>
          <w:tcPr>
            <w:tcW w:w="1422" w:type="dxa"/>
            <w:vAlign w:val="center"/>
          </w:tcPr>
          <w:p>
            <w:pPr>
              <w:adjustRightInd w:val="0"/>
              <w:jc w:val="center"/>
              <w:rPr>
                <w:szCs w:val="20"/>
                <w:highlight w:val="green"/>
              </w:rPr>
            </w:pPr>
            <w:r>
              <w:rPr>
                <w:szCs w:val="20"/>
                <w:highlight w:val="green"/>
              </w:rPr>
              <w:t>0.286</w:t>
            </w:r>
            <w:r>
              <w:rPr>
                <w:rFonts w:hint="eastAsia"/>
                <w:szCs w:val="20"/>
                <w:highlight w:val="green"/>
              </w:rPr>
              <w:t>t/a</w:t>
            </w:r>
          </w:p>
        </w:tc>
        <w:tc>
          <w:tcPr>
            <w:tcW w:w="1412" w:type="dxa"/>
            <w:vAlign w:val="center"/>
          </w:tcPr>
          <w:p>
            <w:pPr>
              <w:adjustRightInd w:val="0"/>
              <w:jc w:val="center"/>
              <w:rPr>
                <w:rFonts w:cs="宋体"/>
                <w:snapToGrid w:val="0"/>
                <w:kern w:val="21"/>
                <w:szCs w:val="21"/>
                <w:highlight w:val="green"/>
              </w:rPr>
            </w:pPr>
            <w:r>
              <w:rPr>
                <w:rFonts w:hint="eastAsia"/>
                <w:szCs w:val="20"/>
                <w:highlight w:val="green"/>
              </w:rPr>
              <w:t>-</w:t>
            </w:r>
            <w:r>
              <w:rPr>
                <w:szCs w:val="20"/>
                <w:highlight w:val="green"/>
              </w:rPr>
              <w:t>1.1432</w:t>
            </w:r>
            <w:r>
              <w:rPr>
                <w:rFonts w:hint="eastAsia"/>
                <w:szCs w:val="20"/>
                <w:highlight w:val="gree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废水</w:t>
            </w:r>
          </w:p>
        </w:tc>
        <w:tc>
          <w:tcPr>
            <w:tcW w:w="2535"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84"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pStyle w:val="54"/>
              <w:snapToGrid/>
              <w:spacing w:beforeLines="0" w:afterLines="0" w:line="240" w:lineRule="auto"/>
              <w:rPr>
                <w:rFonts w:ascii="Times New Roman" w:cs="宋体"/>
                <w:b w:val="0"/>
                <w:bCs/>
                <w:snapToGrid w:val="0"/>
                <w:kern w:val="21"/>
                <w:szCs w:val="21"/>
              </w:rPr>
            </w:pPr>
            <w:r>
              <w:rPr>
                <w:rFonts w:hint="eastAsia" w:ascii="Times New Roman" w:cs="宋体"/>
                <w:b w:val="0"/>
                <w:bCs/>
                <w:snapToGrid w:val="0"/>
                <w:kern w:val="21"/>
                <w:szCs w:val="21"/>
              </w:rPr>
              <w:t>/</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12"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restart"/>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一般工业</w:t>
            </w:r>
          </w:p>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固体废物</w:t>
            </w:r>
          </w:p>
        </w:tc>
        <w:tc>
          <w:tcPr>
            <w:tcW w:w="2535" w:type="dxa"/>
            <w:vAlign w:val="center"/>
          </w:tcPr>
          <w:p>
            <w:pPr>
              <w:adjustRightInd w:val="0"/>
              <w:jc w:val="center"/>
              <w:rPr>
                <w:kern w:val="0"/>
                <w:szCs w:val="21"/>
              </w:rPr>
            </w:pPr>
            <w:r>
              <w:rPr>
                <w:rFonts w:hint="eastAsia"/>
                <w:szCs w:val="20"/>
              </w:rPr>
              <w:t>锅炉灰渣</w:t>
            </w:r>
          </w:p>
        </w:tc>
        <w:tc>
          <w:tcPr>
            <w:tcW w:w="1484" w:type="dxa"/>
            <w:vAlign w:val="center"/>
          </w:tcPr>
          <w:p>
            <w:pPr>
              <w:adjustRightInd w:val="0"/>
              <w:jc w:val="center"/>
              <w:rPr>
                <w:sz w:val="20"/>
                <w:szCs w:val="20"/>
              </w:rPr>
            </w:pPr>
            <w:r>
              <w:rPr>
                <w:sz w:val="20"/>
                <w:szCs w:val="20"/>
              </w:rPr>
              <w:t>15.72</w:t>
            </w:r>
            <w:r>
              <w:rPr>
                <w:rFonts w:hint="eastAsia"/>
                <w:sz w:val="20"/>
                <w:szCs w:val="20"/>
              </w:rPr>
              <w:t>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szCs w:val="20"/>
              </w:rPr>
              <w:t>7.86</w:t>
            </w:r>
            <w:r>
              <w:rPr>
                <w:rFonts w:hint="eastAsia"/>
                <w:szCs w:val="20"/>
              </w:rPr>
              <w:t>t/a</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szCs w:val="20"/>
              </w:rPr>
              <w:t>23.58</w:t>
            </w:r>
            <w:r>
              <w:rPr>
                <w:rFonts w:hint="eastAsia"/>
                <w:szCs w:val="20"/>
              </w:rPr>
              <w:t>t/a</w:t>
            </w:r>
          </w:p>
        </w:tc>
        <w:tc>
          <w:tcPr>
            <w:tcW w:w="1412" w:type="dxa"/>
            <w:vAlign w:val="center"/>
          </w:tcPr>
          <w:p>
            <w:pPr>
              <w:adjustRightInd w:val="0"/>
              <w:jc w:val="center"/>
              <w:rPr>
                <w:rFonts w:cs="宋体"/>
                <w:bCs/>
                <w:snapToGrid w:val="0"/>
                <w:kern w:val="21"/>
                <w:szCs w:val="21"/>
              </w:rPr>
            </w:pPr>
            <w:r>
              <w:rPr>
                <w:rFonts w:hint="eastAsia"/>
                <w:szCs w:val="20"/>
              </w:rPr>
              <w:t>+</w:t>
            </w:r>
            <w:r>
              <w:rPr>
                <w:szCs w:val="20"/>
              </w:rPr>
              <w:t>7.86</w:t>
            </w:r>
            <w:r>
              <w:rPr>
                <w:rFonts w:hint="eastAsia"/>
                <w:szCs w:val="20"/>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adjustRightInd w:val="0"/>
              <w:jc w:val="center"/>
              <w:rPr>
                <w:szCs w:val="20"/>
              </w:rPr>
            </w:pPr>
            <w:r>
              <w:rPr>
                <w:rFonts w:hint="eastAsia"/>
                <w:szCs w:val="20"/>
              </w:rPr>
              <w:t>水膜除尘渣沉淀池污泥</w:t>
            </w:r>
          </w:p>
        </w:tc>
        <w:tc>
          <w:tcPr>
            <w:tcW w:w="1484" w:type="dxa"/>
            <w:vAlign w:val="center"/>
          </w:tcPr>
          <w:p>
            <w:pPr>
              <w:adjustRightInd w:val="0"/>
              <w:jc w:val="center"/>
              <w:rPr>
                <w:sz w:val="20"/>
                <w:szCs w:val="20"/>
              </w:rPr>
            </w:pPr>
            <w:r>
              <w:rPr>
                <w:sz w:val="20"/>
                <w:szCs w:val="20"/>
              </w:rPr>
              <w:t>0</w:t>
            </w:r>
          </w:p>
        </w:tc>
        <w:tc>
          <w:tcPr>
            <w:tcW w:w="1318" w:type="dxa"/>
            <w:vAlign w:val="center"/>
          </w:tcPr>
          <w:p>
            <w:pPr>
              <w:pStyle w:val="54"/>
              <w:snapToGrid/>
              <w:spacing w:beforeLines="0" w:afterLines="0" w:line="240" w:lineRule="auto"/>
              <w:rPr>
                <w:rFonts w:ascii="Times New Roman" w:cs="宋体"/>
                <w:snapToGrid w:val="0"/>
                <w:kern w:val="21"/>
                <w:szCs w:val="21"/>
              </w:rPr>
            </w:pPr>
          </w:p>
        </w:tc>
        <w:tc>
          <w:tcPr>
            <w:tcW w:w="1407" w:type="dxa"/>
            <w:vAlign w:val="center"/>
          </w:tcPr>
          <w:p>
            <w:pPr>
              <w:pStyle w:val="54"/>
              <w:snapToGrid/>
              <w:spacing w:beforeLines="0" w:afterLines="0" w:line="240" w:lineRule="auto"/>
              <w:rPr>
                <w:rFonts w:ascii="Times New Roman" w:cs="宋体"/>
                <w:snapToGrid w:val="0"/>
                <w:kern w:val="21"/>
                <w:szCs w:val="21"/>
              </w:rPr>
            </w:pPr>
          </w:p>
        </w:tc>
        <w:tc>
          <w:tcPr>
            <w:tcW w:w="1571" w:type="dxa"/>
            <w:vAlign w:val="center"/>
          </w:tcPr>
          <w:p>
            <w:pPr>
              <w:adjustRightInd w:val="0"/>
              <w:jc w:val="center"/>
              <w:rPr>
                <w:szCs w:val="20"/>
              </w:rPr>
            </w:pPr>
            <w:r>
              <w:rPr>
                <w:szCs w:val="20"/>
              </w:rPr>
              <w:t>11.232</w:t>
            </w:r>
            <w:r>
              <w:rPr>
                <w:rFonts w:hint="eastAsia"/>
                <w:szCs w:val="20"/>
              </w:rPr>
              <w:t>t/a</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szCs w:val="20"/>
              </w:rPr>
            </w:pPr>
            <w:r>
              <w:rPr>
                <w:szCs w:val="20"/>
              </w:rPr>
              <w:t>11.232</w:t>
            </w:r>
            <w:r>
              <w:rPr>
                <w:rFonts w:hint="eastAsia"/>
                <w:szCs w:val="20"/>
              </w:rPr>
              <w:t>t/a</w:t>
            </w:r>
          </w:p>
        </w:tc>
        <w:tc>
          <w:tcPr>
            <w:tcW w:w="1412" w:type="dxa"/>
            <w:vAlign w:val="center"/>
          </w:tcPr>
          <w:p>
            <w:pPr>
              <w:adjustRightInd w:val="0"/>
              <w:jc w:val="center"/>
              <w:rPr>
                <w:szCs w:val="20"/>
              </w:rPr>
            </w:pPr>
            <w:r>
              <w:rPr>
                <w:szCs w:val="20"/>
              </w:rPr>
              <w:t>+11.232</w:t>
            </w:r>
            <w:r>
              <w:rPr>
                <w:rFonts w:hint="eastAsia"/>
                <w:szCs w:val="20"/>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jc w:val="center"/>
              <w:rPr>
                <w:kern w:val="0"/>
                <w:szCs w:val="21"/>
              </w:rPr>
            </w:pPr>
            <w:r>
              <w:rPr>
                <w:rFonts w:hint="eastAsia"/>
                <w:szCs w:val="20"/>
              </w:rPr>
              <w:t>树皮枝叶</w:t>
            </w:r>
          </w:p>
        </w:tc>
        <w:tc>
          <w:tcPr>
            <w:tcW w:w="1484" w:type="dxa"/>
            <w:vAlign w:val="center"/>
          </w:tcPr>
          <w:p>
            <w:pPr>
              <w:adjustRightInd w:val="0"/>
              <w:jc w:val="center"/>
              <w:rPr>
                <w:sz w:val="20"/>
                <w:szCs w:val="20"/>
              </w:rPr>
            </w:pPr>
            <w:r>
              <w:rPr>
                <w:rFonts w:hint="eastAsia"/>
                <w:sz w:val="20"/>
                <w:szCs w:val="20"/>
              </w:rPr>
              <w:t>1200t/a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rFonts w:hint="eastAsia"/>
                <w:szCs w:val="20"/>
              </w:rPr>
              <w:t>0</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rFonts w:hint="eastAsia"/>
                <w:szCs w:val="20"/>
              </w:rPr>
              <w:t>1200t/a</w:t>
            </w:r>
          </w:p>
        </w:tc>
        <w:tc>
          <w:tcPr>
            <w:tcW w:w="1412" w:type="dxa"/>
            <w:vAlign w:val="center"/>
          </w:tcPr>
          <w:p>
            <w:pPr>
              <w:adjustRightInd w:val="0"/>
              <w:jc w:val="center"/>
              <w:rPr>
                <w:rFonts w:cs="宋体"/>
                <w:bCs/>
                <w:snapToGrid w:val="0"/>
                <w:kern w:val="21"/>
                <w:szCs w:val="21"/>
              </w:rPr>
            </w:pPr>
            <w:r>
              <w:rPr>
                <w:rFonts w:hint="eastAsia"/>
                <w:szCs w:val="20"/>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jc w:val="center"/>
              <w:rPr>
                <w:kern w:val="0"/>
                <w:szCs w:val="21"/>
              </w:rPr>
            </w:pPr>
            <w:r>
              <w:rPr>
                <w:rFonts w:hint="eastAsia"/>
                <w:szCs w:val="20"/>
              </w:rPr>
              <w:t>除尘灰（包含锅炉除尘系统除尘灰）</w:t>
            </w:r>
          </w:p>
        </w:tc>
        <w:tc>
          <w:tcPr>
            <w:tcW w:w="1484" w:type="dxa"/>
            <w:vAlign w:val="center"/>
          </w:tcPr>
          <w:p>
            <w:pPr>
              <w:adjustRightInd w:val="0"/>
              <w:jc w:val="center"/>
              <w:rPr>
                <w:sz w:val="20"/>
                <w:szCs w:val="20"/>
              </w:rPr>
            </w:pPr>
            <w:r>
              <w:rPr>
                <w:rFonts w:hint="eastAsia"/>
                <w:sz w:val="20"/>
                <w:szCs w:val="20"/>
              </w:rPr>
              <w:t>600t/a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szCs w:val="20"/>
              </w:rPr>
              <w:t>24.29</w:t>
            </w:r>
            <w:r>
              <w:rPr>
                <w:rFonts w:hint="eastAsia"/>
                <w:szCs w:val="20"/>
              </w:rPr>
              <w:t>t/a</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szCs w:val="20"/>
              </w:rPr>
              <w:t>624.29</w:t>
            </w:r>
            <w:r>
              <w:rPr>
                <w:rFonts w:hint="eastAsia"/>
                <w:szCs w:val="20"/>
              </w:rPr>
              <w:t>t/a</w:t>
            </w:r>
          </w:p>
        </w:tc>
        <w:tc>
          <w:tcPr>
            <w:tcW w:w="1412" w:type="dxa"/>
            <w:vAlign w:val="center"/>
          </w:tcPr>
          <w:p>
            <w:pPr>
              <w:adjustRightInd w:val="0"/>
              <w:jc w:val="center"/>
              <w:rPr>
                <w:rFonts w:cs="宋体"/>
                <w:bCs/>
                <w:snapToGrid w:val="0"/>
                <w:kern w:val="21"/>
                <w:szCs w:val="21"/>
              </w:rPr>
            </w:pPr>
            <w:r>
              <w:rPr>
                <w:rFonts w:hint="eastAsia"/>
                <w:szCs w:val="20"/>
              </w:rPr>
              <w:t>+</w:t>
            </w:r>
            <w:r>
              <w:rPr>
                <w:szCs w:val="20"/>
              </w:rPr>
              <w:t>24.29</w:t>
            </w:r>
            <w:r>
              <w:rPr>
                <w:rFonts w:hint="eastAsia"/>
                <w:szCs w:val="20"/>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jc w:val="center"/>
              <w:rPr>
                <w:szCs w:val="21"/>
              </w:rPr>
            </w:pPr>
            <w:r>
              <w:rPr>
                <w:rFonts w:hint="eastAsia"/>
                <w:szCs w:val="20"/>
              </w:rPr>
              <w:t>含砂石刨花</w:t>
            </w:r>
          </w:p>
        </w:tc>
        <w:tc>
          <w:tcPr>
            <w:tcW w:w="1484" w:type="dxa"/>
            <w:vAlign w:val="center"/>
          </w:tcPr>
          <w:p>
            <w:pPr>
              <w:adjustRightInd w:val="0"/>
              <w:jc w:val="center"/>
              <w:rPr>
                <w:sz w:val="20"/>
                <w:szCs w:val="20"/>
              </w:rPr>
            </w:pPr>
            <w:r>
              <w:rPr>
                <w:rFonts w:hint="eastAsia"/>
                <w:sz w:val="20"/>
                <w:szCs w:val="20"/>
              </w:rPr>
              <w:t>4t/a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rFonts w:hint="eastAsia"/>
                <w:szCs w:val="20"/>
              </w:rPr>
              <w:t>0</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rFonts w:hint="eastAsia"/>
                <w:szCs w:val="20"/>
              </w:rPr>
              <w:t>4t/a</w:t>
            </w:r>
          </w:p>
        </w:tc>
        <w:tc>
          <w:tcPr>
            <w:tcW w:w="1412" w:type="dxa"/>
            <w:vAlign w:val="center"/>
          </w:tcPr>
          <w:p>
            <w:pPr>
              <w:adjustRightInd w:val="0"/>
              <w:jc w:val="center"/>
              <w:rPr>
                <w:rFonts w:cs="宋体"/>
                <w:bCs/>
                <w:snapToGrid w:val="0"/>
                <w:kern w:val="21"/>
                <w:szCs w:val="21"/>
              </w:rPr>
            </w:pPr>
            <w:r>
              <w:rPr>
                <w:rFonts w:hint="eastAsia"/>
                <w:szCs w:val="20"/>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jc w:val="center"/>
              <w:rPr>
                <w:szCs w:val="21"/>
              </w:rPr>
            </w:pPr>
            <w:r>
              <w:rPr>
                <w:rFonts w:hint="eastAsia"/>
                <w:szCs w:val="20"/>
              </w:rPr>
              <w:t>废胶</w:t>
            </w:r>
          </w:p>
        </w:tc>
        <w:tc>
          <w:tcPr>
            <w:tcW w:w="1484" w:type="dxa"/>
            <w:vAlign w:val="center"/>
          </w:tcPr>
          <w:p>
            <w:pPr>
              <w:adjustRightInd w:val="0"/>
              <w:jc w:val="center"/>
              <w:rPr>
                <w:sz w:val="20"/>
                <w:szCs w:val="20"/>
              </w:rPr>
            </w:pPr>
            <w:r>
              <w:rPr>
                <w:rFonts w:hint="eastAsia"/>
                <w:sz w:val="20"/>
                <w:szCs w:val="20"/>
              </w:rPr>
              <w:t>0.1t/a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rFonts w:hint="eastAsia"/>
                <w:szCs w:val="20"/>
              </w:rPr>
              <w:t>0</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rFonts w:hint="eastAsia"/>
                <w:snapToGrid w:val="0"/>
                <w:kern w:val="21"/>
                <w:szCs w:val="20"/>
              </w:rPr>
              <w:t>0.1</w:t>
            </w:r>
            <w:r>
              <w:rPr>
                <w:rFonts w:hint="eastAsia"/>
                <w:szCs w:val="20"/>
              </w:rPr>
              <w:t>t/a</w:t>
            </w:r>
          </w:p>
        </w:tc>
        <w:tc>
          <w:tcPr>
            <w:tcW w:w="1412" w:type="dxa"/>
            <w:vAlign w:val="center"/>
          </w:tcPr>
          <w:p>
            <w:pPr>
              <w:adjustRightInd w:val="0"/>
              <w:jc w:val="center"/>
              <w:rPr>
                <w:rFonts w:cs="宋体"/>
                <w:bCs/>
                <w:snapToGrid w:val="0"/>
                <w:kern w:val="21"/>
                <w:szCs w:val="21"/>
              </w:rPr>
            </w:pPr>
            <w:r>
              <w:rPr>
                <w:rFonts w:hint="eastAsia"/>
                <w:snapToGrid w:val="0"/>
                <w:kern w:val="21"/>
                <w:szCs w:val="20"/>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jc w:val="center"/>
              <w:rPr>
                <w:szCs w:val="21"/>
              </w:rPr>
            </w:pPr>
            <w:r>
              <w:rPr>
                <w:rFonts w:hint="eastAsia"/>
                <w:szCs w:val="20"/>
              </w:rPr>
              <w:t>不合格产品</w:t>
            </w:r>
          </w:p>
        </w:tc>
        <w:tc>
          <w:tcPr>
            <w:tcW w:w="1484" w:type="dxa"/>
            <w:vAlign w:val="center"/>
          </w:tcPr>
          <w:p>
            <w:pPr>
              <w:adjustRightInd w:val="0"/>
              <w:jc w:val="center"/>
              <w:rPr>
                <w:sz w:val="20"/>
                <w:szCs w:val="20"/>
              </w:rPr>
            </w:pPr>
            <w:r>
              <w:rPr>
                <w:rFonts w:hint="eastAsia"/>
                <w:sz w:val="20"/>
                <w:szCs w:val="20"/>
              </w:rPr>
              <w:t>500t/a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rFonts w:hint="eastAsia"/>
                <w:szCs w:val="20"/>
              </w:rPr>
              <w:t>0</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rFonts w:hint="eastAsia"/>
                <w:snapToGrid w:val="0"/>
                <w:kern w:val="21"/>
                <w:szCs w:val="20"/>
              </w:rPr>
              <w:t>500</w:t>
            </w:r>
            <w:r>
              <w:rPr>
                <w:rFonts w:hint="eastAsia"/>
                <w:szCs w:val="20"/>
              </w:rPr>
              <w:t>t/a</w:t>
            </w:r>
          </w:p>
        </w:tc>
        <w:tc>
          <w:tcPr>
            <w:tcW w:w="1412" w:type="dxa"/>
            <w:vAlign w:val="center"/>
          </w:tcPr>
          <w:p>
            <w:pPr>
              <w:adjustRightInd w:val="0"/>
              <w:jc w:val="center"/>
              <w:rPr>
                <w:rFonts w:cs="宋体"/>
                <w:bCs/>
                <w:snapToGrid w:val="0"/>
                <w:kern w:val="21"/>
                <w:szCs w:val="21"/>
              </w:rPr>
            </w:pPr>
            <w:r>
              <w:rPr>
                <w:rFonts w:hint="eastAsia"/>
                <w:snapToGrid w:val="0"/>
                <w:kern w:val="21"/>
                <w:szCs w:val="20"/>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adjustRightInd w:val="0"/>
              <w:jc w:val="center"/>
              <w:rPr>
                <w:szCs w:val="21"/>
              </w:rPr>
            </w:pPr>
            <w:r>
              <w:rPr>
                <w:rFonts w:hint="eastAsia"/>
                <w:szCs w:val="20"/>
              </w:rPr>
              <w:t>中水处理站污泥</w:t>
            </w:r>
          </w:p>
        </w:tc>
        <w:tc>
          <w:tcPr>
            <w:tcW w:w="1484" w:type="dxa"/>
            <w:vAlign w:val="center"/>
          </w:tcPr>
          <w:p>
            <w:pPr>
              <w:adjustRightInd w:val="0"/>
              <w:jc w:val="center"/>
              <w:rPr>
                <w:sz w:val="20"/>
                <w:szCs w:val="20"/>
              </w:rPr>
            </w:pPr>
            <w:r>
              <w:rPr>
                <w:rFonts w:hint="eastAsia"/>
                <w:sz w:val="20"/>
                <w:szCs w:val="20"/>
              </w:rPr>
              <w:t>1t/a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rFonts w:hint="eastAsia"/>
                <w:szCs w:val="20"/>
              </w:rPr>
              <w:t>0</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rFonts w:hint="eastAsia"/>
                <w:snapToGrid w:val="0"/>
                <w:kern w:val="21"/>
                <w:szCs w:val="20"/>
              </w:rPr>
              <w:t>1</w:t>
            </w:r>
            <w:r>
              <w:rPr>
                <w:rFonts w:hint="eastAsia"/>
                <w:szCs w:val="20"/>
              </w:rPr>
              <w:t>t/a</w:t>
            </w:r>
          </w:p>
        </w:tc>
        <w:tc>
          <w:tcPr>
            <w:tcW w:w="1412" w:type="dxa"/>
            <w:vAlign w:val="center"/>
          </w:tcPr>
          <w:p>
            <w:pPr>
              <w:adjustRightInd w:val="0"/>
              <w:jc w:val="center"/>
              <w:rPr>
                <w:rFonts w:cs="宋体"/>
                <w:bCs/>
                <w:snapToGrid w:val="0"/>
                <w:kern w:val="21"/>
                <w:szCs w:val="21"/>
              </w:rPr>
            </w:pPr>
            <w:r>
              <w:rPr>
                <w:rFonts w:hint="eastAsia"/>
                <w:snapToGrid w:val="0"/>
                <w:kern w:val="21"/>
                <w:szCs w:val="20"/>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adjustRightInd w:val="0"/>
              <w:jc w:val="center"/>
              <w:rPr>
                <w:szCs w:val="21"/>
              </w:rPr>
            </w:pPr>
            <w:r>
              <w:rPr>
                <w:szCs w:val="20"/>
              </w:rPr>
              <w:t>生活垃圾</w:t>
            </w:r>
          </w:p>
        </w:tc>
        <w:tc>
          <w:tcPr>
            <w:tcW w:w="1484" w:type="dxa"/>
            <w:vAlign w:val="center"/>
          </w:tcPr>
          <w:p>
            <w:pPr>
              <w:adjustRightInd w:val="0"/>
              <w:jc w:val="center"/>
              <w:rPr>
                <w:sz w:val="20"/>
                <w:szCs w:val="20"/>
              </w:rPr>
            </w:pPr>
            <w:r>
              <w:rPr>
                <w:rFonts w:hint="eastAsia"/>
                <w:sz w:val="20"/>
                <w:szCs w:val="20"/>
              </w:rPr>
              <w:t>7.5t/a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rFonts w:hint="eastAsia"/>
                <w:szCs w:val="20"/>
              </w:rPr>
              <w:t>0</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rFonts w:hint="eastAsia"/>
                <w:szCs w:val="20"/>
              </w:rPr>
              <w:t>7.5t/a</w:t>
            </w:r>
          </w:p>
        </w:tc>
        <w:tc>
          <w:tcPr>
            <w:tcW w:w="1412" w:type="dxa"/>
            <w:vAlign w:val="center"/>
          </w:tcPr>
          <w:p>
            <w:pPr>
              <w:adjustRightInd w:val="0"/>
              <w:jc w:val="center"/>
              <w:rPr>
                <w:rFonts w:cs="宋体"/>
                <w:bCs/>
                <w:snapToGrid w:val="0"/>
                <w:kern w:val="21"/>
                <w:szCs w:val="21"/>
              </w:rPr>
            </w:pPr>
            <w:r>
              <w:rPr>
                <w:rFonts w:hint="eastAsia"/>
                <w:szCs w:val="20"/>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restart"/>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危险废物</w:t>
            </w:r>
          </w:p>
        </w:tc>
        <w:tc>
          <w:tcPr>
            <w:tcW w:w="2535" w:type="dxa"/>
            <w:vAlign w:val="center"/>
          </w:tcPr>
          <w:p>
            <w:pPr>
              <w:pStyle w:val="54"/>
              <w:snapToGrid/>
              <w:spacing w:beforeLines="0" w:afterLines="0" w:line="240" w:lineRule="auto"/>
              <w:rPr>
                <w:rFonts w:ascii="Times New Roman" w:cs="宋体"/>
                <w:b w:val="0"/>
                <w:bCs/>
                <w:snapToGrid w:val="0"/>
                <w:kern w:val="21"/>
                <w:szCs w:val="21"/>
              </w:rPr>
            </w:pPr>
            <w:r>
              <w:rPr>
                <w:rFonts w:ascii="Times New Roman"/>
                <w:b w:val="0"/>
                <w:bCs/>
                <w:szCs w:val="21"/>
              </w:rPr>
              <w:t>废</w:t>
            </w:r>
            <w:r>
              <w:rPr>
                <w:rFonts w:hint="eastAsia" w:ascii="Times New Roman"/>
                <w:b w:val="0"/>
                <w:bCs/>
                <w:szCs w:val="21"/>
              </w:rPr>
              <w:t>矿物</w:t>
            </w:r>
            <w:r>
              <w:rPr>
                <w:rFonts w:ascii="Times New Roman"/>
                <w:b w:val="0"/>
                <w:bCs/>
                <w:szCs w:val="21"/>
              </w:rPr>
              <w:t>油</w:t>
            </w:r>
            <w:r>
              <w:rPr>
                <w:rFonts w:hint="eastAsia" w:ascii="Times New Roman"/>
                <w:b w:val="0"/>
                <w:bCs/>
                <w:szCs w:val="21"/>
              </w:rPr>
              <w:t>（包含废机油及废导热油，900-240-08）</w:t>
            </w:r>
          </w:p>
        </w:tc>
        <w:tc>
          <w:tcPr>
            <w:tcW w:w="1484" w:type="dxa"/>
            <w:vAlign w:val="center"/>
          </w:tcPr>
          <w:p>
            <w:pPr>
              <w:pStyle w:val="54"/>
              <w:snapToGrid/>
              <w:spacing w:beforeLines="0" w:afterLines="0" w:line="240" w:lineRule="auto"/>
              <w:rPr>
                <w:rFonts w:ascii="Times New Roman"/>
                <w:b w:val="0"/>
                <w:bCs/>
                <w:snapToGrid w:val="0"/>
                <w:kern w:val="21"/>
                <w:szCs w:val="21"/>
              </w:rPr>
            </w:pPr>
            <w:r>
              <w:rPr>
                <w:rFonts w:ascii="Times New Roman"/>
                <w:b w:val="0"/>
                <w:bCs/>
                <w:snapToGrid w:val="0"/>
                <w:kern w:val="21"/>
                <w:szCs w:val="21"/>
              </w:rPr>
              <w:t>1</w:t>
            </w:r>
            <w:r>
              <w:rPr>
                <w:rFonts w:hint="eastAsia" w:ascii="Times New Roman"/>
                <w:b w:val="0"/>
                <w:bCs/>
                <w:snapToGrid w:val="0"/>
                <w:kern w:val="21"/>
                <w:szCs w:val="21"/>
              </w:rPr>
              <w:t>.2</w:t>
            </w:r>
            <w:r>
              <w:rPr>
                <w:rFonts w:ascii="Times New Roman"/>
                <w:b w:val="0"/>
                <w:bCs/>
                <w:sz w:val="20"/>
              </w:rPr>
              <w:t>t/a</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szCs w:val="20"/>
              </w:rPr>
              <w:t>0.8</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szCs w:val="20"/>
              </w:rPr>
              <w:t>2.0</w:t>
            </w:r>
            <w:r>
              <w:rPr>
                <w:rFonts w:hint="eastAsia"/>
                <w:szCs w:val="20"/>
              </w:rPr>
              <w:t>t/a</w:t>
            </w:r>
          </w:p>
        </w:tc>
        <w:tc>
          <w:tcPr>
            <w:tcW w:w="1412" w:type="dxa"/>
            <w:vAlign w:val="center"/>
          </w:tcPr>
          <w:p>
            <w:pPr>
              <w:adjustRightInd w:val="0"/>
              <w:jc w:val="center"/>
              <w:rPr>
                <w:rFonts w:cs="宋体"/>
                <w:bCs/>
                <w:snapToGrid w:val="0"/>
                <w:kern w:val="21"/>
                <w:szCs w:val="21"/>
              </w:rPr>
            </w:pPr>
            <w:r>
              <w:rPr>
                <w:szCs w:val="20"/>
              </w:rPr>
              <w:t>+0.8t/a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3" w:type="dxa"/>
            <w:vMerge w:val="continue"/>
            <w:vAlign w:val="center"/>
          </w:tcPr>
          <w:p>
            <w:pPr>
              <w:pStyle w:val="54"/>
              <w:snapToGrid/>
              <w:spacing w:beforeLines="0" w:afterLines="0" w:line="240" w:lineRule="auto"/>
              <w:rPr>
                <w:rFonts w:ascii="Times New Roman" w:cs="宋体"/>
                <w:snapToGrid w:val="0"/>
                <w:kern w:val="21"/>
                <w:szCs w:val="21"/>
              </w:rPr>
            </w:pPr>
          </w:p>
        </w:tc>
        <w:tc>
          <w:tcPr>
            <w:tcW w:w="2535" w:type="dxa"/>
            <w:vAlign w:val="center"/>
          </w:tcPr>
          <w:p>
            <w:pPr>
              <w:pStyle w:val="54"/>
              <w:snapToGrid/>
              <w:spacing w:beforeLines="0" w:afterLines="0" w:line="240" w:lineRule="auto"/>
              <w:rPr>
                <w:rFonts w:ascii="Times New Roman" w:cs="宋体"/>
                <w:b w:val="0"/>
                <w:bCs/>
                <w:snapToGrid w:val="0"/>
                <w:kern w:val="21"/>
                <w:szCs w:val="21"/>
              </w:rPr>
            </w:pPr>
            <w:r>
              <w:rPr>
                <w:rFonts w:hint="eastAsia" w:ascii="Times New Roman" w:cs="宋体"/>
                <w:b w:val="0"/>
                <w:bCs/>
                <w:snapToGrid w:val="0"/>
                <w:kern w:val="21"/>
                <w:szCs w:val="21"/>
              </w:rPr>
              <w:t>废活性炭</w:t>
            </w:r>
            <w:r>
              <w:rPr>
                <w:rFonts w:hint="eastAsia" w:ascii="Times New Roman"/>
                <w:b w:val="0"/>
                <w:bCs/>
                <w:szCs w:val="21"/>
              </w:rPr>
              <w:t>（900-039-49）</w:t>
            </w:r>
          </w:p>
        </w:tc>
        <w:tc>
          <w:tcPr>
            <w:tcW w:w="1484" w:type="dxa"/>
            <w:vAlign w:val="center"/>
          </w:tcPr>
          <w:p>
            <w:pPr>
              <w:pStyle w:val="54"/>
              <w:snapToGrid/>
              <w:spacing w:beforeLines="0" w:afterLines="0" w:line="240" w:lineRule="auto"/>
              <w:rPr>
                <w:rFonts w:ascii="Times New Roman"/>
                <w:b w:val="0"/>
                <w:bCs/>
                <w:snapToGrid w:val="0"/>
                <w:kern w:val="21"/>
                <w:szCs w:val="21"/>
              </w:rPr>
            </w:pPr>
            <w:r>
              <w:rPr>
                <w:rFonts w:ascii="Times New Roman"/>
                <w:b w:val="0"/>
                <w:bCs/>
                <w:snapToGrid w:val="0"/>
                <w:kern w:val="21"/>
                <w:szCs w:val="21"/>
              </w:rPr>
              <w:t>0</w:t>
            </w:r>
          </w:p>
        </w:tc>
        <w:tc>
          <w:tcPr>
            <w:tcW w:w="1318"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07"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571" w:type="dxa"/>
            <w:vAlign w:val="center"/>
          </w:tcPr>
          <w:p>
            <w:pPr>
              <w:adjustRightInd w:val="0"/>
              <w:jc w:val="center"/>
              <w:rPr>
                <w:rFonts w:cs="宋体"/>
                <w:bCs/>
                <w:snapToGrid w:val="0"/>
                <w:kern w:val="21"/>
                <w:szCs w:val="21"/>
              </w:rPr>
            </w:pPr>
            <w:r>
              <w:rPr>
                <w:rFonts w:hint="eastAsia"/>
                <w:szCs w:val="20"/>
              </w:rPr>
              <w:t>6.25t/a</w:t>
            </w:r>
          </w:p>
        </w:tc>
        <w:tc>
          <w:tcPr>
            <w:tcW w:w="1466" w:type="dxa"/>
            <w:vAlign w:val="center"/>
          </w:tcPr>
          <w:p>
            <w:pPr>
              <w:pStyle w:val="54"/>
              <w:snapToGrid/>
              <w:spacing w:beforeLines="0" w:afterLines="0" w:line="240" w:lineRule="auto"/>
              <w:rPr>
                <w:rFonts w:ascii="Times New Roman" w:cs="宋体"/>
                <w:snapToGrid w:val="0"/>
                <w:kern w:val="21"/>
                <w:szCs w:val="21"/>
              </w:rPr>
            </w:pPr>
            <w:r>
              <w:rPr>
                <w:rFonts w:hint="eastAsia" w:ascii="Times New Roman" w:cs="宋体"/>
                <w:snapToGrid w:val="0"/>
                <w:kern w:val="21"/>
                <w:szCs w:val="21"/>
              </w:rPr>
              <w:t>/</w:t>
            </w:r>
          </w:p>
        </w:tc>
        <w:tc>
          <w:tcPr>
            <w:tcW w:w="1422" w:type="dxa"/>
            <w:vAlign w:val="center"/>
          </w:tcPr>
          <w:p>
            <w:pPr>
              <w:adjustRightInd w:val="0"/>
              <w:jc w:val="center"/>
              <w:rPr>
                <w:rFonts w:cs="宋体"/>
                <w:b/>
                <w:snapToGrid w:val="0"/>
                <w:kern w:val="21"/>
                <w:szCs w:val="21"/>
              </w:rPr>
            </w:pPr>
            <w:r>
              <w:rPr>
                <w:rFonts w:hint="eastAsia"/>
                <w:szCs w:val="20"/>
              </w:rPr>
              <w:t>6.25t/a</w:t>
            </w:r>
          </w:p>
        </w:tc>
        <w:tc>
          <w:tcPr>
            <w:tcW w:w="1412" w:type="dxa"/>
            <w:vAlign w:val="center"/>
          </w:tcPr>
          <w:p>
            <w:pPr>
              <w:adjustRightInd w:val="0"/>
              <w:jc w:val="center"/>
              <w:rPr>
                <w:rFonts w:cs="宋体"/>
                <w:snapToGrid w:val="0"/>
                <w:kern w:val="21"/>
                <w:szCs w:val="21"/>
              </w:rPr>
            </w:pPr>
            <w:r>
              <w:rPr>
                <w:rFonts w:hint="eastAsia"/>
                <w:snapToGrid w:val="0"/>
                <w:kern w:val="21"/>
                <w:szCs w:val="20"/>
              </w:rPr>
              <w:t>+6.25</w:t>
            </w:r>
            <w:r>
              <w:rPr>
                <w:snapToGrid w:val="0"/>
                <w:kern w:val="21"/>
                <w:szCs w:val="20"/>
              </w:rPr>
              <w:t>t/a</w:t>
            </w:r>
          </w:p>
        </w:tc>
      </w:tr>
    </w:tbl>
    <w:p>
      <w:pPr>
        <w:pStyle w:val="54"/>
        <w:snapToGrid/>
        <w:spacing w:before="192" w:beforeLines="80" w:after="24"/>
        <w:ind w:firstLine="422" w:firstLineChars="200"/>
        <w:jc w:val="left"/>
        <w:rPr>
          <w:rFonts w:hAnsi="宋体" w:eastAsia="黑体"/>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sectPr>
      <w:footerReference r:id="rId8"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鼎简书宋">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6"/>
      </w:rPr>
    </w:pPr>
    <w:r>
      <w:fldChar w:fldCharType="begin"/>
    </w:r>
    <w:r>
      <w:rPr>
        <w:rStyle w:val="36"/>
      </w:rPr>
      <w:instrText xml:space="preserve">PAGE  </w:instrText>
    </w:r>
    <w:r>
      <w:fldChar w:fldCharType="separate"/>
    </w:r>
    <w:r>
      <w:rPr>
        <w:rStyle w:val="36"/>
      </w:rPr>
      <w:t>77</w: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posOffset>2780665</wp:posOffset>
              </wp:positionH>
              <wp:positionV relativeFrom="paragraph">
                <wp:posOffset>-2540</wp:posOffset>
              </wp:positionV>
              <wp:extent cx="196850" cy="146050"/>
              <wp:effectExtent l="0" t="0" r="12700" b="6350"/>
              <wp:wrapNone/>
              <wp:docPr id="6"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196850" cy="146050"/>
                      </a:xfrm>
                      <a:prstGeom prst="rect">
                        <a:avLst/>
                      </a:prstGeom>
                      <a:noFill/>
                      <a:ln>
                        <a:noFill/>
                      </a:ln>
                    </wps:spPr>
                    <wps:txbx>
                      <w:txbxContent>
                        <w:p>
                          <w:pPr>
                            <w:pStyle w:val="20"/>
                          </w:pPr>
                          <w:r>
                            <w:fldChar w:fldCharType="begin"/>
                          </w:r>
                          <w:r>
                            <w:instrText xml:space="preserve"> PAGE  \* MERGEFORMAT </w:instrText>
                          </w:r>
                          <w:r>
                            <w:fldChar w:fldCharType="separate"/>
                          </w:r>
                          <w:r>
                            <w:t>30</w:t>
                          </w:r>
                          <w:r>
                            <w:fldChar w:fldCharType="end"/>
                          </w:r>
                        </w:p>
                      </w:txbxContent>
                    </wps:txbx>
                    <wps:bodyPr rot="0" vert="horz" wrap="square" lIns="0" tIns="0" rIns="0" bIns="0" anchor="t" anchorCtr="0" upright="1">
                      <a:noAutofit/>
                    </wps:bodyPr>
                  </wps:wsp>
                </a:graphicData>
              </a:graphic>
            </wp:anchor>
          </w:drawing>
        </mc:Choice>
        <mc:Fallback>
          <w:pict>
            <v:shape id="文本框 1037" o:spid="_x0000_s1026" o:spt="202" type="#_x0000_t202" style="position:absolute;left:0pt;margin-left:218.95pt;margin-top:-0.2pt;height:11.5pt;width:15.5pt;mso-position-horizontal-relative:margin;z-index:251663360;mso-width-relative:page;mso-height-relative:page;" filled="f" stroked="f" coordsize="21600,21600" o:gfxdata="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dWX1wAAAAgBAAAPAAAAAAAAAAEAIAAA&#10;ACIAAABkcnMvZG93bnJldi54bWxQSwECFAAUAAAACACHTuJAHP+s1g0CAAAHBAAADgAAAAAAAAAB&#10;ACAAAAAmAQAAZHJzL2Uyb0RvYy54bWxQSwUGAAAAAAYABgBZAQAApQUAAAAA&#10;">
              <v:fill on="f" focussize="0,0"/>
              <v:stroke on="f"/>
              <v:imagedata o:title=""/>
              <o:lock v:ext="edit" aspectratio="f"/>
              <v:textbox inset="0mm,0mm,0mm,0mm">
                <w:txbxContent>
                  <w:p>
                    <w:pPr>
                      <w:pStyle w:val="2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posOffset>2748915</wp:posOffset>
              </wp:positionH>
              <wp:positionV relativeFrom="paragraph">
                <wp:posOffset>5715</wp:posOffset>
              </wp:positionV>
              <wp:extent cx="436245" cy="180975"/>
              <wp:effectExtent l="0" t="0" r="2540" b="10160"/>
              <wp:wrapNone/>
              <wp:docPr id="5"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435935" cy="180754"/>
                      </a:xfrm>
                      <a:prstGeom prst="rect">
                        <a:avLst/>
                      </a:prstGeom>
                      <a:noFill/>
                      <a:ln>
                        <a:noFill/>
                      </a:ln>
                    </wps:spPr>
                    <wps:txbx>
                      <w:txbxContent>
                        <w:p>
                          <w:pPr>
                            <w:pStyle w:val="2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104</w:t>
                          </w:r>
                          <w:r>
                            <w:rPr>
                              <w:sz w:val="21"/>
                              <w:szCs w:val="21"/>
                            </w:rPr>
                            <w:fldChar w:fldCharType="end"/>
                          </w:r>
                        </w:p>
                      </w:txbxContent>
                    </wps:txbx>
                    <wps:bodyPr rot="0" vert="horz" wrap="square" lIns="0" tIns="0" rIns="0" bIns="0" anchor="t" anchorCtr="0" upright="1">
                      <a:noAutofit/>
                    </wps:bodyPr>
                  </wps:wsp>
                </a:graphicData>
              </a:graphic>
            </wp:anchor>
          </w:drawing>
        </mc:Choice>
        <mc:Fallback>
          <w:pict>
            <v:shape id="文本框 1033" o:spid="_x0000_s1026" o:spt="202" type="#_x0000_t202" style="position:absolute;left:0pt;margin-left:216.45pt;margin-top:0.45pt;height:14.25pt;width:34.35pt;mso-position-horizontal-relative:margin;z-index:251660288;mso-width-relative:page;mso-height-relative:page;" filled="f" stroked="f" coordsize="21600,21600" o:gfxdata="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jpTuHWAAAABwEAAA8AAAAAAAAAAQAg&#10;AAAAIgAAAGRycy9kb3ducmV2LnhtbFBLAQIUABQAAAAIAIdO4kA1RGXeEAIAAAcEAAAOAAAAAAAA&#10;AAEAIAAAACUBAABkcnMvZTJvRG9jLnhtbFBLBQYAAAAABgAGAFkBAACnBQAAAAA=&#10;">
              <v:fill on="f" focussize="0,0"/>
              <v:stroke on="f"/>
              <v:imagedata o:title=""/>
              <o:lock v:ext="edit" aspectratio="f"/>
              <v:textbox inset="0mm,0mm,0mm,0mm">
                <w:txbxContent>
                  <w:p>
                    <w:pPr>
                      <w:pStyle w:val="2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104</w:t>
                    </w:r>
                    <w:r>
                      <w:rPr>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2085" cy="131445"/>
              <wp:effectExtent l="0" t="0" r="1270" b="1905"/>
              <wp:wrapNone/>
              <wp:docPr id="1"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wps:spPr>
                    <wps:txbx>
                      <w:txbxContent>
                        <w:p>
                          <w:pPr>
                            <w:pStyle w:val="20"/>
                          </w:pPr>
                          <w:r>
                            <w:fldChar w:fldCharType="begin"/>
                          </w:r>
                          <w:r>
                            <w:instrText xml:space="preserve"> PAGE  \* MERGEFORMAT </w:instrText>
                          </w:r>
                          <w:r>
                            <w:fldChar w:fldCharType="separate"/>
                          </w:r>
                          <w:r>
                            <w:t>106</w:t>
                          </w:r>
                          <w:r>
                            <w:fldChar w:fldCharType="end"/>
                          </w:r>
                        </w:p>
                      </w:txbxContent>
                    </wps:txbx>
                    <wps:bodyPr rot="0" vert="horz" wrap="none" lIns="0" tIns="0" rIns="0" bIns="0" anchor="t" anchorCtr="0" upright="1">
                      <a:spAutoFit/>
                    </wps:bodyPr>
                  </wps:wsp>
                </a:graphicData>
              </a:graphic>
            </wp:anchor>
          </w:drawing>
        </mc:Choice>
        <mc:Fallback>
          <w:pict>
            <v:shape id="文本框 1035" o:spid="_x0000_s1026" o:spt="202" type="#_x0000_t202" style="position:absolute;left:0pt;margin-top:0pt;height:10.35pt;width:13.55pt;mso-position-horizontal:center;mso-position-horizontal-relative:margin;mso-wrap-style:none;z-index:251661312;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dDlzwAAAAMBAAAPAAAAAAAAAAEAIAAAACIAAABkcnMv&#10;ZG93bnJldi54bWxQSwECFAAUAAAACACHTuJA5tC0aAwCAAAFBAAADgAAAAAAAAABACAAAAAeAQAA&#10;ZHJzL2Uyb0RvYy54bWxQSwUGAAAAAAYABgBZAQAAnAU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97AF5F"/>
    <w:multiLevelType w:val="singleLevel"/>
    <w:tmpl w:val="D297AF5F"/>
    <w:lvl w:ilvl="0" w:tentative="0">
      <w:start w:val="1"/>
      <w:numFmt w:val="decimal"/>
      <w:suff w:val="nothing"/>
      <w:lvlText w:val="%1、"/>
      <w:lvlJc w:val="left"/>
    </w:lvl>
  </w:abstractNum>
  <w:abstractNum w:abstractNumId="1">
    <w:nsid w:val="DC32741F"/>
    <w:multiLevelType w:val="singleLevel"/>
    <w:tmpl w:val="DC32741F"/>
    <w:lvl w:ilvl="0" w:tentative="0">
      <w:start w:val="3"/>
      <w:numFmt w:val="chineseCounting"/>
      <w:suff w:val="nothing"/>
      <w:lvlText w:val="%1、"/>
      <w:lvlJc w:val="left"/>
      <w:rPr>
        <w:rFonts w:hint="eastAsia"/>
      </w:rPr>
    </w:lvl>
  </w:abstractNum>
  <w:abstractNum w:abstractNumId="2">
    <w:nsid w:val="F6368A06"/>
    <w:multiLevelType w:val="singleLevel"/>
    <w:tmpl w:val="F6368A06"/>
    <w:lvl w:ilvl="0" w:tentative="0">
      <w:start w:val="2"/>
      <w:numFmt w:val="upperLetter"/>
      <w:suff w:val="nothing"/>
      <w:lvlText w:val="%1、"/>
      <w:lvlJc w:val="left"/>
    </w:lvl>
  </w:abstractNum>
  <w:abstractNum w:abstractNumId="3">
    <w:nsid w:val="1B2A5820"/>
    <w:multiLevelType w:val="singleLevel"/>
    <w:tmpl w:val="1B2A5820"/>
    <w:lvl w:ilvl="0" w:tentative="0">
      <w:start w:val="1"/>
      <w:numFmt w:val="decimal"/>
      <w:suff w:val="nothing"/>
      <w:lvlText w:val="%1、"/>
      <w:lvlJc w:val="left"/>
    </w:lvl>
  </w:abstractNum>
  <w:abstractNum w:abstractNumId="4">
    <w:nsid w:val="1CEAAF18"/>
    <w:multiLevelType w:val="singleLevel"/>
    <w:tmpl w:val="1CEAAF18"/>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5">
    <w:nsid w:val="41E6C068"/>
    <w:multiLevelType w:val="multilevel"/>
    <w:tmpl w:val="41E6C068"/>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5"/>
      <w:lvlText w:val="%1.%2.%3."/>
      <w:lvlJc w:val="left"/>
      <w:pPr>
        <w:ind w:left="93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6">
    <w:nsid w:val="5CAB0C6E"/>
    <w:multiLevelType w:val="multilevel"/>
    <w:tmpl w:val="5CAB0C6E"/>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93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7">
    <w:nsid w:val="5D6DE3D6"/>
    <w:multiLevelType w:val="singleLevel"/>
    <w:tmpl w:val="5D6DE3D6"/>
    <w:lvl w:ilvl="0" w:tentative="0">
      <w:start w:val="1"/>
      <w:numFmt w:val="decimal"/>
      <w:suff w:val="nothing"/>
      <w:lvlText w:val="（%1）"/>
      <w:lvlJc w:val="left"/>
    </w:lvl>
  </w:abstractNum>
  <w:num w:numId="1">
    <w:abstractNumId w:val="6"/>
  </w:num>
  <w:num w:numId="2">
    <w:abstractNumId w:val="5"/>
  </w:num>
  <w:num w:numId="3">
    <w:abstractNumId w:val="4"/>
  </w:num>
  <w:num w:numId="4">
    <w:abstractNumId w:val="0"/>
  </w:num>
  <w:num w:numId="5">
    <w:abstractNumId w:val="1"/>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A14947"/>
    <w:rsid w:val="000009F0"/>
    <w:rsid w:val="000060B3"/>
    <w:rsid w:val="00007263"/>
    <w:rsid w:val="0001218E"/>
    <w:rsid w:val="000140E0"/>
    <w:rsid w:val="00014589"/>
    <w:rsid w:val="000334BE"/>
    <w:rsid w:val="00042A2A"/>
    <w:rsid w:val="0004364B"/>
    <w:rsid w:val="00044092"/>
    <w:rsid w:val="000465C8"/>
    <w:rsid w:val="00055619"/>
    <w:rsid w:val="00061B1F"/>
    <w:rsid w:val="00062ADA"/>
    <w:rsid w:val="00065DE2"/>
    <w:rsid w:val="00067B25"/>
    <w:rsid w:val="000733C4"/>
    <w:rsid w:val="00074783"/>
    <w:rsid w:val="00075454"/>
    <w:rsid w:val="0008070B"/>
    <w:rsid w:val="000810AC"/>
    <w:rsid w:val="00081A02"/>
    <w:rsid w:val="00082231"/>
    <w:rsid w:val="00086AA0"/>
    <w:rsid w:val="00092D38"/>
    <w:rsid w:val="0009377B"/>
    <w:rsid w:val="00095518"/>
    <w:rsid w:val="00096FCB"/>
    <w:rsid w:val="000A20C9"/>
    <w:rsid w:val="000A6EAF"/>
    <w:rsid w:val="000B058F"/>
    <w:rsid w:val="000B0F8C"/>
    <w:rsid w:val="000B2DBB"/>
    <w:rsid w:val="000B4467"/>
    <w:rsid w:val="000B4DB9"/>
    <w:rsid w:val="000C09AC"/>
    <w:rsid w:val="000C6D8A"/>
    <w:rsid w:val="000C767F"/>
    <w:rsid w:val="000D0918"/>
    <w:rsid w:val="000D5A44"/>
    <w:rsid w:val="000E2401"/>
    <w:rsid w:val="000E3ED2"/>
    <w:rsid w:val="000E5157"/>
    <w:rsid w:val="000E7A8A"/>
    <w:rsid w:val="000F1DC3"/>
    <w:rsid w:val="0010259E"/>
    <w:rsid w:val="00124640"/>
    <w:rsid w:val="001275DA"/>
    <w:rsid w:val="00131F42"/>
    <w:rsid w:val="001357F1"/>
    <w:rsid w:val="00135CB7"/>
    <w:rsid w:val="00140FA8"/>
    <w:rsid w:val="00141AFE"/>
    <w:rsid w:val="00142D65"/>
    <w:rsid w:val="00142FEB"/>
    <w:rsid w:val="00143A2D"/>
    <w:rsid w:val="00145A41"/>
    <w:rsid w:val="00151675"/>
    <w:rsid w:val="00151C9F"/>
    <w:rsid w:val="001544E7"/>
    <w:rsid w:val="00156DF8"/>
    <w:rsid w:val="00157435"/>
    <w:rsid w:val="0016396A"/>
    <w:rsid w:val="00164455"/>
    <w:rsid w:val="0016768C"/>
    <w:rsid w:val="0017029F"/>
    <w:rsid w:val="00173125"/>
    <w:rsid w:val="0017504D"/>
    <w:rsid w:val="0017671A"/>
    <w:rsid w:val="00177422"/>
    <w:rsid w:val="0017744A"/>
    <w:rsid w:val="00177B4E"/>
    <w:rsid w:val="00181128"/>
    <w:rsid w:val="00184590"/>
    <w:rsid w:val="001870D1"/>
    <w:rsid w:val="0018781E"/>
    <w:rsid w:val="00191541"/>
    <w:rsid w:val="0019242B"/>
    <w:rsid w:val="0019262D"/>
    <w:rsid w:val="001A0885"/>
    <w:rsid w:val="001A1B35"/>
    <w:rsid w:val="001A4488"/>
    <w:rsid w:val="001A48A2"/>
    <w:rsid w:val="001A505A"/>
    <w:rsid w:val="001A6F61"/>
    <w:rsid w:val="001A7042"/>
    <w:rsid w:val="001B2C76"/>
    <w:rsid w:val="001B72B8"/>
    <w:rsid w:val="001C0A43"/>
    <w:rsid w:val="001C597D"/>
    <w:rsid w:val="001C5BAE"/>
    <w:rsid w:val="001C69B3"/>
    <w:rsid w:val="001D5595"/>
    <w:rsid w:val="001D6DF2"/>
    <w:rsid w:val="001D7874"/>
    <w:rsid w:val="001D7A6E"/>
    <w:rsid w:val="001D7F22"/>
    <w:rsid w:val="001E7B63"/>
    <w:rsid w:val="001F0466"/>
    <w:rsid w:val="001F0F17"/>
    <w:rsid w:val="001F28F1"/>
    <w:rsid w:val="001F3347"/>
    <w:rsid w:val="001F64B1"/>
    <w:rsid w:val="001F69E4"/>
    <w:rsid w:val="002125B4"/>
    <w:rsid w:val="002155B8"/>
    <w:rsid w:val="00221F4D"/>
    <w:rsid w:val="00222622"/>
    <w:rsid w:val="00224835"/>
    <w:rsid w:val="00224839"/>
    <w:rsid w:val="002249B2"/>
    <w:rsid w:val="00226574"/>
    <w:rsid w:val="002278EC"/>
    <w:rsid w:val="00231456"/>
    <w:rsid w:val="0023280E"/>
    <w:rsid w:val="00234466"/>
    <w:rsid w:val="002377D1"/>
    <w:rsid w:val="00241C8F"/>
    <w:rsid w:val="00250264"/>
    <w:rsid w:val="002506BC"/>
    <w:rsid w:val="00253027"/>
    <w:rsid w:val="00254345"/>
    <w:rsid w:val="00255408"/>
    <w:rsid w:val="00263608"/>
    <w:rsid w:val="0026444B"/>
    <w:rsid w:val="00264557"/>
    <w:rsid w:val="002650D9"/>
    <w:rsid w:val="002716A3"/>
    <w:rsid w:val="00273F1B"/>
    <w:rsid w:val="002805AB"/>
    <w:rsid w:val="002823B5"/>
    <w:rsid w:val="00284204"/>
    <w:rsid w:val="00291773"/>
    <w:rsid w:val="00296BCA"/>
    <w:rsid w:val="002A168C"/>
    <w:rsid w:val="002A3DC7"/>
    <w:rsid w:val="002B0095"/>
    <w:rsid w:val="002B38D2"/>
    <w:rsid w:val="002B49E2"/>
    <w:rsid w:val="002B7B00"/>
    <w:rsid w:val="002B7C44"/>
    <w:rsid w:val="002C2B17"/>
    <w:rsid w:val="002C3E1F"/>
    <w:rsid w:val="002C7CB3"/>
    <w:rsid w:val="002D3DD0"/>
    <w:rsid w:val="002E1F3A"/>
    <w:rsid w:val="002E298A"/>
    <w:rsid w:val="002E4A8E"/>
    <w:rsid w:val="002E6FC4"/>
    <w:rsid w:val="00301978"/>
    <w:rsid w:val="0030229A"/>
    <w:rsid w:val="0030332C"/>
    <w:rsid w:val="00304214"/>
    <w:rsid w:val="003051C2"/>
    <w:rsid w:val="00312296"/>
    <w:rsid w:val="00312AFD"/>
    <w:rsid w:val="00313332"/>
    <w:rsid w:val="00314F0E"/>
    <w:rsid w:val="003201B4"/>
    <w:rsid w:val="00321D8E"/>
    <w:rsid w:val="003230B1"/>
    <w:rsid w:val="00324276"/>
    <w:rsid w:val="00325928"/>
    <w:rsid w:val="0032695E"/>
    <w:rsid w:val="00332863"/>
    <w:rsid w:val="0033684D"/>
    <w:rsid w:val="00337B42"/>
    <w:rsid w:val="00337F3D"/>
    <w:rsid w:val="00337FB1"/>
    <w:rsid w:val="00340EEE"/>
    <w:rsid w:val="00341B42"/>
    <w:rsid w:val="0034301F"/>
    <w:rsid w:val="0034348F"/>
    <w:rsid w:val="00346738"/>
    <w:rsid w:val="003547F8"/>
    <w:rsid w:val="00355122"/>
    <w:rsid w:val="00356653"/>
    <w:rsid w:val="0035743F"/>
    <w:rsid w:val="00357BE2"/>
    <w:rsid w:val="0036170C"/>
    <w:rsid w:val="00363874"/>
    <w:rsid w:val="00366E0F"/>
    <w:rsid w:val="003742C8"/>
    <w:rsid w:val="00377076"/>
    <w:rsid w:val="003800CB"/>
    <w:rsid w:val="00381A72"/>
    <w:rsid w:val="00384238"/>
    <w:rsid w:val="00384676"/>
    <w:rsid w:val="00390857"/>
    <w:rsid w:val="0039187B"/>
    <w:rsid w:val="003A4685"/>
    <w:rsid w:val="003A4A29"/>
    <w:rsid w:val="003A4BF3"/>
    <w:rsid w:val="003B13D0"/>
    <w:rsid w:val="003B2EF5"/>
    <w:rsid w:val="003B3121"/>
    <w:rsid w:val="003B420D"/>
    <w:rsid w:val="003B5431"/>
    <w:rsid w:val="003B7268"/>
    <w:rsid w:val="003C0B01"/>
    <w:rsid w:val="003C5BE9"/>
    <w:rsid w:val="003C6C16"/>
    <w:rsid w:val="003D26A9"/>
    <w:rsid w:val="003D794D"/>
    <w:rsid w:val="003E3058"/>
    <w:rsid w:val="003E5F6B"/>
    <w:rsid w:val="003E76A9"/>
    <w:rsid w:val="003F0809"/>
    <w:rsid w:val="003F5D29"/>
    <w:rsid w:val="003F67D3"/>
    <w:rsid w:val="003F6A8C"/>
    <w:rsid w:val="003F755C"/>
    <w:rsid w:val="00406CDC"/>
    <w:rsid w:val="00406F01"/>
    <w:rsid w:val="00412E5A"/>
    <w:rsid w:val="00414C6F"/>
    <w:rsid w:val="00416D50"/>
    <w:rsid w:val="00416FD5"/>
    <w:rsid w:val="00417772"/>
    <w:rsid w:val="00417C20"/>
    <w:rsid w:val="00420E6A"/>
    <w:rsid w:val="004220FD"/>
    <w:rsid w:val="00425A9E"/>
    <w:rsid w:val="00426071"/>
    <w:rsid w:val="00426D6B"/>
    <w:rsid w:val="00431E6C"/>
    <w:rsid w:val="004336A3"/>
    <w:rsid w:val="00433CE7"/>
    <w:rsid w:val="00436282"/>
    <w:rsid w:val="00436B44"/>
    <w:rsid w:val="004374DE"/>
    <w:rsid w:val="00447904"/>
    <w:rsid w:val="00447B07"/>
    <w:rsid w:val="00452738"/>
    <w:rsid w:val="00455A7F"/>
    <w:rsid w:val="00456091"/>
    <w:rsid w:val="00457D29"/>
    <w:rsid w:val="00466321"/>
    <w:rsid w:val="004706C8"/>
    <w:rsid w:val="00481444"/>
    <w:rsid w:val="00484B9B"/>
    <w:rsid w:val="004855F6"/>
    <w:rsid w:val="0048661E"/>
    <w:rsid w:val="0048733A"/>
    <w:rsid w:val="00494670"/>
    <w:rsid w:val="004973D4"/>
    <w:rsid w:val="00497E1D"/>
    <w:rsid w:val="004A3823"/>
    <w:rsid w:val="004A673A"/>
    <w:rsid w:val="004B06AF"/>
    <w:rsid w:val="004B1496"/>
    <w:rsid w:val="004B38F8"/>
    <w:rsid w:val="004B3C1B"/>
    <w:rsid w:val="004B43F4"/>
    <w:rsid w:val="004C0EB1"/>
    <w:rsid w:val="004C58FE"/>
    <w:rsid w:val="004C7638"/>
    <w:rsid w:val="004D0322"/>
    <w:rsid w:val="004D3C26"/>
    <w:rsid w:val="004D5B01"/>
    <w:rsid w:val="004E311E"/>
    <w:rsid w:val="004E616D"/>
    <w:rsid w:val="004E6946"/>
    <w:rsid w:val="004E6FE5"/>
    <w:rsid w:val="004F1AD8"/>
    <w:rsid w:val="004F1F68"/>
    <w:rsid w:val="004F46CE"/>
    <w:rsid w:val="004F6309"/>
    <w:rsid w:val="0050005C"/>
    <w:rsid w:val="0050181A"/>
    <w:rsid w:val="005039CB"/>
    <w:rsid w:val="0050558F"/>
    <w:rsid w:val="00506286"/>
    <w:rsid w:val="00506B85"/>
    <w:rsid w:val="00507ECC"/>
    <w:rsid w:val="00510813"/>
    <w:rsid w:val="00511990"/>
    <w:rsid w:val="00511BE3"/>
    <w:rsid w:val="00511DE0"/>
    <w:rsid w:val="00514870"/>
    <w:rsid w:val="00514B9B"/>
    <w:rsid w:val="005153A4"/>
    <w:rsid w:val="00517F02"/>
    <w:rsid w:val="00520139"/>
    <w:rsid w:val="00524303"/>
    <w:rsid w:val="005258A2"/>
    <w:rsid w:val="005269B2"/>
    <w:rsid w:val="0053124B"/>
    <w:rsid w:val="00531FE5"/>
    <w:rsid w:val="00537C71"/>
    <w:rsid w:val="005401AE"/>
    <w:rsid w:val="00542E07"/>
    <w:rsid w:val="0054347B"/>
    <w:rsid w:val="00543EC7"/>
    <w:rsid w:val="00545424"/>
    <w:rsid w:val="0055088C"/>
    <w:rsid w:val="00554A7B"/>
    <w:rsid w:val="0055572C"/>
    <w:rsid w:val="00555FDE"/>
    <w:rsid w:val="005604D2"/>
    <w:rsid w:val="0056106A"/>
    <w:rsid w:val="0056506D"/>
    <w:rsid w:val="00567D46"/>
    <w:rsid w:val="00570545"/>
    <w:rsid w:val="00570726"/>
    <w:rsid w:val="00570CA6"/>
    <w:rsid w:val="005720AE"/>
    <w:rsid w:val="0057229D"/>
    <w:rsid w:val="00581160"/>
    <w:rsid w:val="005817E0"/>
    <w:rsid w:val="005827A9"/>
    <w:rsid w:val="00587FAF"/>
    <w:rsid w:val="00594D77"/>
    <w:rsid w:val="00596077"/>
    <w:rsid w:val="005969E4"/>
    <w:rsid w:val="005A06B7"/>
    <w:rsid w:val="005A0C8E"/>
    <w:rsid w:val="005A1759"/>
    <w:rsid w:val="005A68A7"/>
    <w:rsid w:val="005A7EEA"/>
    <w:rsid w:val="005B1D7B"/>
    <w:rsid w:val="005B3BA6"/>
    <w:rsid w:val="005B780E"/>
    <w:rsid w:val="005B7C79"/>
    <w:rsid w:val="005C285F"/>
    <w:rsid w:val="005C3621"/>
    <w:rsid w:val="005D0F7D"/>
    <w:rsid w:val="005D354E"/>
    <w:rsid w:val="005D36AB"/>
    <w:rsid w:val="005D3AF9"/>
    <w:rsid w:val="005D493F"/>
    <w:rsid w:val="005D639E"/>
    <w:rsid w:val="005D7A35"/>
    <w:rsid w:val="005E2C03"/>
    <w:rsid w:val="005E570E"/>
    <w:rsid w:val="005F037B"/>
    <w:rsid w:val="005F3905"/>
    <w:rsid w:val="00603AC4"/>
    <w:rsid w:val="00610FDA"/>
    <w:rsid w:val="00611FCD"/>
    <w:rsid w:val="00617CC3"/>
    <w:rsid w:val="00624D4A"/>
    <w:rsid w:val="0062503A"/>
    <w:rsid w:val="00627854"/>
    <w:rsid w:val="00627E36"/>
    <w:rsid w:val="006301C9"/>
    <w:rsid w:val="0063365C"/>
    <w:rsid w:val="0063432D"/>
    <w:rsid w:val="006377A6"/>
    <w:rsid w:val="00637A3D"/>
    <w:rsid w:val="00640B6C"/>
    <w:rsid w:val="006411EF"/>
    <w:rsid w:val="00645C07"/>
    <w:rsid w:val="00654E41"/>
    <w:rsid w:val="00660573"/>
    <w:rsid w:val="00665D97"/>
    <w:rsid w:val="006677D8"/>
    <w:rsid w:val="0066787C"/>
    <w:rsid w:val="006748B8"/>
    <w:rsid w:val="00675D29"/>
    <w:rsid w:val="006775C3"/>
    <w:rsid w:val="00681681"/>
    <w:rsid w:val="00682565"/>
    <w:rsid w:val="006837CC"/>
    <w:rsid w:val="00687B60"/>
    <w:rsid w:val="006922E0"/>
    <w:rsid w:val="0069290A"/>
    <w:rsid w:val="00696E7F"/>
    <w:rsid w:val="0069775A"/>
    <w:rsid w:val="00697813"/>
    <w:rsid w:val="006A3EE8"/>
    <w:rsid w:val="006A520B"/>
    <w:rsid w:val="006A72BF"/>
    <w:rsid w:val="006B01F4"/>
    <w:rsid w:val="006B03F2"/>
    <w:rsid w:val="006B37DC"/>
    <w:rsid w:val="006B4F68"/>
    <w:rsid w:val="006B6AC9"/>
    <w:rsid w:val="006C0592"/>
    <w:rsid w:val="006C272E"/>
    <w:rsid w:val="006C2BC4"/>
    <w:rsid w:val="006C5479"/>
    <w:rsid w:val="006D13B5"/>
    <w:rsid w:val="006E12FF"/>
    <w:rsid w:val="006E607E"/>
    <w:rsid w:val="006E6ABF"/>
    <w:rsid w:val="006F4880"/>
    <w:rsid w:val="006F729C"/>
    <w:rsid w:val="00706C5D"/>
    <w:rsid w:val="00710F2B"/>
    <w:rsid w:val="0071183C"/>
    <w:rsid w:val="00713C06"/>
    <w:rsid w:val="007206D1"/>
    <w:rsid w:val="00730975"/>
    <w:rsid w:val="00732922"/>
    <w:rsid w:val="0073371F"/>
    <w:rsid w:val="00733F4B"/>
    <w:rsid w:val="00737A9A"/>
    <w:rsid w:val="00750F09"/>
    <w:rsid w:val="0075162E"/>
    <w:rsid w:val="00754034"/>
    <w:rsid w:val="00756556"/>
    <w:rsid w:val="007618C4"/>
    <w:rsid w:val="00767980"/>
    <w:rsid w:val="00770B19"/>
    <w:rsid w:val="00773916"/>
    <w:rsid w:val="0077463F"/>
    <w:rsid w:val="007836EA"/>
    <w:rsid w:val="00784CDA"/>
    <w:rsid w:val="007906C4"/>
    <w:rsid w:val="00793131"/>
    <w:rsid w:val="00793558"/>
    <w:rsid w:val="0079363D"/>
    <w:rsid w:val="007940EA"/>
    <w:rsid w:val="007967E8"/>
    <w:rsid w:val="007A2170"/>
    <w:rsid w:val="007A22BF"/>
    <w:rsid w:val="007A3323"/>
    <w:rsid w:val="007B061B"/>
    <w:rsid w:val="007B0648"/>
    <w:rsid w:val="007B21AC"/>
    <w:rsid w:val="007B5597"/>
    <w:rsid w:val="007B72B8"/>
    <w:rsid w:val="007B7A58"/>
    <w:rsid w:val="007C175C"/>
    <w:rsid w:val="007C21B5"/>
    <w:rsid w:val="007C39E8"/>
    <w:rsid w:val="007D151C"/>
    <w:rsid w:val="007D7213"/>
    <w:rsid w:val="007D7BBB"/>
    <w:rsid w:val="007E25D4"/>
    <w:rsid w:val="007E47D7"/>
    <w:rsid w:val="007E4BD2"/>
    <w:rsid w:val="007F0699"/>
    <w:rsid w:val="007F1182"/>
    <w:rsid w:val="007F12B6"/>
    <w:rsid w:val="007F36D5"/>
    <w:rsid w:val="007F55A3"/>
    <w:rsid w:val="007F6FD0"/>
    <w:rsid w:val="0080003F"/>
    <w:rsid w:val="00801393"/>
    <w:rsid w:val="00802F88"/>
    <w:rsid w:val="00804B38"/>
    <w:rsid w:val="0081293E"/>
    <w:rsid w:val="00814ACB"/>
    <w:rsid w:val="00815465"/>
    <w:rsid w:val="00817E9A"/>
    <w:rsid w:val="008242AA"/>
    <w:rsid w:val="00830504"/>
    <w:rsid w:val="008306BD"/>
    <w:rsid w:val="00831A80"/>
    <w:rsid w:val="00832385"/>
    <w:rsid w:val="00833743"/>
    <w:rsid w:val="00833D27"/>
    <w:rsid w:val="00833E4D"/>
    <w:rsid w:val="008340A4"/>
    <w:rsid w:val="0083428D"/>
    <w:rsid w:val="00844415"/>
    <w:rsid w:val="00851241"/>
    <w:rsid w:val="00852B3B"/>
    <w:rsid w:val="00852C48"/>
    <w:rsid w:val="008609EB"/>
    <w:rsid w:val="0086200F"/>
    <w:rsid w:val="00866EA5"/>
    <w:rsid w:val="00870C11"/>
    <w:rsid w:val="0087135F"/>
    <w:rsid w:val="00872D94"/>
    <w:rsid w:val="00880364"/>
    <w:rsid w:val="0089074D"/>
    <w:rsid w:val="00891592"/>
    <w:rsid w:val="008915AE"/>
    <w:rsid w:val="00891E9E"/>
    <w:rsid w:val="00892546"/>
    <w:rsid w:val="00892DF2"/>
    <w:rsid w:val="00896C6C"/>
    <w:rsid w:val="008A0BCD"/>
    <w:rsid w:val="008A2F68"/>
    <w:rsid w:val="008A65D7"/>
    <w:rsid w:val="008B323D"/>
    <w:rsid w:val="008B3403"/>
    <w:rsid w:val="008B4FA6"/>
    <w:rsid w:val="008B5282"/>
    <w:rsid w:val="008B655B"/>
    <w:rsid w:val="008B7C17"/>
    <w:rsid w:val="008C2D01"/>
    <w:rsid w:val="008C2DBE"/>
    <w:rsid w:val="008C40E6"/>
    <w:rsid w:val="008C6177"/>
    <w:rsid w:val="008D0F7A"/>
    <w:rsid w:val="008D4E2D"/>
    <w:rsid w:val="008D68E4"/>
    <w:rsid w:val="008D6F98"/>
    <w:rsid w:val="008D70C8"/>
    <w:rsid w:val="008D7FE9"/>
    <w:rsid w:val="008E0506"/>
    <w:rsid w:val="008E0CFF"/>
    <w:rsid w:val="008E5D6B"/>
    <w:rsid w:val="008E76F0"/>
    <w:rsid w:val="008F15FE"/>
    <w:rsid w:val="008F2D29"/>
    <w:rsid w:val="008F332C"/>
    <w:rsid w:val="008F4650"/>
    <w:rsid w:val="008F5187"/>
    <w:rsid w:val="008F60D8"/>
    <w:rsid w:val="00901E4F"/>
    <w:rsid w:val="00902727"/>
    <w:rsid w:val="0090312B"/>
    <w:rsid w:val="009053F9"/>
    <w:rsid w:val="00913375"/>
    <w:rsid w:val="0091736D"/>
    <w:rsid w:val="00921A03"/>
    <w:rsid w:val="009267D4"/>
    <w:rsid w:val="0093037A"/>
    <w:rsid w:val="009358A4"/>
    <w:rsid w:val="0094154D"/>
    <w:rsid w:val="00942B08"/>
    <w:rsid w:val="0095155F"/>
    <w:rsid w:val="00952CA7"/>
    <w:rsid w:val="00953FE4"/>
    <w:rsid w:val="00954429"/>
    <w:rsid w:val="009563CE"/>
    <w:rsid w:val="0095696A"/>
    <w:rsid w:val="00960348"/>
    <w:rsid w:val="00975BCD"/>
    <w:rsid w:val="00976328"/>
    <w:rsid w:val="00976664"/>
    <w:rsid w:val="0097680D"/>
    <w:rsid w:val="00976F47"/>
    <w:rsid w:val="00982438"/>
    <w:rsid w:val="0098404C"/>
    <w:rsid w:val="00985283"/>
    <w:rsid w:val="00991C63"/>
    <w:rsid w:val="00995992"/>
    <w:rsid w:val="009A03E5"/>
    <w:rsid w:val="009A0C97"/>
    <w:rsid w:val="009A0F3B"/>
    <w:rsid w:val="009A1BB4"/>
    <w:rsid w:val="009A2628"/>
    <w:rsid w:val="009A3200"/>
    <w:rsid w:val="009B0897"/>
    <w:rsid w:val="009B55E5"/>
    <w:rsid w:val="009B7BD9"/>
    <w:rsid w:val="009C2877"/>
    <w:rsid w:val="009C4CA6"/>
    <w:rsid w:val="009C56D5"/>
    <w:rsid w:val="009C7DD5"/>
    <w:rsid w:val="009D1DD6"/>
    <w:rsid w:val="009D62A4"/>
    <w:rsid w:val="009D7505"/>
    <w:rsid w:val="009E106B"/>
    <w:rsid w:val="009E227D"/>
    <w:rsid w:val="009E33E4"/>
    <w:rsid w:val="009E5019"/>
    <w:rsid w:val="009F3C72"/>
    <w:rsid w:val="00A02B43"/>
    <w:rsid w:val="00A02B46"/>
    <w:rsid w:val="00A04F1B"/>
    <w:rsid w:val="00A0501B"/>
    <w:rsid w:val="00A14947"/>
    <w:rsid w:val="00A21711"/>
    <w:rsid w:val="00A2399B"/>
    <w:rsid w:val="00A2566B"/>
    <w:rsid w:val="00A32A83"/>
    <w:rsid w:val="00A334BD"/>
    <w:rsid w:val="00A368DB"/>
    <w:rsid w:val="00A379E6"/>
    <w:rsid w:val="00A422E3"/>
    <w:rsid w:val="00A423AA"/>
    <w:rsid w:val="00A42E69"/>
    <w:rsid w:val="00A44CDB"/>
    <w:rsid w:val="00A44EFC"/>
    <w:rsid w:val="00A50F5B"/>
    <w:rsid w:val="00A53EC6"/>
    <w:rsid w:val="00A5482E"/>
    <w:rsid w:val="00A5516C"/>
    <w:rsid w:val="00A55C0F"/>
    <w:rsid w:val="00A7577A"/>
    <w:rsid w:val="00A771E2"/>
    <w:rsid w:val="00A8532D"/>
    <w:rsid w:val="00A86EB6"/>
    <w:rsid w:val="00A8713F"/>
    <w:rsid w:val="00A90BA1"/>
    <w:rsid w:val="00A945B3"/>
    <w:rsid w:val="00A96108"/>
    <w:rsid w:val="00A97A9A"/>
    <w:rsid w:val="00AA0671"/>
    <w:rsid w:val="00AA1052"/>
    <w:rsid w:val="00AA2531"/>
    <w:rsid w:val="00AA5CB1"/>
    <w:rsid w:val="00AA6283"/>
    <w:rsid w:val="00AB1E09"/>
    <w:rsid w:val="00AB5330"/>
    <w:rsid w:val="00AB5670"/>
    <w:rsid w:val="00AB6B49"/>
    <w:rsid w:val="00AB7747"/>
    <w:rsid w:val="00AC14CE"/>
    <w:rsid w:val="00AC2A56"/>
    <w:rsid w:val="00AD055E"/>
    <w:rsid w:val="00AD15BF"/>
    <w:rsid w:val="00AD3393"/>
    <w:rsid w:val="00AD39BF"/>
    <w:rsid w:val="00AD46A6"/>
    <w:rsid w:val="00AD47A7"/>
    <w:rsid w:val="00AE0FAC"/>
    <w:rsid w:val="00AF0CBF"/>
    <w:rsid w:val="00AF1A33"/>
    <w:rsid w:val="00AF257F"/>
    <w:rsid w:val="00AF33CF"/>
    <w:rsid w:val="00AF4D50"/>
    <w:rsid w:val="00AF6179"/>
    <w:rsid w:val="00AF7608"/>
    <w:rsid w:val="00B1295A"/>
    <w:rsid w:val="00B160CF"/>
    <w:rsid w:val="00B16C46"/>
    <w:rsid w:val="00B20A45"/>
    <w:rsid w:val="00B22C5C"/>
    <w:rsid w:val="00B24F30"/>
    <w:rsid w:val="00B302B9"/>
    <w:rsid w:val="00B31ABF"/>
    <w:rsid w:val="00B321A2"/>
    <w:rsid w:val="00B33BE3"/>
    <w:rsid w:val="00B41703"/>
    <w:rsid w:val="00B51E44"/>
    <w:rsid w:val="00B53B5D"/>
    <w:rsid w:val="00B56ADD"/>
    <w:rsid w:val="00B5719C"/>
    <w:rsid w:val="00B577F7"/>
    <w:rsid w:val="00B6055E"/>
    <w:rsid w:val="00B6317D"/>
    <w:rsid w:val="00B670B9"/>
    <w:rsid w:val="00B7723F"/>
    <w:rsid w:val="00B80534"/>
    <w:rsid w:val="00B8433C"/>
    <w:rsid w:val="00B87491"/>
    <w:rsid w:val="00B928A9"/>
    <w:rsid w:val="00B97617"/>
    <w:rsid w:val="00B97E95"/>
    <w:rsid w:val="00BA29E9"/>
    <w:rsid w:val="00BA4635"/>
    <w:rsid w:val="00BA4E7E"/>
    <w:rsid w:val="00BA5257"/>
    <w:rsid w:val="00BA7142"/>
    <w:rsid w:val="00BB237C"/>
    <w:rsid w:val="00BB2A77"/>
    <w:rsid w:val="00BB41A3"/>
    <w:rsid w:val="00BB6395"/>
    <w:rsid w:val="00BC0121"/>
    <w:rsid w:val="00BC2F9C"/>
    <w:rsid w:val="00BC32DC"/>
    <w:rsid w:val="00BC35B6"/>
    <w:rsid w:val="00BC53DE"/>
    <w:rsid w:val="00BD1B51"/>
    <w:rsid w:val="00BD2227"/>
    <w:rsid w:val="00BD4596"/>
    <w:rsid w:val="00BD6FB8"/>
    <w:rsid w:val="00BE1405"/>
    <w:rsid w:val="00BE312D"/>
    <w:rsid w:val="00BE5182"/>
    <w:rsid w:val="00BF1C20"/>
    <w:rsid w:val="00C10578"/>
    <w:rsid w:val="00C135BC"/>
    <w:rsid w:val="00C15C95"/>
    <w:rsid w:val="00C2548F"/>
    <w:rsid w:val="00C2596A"/>
    <w:rsid w:val="00C27537"/>
    <w:rsid w:val="00C328FE"/>
    <w:rsid w:val="00C33507"/>
    <w:rsid w:val="00C4409D"/>
    <w:rsid w:val="00C44E72"/>
    <w:rsid w:val="00C45769"/>
    <w:rsid w:val="00C45A06"/>
    <w:rsid w:val="00C45C40"/>
    <w:rsid w:val="00C475EA"/>
    <w:rsid w:val="00C47E5B"/>
    <w:rsid w:val="00C61E4B"/>
    <w:rsid w:val="00C64BFF"/>
    <w:rsid w:val="00C704E9"/>
    <w:rsid w:val="00C71A59"/>
    <w:rsid w:val="00C724DE"/>
    <w:rsid w:val="00C74888"/>
    <w:rsid w:val="00C763C9"/>
    <w:rsid w:val="00C80057"/>
    <w:rsid w:val="00C82232"/>
    <w:rsid w:val="00C82913"/>
    <w:rsid w:val="00C83052"/>
    <w:rsid w:val="00C85F20"/>
    <w:rsid w:val="00C96C03"/>
    <w:rsid w:val="00C972B1"/>
    <w:rsid w:val="00CA148E"/>
    <w:rsid w:val="00CA2CCE"/>
    <w:rsid w:val="00CA43FD"/>
    <w:rsid w:val="00CA7EF8"/>
    <w:rsid w:val="00CC1C9C"/>
    <w:rsid w:val="00CC489B"/>
    <w:rsid w:val="00CC5665"/>
    <w:rsid w:val="00CC798E"/>
    <w:rsid w:val="00CD196B"/>
    <w:rsid w:val="00CD1AC5"/>
    <w:rsid w:val="00CD2BCD"/>
    <w:rsid w:val="00CD3A4C"/>
    <w:rsid w:val="00CD498E"/>
    <w:rsid w:val="00CE0A61"/>
    <w:rsid w:val="00CE10E9"/>
    <w:rsid w:val="00CE2910"/>
    <w:rsid w:val="00CE5393"/>
    <w:rsid w:val="00CF36BE"/>
    <w:rsid w:val="00CF6000"/>
    <w:rsid w:val="00D003F3"/>
    <w:rsid w:val="00D00E1B"/>
    <w:rsid w:val="00D0325F"/>
    <w:rsid w:val="00D0364F"/>
    <w:rsid w:val="00D04D29"/>
    <w:rsid w:val="00D05E98"/>
    <w:rsid w:val="00D06834"/>
    <w:rsid w:val="00D12276"/>
    <w:rsid w:val="00D14C21"/>
    <w:rsid w:val="00D308ED"/>
    <w:rsid w:val="00D30F46"/>
    <w:rsid w:val="00D367CA"/>
    <w:rsid w:val="00D36D86"/>
    <w:rsid w:val="00D40DFB"/>
    <w:rsid w:val="00D428AA"/>
    <w:rsid w:val="00D47888"/>
    <w:rsid w:val="00D50A34"/>
    <w:rsid w:val="00D51164"/>
    <w:rsid w:val="00D53EFA"/>
    <w:rsid w:val="00D57E94"/>
    <w:rsid w:val="00D60A99"/>
    <w:rsid w:val="00D62F78"/>
    <w:rsid w:val="00D72267"/>
    <w:rsid w:val="00D743B5"/>
    <w:rsid w:val="00D76448"/>
    <w:rsid w:val="00D84EFA"/>
    <w:rsid w:val="00D91126"/>
    <w:rsid w:val="00D91664"/>
    <w:rsid w:val="00D94A7C"/>
    <w:rsid w:val="00D95896"/>
    <w:rsid w:val="00D96B31"/>
    <w:rsid w:val="00DA041E"/>
    <w:rsid w:val="00DA613C"/>
    <w:rsid w:val="00DB0AA3"/>
    <w:rsid w:val="00DB1222"/>
    <w:rsid w:val="00DB2983"/>
    <w:rsid w:val="00DB40B0"/>
    <w:rsid w:val="00DB4292"/>
    <w:rsid w:val="00DB6139"/>
    <w:rsid w:val="00DC1257"/>
    <w:rsid w:val="00DC3DC0"/>
    <w:rsid w:val="00DC5B2B"/>
    <w:rsid w:val="00DD318D"/>
    <w:rsid w:val="00DD55C0"/>
    <w:rsid w:val="00DE30AE"/>
    <w:rsid w:val="00DF0BA7"/>
    <w:rsid w:val="00DF0E5B"/>
    <w:rsid w:val="00DF2E12"/>
    <w:rsid w:val="00DF514A"/>
    <w:rsid w:val="00DF6690"/>
    <w:rsid w:val="00DF6804"/>
    <w:rsid w:val="00E005E0"/>
    <w:rsid w:val="00E0166B"/>
    <w:rsid w:val="00E0358D"/>
    <w:rsid w:val="00E04323"/>
    <w:rsid w:val="00E05973"/>
    <w:rsid w:val="00E06243"/>
    <w:rsid w:val="00E070A2"/>
    <w:rsid w:val="00E10CA2"/>
    <w:rsid w:val="00E15411"/>
    <w:rsid w:val="00E17493"/>
    <w:rsid w:val="00E21E2B"/>
    <w:rsid w:val="00E22E3F"/>
    <w:rsid w:val="00E22F21"/>
    <w:rsid w:val="00E2656A"/>
    <w:rsid w:val="00E308F2"/>
    <w:rsid w:val="00E30A9D"/>
    <w:rsid w:val="00E30D42"/>
    <w:rsid w:val="00E33F0A"/>
    <w:rsid w:val="00E37D8C"/>
    <w:rsid w:val="00E412D0"/>
    <w:rsid w:val="00E446BF"/>
    <w:rsid w:val="00E450E2"/>
    <w:rsid w:val="00E46084"/>
    <w:rsid w:val="00E5199F"/>
    <w:rsid w:val="00E51E32"/>
    <w:rsid w:val="00E56322"/>
    <w:rsid w:val="00E57C7A"/>
    <w:rsid w:val="00E60982"/>
    <w:rsid w:val="00E618E0"/>
    <w:rsid w:val="00E625B8"/>
    <w:rsid w:val="00E62C62"/>
    <w:rsid w:val="00E654C1"/>
    <w:rsid w:val="00E65D97"/>
    <w:rsid w:val="00E728F2"/>
    <w:rsid w:val="00E72A5A"/>
    <w:rsid w:val="00E73354"/>
    <w:rsid w:val="00E73392"/>
    <w:rsid w:val="00E770F2"/>
    <w:rsid w:val="00E9232E"/>
    <w:rsid w:val="00E9242D"/>
    <w:rsid w:val="00E928A2"/>
    <w:rsid w:val="00E9340C"/>
    <w:rsid w:val="00EA2BE1"/>
    <w:rsid w:val="00EA33EB"/>
    <w:rsid w:val="00EA40E8"/>
    <w:rsid w:val="00EA7B14"/>
    <w:rsid w:val="00EB5255"/>
    <w:rsid w:val="00EB5C47"/>
    <w:rsid w:val="00EB6E3D"/>
    <w:rsid w:val="00EC1858"/>
    <w:rsid w:val="00EC53CF"/>
    <w:rsid w:val="00EC5F9A"/>
    <w:rsid w:val="00EC6CE5"/>
    <w:rsid w:val="00EC79F8"/>
    <w:rsid w:val="00ED0639"/>
    <w:rsid w:val="00ED6E78"/>
    <w:rsid w:val="00EE0988"/>
    <w:rsid w:val="00EE0EC1"/>
    <w:rsid w:val="00EE2C29"/>
    <w:rsid w:val="00EE2D99"/>
    <w:rsid w:val="00EE4203"/>
    <w:rsid w:val="00EE7C99"/>
    <w:rsid w:val="00EF3211"/>
    <w:rsid w:val="00EF4755"/>
    <w:rsid w:val="00EF7135"/>
    <w:rsid w:val="00F027DB"/>
    <w:rsid w:val="00F02C2E"/>
    <w:rsid w:val="00F14A7A"/>
    <w:rsid w:val="00F22985"/>
    <w:rsid w:val="00F245CB"/>
    <w:rsid w:val="00F3383E"/>
    <w:rsid w:val="00F4460D"/>
    <w:rsid w:val="00F46227"/>
    <w:rsid w:val="00F465A7"/>
    <w:rsid w:val="00F50B7C"/>
    <w:rsid w:val="00F524B5"/>
    <w:rsid w:val="00F529A6"/>
    <w:rsid w:val="00F550E6"/>
    <w:rsid w:val="00F5517A"/>
    <w:rsid w:val="00F5778C"/>
    <w:rsid w:val="00F63A10"/>
    <w:rsid w:val="00F64EE4"/>
    <w:rsid w:val="00F72EDB"/>
    <w:rsid w:val="00F74345"/>
    <w:rsid w:val="00F80A0A"/>
    <w:rsid w:val="00F82B19"/>
    <w:rsid w:val="00F82C27"/>
    <w:rsid w:val="00F841F8"/>
    <w:rsid w:val="00F85C4B"/>
    <w:rsid w:val="00F9212D"/>
    <w:rsid w:val="00F9454D"/>
    <w:rsid w:val="00F94C89"/>
    <w:rsid w:val="00F965DA"/>
    <w:rsid w:val="00FA406A"/>
    <w:rsid w:val="00FA5A24"/>
    <w:rsid w:val="00FA6919"/>
    <w:rsid w:val="00FB503A"/>
    <w:rsid w:val="00FB516C"/>
    <w:rsid w:val="00FC19C9"/>
    <w:rsid w:val="00FC3876"/>
    <w:rsid w:val="00FC3E1B"/>
    <w:rsid w:val="00FC797B"/>
    <w:rsid w:val="00FD0236"/>
    <w:rsid w:val="00FD0A88"/>
    <w:rsid w:val="00FD0B03"/>
    <w:rsid w:val="00FD18F4"/>
    <w:rsid w:val="00FD5029"/>
    <w:rsid w:val="00FD54DB"/>
    <w:rsid w:val="00FD619F"/>
    <w:rsid w:val="00FE62B8"/>
    <w:rsid w:val="00FE7EA6"/>
    <w:rsid w:val="010455E7"/>
    <w:rsid w:val="0116312F"/>
    <w:rsid w:val="0123584C"/>
    <w:rsid w:val="01290F7E"/>
    <w:rsid w:val="012A09FA"/>
    <w:rsid w:val="013721C6"/>
    <w:rsid w:val="01483505"/>
    <w:rsid w:val="015D1E09"/>
    <w:rsid w:val="01612C1E"/>
    <w:rsid w:val="016814B1"/>
    <w:rsid w:val="01914005"/>
    <w:rsid w:val="01A66890"/>
    <w:rsid w:val="01A97FA3"/>
    <w:rsid w:val="01B10057"/>
    <w:rsid w:val="01C163DA"/>
    <w:rsid w:val="01F133DB"/>
    <w:rsid w:val="01F86CD9"/>
    <w:rsid w:val="02021905"/>
    <w:rsid w:val="021F4265"/>
    <w:rsid w:val="0224118B"/>
    <w:rsid w:val="02290C40"/>
    <w:rsid w:val="02360238"/>
    <w:rsid w:val="02417038"/>
    <w:rsid w:val="025D08EA"/>
    <w:rsid w:val="0263565F"/>
    <w:rsid w:val="02697903"/>
    <w:rsid w:val="02722B5C"/>
    <w:rsid w:val="028440C8"/>
    <w:rsid w:val="02906F11"/>
    <w:rsid w:val="02AD7AC3"/>
    <w:rsid w:val="02B45824"/>
    <w:rsid w:val="02C72207"/>
    <w:rsid w:val="02C86101"/>
    <w:rsid w:val="02CB619B"/>
    <w:rsid w:val="02D212D8"/>
    <w:rsid w:val="02D613F3"/>
    <w:rsid w:val="02DA6C7E"/>
    <w:rsid w:val="02E66B31"/>
    <w:rsid w:val="02EC3D8A"/>
    <w:rsid w:val="02F147C4"/>
    <w:rsid w:val="02F478BF"/>
    <w:rsid w:val="02F92D08"/>
    <w:rsid w:val="02F96569"/>
    <w:rsid w:val="03035935"/>
    <w:rsid w:val="03235341"/>
    <w:rsid w:val="034A2CD2"/>
    <w:rsid w:val="03525F75"/>
    <w:rsid w:val="035865B4"/>
    <w:rsid w:val="035B751F"/>
    <w:rsid w:val="03764B4A"/>
    <w:rsid w:val="039C2B32"/>
    <w:rsid w:val="039E11BA"/>
    <w:rsid w:val="03A25E9E"/>
    <w:rsid w:val="03BB6210"/>
    <w:rsid w:val="03BE2294"/>
    <w:rsid w:val="03CA0201"/>
    <w:rsid w:val="03D251BA"/>
    <w:rsid w:val="03D64795"/>
    <w:rsid w:val="03D80B70"/>
    <w:rsid w:val="03E312C3"/>
    <w:rsid w:val="03EA7B21"/>
    <w:rsid w:val="03EE6E40"/>
    <w:rsid w:val="03F25B6F"/>
    <w:rsid w:val="03F4702C"/>
    <w:rsid w:val="0406077B"/>
    <w:rsid w:val="04092174"/>
    <w:rsid w:val="040E0467"/>
    <w:rsid w:val="04171668"/>
    <w:rsid w:val="041D69D0"/>
    <w:rsid w:val="043A35D9"/>
    <w:rsid w:val="04437D1C"/>
    <w:rsid w:val="04610EE7"/>
    <w:rsid w:val="04675A50"/>
    <w:rsid w:val="046E3282"/>
    <w:rsid w:val="04702CD1"/>
    <w:rsid w:val="047B0509"/>
    <w:rsid w:val="047C774D"/>
    <w:rsid w:val="04934A97"/>
    <w:rsid w:val="049F4D52"/>
    <w:rsid w:val="04D43580"/>
    <w:rsid w:val="04D8694E"/>
    <w:rsid w:val="04F27BC7"/>
    <w:rsid w:val="04F33787"/>
    <w:rsid w:val="05087233"/>
    <w:rsid w:val="050E11F7"/>
    <w:rsid w:val="05303074"/>
    <w:rsid w:val="0539323C"/>
    <w:rsid w:val="054244EF"/>
    <w:rsid w:val="05665E0A"/>
    <w:rsid w:val="05685680"/>
    <w:rsid w:val="056B1E5E"/>
    <w:rsid w:val="056B6A53"/>
    <w:rsid w:val="056D7096"/>
    <w:rsid w:val="0575419C"/>
    <w:rsid w:val="059548B8"/>
    <w:rsid w:val="059663B2"/>
    <w:rsid w:val="05A76A4C"/>
    <w:rsid w:val="05AB41A4"/>
    <w:rsid w:val="05BB4E57"/>
    <w:rsid w:val="05BB6694"/>
    <w:rsid w:val="05C96731"/>
    <w:rsid w:val="05D81D50"/>
    <w:rsid w:val="05E41A4E"/>
    <w:rsid w:val="05EA1244"/>
    <w:rsid w:val="05EC7883"/>
    <w:rsid w:val="05F571C5"/>
    <w:rsid w:val="05F83EAE"/>
    <w:rsid w:val="06006B93"/>
    <w:rsid w:val="06075106"/>
    <w:rsid w:val="060F2843"/>
    <w:rsid w:val="061E4834"/>
    <w:rsid w:val="06222297"/>
    <w:rsid w:val="063430E9"/>
    <w:rsid w:val="063E7D85"/>
    <w:rsid w:val="06401624"/>
    <w:rsid w:val="064238A6"/>
    <w:rsid w:val="064A387B"/>
    <w:rsid w:val="064F2C3F"/>
    <w:rsid w:val="06513A25"/>
    <w:rsid w:val="06514C09"/>
    <w:rsid w:val="066B01E8"/>
    <w:rsid w:val="0676641E"/>
    <w:rsid w:val="06886F63"/>
    <w:rsid w:val="069B792B"/>
    <w:rsid w:val="069D6258"/>
    <w:rsid w:val="06BD0959"/>
    <w:rsid w:val="06C71292"/>
    <w:rsid w:val="06D045E5"/>
    <w:rsid w:val="06F564AC"/>
    <w:rsid w:val="06F9776E"/>
    <w:rsid w:val="06FA5B3C"/>
    <w:rsid w:val="070122E1"/>
    <w:rsid w:val="07293586"/>
    <w:rsid w:val="07295285"/>
    <w:rsid w:val="073836D3"/>
    <w:rsid w:val="074A3B33"/>
    <w:rsid w:val="07525BFD"/>
    <w:rsid w:val="07636392"/>
    <w:rsid w:val="076D2839"/>
    <w:rsid w:val="076E3F95"/>
    <w:rsid w:val="07706DBE"/>
    <w:rsid w:val="07746E01"/>
    <w:rsid w:val="07770C56"/>
    <w:rsid w:val="079923C4"/>
    <w:rsid w:val="07B2792A"/>
    <w:rsid w:val="07C224E5"/>
    <w:rsid w:val="07CD6512"/>
    <w:rsid w:val="07D63618"/>
    <w:rsid w:val="07E04497"/>
    <w:rsid w:val="080C1164"/>
    <w:rsid w:val="08221F86"/>
    <w:rsid w:val="0827021B"/>
    <w:rsid w:val="082B4DBE"/>
    <w:rsid w:val="082E78FB"/>
    <w:rsid w:val="08316C73"/>
    <w:rsid w:val="084F0C31"/>
    <w:rsid w:val="084F5179"/>
    <w:rsid w:val="0863510B"/>
    <w:rsid w:val="087022F8"/>
    <w:rsid w:val="08844E22"/>
    <w:rsid w:val="0885701C"/>
    <w:rsid w:val="088B5EB9"/>
    <w:rsid w:val="08910496"/>
    <w:rsid w:val="089B216C"/>
    <w:rsid w:val="08A9045B"/>
    <w:rsid w:val="08B43CB0"/>
    <w:rsid w:val="08B7660E"/>
    <w:rsid w:val="08CC21F2"/>
    <w:rsid w:val="08CD50CE"/>
    <w:rsid w:val="08CE609D"/>
    <w:rsid w:val="08E92ED7"/>
    <w:rsid w:val="090B4B6A"/>
    <w:rsid w:val="09110E48"/>
    <w:rsid w:val="092217DD"/>
    <w:rsid w:val="0926412B"/>
    <w:rsid w:val="09366B9E"/>
    <w:rsid w:val="093A7294"/>
    <w:rsid w:val="093C56FD"/>
    <w:rsid w:val="09420839"/>
    <w:rsid w:val="094D1BA9"/>
    <w:rsid w:val="094D790A"/>
    <w:rsid w:val="0966277A"/>
    <w:rsid w:val="096F372C"/>
    <w:rsid w:val="09774987"/>
    <w:rsid w:val="097F55EA"/>
    <w:rsid w:val="09842C00"/>
    <w:rsid w:val="099077F7"/>
    <w:rsid w:val="09A21DF7"/>
    <w:rsid w:val="09AA0198"/>
    <w:rsid w:val="09AA6B0A"/>
    <w:rsid w:val="09AF4121"/>
    <w:rsid w:val="09B44D3A"/>
    <w:rsid w:val="09B44D8C"/>
    <w:rsid w:val="09B7036B"/>
    <w:rsid w:val="09BF1E8A"/>
    <w:rsid w:val="09C13E54"/>
    <w:rsid w:val="09C22A61"/>
    <w:rsid w:val="09C851E3"/>
    <w:rsid w:val="09D05E45"/>
    <w:rsid w:val="09D21BBD"/>
    <w:rsid w:val="09D9119E"/>
    <w:rsid w:val="09DE5B2B"/>
    <w:rsid w:val="09E244F6"/>
    <w:rsid w:val="09EA6EE4"/>
    <w:rsid w:val="0A01485A"/>
    <w:rsid w:val="0A07327D"/>
    <w:rsid w:val="0A263993"/>
    <w:rsid w:val="0A2D3AC2"/>
    <w:rsid w:val="0A3639BB"/>
    <w:rsid w:val="0A5C4A10"/>
    <w:rsid w:val="0A6C2012"/>
    <w:rsid w:val="0A811B2E"/>
    <w:rsid w:val="0A8413A0"/>
    <w:rsid w:val="0A9A2E92"/>
    <w:rsid w:val="0AA4368A"/>
    <w:rsid w:val="0AA755DF"/>
    <w:rsid w:val="0AB12770"/>
    <w:rsid w:val="0AB23739"/>
    <w:rsid w:val="0AC747D2"/>
    <w:rsid w:val="0AC926B0"/>
    <w:rsid w:val="0AD007F3"/>
    <w:rsid w:val="0AD81455"/>
    <w:rsid w:val="0AD83203"/>
    <w:rsid w:val="0ADB0F46"/>
    <w:rsid w:val="0AE53265"/>
    <w:rsid w:val="0AE8753F"/>
    <w:rsid w:val="0AEC6CAF"/>
    <w:rsid w:val="0AF3003D"/>
    <w:rsid w:val="0AF838A6"/>
    <w:rsid w:val="0B0343D4"/>
    <w:rsid w:val="0B0350E0"/>
    <w:rsid w:val="0B105BB6"/>
    <w:rsid w:val="0B120D44"/>
    <w:rsid w:val="0B3844E8"/>
    <w:rsid w:val="0B3F3282"/>
    <w:rsid w:val="0B423136"/>
    <w:rsid w:val="0B512FB6"/>
    <w:rsid w:val="0B903ADE"/>
    <w:rsid w:val="0B985065"/>
    <w:rsid w:val="0B9E0FDB"/>
    <w:rsid w:val="0BA5574C"/>
    <w:rsid w:val="0BAA2F3C"/>
    <w:rsid w:val="0BAC32BC"/>
    <w:rsid w:val="0BB43C70"/>
    <w:rsid w:val="0BB94740"/>
    <w:rsid w:val="0BC24297"/>
    <w:rsid w:val="0BCE0E36"/>
    <w:rsid w:val="0BD27BF6"/>
    <w:rsid w:val="0BD7170D"/>
    <w:rsid w:val="0BEA3B32"/>
    <w:rsid w:val="0BEB3F12"/>
    <w:rsid w:val="0BF13386"/>
    <w:rsid w:val="0C032D80"/>
    <w:rsid w:val="0C0843A6"/>
    <w:rsid w:val="0C3053D3"/>
    <w:rsid w:val="0C35222B"/>
    <w:rsid w:val="0C385B34"/>
    <w:rsid w:val="0C3B3C7D"/>
    <w:rsid w:val="0C4B5C57"/>
    <w:rsid w:val="0C4C30CB"/>
    <w:rsid w:val="0C5E1842"/>
    <w:rsid w:val="0C662A91"/>
    <w:rsid w:val="0C691526"/>
    <w:rsid w:val="0C7B275C"/>
    <w:rsid w:val="0C8D1445"/>
    <w:rsid w:val="0C9E047D"/>
    <w:rsid w:val="0CA47D5B"/>
    <w:rsid w:val="0CAB2EAE"/>
    <w:rsid w:val="0CAE0818"/>
    <w:rsid w:val="0CB026DC"/>
    <w:rsid w:val="0CCA74C4"/>
    <w:rsid w:val="0CCC5A6D"/>
    <w:rsid w:val="0CD12600"/>
    <w:rsid w:val="0CEA257B"/>
    <w:rsid w:val="0CEE22C4"/>
    <w:rsid w:val="0CFC0A99"/>
    <w:rsid w:val="0D0C70DF"/>
    <w:rsid w:val="0D1C2F51"/>
    <w:rsid w:val="0D1D1D8C"/>
    <w:rsid w:val="0D215336"/>
    <w:rsid w:val="0D3F756A"/>
    <w:rsid w:val="0D4364F7"/>
    <w:rsid w:val="0D606D43"/>
    <w:rsid w:val="0D621C7D"/>
    <w:rsid w:val="0D704EDF"/>
    <w:rsid w:val="0D7C744C"/>
    <w:rsid w:val="0DAD6074"/>
    <w:rsid w:val="0DB25F8E"/>
    <w:rsid w:val="0DB32C54"/>
    <w:rsid w:val="0DB8556E"/>
    <w:rsid w:val="0DB937C0"/>
    <w:rsid w:val="0DC5430E"/>
    <w:rsid w:val="0DDE2B57"/>
    <w:rsid w:val="0DE11FF4"/>
    <w:rsid w:val="0DE51719"/>
    <w:rsid w:val="0DF5231E"/>
    <w:rsid w:val="0E0802A4"/>
    <w:rsid w:val="0E0849B1"/>
    <w:rsid w:val="0E15363E"/>
    <w:rsid w:val="0E3F073D"/>
    <w:rsid w:val="0E3F3599"/>
    <w:rsid w:val="0E41610A"/>
    <w:rsid w:val="0E4B289E"/>
    <w:rsid w:val="0E6528BA"/>
    <w:rsid w:val="0E73034D"/>
    <w:rsid w:val="0E786645"/>
    <w:rsid w:val="0E796AAB"/>
    <w:rsid w:val="0E96304B"/>
    <w:rsid w:val="0E983162"/>
    <w:rsid w:val="0E9C279A"/>
    <w:rsid w:val="0EAA7C1F"/>
    <w:rsid w:val="0EB65F51"/>
    <w:rsid w:val="0EF61F96"/>
    <w:rsid w:val="0EF6463C"/>
    <w:rsid w:val="0F0E3698"/>
    <w:rsid w:val="0F13775A"/>
    <w:rsid w:val="0F253398"/>
    <w:rsid w:val="0F2A1B00"/>
    <w:rsid w:val="0F2D7BD6"/>
    <w:rsid w:val="0F2F397B"/>
    <w:rsid w:val="0F4C5670"/>
    <w:rsid w:val="0F540038"/>
    <w:rsid w:val="0F5F45FE"/>
    <w:rsid w:val="0F7200CA"/>
    <w:rsid w:val="0F9A112B"/>
    <w:rsid w:val="0FCE2E27"/>
    <w:rsid w:val="0FD22917"/>
    <w:rsid w:val="0FD302CD"/>
    <w:rsid w:val="0FD87D1E"/>
    <w:rsid w:val="0FDA10FA"/>
    <w:rsid w:val="0FE21939"/>
    <w:rsid w:val="0FE4089C"/>
    <w:rsid w:val="0FED076B"/>
    <w:rsid w:val="10022AD1"/>
    <w:rsid w:val="102A466F"/>
    <w:rsid w:val="102B4BFB"/>
    <w:rsid w:val="103C4895"/>
    <w:rsid w:val="103D158D"/>
    <w:rsid w:val="10447DFD"/>
    <w:rsid w:val="10466E61"/>
    <w:rsid w:val="106D2F64"/>
    <w:rsid w:val="10797237"/>
    <w:rsid w:val="108F5BB7"/>
    <w:rsid w:val="10AE65E2"/>
    <w:rsid w:val="10B63710"/>
    <w:rsid w:val="10CD140B"/>
    <w:rsid w:val="10CE0F01"/>
    <w:rsid w:val="10DE4520"/>
    <w:rsid w:val="10EA2CF7"/>
    <w:rsid w:val="10F10820"/>
    <w:rsid w:val="110C00AB"/>
    <w:rsid w:val="11131439"/>
    <w:rsid w:val="111331E7"/>
    <w:rsid w:val="111B6540"/>
    <w:rsid w:val="111C2F7A"/>
    <w:rsid w:val="112F6302"/>
    <w:rsid w:val="114117B8"/>
    <w:rsid w:val="115634AF"/>
    <w:rsid w:val="115D6EFB"/>
    <w:rsid w:val="11603F53"/>
    <w:rsid w:val="11625934"/>
    <w:rsid w:val="11656342"/>
    <w:rsid w:val="11665CA1"/>
    <w:rsid w:val="116B34C2"/>
    <w:rsid w:val="116F0A9C"/>
    <w:rsid w:val="117479FE"/>
    <w:rsid w:val="11A03678"/>
    <w:rsid w:val="11A56C6D"/>
    <w:rsid w:val="11C34824"/>
    <w:rsid w:val="11C71913"/>
    <w:rsid w:val="11CE3782"/>
    <w:rsid w:val="11F03528"/>
    <w:rsid w:val="11FC7B6E"/>
    <w:rsid w:val="11FF3BD7"/>
    <w:rsid w:val="1202325C"/>
    <w:rsid w:val="12167294"/>
    <w:rsid w:val="121D1E44"/>
    <w:rsid w:val="122E5DFF"/>
    <w:rsid w:val="12311C0F"/>
    <w:rsid w:val="123478B9"/>
    <w:rsid w:val="123B7374"/>
    <w:rsid w:val="123C148D"/>
    <w:rsid w:val="123C49C0"/>
    <w:rsid w:val="125957A9"/>
    <w:rsid w:val="125A4862"/>
    <w:rsid w:val="12655CC4"/>
    <w:rsid w:val="1292638E"/>
    <w:rsid w:val="12A6008B"/>
    <w:rsid w:val="12A622A2"/>
    <w:rsid w:val="12AD3610"/>
    <w:rsid w:val="12B44556"/>
    <w:rsid w:val="12C85407"/>
    <w:rsid w:val="12C935B6"/>
    <w:rsid w:val="12EA61CA"/>
    <w:rsid w:val="12EE1333"/>
    <w:rsid w:val="12EF3DAE"/>
    <w:rsid w:val="13143C4F"/>
    <w:rsid w:val="131755E9"/>
    <w:rsid w:val="1319085D"/>
    <w:rsid w:val="13394EF5"/>
    <w:rsid w:val="13415471"/>
    <w:rsid w:val="13541895"/>
    <w:rsid w:val="136A7FA3"/>
    <w:rsid w:val="137C2FF3"/>
    <w:rsid w:val="1380409D"/>
    <w:rsid w:val="138228A6"/>
    <w:rsid w:val="138A52B7"/>
    <w:rsid w:val="13934A39"/>
    <w:rsid w:val="13951726"/>
    <w:rsid w:val="13A40D23"/>
    <w:rsid w:val="13B16CE7"/>
    <w:rsid w:val="13B751E9"/>
    <w:rsid w:val="13B80035"/>
    <w:rsid w:val="13C16337"/>
    <w:rsid w:val="13CA069F"/>
    <w:rsid w:val="13DA3FC8"/>
    <w:rsid w:val="13DB5B12"/>
    <w:rsid w:val="13E04B4D"/>
    <w:rsid w:val="13E20D5A"/>
    <w:rsid w:val="13E62E35"/>
    <w:rsid w:val="13FB6BED"/>
    <w:rsid w:val="142D24B1"/>
    <w:rsid w:val="14396509"/>
    <w:rsid w:val="143E2FC4"/>
    <w:rsid w:val="144277FC"/>
    <w:rsid w:val="1444633F"/>
    <w:rsid w:val="14616F67"/>
    <w:rsid w:val="14667AD2"/>
    <w:rsid w:val="147B7307"/>
    <w:rsid w:val="14830684"/>
    <w:rsid w:val="14887A48"/>
    <w:rsid w:val="1489153B"/>
    <w:rsid w:val="14892F0A"/>
    <w:rsid w:val="14AC003A"/>
    <w:rsid w:val="14C9087E"/>
    <w:rsid w:val="14DD2C3C"/>
    <w:rsid w:val="14DE3F8E"/>
    <w:rsid w:val="14E6501B"/>
    <w:rsid w:val="14ED6240"/>
    <w:rsid w:val="14EF4F65"/>
    <w:rsid w:val="14FD336C"/>
    <w:rsid w:val="150F16D7"/>
    <w:rsid w:val="151501B7"/>
    <w:rsid w:val="15280D0A"/>
    <w:rsid w:val="152B29A8"/>
    <w:rsid w:val="15435243"/>
    <w:rsid w:val="156404B5"/>
    <w:rsid w:val="157A3EE1"/>
    <w:rsid w:val="157D50D3"/>
    <w:rsid w:val="157E27F8"/>
    <w:rsid w:val="159847A1"/>
    <w:rsid w:val="15B036FB"/>
    <w:rsid w:val="15D45C9E"/>
    <w:rsid w:val="15D867AD"/>
    <w:rsid w:val="15DC3AB6"/>
    <w:rsid w:val="15ED3FBF"/>
    <w:rsid w:val="15F40E92"/>
    <w:rsid w:val="16032F82"/>
    <w:rsid w:val="16087E1D"/>
    <w:rsid w:val="160D5224"/>
    <w:rsid w:val="160F6AB9"/>
    <w:rsid w:val="163602F1"/>
    <w:rsid w:val="1647748F"/>
    <w:rsid w:val="16563145"/>
    <w:rsid w:val="165B0AEC"/>
    <w:rsid w:val="16613657"/>
    <w:rsid w:val="16751712"/>
    <w:rsid w:val="167E7CA0"/>
    <w:rsid w:val="1699603A"/>
    <w:rsid w:val="16A42F89"/>
    <w:rsid w:val="16A54917"/>
    <w:rsid w:val="16C15493"/>
    <w:rsid w:val="16E82A20"/>
    <w:rsid w:val="16EC688F"/>
    <w:rsid w:val="16FA09A5"/>
    <w:rsid w:val="16FE0F31"/>
    <w:rsid w:val="17013AE2"/>
    <w:rsid w:val="17103D25"/>
    <w:rsid w:val="171B2DF6"/>
    <w:rsid w:val="17252DCB"/>
    <w:rsid w:val="17266330"/>
    <w:rsid w:val="172C4168"/>
    <w:rsid w:val="1732013F"/>
    <w:rsid w:val="17443F3D"/>
    <w:rsid w:val="17482A64"/>
    <w:rsid w:val="174D31CB"/>
    <w:rsid w:val="175207E1"/>
    <w:rsid w:val="175E2CE2"/>
    <w:rsid w:val="17612D54"/>
    <w:rsid w:val="176A78D9"/>
    <w:rsid w:val="17701D14"/>
    <w:rsid w:val="17735226"/>
    <w:rsid w:val="17AB6808"/>
    <w:rsid w:val="17CC7998"/>
    <w:rsid w:val="17F357FE"/>
    <w:rsid w:val="17FA4F15"/>
    <w:rsid w:val="17FA6EAF"/>
    <w:rsid w:val="18075128"/>
    <w:rsid w:val="18155A97"/>
    <w:rsid w:val="181D69A9"/>
    <w:rsid w:val="181F5EBB"/>
    <w:rsid w:val="18356139"/>
    <w:rsid w:val="183A3210"/>
    <w:rsid w:val="184A52E9"/>
    <w:rsid w:val="187C3D68"/>
    <w:rsid w:val="188350F6"/>
    <w:rsid w:val="18893D8F"/>
    <w:rsid w:val="188D0480"/>
    <w:rsid w:val="18952734"/>
    <w:rsid w:val="189F624C"/>
    <w:rsid w:val="18D47700"/>
    <w:rsid w:val="18D8695A"/>
    <w:rsid w:val="18D96C49"/>
    <w:rsid w:val="18DE2816"/>
    <w:rsid w:val="18E07A88"/>
    <w:rsid w:val="18E4482D"/>
    <w:rsid w:val="18EC1CF4"/>
    <w:rsid w:val="191F46F3"/>
    <w:rsid w:val="1923563E"/>
    <w:rsid w:val="192D5062"/>
    <w:rsid w:val="192F69FE"/>
    <w:rsid w:val="193208CA"/>
    <w:rsid w:val="193A5E83"/>
    <w:rsid w:val="194859F8"/>
    <w:rsid w:val="194A668B"/>
    <w:rsid w:val="195157E3"/>
    <w:rsid w:val="195F08E7"/>
    <w:rsid w:val="19630A84"/>
    <w:rsid w:val="19667139"/>
    <w:rsid w:val="19670800"/>
    <w:rsid w:val="19832DC8"/>
    <w:rsid w:val="198804EA"/>
    <w:rsid w:val="19917709"/>
    <w:rsid w:val="19D7052B"/>
    <w:rsid w:val="19F34FC7"/>
    <w:rsid w:val="19F45BB5"/>
    <w:rsid w:val="1A0552D2"/>
    <w:rsid w:val="1A085187"/>
    <w:rsid w:val="1A1C66C0"/>
    <w:rsid w:val="1A2577C2"/>
    <w:rsid w:val="1A3C0202"/>
    <w:rsid w:val="1A42393B"/>
    <w:rsid w:val="1A5E2AD6"/>
    <w:rsid w:val="1A6A6422"/>
    <w:rsid w:val="1A6A7BF0"/>
    <w:rsid w:val="1A7A73E1"/>
    <w:rsid w:val="1A8E14B5"/>
    <w:rsid w:val="1AA04A19"/>
    <w:rsid w:val="1AA51364"/>
    <w:rsid w:val="1AAD45DE"/>
    <w:rsid w:val="1AAF0F87"/>
    <w:rsid w:val="1ABE3D66"/>
    <w:rsid w:val="1AE60EDD"/>
    <w:rsid w:val="1AEB6F83"/>
    <w:rsid w:val="1B046F80"/>
    <w:rsid w:val="1B0D0189"/>
    <w:rsid w:val="1B102545"/>
    <w:rsid w:val="1B3267B5"/>
    <w:rsid w:val="1B3F749E"/>
    <w:rsid w:val="1B40161D"/>
    <w:rsid w:val="1B441859"/>
    <w:rsid w:val="1B484E55"/>
    <w:rsid w:val="1B4A43F4"/>
    <w:rsid w:val="1B4C6384"/>
    <w:rsid w:val="1B4D19EC"/>
    <w:rsid w:val="1B4D4110"/>
    <w:rsid w:val="1B4E01B7"/>
    <w:rsid w:val="1B570174"/>
    <w:rsid w:val="1B593EEC"/>
    <w:rsid w:val="1B6606B1"/>
    <w:rsid w:val="1BA67172"/>
    <w:rsid w:val="1BAD1C1A"/>
    <w:rsid w:val="1BD064F9"/>
    <w:rsid w:val="1BDC2B56"/>
    <w:rsid w:val="1BEA0BCE"/>
    <w:rsid w:val="1C024584"/>
    <w:rsid w:val="1C035410"/>
    <w:rsid w:val="1C0D00E4"/>
    <w:rsid w:val="1C126AF1"/>
    <w:rsid w:val="1C2359BF"/>
    <w:rsid w:val="1C304514"/>
    <w:rsid w:val="1C3E0902"/>
    <w:rsid w:val="1C4A5F2B"/>
    <w:rsid w:val="1C586CCB"/>
    <w:rsid w:val="1C5E7925"/>
    <w:rsid w:val="1C602C53"/>
    <w:rsid w:val="1C62757D"/>
    <w:rsid w:val="1C7C0EA8"/>
    <w:rsid w:val="1C7D6C93"/>
    <w:rsid w:val="1C885E67"/>
    <w:rsid w:val="1C8C1A85"/>
    <w:rsid w:val="1C95051A"/>
    <w:rsid w:val="1CA04CFB"/>
    <w:rsid w:val="1CC01D49"/>
    <w:rsid w:val="1CCD753C"/>
    <w:rsid w:val="1CD15224"/>
    <w:rsid w:val="1CD3253C"/>
    <w:rsid w:val="1CD51C99"/>
    <w:rsid w:val="1CE71468"/>
    <w:rsid w:val="1CEB627D"/>
    <w:rsid w:val="1CED6FE2"/>
    <w:rsid w:val="1CF7589B"/>
    <w:rsid w:val="1CFD070F"/>
    <w:rsid w:val="1D0165EA"/>
    <w:rsid w:val="1D1A55A4"/>
    <w:rsid w:val="1D1E6F7F"/>
    <w:rsid w:val="1D2E0EBD"/>
    <w:rsid w:val="1D4E5271"/>
    <w:rsid w:val="1D5F6196"/>
    <w:rsid w:val="1D6132A5"/>
    <w:rsid w:val="1D705F45"/>
    <w:rsid w:val="1D7F002D"/>
    <w:rsid w:val="1D7F43B3"/>
    <w:rsid w:val="1D8B05A9"/>
    <w:rsid w:val="1D8E56D5"/>
    <w:rsid w:val="1DA13929"/>
    <w:rsid w:val="1DB3168D"/>
    <w:rsid w:val="1DC27241"/>
    <w:rsid w:val="1DC75A85"/>
    <w:rsid w:val="1DCE373B"/>
    <w:rsid w:val="1DDC0E05"/>
    <w:rsid w:val="1DF24184"/>
    <w:rsid w:val="1DF442BD"/>
    <w:rsid w:val="1DFC5003"/>
    <w:rsid w:val="1DFD77EB"/>
    <w:rsid w:val="1DFF0F44"/>
    <w:rsid w:val="1E2D7A34"/>
    <w:rsid w:val="1E311151"/>
    <w:rsid w:val="1E4E1176"/>
    <w:rsid w:val="1E6560F3"/>
    <w:rsid w:val="1E714E32"/>
    <w:rsid w:val="1E761159"/>
    <w:rsid w:val="1E7A43DA"/>
    <w:rsid w:val="1E7F010E"/>
    <w:rsid w:val="1E890F8D"/>
    <w:rsid w:val="1E8C282B"/>
    <w:rsid w:val="1EA07F68"/>
    <w:rsid w:val="1EA25D81"/>
    <w:rsid w:val="1EA263F2"/>
    <w:rsid w:val="1EA305EF"/>
    <w:rsid w:val="1EC91175"/>
    <w:rsid w:val="1ECC6408"/>
    <w:rsid w:val="1ECE2E43"/>
    <w:rsid w:val="1ED02718"/>
    <w:rsid w:val="1EE0729D"/>
    <w:rsid w:val="1EE804EA"/>
    <w:rsid w:val="1EE95978"/>
    <w:rsid w:val="1EF65AC5"/>
    <w:rsid w:val="1F0625DD"/>
    <w:rsid w:val="1F163E32"/>
    <w:rsid w:val="1F1A3E25"/>
    <w:rsid w:val="1F1D7927"/>
    <w:rsid w:val="1F24392E"/>
    <w:rsid w:val="1F2760B0"/>
    <w:rsid w:val="1F5650A0"/>
    <w:rsid w:val="1F7F650C"/>
    <w:rsid w:val="1FA2517E"/>
    <w:rsid w:val="1FC15191"/>
    <w:rsid w:val="1FC84EEB"/>
    <w:rsid w:val="1FCB7383"/>
    <w:rsid w:val="1FD77AD6"/>
    <w:rsid w:val="1FE7539E"/>
    <w:rsid w:val="1FF776D8"/>
    <w:rsid w:val="2000527E"/>
    <w:rsid w:val="20070F3F"/>
    <w:rsid w:val="200B777F"/>
    <w:rsid w:val="200C2FED"/>
    <w:rsid w:val="2011643E"/>
    <w:rsid w:val="201D2662"/>
    <w:rsid w:val="20222199"/>
    <w:rsid w:val="20484530"/>
    <w:rsid w:val="20671BE0"/>
    <w:rsid w:val="20684BD2"/>
    <w:rsid w:val="207F7CF4"/>
    <w:rsid w:val="20840E01"/>
    <w:rsid w:val="20963CB8"/>
    <w:rsid w:val="20A81A1B"/>
    <w:rsid w:val="20B07FB6"/>
    <w:rsid w:val="20B646FB"/>
    <w:rsid w:val="20C242E2"/>
    <w:rsid w:val="20E93CB2"/>
    <w:rsid w:val="20F36692"/>
    <w:rsid w:val="20F52909"/>
    <w:rsid w:val="210A7A37"/>
    <w:rsid w:val="21186B25"/>
    <w:rsid w:val="212154AC"/>
    <w:rsid w:val="21332498"/>
    <w:rsid w:val="213B74B1"/>
    <w:rsid w:val="214A12AB"/>
    <w:rsid w:val="214E6BB4"/>
    <w:rsid w:val="215A2310"/>
    <w:rsid w:val="215A7D1D"/>
    <w:rsid w:val="215E22A9"/>
    <w:rsid w:val="215F5F04"/>
    <w:rsid w:val="216517F3"/>
    <w:rsid w:val="21720F0B"/>
    <w:rsid w:val="217557F8"/>
    <w:rsid w:val="217952E8"/>
    <w:rsid w:val="217F21D3"/>
    <w:rsid w:val="217F6677"/>
    <w:rsid w:val="21A91D7B"/>
    <w:rsid w:val="21AF0D0A"/>
    <w:rsid w:val="21B06830"/>
    <w:rsid w:val="21B7404D"/>
    <w:rsid w:val="21BD2AC2"/>
    <w:rsid w:val="21CA1C33"/>
    <w:rsid w:val="21D40771"/>
    <w:rsid w:val="21DD0132"/>
    <w:rsid w:val="21DE0DD2"/>
    <w:rsid w:val="21DE318A"/>
    <w:rsid w:val="21EF5B80"/>
    <w:rsid w:val="21F7445F"/>
    <w:rsid w:val="220F79FB"/>
    <w:rsid w:val="22177089"/>
    <w:rsid w:val="221B7A6B"/>
    <w:rsid w:val="221C5C74"/>
    <w:rsid w:val="22576990"/>
    <w:rsid w:val="22651110"/>
    <w:rsid w:val="2274785E"/>
    <w:rsid w:val="22803562"/>
    <w:rsid w:val="22864C0C"/>
    <w:rsid w:val="22892660"/>
    <w:rsid w:val="229323DA"/>
    <w:rsid w:val="22A72DEA"/>
    <w:rsid w:val="22AC0A58"/>
    <w:rsid w:val="22AF0896"/>
    <w:rsid w:val="22B8599C"/>
    <w:rsid w:val="22BA785F"/>
    <w:rsid w:val="22CC3FF4"/>
    <w:rsid w:val="22CC56F7"/>
    <w:rsid w:val="22D4654E"/>
    <w:rsid w:val="22ED2A96"/>
    <w:rsid w:val="22EF3AA1"/>
    <w:rsid w:val="22F47480"/>
    <w:rsid w:val="23070442"/>
    <w:rsid w:val="23070D50"/>
    <w:rsid w:val="23207D89"/>
    <w:rsid w:val="234C58D8"/>
    <w:rsid w:val="234E4F70"/>
    <w:rsid w:val="23584A23"/>
    <w:rsid w:val="23616034"/>
    <w:rsid w:val="23623B5A"/>
    <w:rsid w:val="23651683"/>
    <w:rsid w:val="23AE7399"/>
    <w:rsid w:val="23B045A6"/>
    <w:rsid w:val="23BE6256"/>
    <w:rsid w:val="23DE1C48"/>
    <w:rsid w:val="23E40A13"/>
    <w:rsid w:val="23F641AF"/>
    <w:rsid w:val="240210CD"/>
    <w:rsid w:val="2406620A"/>
    <w:rsid w:val="240B41F2"/>
    <w:rsid w:val="24134E54"/>
    <w:rsid w:val="24137A6A"/>
    <w:rsid w:val="24213A15"/>
    <w:rsid w:val="24217319"/>
    <w:rsid w:val="242D2AFC"/>
    <w:rsid w:val="242F319D"/>
    <w:rsid w:val="24340889"/>
    <w:rsid w:val="2435126F"/>
    <w:rsid w:val="24372218"/>
    <w:rsid w:val="244871F4"/>
    <w:rsid w:val="24570105"/>
    <w:rsid w:val="24584C5B"/>
    <w:rsid w:val="245B67C0"/>
    <w:rsid w:val="246456B0"/>
    <w:rsid w:val="246A4851"/>
    <w:rsid w:val="2478197B"/>
    <w:rsid w:val="247E2357"/>
    <w:rsid w:val="24853FA4"/>
    <w:rsid w:val="249C05E8"/>
    <w:rsid w:val="24A00DDE"/>
    <w:rsid w:val="24A055F8"/>
    <w:rsid w:val="24A70634"/>
    <w:rsid w:val="24B02758"/>
    <w:rsid w:val="24BF09F7"/>
    <w:rsid w:val="24C3687B"/>
    <w:rsid w:val="24C85C3F"/>
    <w:rsid w:val="24D974B5"/>
    <w:rsid w:val="24E3577E"/>
    <w:rsid w:val="24EA3E07"/>
    <w:rsid w:val="250C6474"/>
    <w:rsid w:val="25123720"/>
    <w:rsid w:val="25186BC6"/>
    <w:rsid w:val="251A640E"/>
    <w:rsid w:val="251C7237"/>
    <w:rsid w:val="251F61A7"/>
    <w:rsid w:val="25205A7B"/>
    <w:rsid w:val="252235A1"/>
    <w:rsid w:val="25270BB7"/>
    <w:rsid w:val="252D53FE"/>
    <w:rsid w:val="252F1C39"/>
    <w:rsid w:val="254677D4"/>
    <w:rsid w:val="254A0D4A"/>
    <w:rsid w:val="255C1B46"/>
    <w:rsid w:val="25754005"/>
    <w:rsid w:val="257D111F"/>
    <w:rsid w:val="25A052DE"/>
    <w:rsid w:val="25B361F5"/>
    <w:rsid w:val="25B54415"/>
    <w:rsid w:val="25CC6057"/>
    <w:rsid w:val="25DF1492"/>
    <w:rsid w:val="25EC2D81"/>
    <w:rsid w:val="25F22003"/>
    <w:rsid w:val="26006A5F"/>
    <w:rsid w:val="260D4251"/>
    <w:rsid w:val="26143832"/>
    <w:rsid w:val="261D1FBA"/>
    <w:rsid w:val="261E020C"/>
    <w:rsid w:val="2624159B"/>
    <w:rsid w:val="2628108B"/>
    <w:rsid w:val="26346343"/>
    <w:rsid w:val="263537A8"/>
    <w:rsid w:val="264C56F5"/>
    <w:rsid w:val="2656733B"/>
    <w:rsid w:val="266E38D2"/>
    <w:rsid w:val="267047E0"/>
    <w:rsid w:val="26722306"/>
    <w:rsid w:val="268A37D1"/>
    <w:rsid w:val="269C4877"/>
    <w:rsid w:val="26A57396"/>
    <w:rsid w:val="26B03B08"/>
    <w:rsid w:val="26BB5A5B"/>
    <w:rsid w:val="26BD3DD6"/>
    <w:rsid w:val="26C84AEB"/>
    <w:rsid w:val="26D22DA5"/>
    <w:rsid w:val="26D37CE9"/>
    <w:rsid w:val="26E03714"/>
    <w:rsid w:val="26E6326C"/>
    <w:rsid w:val="26EA14B5"/>
    <w:rsid w:val="27015F38"/>
    <w:rsid w:val="270C62B7"/>
    <w:rsid w:val="271464C7"/>
    <w:rsid w:val="27174C5C"/>
    <w:rsid w:val="27371EFF"/>
    <w:rsid w:val="274157BE"/>
    <w:rsid w:val="275B0FEC"/>
    <w:rsid w:val="275E5D12"/>
    <w:rsid w:val="27616FE8"/>
    <w:rsid w:val="27650790"/>
    <w:rsid w:val="276C144B"/>
    <w:rsid w:val="276D7974"/>
    <w:rsid w:val="277057A2"/>
    <w:rsid w:val="27867E14"/>
    <w:rsid w:val="27871DE1"/>
    <w:rsid w:val="279302CF"/>
    <w:rsid w:val="27B05257"/>
    <w:rsid w:val="27BD46BF"/>
    <w:rsid w:val="27C508F6"/>
    <w:rsid w:val="27C60B5C"/>
    <w:rsid w:val="27CF5B6B"/>
    <w:rsid w:val="27D160AB"/>
    <w:rsid w:val="27D23C42"/>
    <w:rsid w:val="28096C9A"/>
    <w:rsid w:val="28264A40"/>
    <w:rsid w:val="2853706B"/>
    <w:rsid w:val="2863699F"/>
    <w:rsid w:val="286D547B"/>
    <w:rsid w:val="287A1009"/>
    <w:rsid w:val="28940C5A"/>
    <w:rsid w:val="28B04F9E"/>
    <w:rsid w:val="28CD7CC8"/>
    <w:rsid w:val="28DC7F0B"/>
    <w:rsid w:val="28E026ED"/>
    <w:rsid w:val="290336EA"/>
    <w:rsid w:val="29155EC0"/>
    <w:rsid w:val="29206EB8"/>
    <w:rsid w:val="292916DB"/>
    <w:rsid w:val="29332221"/>
    <w:rsid w:val="29350005"/>
    <w:rsid w:val="29424212"/>
    <w:rsid w:val="294B5EC5"/>
    <w:rsid w:val="29595666"/>
    <w:rsid w:val="295C5582"/>
    <w:rsid w:val="29714AF7"/>
    <w:rsid w:val="29726A44"/>
    <w:rsid w:val="297A7E50"/>
    <w:rsid w:val="29874881"/>
    <w:rsid w:val="29876136"/>
    <w:rsid w:val="29885465"/>
    <w:rsid w:val="29912F65"/>
    <w:rsid w:val="29925A3C"/>
    <w:rsid w:val="29A36A11"/>
    <w:rsid w:val="29BA6308"/>
    <w:rsid w:val="29BB5297"/>
    <w:rsid w:val="29BC18CA"/>
    <w:rsid w:val="29C15A7E"/>
    <w:rsid w:val="29CE019B"/>
    <w:rsid w:val="29E325E0"/>
    <w:rsid w:val="29E74DB9"/>
    <w:rsid w:val="29EC23D0"/>
    <w:rsid w:val="29F85218"/>
    <w:rsid w:val="29FF65A7"/>
    <w:rsid w:val="2A0B1E52"/>
    <w:rsid w:val="2A103177"/>
    <w:rsid w:val="2A1060BE"/>
    <w:rsid w:val="2A2279A1"/>
    <w:rsid w:val="2A241F8A"/>
    <w:rsid w:val="2A253788"/>
    <w:rsid w:val="2A320DD4"/>
    <w:rsid w:val="2A452503"/>
    <w:rsid w:val="2A4C2EBC"/>
    <w:rsid w:val="2A535045"/>
    <w:rsid w:val="2A557F75"/>
    <w:rsid w:val="2A5B3F34"/>
    <w:rsid w:val="2A5C4FBC"/>
    <w:rsid w:val="2A612DBE"/>
    <w:rsid w:val="2A634A0F"/>
    <w:rsid w:val="2A753905"/>
    <w:rsid w:val="2A7D463F"/>
    <w:rsid w:val="2A80726B"/>
    <w:rsid w:val="2A860046"/>
    <w:rsid w:val="2A975132"/>
    <w:rsid w:val="2AAA4784"/>
    <w:rsid w:val="2AC11AAE"/>
    <w:rsid w:val="2AC13C1B"/>
    <w:rsid w:val="2B0B2D29"/>
    <w:rsid w:val="2B1E2A5D"/>
    <w:rsid w:val="2B234296"/>
    <w:rsid w:val="2B5842D1"/>
    <w:rsid w:val="2B607920"/>
    <w:rsid w:val="2B8F5708"/>
    <w:rsid w:val="2B9920E3"/>
    <w:rsid w:val="2BA32F62"/>
    <w:rsid w:val="2BA83F32"/>
    <w:rsid w:val="2BA936A8"/>
    <w:rsid w:val="2BDB6BA0"/>
    <w:rsid w:val="2BE315B0"/>
    <w:rsid w:val="2BE47049"/>
    <w:rsid w:val="2BE97FB5"/>
    <w:rsid w:val="2BF37A45"/>
    <w:rsid w:val="2C153E60"/>
    <w:rsid w:val="2C315A5A"/>
    <w:rsid w:val="2C320A64"/>
    <w:rsid w:val="2C4B1C25"/>
    <w:rsid w:val="2C504E98"/>
    <w:rsid w:val="2C582152"/>
    <w:rsid w:val="2C624BCB"/>
    <w:rsid w:val="2C711F40"/>
    <w:rsid w:val="2C741F62"/>
    <w:rsid w:val="2C8E03FE"/>
    <w:rsid w:val="2C9514FB"/>
    <w:rsid w:val="2C9F0A22"/>
    <w:rsid w:val="2CB216AE"/>
    <w:rsid w:val="2CB77A13"/>
    <w:rsid w:val="2CC4710C"/>
    <w:rsid w:val="2CCE5D05"/>
    <w:rsid w:val="2CDE6947"/>
    <w:rsid w:val="2CEA52EC"/>
    <w:rsid w:val="2D050132"/>
    <w:rsid w:val="2D1967DA"/>
    <w:rsid w:val="2D1C121E"/>
    <w:rsid w:val="2D360531"/>
    <w:rsid w:val="2D60110A"/>
    <w:rsid w:val="2D63741F"/>
    <w:rsid w:val="2D660E42"/>
    <w:rsid w:val="2D666F31"/>
    <w:rsid w:val="2D6B7938"/>
    <w:rsid w:val="2D742E08"/>
    <w:rsid w:val="2D7C4A63"/>
    <w:rsid w:val="2D8C70BE"/>
    <w:rsid w:val="2D9E56F5"/>
    <w:rsid w:val="2DB9608A"/>
    <w:rsid w:val="2DBE4083"/>
    <w:rsid w:val="2DC32E61"/>
    <w:rsid w:val="2DDB4C35"/>
    <w:rsid w:val="2DDC4D6E"/>
    <w:rsid w:val="2DDD6BFF"/>
    <w:rsid w:val="2DE76783"/>
    <w:rsid w:val="2DEC5B11"/>
    <w:rsid w:val="2DED6716"/>
    <w:rsid w:val="2DF6381D"/>
    <w:rsid w:val="2DFA4D8F"/>
    <w:rsid w:val="2DFB51CF"/>
    <w:rsid w:val="2E0917A2"/>
    <w:rsid w:val="2E1267BD"/>
    <w:rsid w:val="2E3A5DFF"/>
    <w:rsid w:val="2E496043"/>
    <w:rsid w:val="2E5A650E"/>
    <w:rsid w:val="2E667F96"/>
    <w:rsid w:val="2E6C1D31"/>
    <w:rsid w:val="2E735F4D"/>
    <w:rsid w:val="2E821554"/>
    <w:rsid w:val="2E8226AB"/>
    <w:rsid w:val="2E8250B1"/>
    <w:rsid w:val="2E854F49"/>
    <w:rsid w:val="2E9D5519"/>
    <w:rsid w:val="2EAB4607"/>
    <w:rsid w:val="2EB2157B"/>
    <w:rsid w:val="2ECA4402"/>
    <w:rsid w:val="2ECB7746"/>
    <w:rsid w:val="2EE235B7"/>
    <w:rsid w:val="2EE30245"/>
    <w:rsid w:val="2EF656F4"/>
    <w:rsid w:val="2F0530AD"/>
    <w:rsid w:val="2F10090E"/>
    <w:rsid w:val="2F1621CD"/>
    <w:rsid w:val="2F162BDB"/>
    <w:rsid w:val="2F1F075B"/>
    <w:rsid w:val="2F2A453A"/>
    <w:rsid w:val="2F2B74F6"/>
    <w:rsid w:val="2F49566C"/>
    <w:rsid w:val="2F6B545A"/>
    <w:rsid w:val="2F726E97"/>
    <w:rsid w:val="2F7C651B"/>
    <w:rsid w:val="2F830165"/>
    <w:rsid w:val="2F9229C1"/>
    <w:rsid w:val="2F971030"/>
    <w:rsid w:val="2FAB0F5F"/>
    <w:rsid w:val="2FC234D7"/>
    <w:rsid w:val="2FCF6712"/>
    <w:rsid w:val="2FD065E6"/>
    <w:rsid w:val="2FD22068"/>
    <w:rsid w:val="2FD96870"/>
    <w:rsid w:val="2FEC4ED7"/>
    <w:rsid w:val="2FEF49C8"/>
    <w:rsid w:val="30202DD3"/>
    <w:rsid w:val="302A65CC"/>
    <w:rsid w:val="30395D8D"/>
    <w:rsid w:val="304E16EE"/>
    <w:rsid w:val="305667F5"/>
    <w:rsid w:val="30580BC9"/>
    <w:rsid w:val="30592099"/>
    <w:rsid w:val="306A4A29"/>
    <w:rsid w:val="306C100D"/>
    <w:rsid w:val="307F21A6"/>
    <w:rsid w:val="308C2216"/>
    <w:rsid w:val="309A0DD7"/>
    <w:rsid w:val="30BC0D4E"/>
    <w:rsid w:val="30CF0291"/>
    <w:rsid w:val="311D0EA7"/>
    <w:rsid w:val="311E2ED7"/>
    <w:rsid w:val="3123681E"/>
    <w:rsid w:val="3126266B"/>
    <w:rsid w:val="313C59EB"/>
    <w:rsid w:val="314E1478"/>
    <w:rsid w:val="315619EE"/>
    <w:rsid w:val="3159659D"/>
    <w:rsid w:val="315C449C"/>
    <w:rsid w:val="317A0A74"/>
    <w:rsid w:val="3185543B"/>
    <w:rsid w:val="31864EB8"/>
    <w:rsid w:val="318C4C20"/>
    <w:rsid w:val="318D0838"/>
    <w:rsid w:val="31914D7B"/>
    <w:rsid w:val="31B82709"/>
    <w:rsid w:val="31CD6F8B"/>
    <w:rsid w:val="31CD7ED2"/>
    <w:rsid w:val="31D05482"/>
    <w:rsid w:val="31D74F4E"/>
    <w:rsid w:val="31F938DC"/>
    <w:rsid w:val="31FB3AF8"/>
    <w:rsid w:val="31FC517A"/>
    <w:rsid w:val="320504D2"/>
    <w:rsid w:val="3213349C"/>
    <w:rsid w:val="321C0790"/>
    <w:rsid w:val="32235756"/>
    <w:rsid w:val="32335E5F"/>
    <w:rsid w:val="3236068C"/>
    <w:rsid w:val="32400B34"/>
    <w:rsid w:val="325B2791"/>
    <w:rsid w:val="32696327"/>
    <w:rsid w:val="32696BEA"/>
    <w:rsid w:val="327318E0"/>
    <w:rsid w:val="327C62FE"/>
    <w:rsid w:val="328B6859"/>
    <w:rsid w:val="329E6876"/>
    <w:rsid w:val="32A20140"/>
    <w:rsid w:val="32A76600"/>
    <w:rsid w:val="32C95C50"/>
    <w:rsid w:val="32D70A63"/>
    <w:rsid w:val="32EF56BC"/>
    <w:rsid w:val="33042538"/>
    <w:rsid w:val="33052B01"/>
    <w:rsid w:val="330B38C7"/>
    <w:rsid w:val="33123CE9"/>
    <w:rsid w:val="331704BD"/>
    <w:rsid w:val="331B2E35"/>
    <w:rsid w:val="333015F2"/>
    <w:rsid w:val="33381756"/>
    <w:rsid w:val="333F7A14"/>
    <w:rsid w:val="33490893"/>
    <w:rsid w:val="334B6320"/>
    <w:rsid w:val="334F5BA1"/>
    <w:rsid w:val="335675F5"/>
    <w:rsid w:val="335E225E"/>
    <w:rsid w:val="337551E4"/>
    <w:rsid w:val="33951CCA"/>
    <w:rsid w:val="33A0354C"/>
    <w:rsid w:val="33AA3750"/>
    <w:rsid w:val="33D934D4"/>
    <w:rsid w:val="33D97E69"/>
    <w:rsid w:val="33DC0716"/>
    <w:rsid w:val="33E10A51"/>
    <w:rsid w:val="33E3054D"/>
    <w:rsid w:val="33FE2F6A"/>
    <w:rsid w:val="34034EE6"/>
    <w:rsid w:val="340622E0"/>
    <w:rsid w:val="340B78F6"/>
    <w:rsid w:val="340E07E5"/>
    <w:rsid w:val="34106E71"/>
    <w:rsid w:val="34235BF7"/>
    <w:rsid w:val="342E1F62"/>
    <w:rsid w:val="343878EC"/>
    <w:rsid w:val="34431262"/>
    <w:rsid w:val="344B2247"/>
    <w:rsid w:val="3457237C"/>
    <w:rsid w:val="34717B05"/>
    <w:rsid w:val="3478784B"/>
    <w:rsid w:val="347B0F20"/>
    <w:rsid w:val="34AD1892"/>
    <w:rsid w:val="34C208FD"/>
    <w:rsid w:val="34C55364"/>
    <w:rsid w:val="34D32B0A"/>
    <w:rsid w:val="34DE083C"/>
    <w:rsid w:val="34F54A50"/>
    <w:rsid w:val="34FF398E"/>
    <w:rsid w:val="35011425"/>
    <w:rsid w:val="3505003E"/>
    <w:rsid w:val="35171C66"/>
    <w:rsid w:val="352073D1"/>
    <w:rsid w:val="3546508A"/>
    <w:rsid w:val="355D23D3"/>
    <w:rsid w:val="35670C24"/>
    <w:rsid w:val="35721BE0"/>
    <w:rsid w:val="357316F6"/>
    <w:rsid w:val="357E0505"/>
    <w:rsid w:val="3582049B"/>
    <w:rsid w:val="358C5FA8"/>
    <w:rsid w:val="35A46254"/>
    <w:rsid w:val="35B80785"/>
    <w:rsid w:val="35C15DF1"/>
    <w:rsid w:val="35D6501A"/>
    <w:rsid w:val="35DB7031"/>
    <w:rsid w:val="35DC154A"/>
    <w:rsid w:val="35E30D63"/>
    <w:rsid w:val="35EA010B"/>
    <w:rsid w:val="35F9055A"/>
    <w:rsid w:val="36074A7F"/>
    <w:rsid w:val="360F58F2"/>
    <w:rsid w:val="36145188"/>
    <w:rsid w:val="3618487A"/>
    <w:rsid w:val="361A5457"/>
    <w:rsid w:val="36203B2D"/>
    <w:rsid w:val="36246B30"/>
    <w:rsid w:val="36395319"/>
    <w:rsid w:val="36397B97"/>
    <w:rsid w:val="364B7481"/>
    <w:rsid w:val="36513CE6"/>
    <w:rsid w:val="366C302F"/>
    <w:rsid w:val="36734B36"/>
    <w:rsid w:val="36810E41"/>
    <w:rsid w:val="36923549"/>
    <w:rsid w:val="369D4050"/>
    <w:rsid w:val="36A53EE1"/>
    <w:rsid w:val="36B75FBF"/>
    <w:rsid w:val="36BD0C45"/>
    <w:rsid w:val="36BD7B6A"/>
    <w:rsid w:val="36C95F72"/>
    <w:rsid w:val="36E44B5A"/>
    <w:rsid w:val="36E52680"/>
    <w:rsid w:val="36F56FF7"/>
    <w:rsid w:val="36F6663C"/>
    <w:rsid w:val="36F7480E"/>
    <w:rsid w:val="36FE021F"/>
    <w:rsid w:val="375C7F1D"/>
    <w:rsid w:val="376B02FE"/>
    <w:rsid w:val="37757EA8"/>
    <w:rsid w:val="37775226"/>
    <w:rsid w:val="378400EB"/>
    <w:rsid w:val="378556B5"/>
    <w:rsid w:val="378873D1"/>
    <w:rsid w:val="378D421E"/>
    <w:rsid w:val="379816F7"/>
    <w:rsid w:val="379C3687"/>
    <w:rsid w:val="37B754BE"/>
    <w:rsid w:val="37C01E96"/>
    <w:rsid w:val="37E00298"/>
    <w:rsid w:val="37EE0170"/>
    <w:rsid w:val="37FA13E6"/>
    <w:rsid w:val="380359D3"/>
    <w:rsid w:val="3818684B"/>
    <w:rsid w:val="381C6D0E"/>
    <w:rsid w:val="3825542A"/>
    <w:rsid w:val="383078F1"/>
    <w:rsid w:val="383513E6"/>
    <w:rsid w:val="38376F0C"/>
    <w:rsid w:val="385C59E4"/>
    <w:rsid w:val="38683569"/>
    <w:rsid w:val="386926DF"/>
    <w:rsid w:val="387E2D8D"/>
    <w:rsid w:val="388A3950"/>
    <w:rsid w:val="38B302F9"/>
    <w:rsid w:val="38B467AE"/>
    <w:rsid w:val="38B92017"/>
    <w:rsid w:val="38BE13DB"/>
    <w:rsid w:val="38D330D8"/>
    <w:rsid w:val="38E2331B"/>
    <w:rsid w:val="38EA6674"/>
    <w:rsid w:val="38F12CD3"/>
    <w:rsid w:val="38F94775"/>
    <w:rsid w:val="39094CCC"/>
    <w:rsid w:val="39137979"/>
    <w:rsid w:val="392971ED"/>
    <w:rsid w:val="392F4087"/>
    <w:rsid w:val="39325651"/>
    <w:rsid w:val="39425D33"/>
    <w:rsid w:val="39484375"/>
    <w:rsid w:val="3950014B"/>
    <w:rsid w:val="39820DED"/>
    <w:rsid w:val="39893797"/>
    <w:rsid w:val="399016D7"/>
    <w:rsid w:val="399F7392"/>
    <w:rsid w:val="39B20F40"/>
    <w:rsid w:val="39B93F3A"/>
    <w:rsid w:val="39BC7261"/>
    <w:rsid w:val="39C06B4C"/>
    <w:rsid w:val="39CA29A9"/>
    <w:rsid w:val="39D4404C"/>
    <w:rsid w:val="39DE4ED2"/>
    <w:rsid w:val="39EC3D26"/>
    <w:rsid w:val="3A137505"/>
    <w:rsid w:val="3A221854"/>
    <w:rsid w:val="3A287454"/>
    <w:rsid w:val="3A331955"/>
    <w:rsid w:val="3A347BA7"/>
    <w:rsid w:val="3A4B5733"/>
    <w:rsid w:val="3A5F274A"/>
    <w:rsid w:val="3A6E708C"/>
    <w:rsid w:val="3A872856"/>
    <w:rsid w:val="3AB76C80"/>
    <w:rsid w:val="3ABF4E07"/>
    <w:rsid w:val="3AC27D00"/>
    <w:rsid w:val="3AC75C51"/>
    <w:rsid w:val="3ACD3B57"/>
    <w:rsid w:val="3AD66EB0"/>
    <w:rsid w:val="3AE0388B"/>
    <w:rsid w:val="3B03797B"/>
    <w:rsid w:val="3B091033"/>
    <w:rsid w:val="3B13628B"/>
    <w:rsid w:val="3B1A3241"/>
    <w:rsid w:val="3B3763D1"/>
    <w:rsid w:val="3B3807D0"/>
    <w:rsid w:val="3B424545"/>
    <w:rsid w:val="3B556027"/>
    <w:rsid w:val="3B655210"/>
    <w:rsid w:val="3B7C7CF2"/>
    <w:rsid w:val="3B80549C"/>
    <w:rsid w:val="3B8E6F7C"/>
    <w:rsid w:val="3BBB1AAC"/>
    <w:rsid w:val="3BC00BA4"/>
    <w:rsid w:val="3BD17677"/>
    <w:rsid w:val="3BD43281"/>
    <w:rsid w:val="3BEB0739"/>
    <w:rsid w:val="3BFD046C"/>
    <w:rsid w:val="3C1F6635"/>
    <w:rsid w:val="3C243C4B"/>
    <w:rsid w:val="3C256A02"/>
    <w:rsid w:val="3C2D6E14"/>
    <w:rsid w:val="3C2E6878"/>
    <w:rsid w:val="3C2F6E1E"/>
    <w:rsid w:val="3C487939"/>
    <w:rsid w:val="3C4936B2"/>
    <w:rsid w:val="3C4A1DBA"/>
    <w:rsid w:val="3C4F64BA"/>
    <w:rsid w:val="3C5023C9"/>
    <w:rsid w:val="3C575DCE"/>
    <w:rsid w:val="3C605028"/>
    <w:rsid w:val="3C682579"/>
    <w:rsid w:val="3C85024E"/>
    <w:rsid w:val="3C8D7A42"/>
    <w:rsid w:val="3CA36799"/>
    <w:rsid w:val="3CB662C9"/>
    <w:rsid w:val="3CB9472E"/>
    <w:rsid w:val="3CC04267"/>
    <w:rsid w:val="3CC05722"/>
    <w:rsid w:val="3CC96F30"/>
    <w:rsid w:val="3CCB0C62"/>
    <w:rsid w:val="3CDA245A"/>
    <w:rsid w:val="3D05582A"/>
    <w:rsid w:val="3D12591E"/>
    <w:rsid w:val="3D1E06B7"/>
    <w:rsid w:val="3D235CB1"/>
    <w:rsid w:val="3D4D5405"/>
    <w:rsid w:val="3D504904"/>
    <w:rsid w:val="3D516CC2"/>
    <w:rsid w:val="3D544904"/>
    <w:rsid w:val="3D6535C0"/>
    <w:rsid w:val="3D74134E"/>
    <w:rsid w:val="3D742084"/>
    <w:rsid w:val="3D7C378A"/>
    <w:rsid w:val="3D7F672A"/>
    <w:rsid w:val="3D904F6A"/>
    <w:rsid w:val="3D91490C"/>
    <w:rsid w:val="3D9536CF"/>
    <w:rsid w:val="3D9F7A2D"/>
    <w:rsid w:val="3DA45043"/>
    <w:rsid w:val="3DB159B2"/>
    <w:rsid w:val="3DB6204F"/>
    <w:rsid w:val="3DD05E38"/>
    <w:rsid w:val="3DDA6CB7"/>
    <w:rsid w:val="3DE60D9F"/>
    <w:rsid w:val="3DEA07D5"/>
    <w:rsid w:val="3DFA2EB5"/>
    <w:rsid w:val="3E1149E6"/>
    <w:rsid w:val="3E1201FF"/>
    <w:rsid w:val="3E151A9D"/>
    <w:rsid w:val="3E1B45DE"/>
    <w:rsid w:val="3E23240C"/>
    <w:rsid w:val="3E2450E0"/>
    <w:rsid w:val="3E376C61"/>
    <w:rsid w:val="3E410AE4"/>
    <w:rsid w:val="3E552B40"/>
    <w:rsid w:val="3E554590"/>
    <w:rsid w:val="3E693B97"/>
    <w:rsid w:val="3E7112BD"/>
    <w:rsid w:val="3E867977"/>
    <w:rsid w:val="3E9C11C5"/>
    <w:rsid w:val="3E9F4AC7"/>
    <w:rsid w:val="3EB540CC"/>
    <w:rsid w:val="3EDA0523"/>
    <w:rsid w:val="3EDB36CB"/>
    <w:rsid w:val="3EEB2D0B"/>
    <w:rsid w:val="3EED6576"/>
    <w:rsid w:val="3F1D32FF"/>
    <w:rsid w:val="3F384312"/>
    <w:rsid w:val="3F4343E8"/>
    <w:rsid w:val="3F473024"/>
    <w:rsid w:val="3F4F7CE2"/>
    <w:rsid w:val="3F5F03B4"/>
    <w:rsid w:val="3F6330F4"/>
    <w:rsid w:val="3F6E7334"/>
    <w:rsid w:val="3F7E18C4"/>
    <w:rsid w:val="3F8630B0"/>
    <w:rsid w:val="3F902733"/>
    <w:rsid w:val="3FB928FC"/>
    <w:rsid w:val="3FE77469"/>
    <w:rsid w:val="3FF57E8C"/>
    <w:rsid w:val="3FFC231A"/>
    <w:rsid w:val="3FFD3E1D"/>
    <w:rsid w:val="400543F4"/>
    <w:rsid w:val="400D176C"/>
    <w:rsid w:val="403F2216"/>
    <w:rsid w:val="40464190"/>
    <w:rsid w:val="407135B4"/>
    <w:rsid w:val="407A6407"/>
    <w:rsid w:val="40844385"/>
    <w:rsid w:val="40A87A95"/>
    <w:rsid w:val="40AB7E96"/>
    <w:rsid w:val="40AF6998"/>
    <w:rsid w:val="40BE1688"/>
    <w:rsid w:val="40CE4185"/>
    <w:rsid w:val="40D23C76"/>
    <w:rsid w:val="40D3145F"/>
    <w:rsid w:val="40ED6AE7"/>
    <w:rsid w:val="40F47355"/>
    <w:rsid w:val="40F55BB6"/>
    <w:rsid w:val="411C3143"/>
    <w:rsid w:val="411E0989"/>
    <w:rsid w:val="41324F63"/>
    <w:rsid w:val="4146414E"/>
    <w:rsid w:val="41596145"/>
    <w:rsid w:val="41A27AEC"/>
    <w:rsid w:val="41AA168F"/>
    <w:rsid w:val="41BD05B2"/>
    <w:rsid w:val="41C07F72"/>
    <w:rsid w:val="41CC6917"/>
    <w:rsid w:val="41E501B8"/>
    <w:rsid w:val="41E9396D"/>
    <w:rsid w:val="41EC33C5"/>
    <w:rsid w:val="41F8770C"/>
    <w:rsid w:val="42002A64"/>
    <w:rsid w:val="4200449D"/>
    <w:rsid w:val="421502BE"/>
    <w:rsid w:val="421D54A4"/>
    <w:rsid w:val="42204D02"/>
    <w:rsid w:val="422A6B67"/>
    <w:rsid w:val="423170C2"/>
    <w:rsid w:val="42331986"/>
    <w:rsid w:val="423A3BCC"/>
    <w:rsid w:val="4246491B"/>
    <w:rsid w:val="424E57D2"/>
    <w:rsid w:val="425948B4"/>
    <w:rsid w:val="425B3F05"/>
    <w:rsid w:val="426859AE"/>
    <w:rsid w:val="427E44E6"/>
    <w:rsid w:val="428216CB"/>
    <w:rsid w:val="42873713"/>
    <w:rsid w:val="42A62B9D"/>
    <w:rsid w:val="42A67657"/>
    <w:rsid w:val="42B21B88"/>
    <w:rsid w:val="42B26C49"/>
    <w:rsid w:val="42B742AF"/>
    <w:rsid w:val="42B878B3"/>
    <w:rsid w:val="42BC2421"/>
    <w:rsid w:val="42C53FA1"/>
    <w:rsid w:val="42D75573"/>
    <w:rsid w:val="42E87BB6"/>
    <w:rsid w:val="42ED77B3"/>
    <w:rsid w:val="42F44BEC"/>
    <w:rsid w:val="42F67083"/>
    <w:rsid w:val="42F9198D"/>
    <w:rsid w:val="430359B6"/>
    <w:rsid w:val="43036368"/>
    <w:rsid w:val="43134BC7"/>
    <w:rsid w:val="432D1DB0"/>
    <w:rsid w:val="43346E69"/>
    <w:rsid w:val="43352CF0"/>
    <w:rsid w:val="433A6FE6"/>
    <w:rsid w:val="43480868"/>
    <w:rsid w:val="434B753B"/>
    <w:rsid w:val="4350713C"/>
    <w:rsid w:val="4358011B"/>
    <w:rsid w:val="435D64B1"/>
    <w:rsid w:val="43604280"/>
    <w:rsid w:val="436214B1"/>
    <w:rsid w:val="436653E0"/>
    <w:rsid w:val="43712AA8"/>
    <w:rsid w:val="438A3C39"/>
    <w:rsid w:val="438B7040"/>
    <w:rsid w:val="43C4431A"/>
    <w:rsid w:val="43D877F5"/>
    <w:rsid w:val="43E22422"/>
    <w:rsid w:val="43E351F1"/>
    <w:rsid w:val="43E51F12"/>
    <w:rsid w:val="43EF4B3E"/>
    <w:rsid w:val="44047AD4"/>
    <w:rsid w:val="440920A4"/>
    <w:rsid w:val="44200668"/>
    <w:rsid w:val="44232A0D"/>
    <w:rsid w:val="44663053"/>
    <w:rsid w:val="446B7C0C"/>
    <w:rsid w:val="449000D0"/>
    <w:rsid w:val="44923E71"/>
    <w:rsid w:val="4493196E"/>
    <w:rsid w:val="44935403"/>
    <w:rsid w:val="449930AB"/>
    <w:rsid w:val="44A67C4E"/>
    <w:rsid w:val="44AC2A30"/>
    <w:rsid w:val="44B33A2C"/>
    <w:rsid w:val="44B33DF7"/>
    <w:rsid w:val="44B92BD1"/>
    <w:rsid w:val="44B951CC"/>
    <w:rsid w:val="44C61E0D"/>
    <w:rsid w:val="44CD14E0"/>
    <w:rsid w:val="44D0624C"/>
    <w:rsid w:val="44E67CEF"/>
    <w:rsid w:val="44F20B0B"/>
    <w:rsid w:val="450154F0"/>
    <w:rsid w:val="45050ABD"/>
    <w:rsid w:val="45062140"/>
    <w:rsid w:val="4513485D"/>
    <w:rsid w:val="452E5F4C"/>
    <w:rsid w:val="454F3A37"/>
    <w:rsid w:val="45561319"/>
    <w:rsid w:val="45612018"/>
    <w:rsid w:val="4561381A"/>
    <w:rsid w:val="456815F5"/>
    <w:rsid w:val="456C478E"/>
    <w:rsid w:val="456D319A"/>
    <w:rsid w:val="45812A47"/>
    <w:rsid w:val="45843C23"/>
    <w:rsid w:val="458946E9"/>
    <w:rsid w:val="45907509"/>
    <w:rsid w:val="459A59A0"/>
    <w:rsid w:val="459E681C"/>
    <w:rsid w:val="45A47C0E"/>
    <w:rsid w:val="45A571C9"/>
    <w:rsid w:val="45A57BAB"/>
    <w:rsid w:val="45AA0712"/>
    <w:rsid w:val="45BC6ACB"/>
    <w:rsid w:val="45CD0EAF"/>
    <w:rsid w:val="45DB3897"/>
    <w:rsid w:val="45E10351"/>
    <w:rsid w:val="45E36925"/>
    <w:rsid w:val="45E719E2"/>
    <w:rsid w:val="45F706B0"/>
    <w:rsid w:val="460212DB"/>
    <w:rsid w:val="46130FB8"/>
    <w:rsid w:val="461B60BF"/>
    <w:rsid w:val="462036D5"/>
    <w:rsid w:val="46267C59"/>
    <w:rsid w:val="463465CE"/>
    <w:rsid w:val="464C3431"/>
    <w:rsid w:val="46577FD6"/>
    <w:rsid w:val="46602293"/>
    <w:rsid w:val="466766E6"/>
    <w:rsid w:val="46677A0D"/>
    <w:rsid w:val="466E43A3"/>
    <w:rsid w:val="46731A57"/>
    <w:rsid w:val="467761A9"/>
    <w:rsid w:val="467852BF"/>
    <w:rsid w:val="46941649"/>
    <w:rsid w:val="469519CD"/>
    <w:rsid w:val="46C0255F"/>
    <w:rsid w:val="46D30747"/>
    <w:rsid w:val="46D955A7"/>
    <w:rsid w:val="46DF0E9A"/>
    <w:rsid w:val="47130F9C"/>
    <w:rsid w:val="47133957"/>
    <w:rsid w:val="47140A49"/>
    <w:rsid w:val="471F1BDF"/>
    <w:rsid w:val="4720086B"/>
    <w:rsid w:val="47256537"/>
    <w:rsid w:val="4728325E"/>
    <w:rsid w:val="473167C4"/>
    <w:rsid w:val="47347438"/>
    <w:rsid w:val="473A2575"/>
    <w:rsid w:val="47501D98"/>
    <w:rsid w:val="47521036"/>
    <w:rsid w:val="475E4E78"/>
    <w:rsid w:val="4780267D"/>
    <w:rsid w:val="4785512C"/>
    <w:rsid w:val="47923E83"/>
    <w:rsid w:val="47975C19"/>
    <w:rsid w:val="479E0D55"/>
    <w:rsid w:val="47A07E0C"/>
    <w:rsid w:val="47DE73A4"/>
    <w:rsid w:val="4812529F"/>
    <w:rsid w:val="4820570A"/>
    <w:rsid w:val="482C45B3"/>
    <w:rsid w:val="482D0D43"/>
    <w:rsid w:val="483652F0"/>
    <w:rsid w:val="483F42E6"/>
    <w:rsid w:val="484418FD"/>
    <w:rsid w:val="48491C83"/>
    <w:rsid w:val="48496F13"/>
    <w:rsid w:val="484A4A39"/>
    <w:rsid w:val="484D3C1B"/>
    <w:rsid w:val="486B0257"/>
    <w:rsid w:val="4870272E"/>
    <w:rsid w:val="487815A6"/>
    <w:rsid w:val="487F1C3E"/>
    <w:rsid w:val="4891597F"/>
    <w:rsid w:val="4893034E"/>
    <w:rsid w:val="48A91760"/>
    <w:rsid w:val="48AD35B6"/>
    <w:rsid w:val="48C60564"/>
    <w:rsid w:val="48C753FE"/>
    <w:rsid w:val="48CC544E"/>
    <w:rsid w:val="48E42798"/>
    <w:rsid w:val="48F37899"/>
    <w:rsid w:val="48F7696F"/>
    <w:rsid w:val="48FA5B1F"/>
    <w:rsid w:val="49396041"/>
    <w:rsid w:val="493C25D4"/>
    <w:rsid w:val="49635DB3"/>
    <w:rsid w:val="496F0BFB"/>
    <w:rsid w:val="497C50C6"/>
    <w:rsid w:val="497E3265"/>
    <w:rsid w:val="49830203"/>
    <w:rsid w:val="499917D4"/>
    <w:rsid w:val="499A554C"/>
    <w:rsid w:val="49AC7A34"/>
    <w:rsid w:val="49B132C4"/>
    <w:rsid w:val="49C01457"/>
    <w:rsid w:val="49C10D2B"/>
    <w:rsid w:val="49D13D06"/>
    <w:rsid w:val="49D51C4F"/>
    <w:rsid w:val="49DC7715"/>
    <w:rsid w:val="4A023139"/>
    <w:rsid w:val="4A133507"/>
    <w:rsid w:val="4A187AA1"/>
    <w:rsid w:val="4A204E6E"/>
    <w:rsid w:val="4A633B90"/>
    <w:rsid w:val="4A7B576F"/>
    <w:rsid w:val="4A8616AD"/>
    <w:rsid w:val="4A9B157C"/>
    <w:rsid w:val="4A9F7C64"/>
    <w:rsid w:val="4AA2290B"/>
    <w:rsid w:val="4AAE5753"/>
    <w:rsid w:val="4AB31530"/>
    <w:rsid w:val="4ACB4D6E"/>
    <w:rsid w:val="4AD70E0A"/>
    <w:rsid w:val="4AE67F5B"/>
    <w:rsid w:val="4AEF2EAF"/>
    <w:rsid w:val="4AF513C6"/>
    <w:rsid w:val="4AF561A9"/>
    <w:rsid w:val="4AF8077D"/>
    <w:rsid w:val="4AF84C20"/>
    <w:rsid w:val="4B0366C5"/>
    <w:rsid w:val="4B18029F"/>
    <w:rsid w:val="4B210CE0"/>
    <w:rsid w:val="4B2E4378"/>
    <w:rsid w:val="4B35552D"/>
    <w:rsid w:val="4B3D60B4"/>
    <w:rsid w:val="4B3E7445"/>
    <w:rsid w:val="4B444DD1"/>
    <w:rsid w:val="4B6B629B"/>
    <w:rsid w:val="4B6D5AD1"/>
    <w:rsid w:val="4B820B8F"/>
    <w:rsid w:val="4B8F7070"/>
    <w:rsid w:val="4B9009B5"/>
    <w:rsid w:val="4B9B4871"/>
    <w:rsid w:val="4BA05B54"/>
    <w:rsid w:val="4BAC4784"/>
    <w:rsid w:val="4BCB7AD4"/>
    <w:rsid w:val="4BD40E87"/>
    <w:rsid w:val="4BD777E7"/>
    <w:rsid w:val="4BE40D01"/>
    <w:rsid w:val="4BF453E8"/>
    <w:rsid w:val="4BFA6956"/>
    <w:rsid w:val="4C0357D8"/>
    <w:rsid w:val="4C060289"/>
    <w:rsid w:val="4C1602B1"/>
    <w:rsid w:val="4C235CCD"/>
    <w:rsid w:val="4C4A0649"/>
    <w:rsid w:val="4C5D11DF"/>
    <w:rsid w:val="4C60274C"/>
    <w:rsid w:val="4C650094"/>
    <w:rsid w:val="4C675BBA"/>
    <w:rsid w:val="4C7120BD"/>
    <w:rsid w:val="4C7E49AD"/>
    <w:rsid w:val="4C7E5ECA"/>
    <w:rsid w:val="4C876AA5"/>
    <w:rsid w:val="4C883D82"/>
    <w:rsid w:val="4CAA5AA7"/>
    <w:rsid w:val="4CAF0EF1"/>
    <w:rsid w:val="4CBD3A2C"/>
    <w:rsid w:val="4CC21042"/>
    <w:rsid w:val="4CC27294"/>
    <w:rsid w:val="4CDE1E6E"/>
    <w:rsid w:val="4CE27EB0"/>
    <w:rsid w:val="4CE61978"/>
    <w:rsid w:val="4CE74F4D"/>
    <w:rsid w:val="4CEE1E37"/>
    <w:rsid w:val="4CEE2238"/>
    <w:rsid w:val="4D07114B"/>
    <w:rsid w:val="4D0D1B22"/>
    <w:rsid w:val="4D0E00FB"/>
    <w:rsid w:val="4D176606"/>
    <w:rsid w:val="4D1F6494"/>
    <w:rsid w:val="4D2005DF"/>
    <w:rsid w:val="4D2B414E"/>
    <w:rsid w:val="4D326A77"/>
    <w:rsid w:val="4D437F22"/>
    <w:rsid w:val="4D4C23B0"/>
    <w:rsid w:val="4D52096F"/>
    <w:rsid w:val="4D590218"/>
    <w:rsid w:val="4D5A571F"/>
    <w:rsid w:val="4D69541A"/>
    <w:rsid w:val="4D7A7B6F"/>
    <w:rsid w:val="4D8A25B0"/>
    <w:rsid w:val="4D8C1650"/>
    <w:rsid w:val="4D9C1893"/>
    <w:rsid w:val="4DA70238"/>
    <w:rsid w:val="4DA738C4"/>
    <w:rsid w:val="4DB322A6"/>
    <w:rsid w:val="4DBF5582"/>
    <w:rsid w:val="4DC0326F"/>
    <w:rsid w:val="4DCD0FE7"/>
    <w:rsid w:val="4DD21759"/>
    <w:rsid w:val="4DD9505C"/>
    <w:rsid w:val="4DDF3E76"/>
    <w:rsid w:val="4DEC4FB0"/>
    <w:rsid w:val="4DEE5EBA"/>
    <w:rsid w:val="4DF25957"/>
    <w:rsid w:val="4E0235CE"/>
    <w:rsid w:val="4E075D8A"/>
    <w:rsid w:val="4E102281"/>
    <w:rsid w:val="4E2937BF"/>
    <w:rsid w:val="4E2C5422"/>
    <w:rsid w:val="4E431976"/>
    <w:rsid w:val="4E646856"/>
    <w:rsid w:val="4E822CD3"/>
    <w:rsid w:val="4E832A53"/>
    <w:rsid w:val="4E994025"/>
    <w:rsid w:val="4EBB3F9B"/>
    <w:rsid w:val="4EC00FAD"/>
    <w:rsid w:val="4EC04943"/>
    <w:rsid w:val="4EC21A1C"/>
    <w:rsid w:val="4ED71FCA"/>
    <w:rsid w:val="4ED74BE2"/>
    <w:rsid w:val="4ED80FF1"/>
    <w:rsid w:val="4EEB7944"/>
    <w:rsid w:val="4EEC05F8"/>
    <w:rsid w:val="4F0E041D"/>
    <w:rsid w:val="4F0E0906"/>
    <w:rsid w:val="4F1D4C56"/>
    <w:rsid w:val="4F2629F3"/>
    <w:rsid w:val="4F365D17"/>
    <w:rsid w:val="4F3818FE"/>
    <w:rsid w:val="4F6208BA"/>
    <w:rsid w:val="4F67020A"/>
    <w:rsid w:val="4F697E9B"/>
    <w:rsid w:val="4F6D08ED"/>
    <w:rsid w:val="4F8B6063"/>
    <w:rsid w:val="4F9843DC"/>
    <w:rsid w:val="4F99748F"/>
    <w:rsid w:val="4FA90471"/>
    <w:rsid w:val="4FB56C3C"/>
    <w:rsid w:val="4FC62A8C"/>
    <w:rsid w:val="4FC827CD"/>
    <w:rsid w:val="4FCB46B2"/>
    <w:rsid w:val="4FDA66A3"/>
    <w:rsid w:val="4FDC241B"/>
    <w:rsid w:val="4FE20F0D"/>
    <w:rsid w:val="4FE36BB5"/>
    <w:rsid w:val="4FE51552"/>
    <w:rsid w:val="4FF0794D"/>
    <w:rsid w:val="50014E3F"/>
    <w:rsid w:val="5003209D"/>
    <w:rsid w:val="50045AFA"/>
    <w:rsid w:val="500A09EB"/>
    <w:rsid w:val="500D7417"/>
    <w:rsid w:val="501872DC"/>
    <w:rsid w:val="502618E8"/>
    <w:rsid w:val="502A1CE1"/>
    <w:rsid w:val="502A587C"/>
    <w:rsid w:val="503C0C40"/>
    <w:rsid w:val="50504C4B"/>
    <w:rsid w:val="505740C9"/>
    <w:rsid w:val="5058772C"/>
    <w:rsid w:val="505B6AD3"/>
    <w:rsid w:val="50681F00"/>
    <w:rsid w:val="507928A6"/>
    <w:rsid w:val="50877BAC"/>
    <w:rsid w:val="508F1007"/>
    <w:rsid w:val="509C6E7C"/>
    <w:rsid w:val="509E3B74"/>
    <w:rsid w:val="50BD709D"/>
    <w:rsid w:val="50CA2BBB"/>
    <w:rsid w:val="50CE0050"/>
    <w:rsid w:val="50D8030A"/>
    <w:rsid w:val="50FA629D"/>
    <w:rsid w:val="50FB4F07"/>
    <w:rsid w:val="50FD5A91"/>
    <w:rsid w:val="51177610"/>
    <w:rsid w:val="511D06C8"/>
    <w:rsid w:val="511F3454"/>
    <w:rsid w:val="512F6EC2"/>
    <w:rsid w:val="514A1D36"/>
    <w:rsid w:val="515E457D"/>
    <w:rsid w:val="515F20E5"/>
    <w:rsid w:val="5161620D"/>
    <w:rsid w:val="5162104E"/>
    <w:rsid w:val="516C72A2"/>
    <w:rsid w:val="519165A2"/>
    <w:rsid w:val="519311FF"/>
    <w:rsid w:val="519A07DF"/>
    <w:rsid w:val="519B277A"/>
    <w:rsid w:val="51AA6CA5"/>
    <w:rsid w:val="51C2251A"/>
    <w:rsid w:val="51C70EA9"/>
    <w:rsid w:val="51C76B1F"/>
    <w:rsid w:val="51E431C7"/>
    <w:rsid w:val="520914C1"/>
    <w:rsid w:val="5216182E"/>
    <w:rsid w:val="521A175E"/>
    <w:rsid w:val="521B55DA"/>
    <w:rsid w:val="521E291B"/>
    <w:rsid w:val="52277093"/>
    <w:rsid w:val="52293911"/>
    <w:rsid w:val="522B5BFD"/>
    <w:rsid w:val="522E0F28"/>
    <w:rsid w:val="52311595"/>
    <w:rsid w:val="523B295E"/>
    <w:rsid w:val="524D5F5A"/>
    <w:rsid w:val="524D7600"/>
    <w:rsid w:val="52636E23"/>
    <w:rsid w:val="526B217C"/>
    <w:rsid w:val="526F57C8"/>
    <w:rsid w:val="527A665A"/>
    <w:rsid w:val="52846D9A"/>
    <w:rsid w:val="52BC6534"/>
    <w:rsid w:val="52D42656"/>
    <w:rsid w:val="52D826EB"/>
    <w:rsid w:val="52DC75DE"/>
    <w:rsid w:val="52EC58E9"/>
    <w:rsid w:val="530F523C"/>
    <w:rsid w:val="533D42D6"/>
    <w:rsid w:val="533E519B"/>
    <w:rsid w:val="5352185B"/>
    <w:rsid w:val="535D0D7C"/>
    <w:rsid w:val="536A5F90"/>
    <w:rsid w:val="53874D93"/>
    <w:rsid w:val="53A039CC"/>
    <w:rsid w:val="53A1505A"/>
    <w:rsid w:val="53A70F92"/>
    <w:rsid w:val="53B840CF"/>
    <w:rsid w:val="53C576FB"/>
    <w:rsid w:val="53CB2DD3"/>
    <w:rsid w:val="53D43F85"/>
    <w:rsid w:val="53D9267D"/>
    <w:rsid w:val="53F266B1"/>
    <w:rsid w:val="54063E08"/>
    <w:rsid w:val="541A79B6"/>
    <w:rsid w:val="541C1980"/>
    <w:rsid w:val="5420368F"/>
    <w:rsid w:val="54336CC9"/>
    <w:rsid w:val="543437E8"/>
    <w:rsid w:val="543F6400"/>
    <w:rsid w:val="544B7BDA"/>
    <w:rsid w:val="5450313D"/>
    <w:rsid w:val="54547ABF"/>
    <w:rsid w:val="546649A9"/>
    <w:rsid w:val="54A11E85"/>
    <w:rsid w:val="54A43723"/>
    <w:rsid w:val="54A83213"/>
    <w:rsid w:val="54C960A0"/>
    <w:rsid w:val="54ED6E78"/>
    <w:rsid w:val="54F56ADF"/>
    <w:rsid w:val="54F73313"/>
    <w:rsid w:val="54F80955"/>
    <w:rsid w:val="54F833D3"/>
    <w:rsid w:val="55055F70"/>
    <w:rsid w:val="551D0BFE"/>
    <w:rsid w:val="55393B59"/>
    <w:rsid w:val="555170A7"/>
    <w:rsid w:val="555D3FFE"/>
    <w:rsid w:val="55766E6E"/>
    <w:rsid w:val="55794BB0"/>
    <w:rsid w:val="5579695E"/>
    <w:rsid w:val="5587536D"/>
    <w:rsid w:val="559B174B"/>
    <w:rsid w:val="55AF27B1"/>
    <w:rsid w:val="55BD4B31"/>
    <w:rsid w:val="55CE0CF4"/>
    <w:rsid w:val="55EE2EA8"/>
    <w:rsid w:val="562543F0"/>
    <w:rsid w:val="562E599A"/>
    <w:rsid w:val="5642741C"/>
    <w:rsid w:val="564E1B99"/>
    <w:rsid w:val="56591E65"/>
    <w:rsid w:val="567333AD"/>
    <w:rsid w:val="567D5FDA"/>
    <w:rsid w:val="56943060"/>
    <w:rsid w:val="569D42C9"/>
    <w:rsid w:val="56B124EA"/>
    <w:rsid w:val="56B22A9C"/>
    <w:rsid w:val="56B4375E"/>
    <w:rsid w:val="56BB5221"/>
    <w:rsid w:val="570041AA"/>
    <w:rsid w:val="57064221"/>
    <w:rsid w:val="571132F2"/>
    <w:rsid w:val="5717642E"/>
    <w:rsid w:val="5725401B"/>
    <w:rsid w:val="5728606E"/>
    <w:rsid w:val="57437223"/>
    <w:rsid w:val="57490A91"/>
    <w:rsid w:val="57590062"/>
    <w:rsid w:val="57613979"/>
    <w:rsid w:val="57623FEC"/>
    <w:rsid w:val="576426BC"/>
    <w:rsid w:val="57650E57"/>
    <w:rsid w:val="576A0011"/>
    <w:rsid w:val="577675F9"/>
    <w:rsid w:val="5779742B"/>
    <w:rsid w:val="57914433"/>
    <w:rsid w:val="579A1C56"/>
    <w:rsid w:val="57A2219C"/>
    <w:rsid w:val="57A8352A"/>
    <w:rsid w:val="57B4501B"/>
    <w:rsid w:val="57B72A76"/>
    <w:rsid w:val="57BD6FD6"/>
    <w:rsid w:val="57C3426C"/>
    <w:rsid w:val="57C9013F"/>
    <w:rsid w:val="57CE1F93"/>
    <w:rsid w:val="57D12A81"/>
    <w:rsid w:val="57DE1A03"/>
    <w:rsid w:val="57EE7344"/>
    <w:rsid w:val="57F56770"/>
    <w:rsid w:val="580B3F22"/>
    <w:rsid w:val="582C7CB7"/>
    <w:rsid w:val="582C7FC9"/>
    <w:rsid w:val="583077A8"/>
    <w:rsid w:val="583707F7"/>
    <w:rsid w:val="583E05B1"/>
    <w:rsid w:val="584350A4"/>
    <w:rsid w:val="584D165C"/>
    <w:rsid w:val="58533496"/>
    <w:rsid w:val="58801DB1"/>
    <w:rsid w:val="58847722"/>
    <w:rsid w:val="588743D1"/>
    <w:rsid w:val="5887701A"/>
    <w:rsid w:val="58931AE5"/>
    <w:rsid w:val="58A029C5"/>
    <w:rsid w:val="58AF4857"/>
    <w:rsid w:val="58D42829"/>
    <w:rsid w:val="58DA3BB7"/>
    <w:rsid w:val="58DC1AB2"/>
    <w:rsid w:val="58DF4D2A"/>
    <w:rsid w:val="58FB4E67"/>
    <w:rsid w:val="58FD41D4"/>
    <w:rsid w:val="59073745"/>
    <w:rsid w:val="59086DF4"/>
    <w:rsid w:val="59350DEE"/>
    <w:rsid w:val="593A2BFB"/>
    <w:rsid w:val="59486D73"/>
    <w:rsid w:val="59611C14"/>
    <w:rsid w:val="59A16A9D"/>
    <w:rsid w:val="59AE44E3"/>
    <w:rsid w:val="59BD1411"/>
    <w:rsid w:val="59C0439F"/>
    <w:rsid w:val="59C24CD2"/>
    <w:rsid w:val="59C52172"/>
    <w:rsid w:val="59D979CB"/>
    <w:rsid w:val="59E3160A"/>
    <w:rsid w:val="59EA7E2A"/>
    <w:rsid w:val="59F14D15"/>
    <w:rsid w:val="5A1A6CB4"/>
    <w:rsid w:val="5A32006A"/>
    <w:rsid w:val="5A332360"/>
    <w:rsid w:val="5A3B41C5"/>
    <w:rsid w:val="5A3B69CE"/>
    <w:rsid w:val="5A3D6C55"/>
    <w:rsid w:val="5A3E2B3C"/>
    <w:rsid w:val="5A407BED"/>
    <w:rsid w:val="5A512E71"/>
    <w:rsid w:val="5A540F69"/>
    <w:rsid w:val="5A7C67E1"/>
    <w:rsid w:val="5A8C0F2A"/>
    <w:rsid w:val="5AB55C4C"/>
    <w:rsid w:val="5AB75E5D"/>
    <w:rsid w:val="5ABE2233"/>
    <w:rsid w:val="5ACD39D4"/>
    <w:rsid w:val="5ADE6466"/>
    <w:rsid w:val="5AE14D89"/>
    <w:rsid w:val="5AE44879"/>
    <w:rsid w:val="5AFA409D"/>
    <w:rsid w:val="5B084A0C"/>
    <w:rsid w:val="5B165A73"/>
    <w:rsid w:val="5B1F66E3"/>
    <w:rsid w:val="5B3C46B5"/>
    <w:rsid w:val="5B432AC3"/>
    <w:rsid w:val="5B435A44"/>
    <w:rsid w:val="5B4377F2"/>
    <w:rsid w:val="5B451238"/>
    <w:rsid w:val="5B471EFA"/>
    <w:rsid w:val="5B522656"/>
    <w:rsid w:val="5B5B22EF"/>
    <w:rsid w:val="5B642C95"/>
    <w:rsid w:val="5B8C5F46"/>
    <w:rsid w:val="5B90055D"/>
    <w:rsid w:val="5B956E8B"/>
    <w:rsid w:val="5BA06B14"/>
    <w:rsid w:val="5BAE26C4"/>
    <w:rsid w:val="5BAE3877"/>
    <w:rsid w:val="5BC052E6"/>
    <w:rsid w:val="5BC80B8E"/>
    <w:rsid w:val="5BCF1086"/>
    <w:rsid w:val="5BDB4EDF"/>
    <w:rsid w:val="5BDB7A2A"/>
    <w:rsid w:val="5BDF5D95"/>
    <w:rsid w:val="5BE26085"/>
    <w:rsid w:val="5BEF36AF"/>
    <w:rsid w:val="5BF02711"/>
    <w:rsid w:val="5BF21ADF"/>
    <w:rsid w:val="5BFE5D5C"/>
    <w:rsid w:val="5BFE7528"/>
    <w:rsid w:val="5C0A47B4"/>
    <w:rsid w:val="5C18110A"/>
    <w:rsid w:val="5C2369E8"/>
    <w:rsid w:val="5C2642E0"/>
    <w:rsid w:val="5C3F5F5F"/>
    <w:rsid w:val="5C4750C0"/>
    <w:rsid w:val="5C59378E"/>
    <w:rsid w:val="5C5A1297"/>
    <w:rsid w:val="5C6D2601"/>
    <w:rsid w:val="5C82259C"/>
    <w:rsid w:val="5C905700"/>
    <w:rsid w:val="5C9C2A33"/>
    <w:rsid w:val="5CA208D6"/>
    <w:rsid w:val="5CA95D7B"/>
    <w:rsid w:val="5CB0535B"/>
    <w:rsid w:val="5CC40A6A"/>
    <w:rsid w:val="5CD52621"/>
    <w:rsid w:val="5CDF05C2"/>
    <w:rsid w:val="5D080CF3"/>
    <w:rsid w:val="5D2D2508"/>
    <w:rsid w:val="5D511C92"/>
    <w:rsid w:val="5D63417B"/>
    <w:rsid w:val="5D635F29"/>
    <w:rsid w:val="5D6C4425"/>
    <w:rsid w:val="5D7D374B"/>
    <w:rsid w:val="5D8F4A9F"/>
    <w:rsid w:val="5D905B98"/>
    <w:rsid w:val="5D92411A"/>
    <w:rsid w:val="5D965D10"/>
    <w:rsid w:val="5D99755E"/>
    <w:rsid w:val="5DC170F4"/>
    <w:rsid w:val="5DD304E9"/>
    <w:rsid w:val="5DDA0670"/>
    <w:rsid w:val="5E0A4DBB"/>
    <w:rsid w:val="5E0C7793"/>
    <w:rsid w:val="5E19735F"/>
    <w:rsid w:val="5E224037"/>
    <w:rsid w:val="5E2467F1"/>
    <w:rsid w:val="5E2F0501"/>
    <w:rsid w:val="5E30336E"/>
    <w:rsid w:val="5E360FBA"/>
    <w:rsid w:val="5E36215E"/>
    <w:rsid w:val="5E3C677A"/>
    <w:rsid w:val="5E5A68C4"/>
    <w:rsid w:val="5E622685"/>
    <w:rsid w:val="5E815F00"/>
    <w:rsid w:val="5E921635"/>
    <w:rsid w:val="5EA06D09"/>
    <w:rsid w:val="5EA40BE2"/>
    <w:rsid w:val="5EA52572"/>
    <w:rsid w:val="5EA54320"/>
    <w:rsid w:val="5EB53ACA"/>
    <w:rsid w:val="5EB977B0"/>
    <w:rsid w:val="5EBB34FA"/>
    <w:rsid w:val="5EBB7FE7"/>
    <w:rsid w:val="5EDD61AF"/>
    <w:rsid w:val="5EE62862"/>
    <w:rsid w:val="5EEA5E68"/>
    <w:rsid w:val="5EEC63F2"/>
    <w:rsid w:val="5EF656A8"/>
    <w:rsid w:val="5EFA4773"/>
    <w:rsid w:val="5F035B17"/>
    <w:rsid w:val="5F0B42A1"/>
    <w:rsid w:val="5F1A2B43"/>
    <w:rsid w:val="5F294F51"/>
    <w:rsid w:val="5F2D2C05"/>
    <w:rsid w:val="5F3F4774"/>
    <w:rsid w:val="5F4E6765"/>
    <w:rsid w:val="5F55367B"/>
    <w:rsid w:val="5F582CEA"/>
    <w:rsid w:val="5F5875E4"/>
    <w:rsid w:val="5F5C5FB8"/>
    <w:rsid w:val="5F661D01"/>
    <w:rsid w:val="5F6758BD"/>
    <w:rsid w:val="5F7062B7"/>
    <w:rsid w:val="5F786C30"/>
    <w:rsid w:val="5F7C20F7"/>
    <w:rsid w:val="5F9E76ED"/>
    <w:rsid w:val="5FAF5EBD"/>
    <w:rsid w:val="5FB837BB"/>
    <w:rsid w:val="5FBB029F"/>
    <w:rsid w:val="5FE14184"/>
    <w:rsid w:val="5FE9472D"/>
    <w:rsid w:val="600B435F"/>
    <w:rsid w:val="60177EB2"/>
    <w:rsid w:val="601B0E9F"/>
    <w:rsid w:val="601F459C"/>
    <w:rsid w:val="60210924"/>
    <w:rsid w:val="603315F8"/>
    <w:rsid w:val="60367B4F"/>
    <w:rsid w:val="60471B32"/>
    <w:rsid w:val="60547708"/>
    <w:rsid w:val="605506FE"/>
    <w:rsid w:val="605618CA"/>
    <w:rsid w:val="605A7091"/>
    <w:rsid w:val="60614D83"/>
    <w:rsid w:val="60624BBE"/>
    <w:rsid w:val="606C470B"/>
    <w:rsid w:val="606D309A"/>
    <w:rsid w:val="60842081"/>
    <w:rsid w:val="6089214B"/>
    <w:rsid w:val="6092522B"/>
    <w:rsid w:val="60965F66"/>
    <w:rsid w:val="60994B40"/>
    <w:rsid w:val="60A4564D"/>
    <w:rsid w:val="60B91955"/>
    <w:rsid w:val="60C14694"/>
    <w:rsid w:val="60C53EC6"/>
    <w:rsid w:val="60C56EFB"/>
    <w:rsid w:val="60CC405A"/>
    <w:rsid w:val="60D50CDA"/>
    <w:rsid w:val="60DC7067"/>
    <w:rsid w:val="60F762DD"/>
    <w:rsid w:val="610044F1"/>
    <w:rsid w:val="611F660B"/>
    <w:rsid w:val="61234A80"/>
    <w:rsid w:val="612B4FB0"/>
    <w:rsid w:val="61444242"/>
    <w:rsid w:val="61475B62"/>
    <w:rsid w:val="614D13CA"/>
    <w:rsid w:val="615A04E7"/>
    <w:rsid w:val="615A27C1"/>
    <w:rsid w:val="616876BA"/>
    <w:rsid w:val="61726B2B"/>
    <w:rsid w:val="61770491"/>
    <w:rsid w:val="617C232D"/>
    <w:rsid w:val="619121B0"/>
    <w:rsid w:val="61914D79"/>
    <w:rsid w:val="61A4248A"/>
    <w:rsid w:val="61B97988"/>
    <w:rsid w:val="61BC5F59"/>
    <w:rsid w:val="61BE5E24"/>
    <w:rsid w:val="61BF394A"/>
    <w:rsid w:val="61D81A0E"/>
    <w:rsid w:val="61E215D8"/>
    <w:rsid w:val="61F555BE"/>
    <w:rsid w:val="6212070F"/>
    <w:rsid w:val="621B3775"/>
    <w:rsid w:val="621F43E9"/>
    <w:rsid w:val="62214605"/>
    <w:rsid w:val="622D469B"/>
    <w:rsid w:val="62364782"/>
    <w:rsid w:val="623B1277"/>
    <w:rsid w:val="625247BE"/>
    <w:rsid w:val="625A0109"/>
    <w:rsid w:val="626C54E2"/>
    <w:rsid w:val="6283706E"/>
    <w:rsid w:val="62853EDB"/>
    <w:rsid w:val="628D28EC"/>
    <w:rsid w:val="62A74B0A"/>
    <w:rsid w:val="62C31043"/>
    <w:rsid w:val="62E25B42"/>
    <w:rsid w:val="62EF200D"/>
    <w:rsid w:val="62F13FD7"/>
    <w:rsid w:val="62F87114"/>
    <w:rsid w:val="63061601"/>
    <w:rsid w:val="630A6E47"/>
    <w:rsid w:val="630E4B89"/>
    <w:rsid w:val="63114351"/>
    <w:rsid w:val="6315179C"/>
    <w:rsid w:val="631F416F"/>
    <w:rsid w:val="632100B4"/>
    <w:rsid w:val="63253C81"/>
    <w:rsid w:val="6333639E"/>
    <w:rsid w:val="63386404"/>
    <w:rsid w:val="6340727D"/>
    <w:rsid w:val="63407AAD"/>
    <w:rsid w:val="634B748F"/>
    <w:rsid w:val="63685B08"/>
    <w:rsid w:val="636D771D"/>
    <w:rsid w:val="63765563"/>
    <w:rsid w:val="63823F28"/>
    <w:rsid w:val="63871BF1"/>
    <w:rsid w:val="6394356A"/>
    <w:rsid w:val="63952BB5"/>
    <w:rsid w:val="639B0809"/>
    <w:rsid w:val="639C1066"/>
    <w:rsid w:val="639C6A4A"/>
    <w:rsid w:val="639C7EE5"/>
    <w:rsid w:val="63A23982"/>
    <w:rsid w:val="63A252D2"/>
    <w:rsid w:val="63C61B2C"/>
    <w:rsid w:val="63CF2424"/>
    <w:rsid w:val="63D40BE9"/>
    <w:rsid w:val="63E44B2A"/>
    <w:rsid w:val="63FE60D7"/>
    <w:rsid w:val="640B10C9"/>
    <w:rsid w:val="64102431"/>
    <w:rsid w:val="64216B3E"/>
    <w:rsid w:val="6424218B"/>
    <w:rsid w:val="64243C94"/>
    <w:rsid w:val="64287C8A"/>
    <w:rsid w:val="642E1EDF"/>
    <w:rsid w:val="64654C7D"/>
    <w:rsid w:val="646F1658"/>
    <w:rsid w:val="64717E28"/>
    <w:rsid w:val="648B5792"/>
    <w:rsid w:val="649145A1"/>
    <w:rsid w:val="649421ED"/>
    <w:rsid w:val="64A5243A"/>
    <w:rsid w:val="64C33752"/>
    <w:rsid w:val="64C92069"/>
    <w:rsid w:val="64E66E97"/>
    <w:rsid w:val="64F144DB"/>
    <w:rsid w:val="64F531DE"/>
    <w:rsid w:val="64FD6C64"/>
    <w:rsid w:val="64FF0E82"/>
    <w:rsid w:val="650049A6"/>
    <w:rsid w:val="65051FBC"/>
    <w:rsid w:val="65085608"/>
    <w:rsid w:val="650A6EDB"/>
    <w:rsid w:val="650D4F3F"/>
    <w:rsid w:val="6518584B"/>
    <w:rsid w:val="652D6D3B"/>
    <w:rsid w:val="6532737B"/>
    <w:rsid w:val="6535464F"/>
    <w:rsid w:val="65373578"/>
    <w:rsid w:val="653D3504"/>
    <w:rsid w:val="65420B1A"/>
    <w:rsid w:val="65426D6C"/>
    <w:rsid w:val="654B09B5"/>
    <w:rsid w:val="654C3747"/>
    <w:rsid w:val="656059DD"/>
    <w:rsid w:val="656C203B"/>
    <w:rsid w:val="657802BB"/>
    <w:rsid w:val="65796666"/>
    <w:rsid w:val="6584240A"/>
    <w:rsid w:val="65975C7B"/>
    <w:rsid w:val="659A163A"/>
    <w:rsid w:val="65B334F2"/>
    <w:rsid w:val="65BB72FB"/>
    <w:rsid w:val="65C92FEA"/>
    <w:rsid w:val="65F8742B"/>
    <w:rsid w:val="6608196B"/>
    <w:rsid w:val="661F2C0A"/>
    <w:rsid w:val="662B1DBC"/>
    <w:rsid w:val="663E2304"/>
    <w:rsid w:val="6673403F"/>
    <w:rsid w:val="668A2770"/>
    <w:rsid w:val="668E6D99"/>
    <w:rsid w:val="66905E93"/>
    <w:rsid w:val="66B3778E"/>
    <w:rsid w:val="66B4627E"/>
    <w:rsid w:val="66B91EC7"/>
    <w:rsid w:val="66B97CAD"/>
    <w:rsid w:val="66CA2E55"/>
    <w:rsid w:val="66CF2C5D"/>
    <w:rsid w:val="66DC0AFB"/>
    <w:rsid w:val="66E520A5"/>
    <w:rsid w:val="66EA796E"/>
    <w:rsid w:val="66EF4576"/>
    <w:rsid w:val="66F93CC4"/>
    <w:rsid w:val="670E5C37"/>
    <w:rsid w:val="67184051"/>
    <w:rsid w:val="671B0307"/>
    <w:rsid w:val="671F124A"/>
    <w:rsid w:val="6728407F"/>
    <w:rsid w:val="672923F1"/>
    <w:rsid w:val="672B78DD"/>
    <w:rsid w:val="673D4944"/>
    <w:rsid w:val="673F7A07"/>
    <w:rsid w:val="67462860"/>
    <w:rsid w:val="6753700F"/>
    <w:rsid w:val="675863D3"/>
    <w:rsid w:val="676070B8"/>
    <w:rsid w:val="6773375B"/>
    <w:rsid w:val="677733EF"/>
    <w:rsid w:val="677A33C6"/>
    <w:rsid w:val="677F7E04"/>
    <w:rsid w:val="678418BE"/>
    <w:rsid w:val="67AF5640"/>
    <w:rsid w:val="67C11D9B"/>
    <w:rsid w:val="67C672A5"/>
    <w:rsid w:val="67D55E2F"/>
    <w:rsid w:val="67DB41F5"/>
    <w:rsid w:val="67ED3D94"/>
    <w:rsid w:val="680058A5"/>
    <w:rsid w:val="680B5B3B"/>
    <w:rsid w:val="68182006"/>
    <w:rsid w:val="681F6961"/>
    <w:rsid w:val="68202DE4"/>
    <w:rsid w:val="6848286B"/>
    <w:rsid w:val="68610A2F"/>
    <w:rsid w:val="68792AA5"/>
    <w:rsid w:val="687C07E7"/>
    <w:rsid w:val="68805514"/>
    <w:rsid w:val="68D048A1"/>
    <w:rsid w:val="68D221B5"/>
    <w:rsid w:val="68E96DC0"/>
    <w:rsid w:val="68F22857"/>
    <w:rsid w:val="68F66C7D"/>
    <w:rsid w:val="69026F3E"/>
    <w:rsid w:val="690600B1"/>
    <w:rsid w:val="69132F9C"/>
    <w:rsid w:val="691B552B"/>
    <w:rsid w:val="69212346"/>
    <w:rsid w:val="6922313D"/>
    <w:rsid w:val="69232A11"/>
    <w:rsid w:val="6925369D"/>
    <w:rsid w:val="69316E2F"/>
    <w:rsid w:val="6938470E"/>
    <w:rsid w:val="693F7817"/>
    <w:rsid w:val="694105EE"/>
    <w:rsid w:val="694E2071"/>
    <w:rsid w:val="69562DE6"/>
    <w:rsid w:val="69766163"/>
    <w:rsid w:val="697A3B33"/>
    <w:rsid w:val="69877444"/>
    <w:rsid w:val="698B6C53"/>
    <w:rsid w:val="699B4C9D"/>
    <w:rsid w:val="69AB1384"/>
    <w:rsid w:val="69B71054"/>
    <w:rsid w:val="69BD5301"/>
    <w:rsid w:val="69CF2D60"/>
    <w:rsid w:val="69D44760"/>
    <w:rsid w:val="69E20624"/>
    <w:rsid w:val="6A114F5F"/>
    <w:rsid w:val="6A1F58CE"/>
    <w:rsid w:val="6A477AE1"/>
    <w:rsid w:val="6A514DCD"/>
    <w:rsid w:val="6A520EC7"/>
    <w:rsid w:val="6A576E16"/>
    <w:rsid w:val="6A5908BB"/>
    <w:rsid w:val="6A66414B"/>
    <w:rsid w:val="6A7B7B2B"/>
    <w:rsid w:val="6A900E4B"/>
    <w:rsid w:val="6A905569"/>
    <w:rsid w:val="6A906F5C"/>
    <w:rsid w:val="6A9725ED"/>
    <w:rsid w:val="6A9A4219"/>
    <w:rsid w:val="6AA47B81"/>
    <w:rsid w:val="6ACC40C3"/>
    <w:rsid w:val="6AD54E94"/>
    <w:rsid w:val="6ADC7929"/>
    <w:rsid w:val="6AEC563E"/>
    <w:rsid w:val="6AF44665"/>
    <w:rsid w:val="6AF607B3"/>
    <w:rsid w:val="6AF87E20"/>
    <w:rsid w:val="6AFC6742"/>
    <w:rsid w:val="6B160A7F"/>
    <w:rsid w:val="6B241899"/>
    <w:rsid w:val="6B2B4A2E"/>
    <w:rsid w:val="6B322639"/>
    <w:rsid w:val="6B3E7FD6"/>
    <w:rsid w:val="6B4765B5"/>
    <w:rsid w:val="6B5E41D4"/>
    <w:rsid w:val="6B796374"/>
    <w:rsid w:val="6B7A6FCB"/>
    <w:rsid w:val="6B7B52B5"/>
    <w:rsid w:val="6B891DB3"/>
    <w:rsid w:val="6BA56193"/>
    <w:rsid w:val="6BA56AFF"/>
    <w:rsid w:val="6BAB053F"/>
    <w:rsid w:val="6BD9385B"/>
    <w:rsid w:val="6BDD334B"/>
    <w:rsid w:val="6BE052E0"/>
    <w:rsid w:val="6BE90E04"/>
    <w:rsid w:val="6BE97F42"/>
    <w:rsid w:val="6BEA3CBA"/>
    <w:rsid w:val="6BF95AAD"/>
    <w:rsid w:val="6BFB1A23"/>
    <w:rsid w:val="6C1D59E9"/>
    <w:rsid w:val="6C2141C2"/>
    <w:rsid w:val="6C360CAD"/>
    <w:rsid w:val="6C3844B8"/>
    <w:rsid w:val="6C5C0CCF"/>
    <w:rsid w:val="6C636C38"/>
    <w:rsid w:val="6C6479FA"/>
    <w:rsid w:val="6C6D13E3"/>
    <w:rsid w:val="6C735A5D"/>
    <w:rsid w:val="6C742E3A"/>
    <w:rsid w:val="6C8056CB"/>
    <w:rsid w:val="6C8228E8"/>
    <w:rsid w:val="6C942252"/>
    <w:rsid w:val="6C944351"/>
    <w:rsid w:val="6C967EEC"/>
    <w:rsid w:val="6CA8212E"/>
    <w:rsid w:val="6CA87DFD"/>
    <w:rsid w:val="6CAA4068"/>
    <w:rsid w:val="6CAB169B"/>
    <w:rsid w:val="6CAF46B1"/>
    <w:rsid w:val="6CDB1656"/>
    <w:rsid w:val="6CE10C19"/>
    <w:rsid w:val="6CED2AD4"/>
    <w:rsid w:val="6CEE6394"/>
    <w:rsid w:val="6CF037D6"/>
    <w:rsid w:val="6CF97AC8"/>
    <w:rsid w:val="6CFC6091"/>
    <w:rsid w:val="6D0019E7"/>
    <w:rsid w:val="6D0B33A7"/>
    <w:rsid w:val="6D2D5263"/>
    <w:rsid w:val="6D3B47CD"/>
    <w:rsid w:val="6D45389E"/>
    <w:rsid w:val="6D5A4DDE"/>
    <w:rsid w:val="6D5E670D"/>
    <w:rsid w:val="6D657A9C"/>
    <w:rsid w:val="6D694877"/>
    <w:rsid w:val="6D6F5EA9"/>
    <w:rsid w:val="6D955CD2"/>
    <w:rsid w:val="6D9C0FE4"/>
    <w:rsid w:val="6DB34098"/>
    <w:rsid w:val="6DB545B6"/>
    <w:rsid w:val="6DB97DE8"/>
    <w:rsid w:val="6DC742B3"/>
    <w:rsid w:val="6DCA5061"/>
    <w:rsid w:val="6DE02FB4"/>
    <w:rsid w:val="6DF2056D"/>
    <w:rsid w:val="6DF77121"/>
    <w:rsid w:val="6DFB5D0A"/>
    <w:rsid w:val="6DFB73A7"/>
    <w:rsid w:val="6E177A5E"/>
    <w:rsid w:val="6E1D0CC8"/>
    <w:rsid w:val="6E514CED"/>
    <w:rsid w:val="6E535B46"/>
    <w:rsid w:val="6E647424"/>
    <w:rsid w:val="6E94233B"/>
    <w:rsid w:val="6EAE4557"/>
    <w:rsid w:val="6EAF6E1E"/>
    <w:rsid w:val="6EB563D5"/>
    <w:rsid w:val="6EBE1382"/>
    <w:rsid w:val="6EC6456A"/>
    <w:rsid w:val="6ED92677"/>
    <w:rsid w:val="6EDF1EF7"/>
    <w:rsid w:val="6EFE0552"/>
    <w:rsid w:val="6F030F00"/>
    <w:rsid w:val="6F0F2F3A"/>
    <w:rsid w:val="6F172025"/>
    <w:rsid w:val="6F190B3E"/>
    <w:rsid w:val="6F225983"/>
    <w:rsid w:val="6F2908C4"/>
    <w:rsid w:val="6F305E87"/>
    <w:rsid w:val="6F312C4E"/>
    <w:rsid w:val="6F3941EE"/>
    <w:rsid w:val="6F434B68"/>
    <w:rsid w:val="6F536329"/>
    <w:rsid w:val="6F55769C"/>
    <w:rsid w:val="6F6508B1"/>
    <w:rsid w:val="6F885CC3"/>
    <w:rsid w:val="6F88604C"/>
    <w:rsid w:val="6FA128E1"/>
    <w:rsid w:val="6FAF14A2"/>
    <w:rsid w:val="6FC14DD4"/>
    <w:rsid w:val="6FC7413D"/>
    <w:rsid w:val="6FC8612D"/>
    <w:rsid w:val="6FE46080"/>
    <w:rsid w:val="6FEA1493"/>
    <w:rsid w:val="6FFC5590"/>
    <w:rsid w:val="6FFF594C"/>
    <w:rsid w:val="70146987"/>
    <w:rsid w:val="70182BA3"/>
    <w:rsid w:val="701B2694"/>
    <w:rsid w:val="701F0E10"/>
    <w:rsid w:val="7022633E"/>
    <w:rsid w:val="70231548"/>
    <w:rsid w:val="702C0E65"/>
    <w:rsid w:val="702F613F"/>
    <w:rsid w:val="70440DA2"/>
    <w:rsid w:val="705463CD"/>
    <w:rsid w:val="705A140E"/>
    <w:rsid w:val="70623D25"/>
    <w:rsid w:val="706A477F"/>
    <w:rsid w:val="706D1DD0"/>
    <w:rsid w:val="706D414A"/>
    <w:rsid w:val="70781894"/>
    <w:rsid w:val="70856B87"/>
    <w:rsid w:val="709042CC"/>
    <w:rsid w:val="7093492D"/>
    <w:rsid w:val="70AB441A"/>
    <w:rsid w:val="70AD3C34"/>
    <w:rsid w:val="70B56644"/>
    <w:rsid w:val="70C85359"/>
    <w:rsid w:val="70D07922"/>
    <w:rsid w:val="70D527EE"/>
    <w:rsid w:val="70DC0075"/>
    <w:rsid w:val="70E16C21"/>
    <w:rsid w:val="70E648AB"/>
    <w:rsid w:val="70F876F0"/>
    <w:rsid w:val="71096ABA"/>
    <w:rsid w:val="711E68DF"/>
    <w:rsid w:val="71324139"/>
    <w:rsid w:val="713F415C"/>
    <w:rsid w:val="71450AD2"/>
    <w:rsid w:val="714F0748"/>
    <w:rsid w:val="715B5300"/>
    <w:rsid w:val="715D6337"/>
    <w:rsid w:val="71632544"/>
    <w:rsid w:val="71836742"/>
    <w:rsid w:val="7188117E"/>
    <w:rsid w:val="718B743D"/>
    <w:rsid w:val="719942C8"/>
    <w:rsid w:val="71A5640D"/>
    <w:rsid w:val="71AD37BF"/>
    <w:rsid w:val="71B92D4A"/>
    <w:rsid w:val="71BA7C8A"/>
    <w:rsid w:val="71C60D9E"/>
    <w:rsid w:val="71D27F8A"/>
    <w:rsid w:val="71D820DF"/>
    <w:rsid w:val="71E457D7"/>
    <w:rsid w:val="71E60F6C"/>
    <w:rsid w:val="72006B31"/>
    <w:rsid w:val="72097E61"/>
    <w:rsid w:val="721455EC"/>
    <w:rsid w:val="72171289"/>
    <w:rsid w:val="721750DD"/>
    <w:rsid w:val="72192C03"/>
    <w:rsid w:val="72347A3D"/>
    <w:rsid w:val="72365713"/>
    <w:rsid w:val="724332A1"/>
    <w:rsid w:val="72553024"/>
    <w:rsid w:val="726A16B0"/>
    <w:rsid w:val="72760055"/>
    <w:rsid w:val="72A66B8C"/>
    <w:rsid w:val="72A76461"/>
    <w:rsid w:val="72A9042B"/>
    <w:rsid w:val="72A95138"/>
    <w:rsid w:val="72AA03A9"/>
    <w:rsid w:val="72AC0074"/>
    <w:rsid w:val="72AF09A7"/>
    <w:rsid w:val="72C50C5D"/>
    <w:rsid w:val="72CA214F"/>
    <w:rsid w:val="72CE5BF7"/>
    <w:rsid w:val="72D02AAB"/>
    <w:rsid w:val="72D54524"/>
    <w:rsid w:val="72E4076D"/>
    <w:rsid w:val="72FE60E2"/>
    <w:rsid w:val="73001C4C"/>
    <w:rsid w:val="73030512"/>
    <w:rsid w:val="73122968"/>
    <w:rsid w:val="731726C4"/>
    <w:rsid w:val="731735E6"/>
    <w:rsid w:val="731F5D5E"/>
    <w:rsid w:val="732952B4"/>
    <w:rsid w:val="73441409"/>
    <w:rsid w:val="73500851"/>
    <w:rsid w:val="73685544"/>
    <w:rsid w:val="739015EB"/>
    <w:rsid w:val="7394381C"/>
    <w:rsid w:val="739D7699"/>
    <w:rsid w:val="73BB6B9E"/>
    <w:rsid w:val="73C51AD5"/>
    <w:rsid w:val="73D2575F"/>
    <w:rsid w:val="73E27F62"/>
    <w:rsid w:val="73E36365"/>
    <w:rsid w:val="740B3F61"/>
    <w:rsid w:val="741B55E3"/>
    <w:rsid w:val="741E793C"/>
    <w:rsid w:val="74363F40"/>
    <w:rsid w:val="74393A30"/>
    <w:rsid w:val="7456013E"/>
    <w:rsid w:val="745E3944"/>
    <w:rsid w:val="746565D3"/>
    <w:rsid w:val="746960C4"/>
    <w:rsid w:val="7476258E"/>
    <w:rsid w:val="747801DB"/>
    <w:rsid w:val="7487654A"/>
    <w:rsid w:val="74A40EAA"/>
    <w:rsid w:val="74A470FC"/>
    <w:rsid w:val="74AE3D74"/>
    <w:rsid w:val="74B1235F"/>
    <w:rsid w:val="74C30258"/>
    <w:rsid w:val="74CB3309"/>
    <w:rsid w:val="74E82A73"/>
    <w:rsid w:val="750250A3"/>
    <w:rsid w:val="751029E3"/>
    <w:rsid w:val="75265D63"/>
    <w:rsid w:val="75273C89"/>
    <w:rsid w:val="754E30FC"/>
    <w:rsid w:val="755315B1"/>
    <w:rsid w:val="755B5EAC"/>
    <w:rsid w:val="755F4CE0"/>
    <w:rsid w:val="75661EAC"/>
    <w:rsid w:val="756C63B2"/>
    <w:rsid w:val="758565C1"/>
    <w:rsid w:val="759C09B9"/>
    <w:rsid w:val="759D1B98"/>
    <w:rsid w:val="75C514BF"/>
    <w:rsid w:val="75D51ED9"/>
    <w:rsid w:val="75DC28C5"/>
    <w:rsid w:val="75E4177A"/>
    <w:rsid w:val="75E43528"/>
    <w:rsid w:val="75EA4FE2"/>
    <w:rsid w:val="75FD183D"/>
    <w:rsid w:val="7601232C"/>
    <w:rsid w:val="76045978"/>
    <w:rsid w:val="7614234E"/>
    <w:rsid w:val="761E385F"/>
    <w:rsid w:val="7635099D"/>
    <w:rsid w:val="76635DC4"/>
    <w:rsid w:val="766F7A12"/>
    <w:rsid w:val="76740D50"/>
    <w:rsid w:val="767825EE"/>
    <w:rsid w:val="768F7938"/>
    <w:rsid w:val="769B008A"/>
    <w:rsid w:val="76A47A6E"/>
    <w:rsid w:val="76B91EA2"/>
    <w:rsid w:val="76CD2267"/>
    <w:rsid w:val="76D461F3"/>
    <w:rsid w:val="76DF3444"/>
    <w:rsid w:val="76E01F41"/>
    <w:rsid w:val="76F1414E"/>
    <w:rsid w:val="76F37EC6"/>
    <w:rsid w:val="76FE5604"/>
    <w:rsid w:val="77004391"/>
    <w:rsid w:val="77047343"/>
    <w:rsid w:val="7707686B"/>
    <w:rsid w:val="77091498"/>
    <w:rsid w:val="770B3462"/>
    <w:rsid w:val="7715608F"/>
    <w:rsid w:val="7721207C"/>
    <w:rsid w:val="7724572B"/>
    <w:rsid w:val="77257FC0"/>
    <w:rsid w:val="77286225"/>
    <w:rsid w:val="772957D9"/>
    <w:rsid w:val="773C40CC"/>
    <w:rsid w:val="77565351"/>
    <w:rsid w:val="77696CF5"/>
    <w:rsid w:val="776A1F3C"/>
    <w:rsid w:val="77762421"/>
    <w:rsid w:val="778014AB"/>
    <w:rsid w:val="77885FF4"/>
    <w:rsid w:val="778C4346"/>
    <w:rsid w:val="7794285B"/>
    <w:rsid w:val="77A47413"/>
    <w:rsid w:val="77B15F47"/>
    <w:rsid w:val="77B4280B"/>
    <w:rsid w:val="77B56B1F"/>
    <w:rsid w:val="77B632D9"/>
    <w:rsid w:val="77BB041A"/>
    <w:rsid w:val="77C07823"/>
    <w:rsid w:val="77C3111B"/>
    <w:rsid w:val="77D559A0"/>
    <w:rsid w:val="77D90B9B"/>
    <w:rsid w:val="77ED700C"/>
    <w:rsid w:val="77FD307A"/>
    <w:rsid w:val="78006AD9"/>
    <w:rsid w:val="780F09F4"/>
    <w:rsid w:val="781B5F00"/>
    <w:rsid w:val="781E7688"/>
    <w:rsid w:val="78440515"/>
    <w:rsid w:val="784B788E"/>
    <w:rsid w:val="785A08FF"/>
    <w:rsid w:val="78632E2A"/>
    <w:rsid w:val="78650950"/>
    <w:rsid w:val="78782D79"/>
    <w:rsid w:val="78A90480"/>
    <w:rsid w:val="78B90C9C"/>
    <w:rsid w:val="78CC09CF"/>
    <w:rsid w:val="78D47E78"/>
    <w:rsid w:val="78D64896"/>
    <w:rsid w:val="78D67D8F"/>
    <w:rsid w:val="78F11737"/>
    <w:rsid w:val="78F67428"/>
    <w:rsid w:val="78F73728"/>
    <w:rsid w:val="79110AD8"/>
    <w:rsid w:val="791530A8"/>
    <w:rsid w:val="79237F02"/>
    <w:rsid w:val="79267E40"/>
    <w:rsid w:val="79353A84"/>
    <w:rsid w:val="793A54E0"/>
    <w:rsid w:val="794E6BD4"/>
    <w:rsid w:val="795B1FDD"/>
    <w:rsid w:val="795D5ACB"/>
    <w:rsid w:val="795F6429"/>
    <w:rsid w:val="798134E3"/>
    <w:rsid w:val="798A2FA4"/>
    <w:rsid w:val="799040F2"/>
    <w:rsid w:val="799208DE"/>
    <w:rsid w:val="799A154F"/>
    <w:rsid w:val="799F1A28"/>
    <w:rsid w:val="79A8143C"/>
    <w:rsid w:val="79B4505F"/>
    <w:rsid w:val="79C515B9"/>
    <w:rsid w:val="79CE5FF4"/>
    <w:rsid w:val="79D1437D"/>
    <w:rsid w:val="7A075953"/>
    <w:rsid w:val="7A0C12DA"/>
    <w:rsid w:val="7A1B6CCD"/>
    <w:rsid w:val="7A1E6674"/>
    <w:rsid w:val="7A2051B1"/>
    <w:rsid w:val="7A364017"/>
    <w:rsid w:val="7A3F3423"/>
    <w:rsid w:val="7A660CE0"/>
    <w:rsid w:val="7A6F3F13"/>
    <w:rsid w:val="7A8265E1"/>
    <w:rsid w:val="7A845248"/>
    <w:rsid w:val="7A874AAE"/>
    <w:rsid w:val="7A8A6C00"/>
    <w:rsid w:val="7AA31672"/>
    <w:rsid w:val="7AB20098"/>
    <w:rsid w:val="7AB3724F"/>
    <w:rsid w:val="7ABC340D"/>
    <w:rsid w:val="7AC34054"/>
    <w:rsid w:val="7AD85C19"/>
    <w:rsid w:val="7AE2097E"/>
    <w:rsid w:val="7AF10BC1"/>
    <w:rsid w:val="7AF40E80"/>
    <w:rsid w:val="7AF75AAB"/>
    <w:rsid w:val="7AFA17C5"/>
    <w:rsid w:val="7AFE6E3A"/>
    <w:rsid w:val="7B0408F4"/>
    <w:rsid w:val="7B252618"/>
    <w:rsid w:val="7B294AC3"/>
    <w:rsid w:val="7B2E5971"/>
    <w:rsid w:val="7B4707E1"/>
    <w:rsid w:val="7B56414C"/>
    <w:rsid w:val="7B660382"/>
    <w:rsid w:val="7B686D42"/>
    <w:rsid w:val="7B6E2211"/>
    <w:rsid w:val="7B787AEA"/>
    <w:rsid w:val="7B7F7F7B"/>
    <w:rsid w:val="7B8071FC"/>
    <w:rsid w:val="7B81057E"/>
    <w:rsid w:val="7B841746"/>
    <w:rsid w:val="7B8515EA"/>
    <w:rsid w:val="7B875081"/>
    <w:rsid w:val="7B891E1A"/>
    <w:rsid w:val="7B93399C"/>
    <w:rsid w:val="7BC260B9"/>
    <w:rsid w:val="7BD76009"/>
    <w:rsid w:val="7BE619F0"/>
    <w:rsid w:val="7C091237"/>
    <w:rsid w:val="7C094A9D"/>
    <w:rsid w:val="7C1D32D5"/>
    <w:rsid w:val="7C23283D"/>
    <w:rsid w:val="7C261715"/>
    <w:rsid w:val="7C3C2DAD"/>
    <w:rsid w:val="7C3F1D3C"/>
    <w:rsid w:val="7C503422"/>
    <w:rsid w:val="7C573B71"/>
    <w:rsid w:val="7C5F1F5F"/>
    <w:rsid w:val="7C6C5AC7"/>
    <w:rsid w:val="7C9F33A2"/>
    <w:rsid w:val="7CA15563"/>
    <w:rsid w:val="7CBD0BD2"/>
    <w:rsid w:val="7CC6544B"/>
    <w:rsid w:val="7CD506B4"/>
    <w:rsid w:val="7CE479BD"/>
    <w:rsid w:val="7CEF4385"/>
    <w:rsid w:val="7CF16C56"/>
    <w:rsid w:val="7CFE0AF9"/>
    <w:rsid w:val="7D0239FF"/>
    <w:rsid w:val="7D360B0D"/>
    <w:rsid w:val="7D4551F4"/>
    <w:rsid w:val="7D5B30F6"/>
    <w:rsid w:val="7D5B67C5"/>
    <w:rsid w:val="7D5C66D7"/>
    <w:rsid w:val="7D5E40CD"/>
    <w:rsid w:val="7D651DB4"/>
    <w:rsid w:val="7D8555F0"/>
    <w:rsid w:val="7D8A2C07"/>
    <w:rsid w:val="7D8F2792"/>
    <w:rsid w:val="7D9010DD"/>
    <w:rsid w:val="7D9500AB"/>
    <w:rsid w:val="7DA029DA"/>
    <w:rsid w:val="7DA77C5D"/>
    <w:rsid w:val="7DC83B00"/>
    <w:rsid w:val="7DCD56F2"/>
    <w:rsid w:val="7DDA1DE0"/>
    <w:rsid w:val="7DE81315"/>
    <w:rsid w:val="7DF503CD"/>
    <w:rsid w:val="7DFA5FDE"/>
    <w:rsid w:val="7DFE3450"/>
    <w:rsid w:val="7E5356EF"/>
    <w:rsid w:val="7E551467"/>
    <w:rsid w:val="7E720970"/>
    <w:rsid w:val="7E745C84"/>
    <w:rsid w:val="7E835F5F"/>
    <w:rsid w:val="7E8738EE"/>
    <w:rsid w:val="7EAE08E3"/>
    <w:rsid w:val="7EBF66F8"/>
    <w:rsid w:val="7EC3319C"/>
    <w:rsid w:val="7ECD36F3"/>
    <w:rsid w:val="7ECD54A1"/>
    <w:rsid w:val="7ECF6D77"/>
    <w:rsid w:val="7ED00504"/>
    <w:rsid w:val="7ED248F7"/>
    <w:rsid w:val="7EE36A72"/>
    <w:rsid w:val="7EF14CDF"/>
    <w:rsid w:val="7EF173E1"/>
    <w:rsid w:val="7EFE38AC"/>
    <w:rsid w:val="7F001CE7"/>
    <w:rsid w:val="7F0A2251"/>
    <w:rsid w:val="7F2C21C7"/>
    <w:rsid w:val="7F582AED"/>
    <w:rsid w:val="7F693709"/>
    <w:rsid w:val="7F6B3A8C"/>
    <w:rsid w:val="7F780DE1"/>
    <w:rsid w:val="7FAA76C9"/>
    <w:rsid w:val="7FBC63DD"/>
    <w:rsid w:val="7FBF5882"/>
    <w:rsid w:val="7FD45DCD"/>
    <w:rsid w:val="7FDE7BD2"/>
    <w:rsid w:val="7FE24E3C"/>
    <w:rsid w:val="7FE47E50"/>
    <w:rsid w:val="7FEA103A"/>
    <w:rsid w:val="7FF13DB5"/>
    <w:rsid w:val="7FF82606"/>
    <w:rsid w:val="7FF92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1"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nhideWhenUsed="0" w:uiPriority="39"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qFormat="1" w:unhideWhenUsed="0" w:uiPriority="0" w:semiHidden="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nhideWhenUsed="0" w:uiPriority="0" w:semiHidden="0" w:name="Body Text 2" w:locked="1"/>
    <w:lsdException w:uiPriority="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uiPriority="0" w:name="Document Map" w:locked="1"/>
    <w:lsdException w:qFormat="1" w:unhideWhenUsed="0" w:uiPriority="99" w:semiHidden="0" w:name="Plain Text" w:locked="1"/>
    <w:lsdException w:qFormat="1" w:unhideWhenUsed="0" w:uiPriority="0" w:semiHidden="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1"/>
    <w:qFormat/>
    <w:locked/>
    <w:uiPriority w:val="0"/>
    <w:pPr>
      <w:keepNext/>
      <w:keepLines/>
      <w:numPr>
        <w:ilvl w:val="1"/>
        <w:numId w:val="1"/>
      </w:numPr>
      <w:spacing w:line="360" w:lineRule="auto"/>
      <w:ind w:left="0" w:firstLine="0"/>
      <w:outlineLvl w:val="1"/>
    </w:pPr>
    <w:rPr>
      <w:rFonts w:ascii="Arial" w:hAnsi="Arial"/>
      <w:b/>
      <w:sz w:val="30"/>
    </w:rPr>
  </w:style>
  <w:style w:type="paragraph" w:styleId="5">
    <w:name w:val="heading 3"/>
    <w:basedOn w:val="1"/>
    <w:next w:val="1"/>
    <w:qFormat/>
    <w:locked/>
    <w:uiPriority w:val="1"/>
    <w:pPr>
      <w:keepNext/>
      <w:keepLines/>
      <w:numPr>
        <w:ilvl w:val="2"/>
        <w:numId w:val="2"/>
      </w:numPr>
      <w:spacing w:before="260" w:after="260" w:line="413" w:lineRule="auto"/>
      <w:outlineLvl w:val="2"/>
    </w:pPr>
    <w:rPr>
      <w:b/>
      <w:sz w:val="32"/>
    </w:rPr>
  </w:style>
  <w:style w:type="paragraph" w:styleId="6">
    <w:name w:val="heading 4"/>
    <w:basedOn w:val="1"/>
    <w:next w:val="1"/>
    <w:link w:val="40"/>
    <w:qFormat/>
    <w:locked/>
    <w:uiPriority w:val="0"/>
    <w:pPr>
      <w:keepNext/>
      <w:keepLines/>
      <w:spacing w:before="280" w:after="290" w:line="374" w:lineRule="auto"/>
      <w:outlineLvl w:val="3"/>
    </w:pPr>
    <w:rPr>
      <w:rFonts w:ascii="Arial" w:hAnsi="Arial" w:eastAsia="黑体"/>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toc 2"/>
    <w:basedOn w:val="1"/>
    <w:next w:val="1"/>
    <w:qFormat/>
    <w:locked/>
    <w:uiPriority w:val="39"/>
    <w:pPr>
      <w:ind w:left="420" w:leftChars="200"/>
    </w:pPr>
  </w:style>
  <w:style w:type="paragraph" w:styleId="7">
    <w:name w:val="E-mail Signature"/>
    <w:basedOn w:val="1"/>
    <w:link w:val="115"/>
    <w:qFormat/>
    <w:locked/>
    <w:uiPriority w:val="0"/>
    <w:pPr>
      <w:spacing w:line="360" w:lineRule="auto"/>
    </w:pPr>
    <w:rPr>
      <w:rFonts w:ascii="宋体" w:hAnsi="宋体" w:eastAsia="汉鼎简书宋"/>
      <w:kern w:val="0"/>
      <w:sz w:val="24"/>
      <w:lang w:val="zh-CN"/>
    </w:rPr>
  </w:style>
  <w:style w:type="paragraph" w:styleId="8">
    <w:name w:val="Normal Indent"/>
    <w:basedOn w:val="1"/>
    <w:qFormat/>
    <w:locked/>
    <w:uiPriority w:val="0"/>
    <w:pPr>
      <w:ind w:firstLine="420" w:firstLineChars="200"/>
    </w:pPr>
  </w:style>
  <w:style w:type="paragraph" w:styleId="9">
    <w:name w:val="annotation text"/>
    <w:basedOn w:val="1"/>
    <w:link w:val="41"/>
    <w:semiHidden/>
    <w:qFormat/>
    <w:uiPriority w:val="0"/>
    <w:pPr>
      <w:jc w:val="left"/>
    </w:pPr>
    <w:rPr>
      <w:kern w:val="0"/>
      <w:sz w:val="24"/>
      <w:szCs w:val="20"/>
    </w:rPr>
  </w:style>
  <w:style w:type="paragraph" w:styleId="10">
    <w:name w:val="Salutation"/>
    <w:basedOn w:val="1"/>
    <w:next w:val="1"/>
    <w:qFormat/>
    <w:locked/>
    <w:uiPriority w:val="0"/>
    <w:pPr>
      <w:widowControl/>
      <w:jc w:val="left"/>
    </w:pPr>
    <w:rPr>
      <w:kern w:val="0"/>
      <w:sz w:val="24"/>
      <w:szCs w:val="20"/>
    </w:rPr>
  </w:style>
  <w:style w:type="paragraph" w:styleId="11">
    <w:name w:val="Body Text"/>
    <w:basedOn w:val="1"/>
    <w:next w:val="12"/>
    <w:link w:val="42"/>
    <w:qFormat/>
    <w:uiPriority w:val="0"/>
    <w:pPr>
      <w:widowControl/>
      <w:snapToGrid w:val="0"/>
      <w:spacing w:before="60" w:after="160" w:line="259" w:lineRule="auto"/>
      <w:ind w:right="113"/>
    </w:pPr>
    <w:rPr>
      <w:kern w:val="0"/>
      <w:sz w:val="18"/>
      <w:szCs w:val="20"/>
    </w:rPr>
  </w:style>
  <w:style w:type="paragraph" w:customStyle="1" w:styleId="1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link w:val="43"/>
    <w:qFormat/>
    <w:uiPriority w:val="0"/>
    <w:pPr>
      <w:spacing w:after="120"/>
      <w:ind w:left="420" w:leftChars="200"/>
    </w:pPr>
    <w:rPr>
      <w:kern w:val="0"/>
      <w:sz w:val="24"/>
      <w:szCs w:val="20"/>
    </w:rPr>
  </w:style>
  <w:style w:type="paragraph" w:styleId="14">
    <w:name w:val="Block Text"/>
    <w:basedOn w:val="1"/>
    <w:qFormat/>
    <w:locked/>
    <w:uiPriority w:val="0"/>
    <w:pPr>
      <w:spacing w:after="120"/>
      <w:ind w:left="1440" w:leftChars="700" w:right="1440" w:rightChars="700"/>
    </w:pPr>
  </w:style>
  <w:style w:type="paragraph" w:styleId="15">
    <w:name w:val="Plain Text"/>
    <w:basedOn w:val="1"/>
    <w:next w:val="10"/>
    <w:qFormat/>
    <w:locked/>
    <w:uiPriority w:val="99"/>
    <w:rPr>
      <w:rFonts w:ascii="宋体" w:hAnsi="Courier New"/>
      <w:kern w:val="0"/>
      <w:sz w:val="20"/>
      <w:szCs w:val="21"/>
    </w:rPr>
  </w:style>
  <w:style w:type="paragraph" w:styleId="16">
    <w:name w:val="List Bullet 5"/>
    <w:basedOn w:val="1"/>
    <w:qFormat/>
    <w:locked/>
    <w:uiPriority w:val="0"/>
    <w:pPr>
      <w:numPr>
        <w:ilvl w:val="0"/>
        <w:numId w:val="3"/>
      </w:numPr>
    </w:pPr>
  </w:style>
  <w:style w:type="paragraph" w:styleId="17">
    <w:name w:val="Date"/>
    <w:basedOn w:val="1"/>
    <w:next w:val="1"/>
    <w:link w:val="44"/>
    <w:qFormat/>
    <w:uiPriority w:val="0"/>
    <w:pPr>
      <w:ind w:left="100" w:leftChars="2500"/>
    </w:pPr>
    <w:rPr>
      <w:kern w:val="0"/>
      <w:sz w:val="24"/>
      <w:szCs w:val="20"/>
    </w:rPr>
  </w:style>
  <w:style w:type="paragraph" w:styleId="18">
    <w:name w:val="Body Text Indent 2"/>
    <w:basedOn w:val="1"/>
    <w:link w:val="83"/>
    <w:qFormat/>
    <w:locked/>
    <w:uiPriority w:val="0"/>
    <w:pPr>
      <w:spacing w:after="120" w:line="480" w:lineRule="auto"/>
      <w:ind w:left="200" w:leftChars="200"/>
    </w:pPr>
    <w:rPr>
      <w:sz w:val="24"/>
    </w:rPr>
  </w:style>
  <w:style w:type="paragraph" w:styleId="19">
    <w:name w:val="Balloon Text"/>
    <w:basedOn w:val="1"/>
    <w:link w:val="45"/>
    <w:semiHidden/>
    <w:qFormat/>
    <w:uiPriority w:val="0"/>
    <w:rPr>
      <w:kern w:val="0"/>
      <w:sz w:val="18"/>
      <w:szCs w:val="20"/>
    </w:rPr>
  </w:style>
  <w:style w:type="paragraph" w:styleId="20">
    <w:name w:val="footer"/>
    <w:basedOn w:val="1"/>
    <w:link w:val="46"/>
    <w:qFormat/>
    <w:uiPriority w:val="99"/>
    <w:pPr>
      <w:tabs>
        <w:tab w:val="center" w:pos="4153"/>
        <w:tab w:val="right" w:pos="8306"/>
      </w:tabs>
      <w:snapToGrid w:val="0"/>
      <w:jc w:val="left"/>
    </w:pPr>
    <w:rPr>
      <w:kern w:val="0"/>
      <w:sz w:val="18"/>
      <w:szCs w:val="20"/>
    </w:rPr>
  </w:style>
  <w:style w:type="paragraph" w:styleId="21">
    <w:name w:val="header"/>
    <w:basedOn w:val="1"/>
    <w:next w:val="11"/>
    <w:link w:val="47"/>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qFormat/>
    <w:locked/>
    <w:uiPriority w:val="39"/>
  </w:style>
  <w:style w:type="paragraph" w:styleId="23">
    <w:name w:val="index heading"/>
    <w:basedOn w:val="1"/>
    <w:next w:val="24"/>
    <w:qFormat/>
    <w:locked/>
    <w:uiPriority w:val="0"/>
    <w:rPr>
      <w:rFonts w:ascii="Arial" w:hAnsi="Arial"/>
      <w:b/>
    </w:rPr>
  </w:style>
  <w:style w:type="paragraph" w:styleId="24">
    <w:name w:val="index 1"/>
    <w:basedOn w:val="1"/>
    <w:next w:val="1"/>
    <w:qFormat/>
    <w:locked/>
    <w:uiPriority w:val="0"/>
  </w:style>
  <w:style w:type="paragraph" w:styleId="25">
    <w:name w:val="List"/>
    <w:basedOn w:val="1"/>
    <w:qFormat/>
    <w:locked/>
    <w:uiPriority w:val="0"/>
    <w:pPr>
      <w:widowControl/>
      <w:spacing w:line="520" w:lineRule="exact"/>
      <w:ind w:left="200" w:hanging="200" w:hangingChars="200"/>
    </w:pPr>
    <w:rPr>
      <w:rFonts w:ascii="宋体" w:hAnsi="宋体" w:cs="宋体"/>
      <w:bCs/>
      <w:kern w:val="0"/>
      <w:sz w:val="28"/>
      <w:szCs w:val="32"/>
    </w:rPr>
  </w:style>
  <w:style w:type="paragraph" w:styleId="26">
    <w:name w:val="Body Text Indent 3"/>
    <w:basedOn w:val="1"/>
    <w:link w:val="84"/>
    <w:qFormat/>
    <w:locked/>
    <w:uiPriority w:val="0"/>
    <w:pPr>
      <w:spacing w:after="120"/>
      <w:ind w:left="420" w:leftChars="200"/>
    </w:pPr>
    <w:rPr>
      <w:sz w:val="16"/>
      <w:szCs w:val="16"/>
    </w:rPr>
  </w:style>
  <w:style w:type="paragraph" w:styleId="27">
    <w:name w:val="Body Text 2"/>
    <w:basedOn w:val="1"/>
    <w:qFormat/>
    <w:locked/>
    <w:uiPriority w:val="0"/>
    <w:pPr>
      <w:spacing w:after="120" w:line="480" w:lineRule="auto"/>
      <w:ind w:firstLine="510" w:firstLineChars="200"/>
    </w:pPr>
    <w:rPr>
      <w:sz w:val="24"/>
      <w:szCs w:val="20"/>
    </w:rPr>
  </w:style>
  <w:style w:type="paragraph" w:styleId="28">
    <w:name w:val="Normal (Web)"/>
    <w:basedOn w:val="1"/>
    <w:link w:val="48"/>
    <w:qFormat/>
    <w:uiPriority w:val="99"/>
    <w:pPr>
      <w:widowControl/>
      <w:spacing w:before="100" w:beforeAutospacing="1" w:after="100" w:afterAutospacing="1"/>
      <w:jc w:val="left"/>
    </w:pPr>
    <w:rPr>
      <w:rFonts w:ascii="宋体" w:hAnsi="宋体"/>
      <w:kern w:val="0"/>
      <w:sz w:val="24"/>
      <w:szCs w:val="20"/>
    </w:rPr>
  </w:style>
  <w:style w:type="paragraph" w:styleId="29">
    <w:name w:val="annotation subject"/>
    <w:basedOn w:val="9"/>
    <w:next w:val="9"/>
    <w:link w:val="49"/>
    <w:semiHidden/>
    <w:qFormat/>
    <w:uiPriority w:val="0"/>
    <w:rPr>
      <w:b/>
    </w:rPr>
  </w:style>
  <w:style w:type="paragraph" w:styleId="30">
    <w:name w:val="Body Text First Indent"/>
    <w:basedOn w:val="11"/>
    <w:next w:val="1"/>
    <w:qFormat/>
    <w:locked/>
    <w:uiPriority w:val="0"/>
    <w:pPr>
      <w:spacing w:after="120" w:line="240" w:lineRule="auto"/>
      <w:ind w:firstLine="420" w:firstLineChars="100"/>
    </w:pPr>
    <w:rPr>
      <w:sz w:val="21"/>
      <w:szCs w:val="24"/>
    </w:rPr>
  </w:style>
  <w:style w:type="paragraph" w:styleId="31">
    <w:name w:val="Body Text First Indent 2"/>
    <w:basedOn w:val="13"/>
    <w:next w:val="30"/>
    <w:qFormat/>
    <w:locked/>
    <w:uiPriority w:val="0"/>
    <w:pPr>
      <w:ind w:firstLine="420" w:firstLineChars="200"/>
    </w:pPr>
    <w:rPr>
      <w:kern w:val="2"/>
      <w:sz w:val="21"/>
      <w:szCs w:val="24"/>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locked/>
    <w:uiPriority w:val="0"/>
    <w:rPr>
      <w:b/>
    </w:rPr>
  </w:style>
  <w:style w:type="character" w:styleId="36">
    <w:name w:val="page number"/>
    <w:qFormat/>
    <w:locked/>
    <w:uiPriority w:val="0"/>
  </w:style>
  <w:style w:type="character" w:styleId="37">
    <w:name w:val="Hyperlink"/>
    <w:basedOn w:val="34"/>
    <w:unhideWhenUsed/>
    <w:qFormat/>
    <w:locked/>
    <w:uiPriority w:val="99"/>
    <w:rPr>
      <w:color w:val="0000FF"/>
      <w:u w:val="single"/>
    </w:rPr>
  </w:style>
  <w:style w:type="character" w:styleId="38">
    <w:name w:val="annotation reference"/>
    <w:semiHidden/>
    <w:qFormat/>
    <w:uiPriority w:val="0"/>
    <w:rPr>
      <w:sz w:val="21"/>
    </w:rPr>
  </w:style>
  <w:style w:type="character" w:customStyle="1" w:styleId="39">
    <w:name w:val="标题 1 字符"/>
    <w:basedOn w:val="34"/>
    <w:link w:val="2"/>
    <w:qFormat/>
    <w:uiPriority w:val="0"/>
    <w:rPr>
      <w:b/>
      <w:bCs/>
      <w:kern w:val="44"/>
      <w:sz w:val="44"/>
      <w:szCs w:val="44"/>
    </w:rPr>
  </w:style>
  <w:style w:type="character" w:customStyle="1" w:styleId="40">
    <w:name w:val="标题 4 字符"/>
    <w:basedOn w:val="34"/>
    <w:link w:val="6"/>
    <w:qFormat/>
    <w:uiPriority w:val="0"/>
    <w:rPr>
      <w:rFonts w:ascii="Arial" w:hAnsi="Arial" w:eastAsia="黑体" w:cs="Times New Roman"/>
      <w:b/>
      <w:bCs/>
      <w:kern w:val="2"/>
      <w:sz w:val="28"/>
      <w:szCs w:val="28"/>
    </w:rPr>
  </w:style>
  <w:style w:type="character" w:customStyle="1" w:styleId="41">
    <w:name w:val="批注文字 字符"/>
    <w:link w:val="9"/>
    <w:qFormat/>
    <w:locked/>
    <w:uiPriority w:val="0"/>
    <w:rPr>
      <w:rFonts w:ascii="Times New Roman" w:hAnsi="Times New Roman" w:eastAsia="宋体"/>
      <w:sz w:val="24"/>
    </w:rPr>
  </w:style>
  <w:style w:type="character" w:customStyle="1" w:styleId="42">
    <w:name w:val="正文文本 字符"/>
    <w:link w:val="11"/>
    <w:qFormat/>
    <w:locked/>
    <w:uiPriority w:val="0"/>
    <w:rPr>
      <w:sz w:val="18"/>
    </w:rPr>
  </w:style>
  <w:style w:type="character" w:customStyle="1" w:styleId="43">
    <w:name w:val="正文文本缩进 字符"/>
    <w:link w:val="13"/>
    <w:semiHidden/>
    <w:qFormat/>
    <w:locked/>
    <w:uiPriority w:val="0"/>
    <w:rPr>
      <w:rFonts w:ascii="Times New Roman" w:hAnsi="Times New Roman" w:eastAsia="宋体"/>
      <w:sz w:val="24"/>
    </w:rPr>
  </w:style>
  <w:style w:type="character" w:customStyle="1" w:styleId="44">
    <w:name w:val="日期 字符1"/>
    <w:link w:val="17"/>
    <w:qFormat/>
    <w:locked/>
    <w:uiPriority w:val="0"/>
    <w:rPr>
      <w:rFonts w:ascii="Times New Roman" w:hAnsi="Times New Roman" w:eastAsia="宋体"/>
      <w:sz w:val="24"/>
    </w:rPr>
  </w:style>
  <w:style w:type="character" w:customStyle="1" w:styleId="45">
    <w:name w:val="批注框文本 字符"/>
    <w:link w:val="19"/>
    <w:semiHidden/>
    <w:qFormat/>
    <w:locked/>
    <w:uiPriority w:val="0"/>
    <w:rPr>
      <w:rFonts w:ascii="Times New Roman" w:hAnsi="Times New Roman" w:eastAsia="宋体"/>
      <w:sz w:val="18"/>
    </w:rPr>
  </w:style>
  <w:style w:type="character" w:customStyle="1" w:styleId="46">
    <w:name w:val="页脚 字符1"/>
    <w:link w:val="20"/>
    <w:qFormat/>
    <w:locked/>
    <w:uiPriority w:val="99"/>
    <w:rPr>
      <w:sz w:val="18"/>
    </w:rPr>
  </w:style>
  <w:style w:type="character" w:customStyle="1" w:styleId="47">
    <w:name w:val="页眉 字符"/>
    <w:link w:val="21"/>
    <w:qFormat/>
    <w:locked/>
    <w:uiPriority w:val="0"/>
    <w:rPr>
      <w:sz w:val="18"/>
    </w:rPr>
  </w:style>
  <w:style w:type="character" w:customStyle="1" w:styleId="48">
    <w:name w:val="普通(网站) 字符"/>
    <w:link w:val="28"/>
    <w:qFormat/>
    <w:locked/>
    <w:uiPriority w:val="0"/>
    <w:rPr>
      <w:rFonts w:ascii="宋体" w:hAnsi="宋体" w:eastAsia="宋体"/>
      <w:sz w:val="24"/>
    </w:rPr>
  </w:style>
  <w:style w:type="character" w:customStyle="1" w:styleId="49">
    <w:name w:val="批注主题 字符"/>
    <w:link w:val="29"/>
    <w:semiHidden/>
    <w:qFormat/>
    <w:locked/>
    <w:uiPriority w:val="0"/>
    <w:rPr>
      <w:rFonts w:ascii="Times New Roman" w:hAnsi="Times New Roman" w:eastAsia="宋体"/>
      <w:b/>
      <w:kern w:val="2"/>
      <w:sz w:val="24"/>
    </w:rPr>
  </w:style>
  <w:style w:type="paragraph" w:customStyle="1" w:styleId="50">
    <w:name w:val="■ 正文 ⑴"/>
    <w:basedOn w:val="1"/>
    <w:qFormat/>
    <w:uiPriority w:val="0"/>
    <w:pPr>
      <w:outlineLvl w:val="2"/>
    </w:pPr>
    <w:rPr>
      <w:rFonts w:ascii="宋体" w:hAnsi="宋体" w:cs="宋体"/>
      <w:sz w:val="24"/>
    </w:rPr>
  </w:style>
  <w:style w:type="character" w:customStyle="1" w:styleId="51">
    <w:name w:val="页脚 字符"/>
    <w:qFormat/>
    <w:uiPriority w:val="99"/>
  </w:style>
  <w:style w:type="character" w:customStyle="1" w:styleId="52">
    <w:name w:val="正文文本 字符1"/>
    <w:semiHidden/>
    <w:qFormat/>
    <w:uiPriority w:val="0"/>
    <w:rPr>
      <w:rFonts w:ascii="Times New Roman" w:hAnsi="Times New Roman" w:eastAsia="宋体"/>
      <w:sz w:val="24"/>
    </w:rPr>
  </w:style>
  <w:style w:type="character" w:customStyle="1" w:styleId="53">
    <w:name w:val="表格 Char"/>
    <w:link w:val="54"/>
    <w:qFormat/>
    <w:locked/>
    <w:uiPriority w:val="0"/>
    <w:rPr>
      <w:rFonts w:ascii="宋体"/>
      <w:sz w:val="21"/>
    </w:rPr>
  </w:style>
  <w:style w:type="paragraph" w:customStyle="1" w:styleId="54">
    <w:name w:val="表格"/>
    <w:basedOn w:val="55"/>
    <w:next w:val="1"/>
    <w:link w:val="53"/>
    <w:qFormat/>
    <w:uiPriority w:val="0"/>
    <w:pPr>
      <w:spacing w:beforeLines="10" w:afterLines="10" w:line="259" w:lineRule="auto"/>
    </w:pPr>
    <w:rPr>
      <w:rFonts w:ascii="宋体"/>
      <w:kern w:val="0"/>
      <w:szCs w:val="20"/>
    </w:rPr>
  </w:style>
  <w:style w:type="paragraph" w:customStyle="1" w:styleId="55">
    <w:name w:val="表头"/>
    <w:basedOn w:val="1"/>
    <w:qFormat/>
    <w:uiPriority w:val="0"/>
    <w:pPr>
      <w:adjustRightInd w:val="0"/>
      <w:snapToGrid w:val="0"/>
      <w:jc w:val="center"/>
    </w:pPr>
    <w:rPr>
      <w:b/>
    </w:rPr>
  </w:style>
  <w:style w:type="character" w:customStyle="1" w:styleId="56">
    <w:name w:val="日期 字符"/>
    <w:semiHidden/>
    <w:qFormat/>
    <w:uiPriority w:val="0"/>
    <w:rPr>
      <w:rFonts w:ascii="Times New Roman" w:hAnsi="Times New Roman" w:eastAsia="宋体"/>
      <w:sz w:val="24"/>
    </w:rPr>
  </w:style>
  <w:style w:type="character" w:customStyle="1" w:styleId="57">
    <w:name w:val="批注文字 字符1"/>
    <w:semiHidden/>
    <w:qFormat/>
    <w:uiPriority w:val="0"/>
    <w:rPr>
      <w:rFonts w:ascii="Times New Roman" w:hAnsi="Times New Roman" w:eastAsia="宋体"/>
      <w:sz w:val="24"/>
    </w:rPr>
  </w:style>
  <w:style w:type="paragraph" w:customStyle="1" w:styleId="5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0">
    <w:name w:val="正文1"/>
    <w:basedOn w:val="1"/>
    <w:qFormat/>
    <w:uiPriority w:val="0"/>
    <w:pPr>
      <w:spacing w:line="360" w:lineRule="auto"/>
      <w:ind w:firstLine="200" w:firstLineChars="200"/>
      <w:jc w:val="left"/>
    </w:pPr>
  </w:style>
  <w:style w:type="paragraph" w:customStyle="1" w:styleId="61">
    <w:name w:val="样式 标题 1 + 四号 段前: 0 磅 段后: 0 磅 行距: 1.5 倍行距"/>
    <w:basedOn w:val="62"/>
    <w:next w:val="63"/>
    <w:qFormat/>
    <w:uiPriority w:val="0"/>
    <w:pPr>
      <w:spacing w:line="360" w:lineRule="auto"/>
      <w:jc w:val="center"/>
    </w:pPr>
    <w:rPr>
      <w:rFonts w:hAnsi="黑体"/>
      <w:sz w:val="21"/>
    </w:rPr>
  </w:style>
  <w:style w:type="paragraph" w:customStyle="1" w:styleId="62">
    <w:name w:val="报告表正文"/>
    <w:basedOn w:val="1"/>
    <w:qFormat/>
    <w:uiPriority w:val="0"/>
    <w:pPr>
      <w:spacing w:line="312" w:lineRule="auto"/>
      <w:ind w:left="113" w:right="113" w:firstLine="482"/>
      <w:jc w:val="left"/>
      <w:textAlignment w:val="baseline"/>
    </w:pPr>
    <w:rPr>
      <w:kern w:val="0"/>
      <w:sz w:val="24"/>
      <w:szCs w:val="20"/>
    </w:rPr>
  </w:style>
  <w:style w:type="paragraph" w:customStyle="1" w:styleId="63">
    <w:name w:val="文本正文"/>
    <w:basedOn w:val="1"/>
    <w:qFormat/>
    <w:uiPriority w:val="0"/>
    <w:pPr>
      <w:snapToGrid w:val="0"/>
      <w:spacing w:line="360" w:lineRule="auto"/>
      <w:ind w:firstLine="510"/>
      <w:jc w:val="left"/>
    </w:pPr>
    <w:rPr>
      <w:spacing w:val="4"/>
      <w:kern w:val="24"/>
      <w:lang w:val="zh-CN"/>
    </w:rPr>
  </w:style>
  <w:style w:type="paragraph" w:customStyle="1" w:styleId="64">
    <w:name w:val="1正文"/>
    <w:basedOn w:val="1"/>
    <w:qFormat/>
    <w:uiPriority w:val="0"/>
    <w:pPr>
      <w:spacing w:line="500" w:lineRule="exact"/>
      <w:ind w:firstLine="588" w:firstLineChars="196"/>
    </w:pPr>
    <w:rPr>
      <w:rFonts w:eastAsia="楷体_GB2312"/>
      <w:sz w:val="30"/>
      <w:szCs w:val="30"/>
    </w:rPr>
  </w:style>
  <w:style w:type="paragraph" w:customStyle="1" w:styleId="65">
    <w:name w:val="F正文"/>
    <w:basedOn w:val="1"/>
    <w:qFormat/>
    <w:uiPriority w:val="0"/>
    <w:pPr>
      <w:framePr w:wrap="notBeside" w:vAnchor="text" w:hAnchor="text" w:y="1"/>
      <w:spacing w:line="360" w:lineRule="auto"/>
      <w:ind w:firstLine="200" w:firstLineChars="200"/>
    </w:pPr>
    <w:rPr>
      <w:color w:val="000000"/>
      <w:kern w:val="0"/>
      <w:sz w:val="24"/>
      <w:lang w:val="zh-CN"/>
    </w:rPr>
  </w:style>
  <w:style w:type="paragraph" w:customStyle="1" w:styleId="66">
    <w:name w:val="04 小标题"/>
    <w:basedOn w:val="1"/>
    <w:qFormat/>
    <w:uiPriority w:val="0"/>
    <w:pPr>
      <w:adjustRightInd w:val="0"/>
      <w:jc w:val="left"/>
    </w:pPr>
    <w:rPr>
      <w:b/>
      <w:kern w:val="0"/>
    </w:rPr>
  </w:style>
  <w:style w:type="character" w:customStyle="1" w:styleId="67">
    <w:name w:val="05 正文 Char"/>
    <w:link w:val="68"/>
    <w:qFormat/>
    <w:uiPriority w:val="0"/>
  </w:style>
  <w:style w:type="paragraph" w:customStyle="1" w:styleId="68">
    <w:name w:val="05 正文"/>
    <w:basedOn w:val="1"/>
    <w:link w:val="67"/>
    <w:qFormat/>
    <w:uiPriority w:val="0"/>
    <w:pPr>
      <w:jc w:val="left"/>
    </w:pPr>
  </w:style>
  <w:style w:type="paragraph" w:customStyle="1" w:styleId="69">
    <w:name w:val="WPSOffice手动目录 1"/>
    <w:qFormat/>
    <w:uiPriority w:val="0"/>
    <w:rPr>
      <w:rFonts w:ascii="Times New Roman" w:hAnsi="Times New Roman" w:eastAsia="宋体" w:cs="Times New Roman"/>
      <w:lang w:val="en-US" w:eastAsia="zh-CN" w:bidi="ar-SA"/>
    </w:rPr>
  </w:style>
  <w:style w:type="paragraph" w:customStyle="1" w:styleId="70">
    <w:name w:val="dxj正文"/>
    <w:basedOn w:val="1"/>
    <w:qFormat/>
    <w:uiPriority w:val="0"/>
    <w:pPr>
      <w:spacing w:line="360" w:lineRule="auto"/>
      <w:ind w:firstLine="200" w:firstLineChars="200"/>
      <w:jc w:val="left"/>
    </w:pPr>
    <w:rPr>
      <w:kern w:val="0"/>
      <w:sz w:val="24"/>
    </w:rPr>
  </w:style>
  <w:style w:type="paragraph" w:customStyle="1" w:styleId="71">
    <w:name w:val="表内容"/>
    <w:basedOn w:val="1"/>
    <w:next w:val="1"/>
    <w:qFormat/>
    <w:uiPriority w:val="0"/>
    <w:pPr>
      <w:jc w:val="center"/>
    </w:pPr>
    <w:rPr>
      <w:rFonts w:ascii="Calibri" w:hAnsi="Calibri"/>
      <w:sz w:val="24"/>
      <w:szCs w:val="21"/>
    </w:rPr>
  </w:style>
  <w:style w:type="paragraph" w:customStyle="1" w:styleId="72">
    <w:name w:val="Table Paragraph"/>
    <w:basedOn w:val="1"/>
    <w:unhideWhenUsed/>
    <w:qFormat/>
    <w:uiPriority w:val="1"/>
    <w:pPr>
      <w:spacing w:line="360" w:lineRule="auto"/>
    </w:pPr>
    <w:rPr>
      <w:rFonts w:ascii="宋体" w:hAnsi="宋体"/>
      <w:sz w:val="24"/>
    </w:rPr>
  </w:style>
  <w:style w:type="paragraph" w:customStyle="1" w:styleId="73">
    <w:name w:val="报告正文"/>
    <w:basedOn w:val="1"/>
    <w:qFormat/>
    <w:uiPriority w:val="0"/>
    <w:pPr>
      <w:adjustRightInd w:val="0"/>
      <w:snapToGrid w:val="0"/>
      <w:spacing w:line="360" w:lineRule="auto"/>
      <w:ind w:firstLine="560" w:firstLineChars="200"/>
    </w:pPr>
    <w:rPr>
      <w:sz w:val="24"/>
    </w:rPr>
  </w:style>
  <w:style w:type="paragraph" w:customStyle="1" w:styleId="74">
    <w:name w:val="样1"/>
    <w:basedOn w:val="1"/>
    <w:qFormat/>
    <w:uiPriority w:val="0"/>
    <w:pPr>
      <w:autoSpaceDE w:val="0"/>
      <w:autoSpaceDN w:val="0"/>
      <w:adjustRightInd w:val="0"/>
      <w:spacing w:line="360" w:lineRule="auto"/>
      <w:ind w:right="232"/>
      <w:jc w:val="center"/>
      <w:textAlignment w:val="bottom"/>
    </w:pPr>
    <w:rPr>
      <w:kern w:val="0"/>
      <w:sz w:val="24"/>
      <w:szCs w:val="20"/>
    </w:rPr>
  </w:style>
  <w:style w:type="paragraph" w:customStyle="1" w:styleId="75">
    <w:name w:val="表头标题"/>
    <w:basedOn w:val="60"/>
    <w:next w:val="1"/>
    <w:qFormat/>
    <w:uiPriority w:val="0"/>
    <w:pPr>
      <w:widowControl/>
      <w:jc w:val="center"/>
    </w:pPr>
    <w:rPr>
      <w:b/>
      <w:color w:val="FF00FF"/>
    </w:rPr>
  </w:style>
  <w:style w:type="paragraph" w:customStyle="1" w:styleId="76">
    <w:name w:val="正文(首行缩进2字)"/>
    <w:basedOn w:val="1"/>
    <w:next w:val="1"/>
    <w:qFormat/>
    <w:uiPriority w:val="0"/>
    <w:pPr>
      <w:adjustRightInd w:val="0"/>
      <w:snapToGrid w:val="0"/>
      <w:spacing w:line="360" w:lineRule="auto"/>
      <w:ind w:firstLine="232" w:firstLineChars="232"/>
      <w:textAlignment w:val="baseline"/>
    </w:pPr>
    <w:rPr>
      <w:kern w:val="0"/>
      <w:sz w:val="24"/>
      <w:szCs w:val="20"/>
    </w:rPr>
  </w:style>
  <w:style w:type="paragraph" w:customStyle="1" w:styleId="7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8">
    <w:name w:val="p0"/>
    <w:basedOn w:val="1"/>
    <w:qFormat/>
    <w:uiPriority w:val="0"/>
    <w:pPr>
      <w:widowControl/>
      <w:jc w:val="left"/>
    </w:pPr>
    <w:rPr>
      <w:kern w:val="0"/>
      <w:sz w:val="20"/>
      <w:szCs w:val="20"/>
    </w:rPr>
  </w:style>
  <w:style w:type="paragraph" w:customStyle="1" w:styleId="79">
    <w:name w:val="表格文字1"/>
    <w:basedOn w:val="1"/>
    <w:qFormat/>
    <w:uiPriority w:val="0"/>
    <w:pPr>
      <w:adjustRightInd w:val="0"/>
      <w:snapToGrid w:val="0"/>
      <w:ind w:firstLine="422"/>
    </w:pPr>
    <w:rPr>
      <w:rFonts w:ascii="宋体" w:hAnsi="宋体"/>
    </w:rPr>
  </w:style>
  <w:style w:type="paragraph" w:styleId="80">
    <w:name w:val="List Paragraph"/>
    <w:basedOn w:val="1"/>
    <w:qFormat/>
    <w:uiPriority w:val="34"/>
    <w:pPr>
      <w:ind w:firstLine="420" w:firstLineChars="200"/>
    </w:pPr>
  </w:style>
  <w:style w:type="paragraph" w:customStyle="1" w:styleId="81">
    <w:name w:val="报告表表格"/>
    <w:basedOn w:val="1"/>
    <w:qFormat/>
    <w:uiPriority w:val="0"/>
    <w:pPr>
      <w:spacing w:line="360" w:lineRule="exact"/>
      <w:jc w:val="center"/>
    </w:pPr>
    <w:rPr>
      <w:rFonts w:ascii="Arial" w:hAnsi="Arial" w:cs="Arial"/>
      <w:color w:val="008000"/>
      <w:szCs w:val="21"/>
    </w:rPr>
  </w:style>
  <w:style w:type="paragraph" w:customStyle="1" w:styleId="8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83">
    <w:name w:val="正文文本缩进 2 字符"/>
    <w:basedOn w:val="34"/>
    <w:link w:val="18"/>
    <w:qFormat/>
    <w:uiPriority w:val="0"/>
    <w:rPr>
      <w:rFonts w:ascii="Times New Roman" w:hAnsi="Times New Roman" w:cs="Times New Roman"/>
      <w:kern w:val="2"/>
      <w:sz w:val="24"/>
      <w:szCs w:val="24"/>
    </w:rPr>
  </w:style>
  <w:style w:type="character" w:customStyle="1" w:styleId="84">
    <w:name w:val="正文文本缩进 3 字符"/>
    <w:basedOn w:val="34"/>
    <w:link w:val="26"/>
    <w:qFormat/>
    <w:uiPriority w:val="0"/>
    <w:rPr>
      <w:rFonts w:ascii="Times New Roman" w:hAnsi="Times New Roman" w:cs="Times New Roman"/>
      <w:kern w:val="2"/>
      <w:sz w:val="16"/>
      <w:szCs w:val="16"/>
    </w:rPr>
  </w:style>
  <w:style w:type="paragraph" w:customStyle="1" w:styleId="85">
    <w:name w:val="报告表正文（首行缩进）"/>
    <w:basedOn w:val="62"/>
    <w:qFormat/>
    <w:uiPriority w:val="0"/>
    <w:pPr>
      <w:wordWrap w:val="0"/>
      <w:adjustRightInd w:val="0"/>
      <w:ind w:firstLine="562" w:firstLineChars="200"/>
    </w:pPr>
    <w:rPr>
      <w:szCs w:val="24"/>
    </w:rPr>
  </w:style>
  <w:style w:type="paragraph" w:customStyle="1" w:styleId="86">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87">
    <w:name w:val="自定义正文"/>
    <w:basedOn w:val="1"/>
    <w:qFormat/>
    <w:uiPriority w:val="0"/>
    <w:pPr>
      <w:adjustRightInd w:val="0"/>
      <w:spacing w:line="360" w:lineRule="auto"/>
      <w:ind w:firstLine="560"/>
    </w:pPr>
    <w:rPr>
      <w:kern w:val="0"/>
      <w:sz w:val="28"/>
      <w:szCs w:val="20"/>
    </w:rPr>
  </w:style>
  <w:style w:type="paragraph" w:customStyle="1" w:styleId="88">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89">
    <w:name w:val="11"/>
    <w:basedOn w:val="11"/>
    <w:next w:val="14"/>
    <w:qFormat/>
    <w:uiPriority w:val="0"/>
    <w:pPr>
      <w:autoSpaceDE w:val="0"/>
      <w:autoSpaceDN w:val="0"/>
      <w:adjustRightInd w:val="0"/>
      <w:spacing w:after="0"/>
      <w:ind w:firstLine="472" w:firstLineChars="196"/>
      <w:jc w:val="left"/>
    </w:pPr>
  </w:style>
  <w:style w:type="paragraph" w:customStyle="1" w:styleId="90">
    <w:name w:val="纯文本1"/>
    <w:basedOn w:val="1"/>
    <w:qFormat/>
    <w:uiPriority w:val="0"/>
    <w:pPr>
      <w:adjustRightInd w:val="0"/>
      <w:textAlignment w:val="baseline"/>
    </w:pPr>
    <w:rPr>
      <w:rFonts w:ascii="宋体" w:hAnsi="Courier New"/>
      <w:szCs w:val="20"/>
    </w:rPr>
  </w:style>
  <w:style w:type="paragraph" w:customStyle="1" w:styleId="91">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92">
    <w:name w:val="正 文"/>
    <w:qFormat/>
    <w:uiPriority w:val="0"/>
    <w:pPr>
      <w:widowControl w:val="0"/>
      <w:spacing w:line="360" w:lineRule="auto"/>
      <w:ind w:firstLine="480" w:firstLineChars="200"/>
    </w:pPr>
    <w:rPr>
      <w:rFonts w:ascii="Times New Roman" w:hAnsi="Times New Roman" w:eastAsia="宋体" w:cs="宋体"/>
      <w:kern w:val="2"/>
      <w:sz w:val="24"/>
      <w:szCs w:val="24"/>
      <w:lang w:val="en-US" w:eastAsia="zh-CN" w:bidi="ar-SA"/>
    </w:rPr>
  </w:style>
  <w:style w:type="paragraph" w:customStyle="1" w:styleId="93">
    <w:name w:val="制表格"/>
    <w:basedOn w:val="1"/>
    <w:qFormat/>
    <w:uiPriority w:val="0"/>
    <w:pPr>
      <w:jc w:val="center"/>
    </w:pPr>
    <w:rPr>
      <w:snapToGrid w:val="0"/>
      <w:kern w:val="0"/>
      <w:szCs w:val="28"/>
    </w:rPr>
  </w:style>
  <w:style w:type="character" w:customStyle="1" w:styleId="94">
    <w:name w:val="ggzbt011"/>
    <w:basedOn w:val="34"/>
    <w:qFormat/>
    <w:uiPriority w:val="0"/>
  </w:style>
  <w:style w:type="character" w:customStyle="1" w:styleId="95">
    <w:name w:val="正文（首行缩进两字） Char"/>
    <w:qFormat/>
    <w:uiPriority w:val="0"/>
    <w:rPr>
      <w:rFonts w:eastAsia="宋体"/>
      <w:kern w:val="2"/>
      <w:sz w:val="24"/>
      <w:lang w:val="en-US" w:eastAsia="zh-CN"/>
    </w:rPr>
  </w:style>
  <w:style w:type="paragraph" w:customStyle="1" w:styleId="96">
    <w:name w:val="三级标题"/>
    <w:basedOn w:val="97"/>
    <w:qFormat/>
    <w:uiPriority w:val="0"/>
    <w:rPr>
      <w:sz w:val="24"/>
    </w:rPr>
  </w:style>
  <w:style w:type="paragraph" w:customStyle="1" w:styleId="97">
    <w:name w:val="一级标题"/>
    <w:basedOn w:val="1"/>
    <w:qFormat/>
    <w:uiPriority w:val="0"/>
    <w:pPr>
      <w:jc w:val="left"/>
    </w:pPr>
    <w:rPr>
      <w:b/>
      <w:sz w:val="30"/>
    </w:rPr>
  </w:style>
  <w:style w:type="paragraph" w:customStyle="1" w:styleId="98">
    <w:name w:val="文本22"/>
    <w:basedOn w:val="1"/>
    <w:qFormat/>
    <w:uiPriority w:val="0"/>
    <w:pPr>
      <w:autoSpaceDE w:val="0"/>
      <w:autoSpaceDN w:val="0"/>
      <w:adjustRightInd w:val="0"/>
      <w:spacing w:line="360" w:lineRule="auto"/>
      <w:ind w:firstLine="480" w:firstLineChars="200"/>
    </w:pPr>
    <w:rPr>
      <w:sz w:val="24"/>
    </w:rPr>
  </w:style>
  <w:style w:type="paragraph" w:customStyle="1" w:styleId="99">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0">
    <w:name w:val="Char Char Char Char"/>
    <w:basedOn w:val="1"/>
    <w:qFormat/>
    <w:uiPriority w:val="0"/>
    <w:pPr>
      <w:snapToGrid w:val="0"/>
      <w:spacing w:line="360" w:lineRule="auto"/>
      <w:ind w:firstLine="200" w:firstLineChars="200"/>
    </w:pPr>
    <w:rPr>
      <w:szCs w:val="20"/>
    </w:rPr>
  </w:style>
  <w:style w:type="paragraph" w:customStyle="1" w:styleId="101">
    <w:name w:val="标题5"/>
    <w:basedOn w:val="1"/>
    <w:qFormat/>
    <w:uiPriority w:val="0"/>
    <w:pPr>
      <w:adjustRightInd w:val="0"/>
      <w:spacing w:line="520" w:lineRule="atLeast"/>
      <w:ind w:firstLine="480" w:firstLineChars="200"/>
    </w:pPr>
    <w:rPr>
      <w:rFonts w:ascii="宋体" w:hAnsi="宋体"/>
      <w:color w:val="000000"/>
      <w:sz w:val="24"/>
    </w:rPr>
  </w:style>
  <w:style w:type="paragraph" w:customStyle="1" w:styleId="102">
    <w:name w:val="样式 正文 行距: 固定值 25 磅"/>
    <w:basedOn w:val="1"/>
    <w:qFormat/>
    <w:uiPriority w:val="0"/>
    <w:pPr>
      <w:adjustRightInd w:val="0"/>
      <w:spacing w:line="500" w:lineRule="exact"/>
      <w:ind w:firstLine="200" w:firstLineChars="200"/>
      <w:jc w:val="left"/>
    </w:pPr>
    <w:rPr>
      <w:rFonts w:cs="宋体"/>
      <w:sz w:val="24"/>
    </w:rPr>
  </w:style>
  <w:style w:type="paragraph" w:customStyle="1" w:styleId="103">
    <w:name w:val="Char1"/>
    <w:basedOn w:val="1"/>
    <w:qFormat/>
    <w:uiPriority w:val="0"/>
    <w:rPr>
      <w:szCs w:val="21"/>
    </w:rPr>
  </w:style>
  <w:style w:type="paragraph" w:customStyle="1" w:styleId="104">
    <w:name w:val="文本"/>
    <w:basedOn w:val="1"/>
    <w:qFormat/>
    <w:uiPriority w:val="0"/>
    <w:pPr>
      <w:spacing w:line="360" w:lineRule="auto"/>
      <w:ind w:firstLine="480" w:firstLineChars="200"/>
    </w:pPr>
    <w:rPr>
      <w:sz w:val="24"/>
    </w:rPr>
  </w:style>
  <w:style w:type="paragraph" w:customStyle="1" w:styleId="105">
    <w:name w:val="1正文段落"/>
    <w:basedOn w:val="1"/>
    <w:unhideWhenUsed/>
    <w:qFormat/>
    <w:uiPriority w:val="0"/>
    <w:pPr>
      <w:spacing w:line="360" w:lineRule="auto"/>
      <w:ind w:firstLine="200" w:firstLineChars="200"/>
    </w:pPr>
    <w:rPr>
      <w:snapToGrid w:val="0"/>
      <w:kern w:val="0"/>
      <w:sz w:val="24"/>
    </w:rPr>
  </w:style>
  <w:style w:type="character" w:customStyle="1" w:styleId="106">
    <w:name w:val="正文文本 Char1"/>
    <w:qFormat/>
    <w:uiPriority w:val="0"/>
    <w:rPr>
      <w:rFonts w:eastAsia="宋体"/>
      <w:kern w:val="2"/>
      <w:sz w:val="28"/>
      <w:szCs w:val="24"/>
      <w:lang w:val="en-US" w:eastAsia="zh-CN" w:bidi="ar-SA"/>
    </w:rPr>
  </w:style>
  <w:style w:type="paragraph" w:customStyle="1" w:styleId="107">
    <w:name w:val="中文报告书样式"/>
    <w:basedOn w:val="1"/>
    <w:qFormat/>
    <w:uiPriority w:val="0"/>
    <w:pPr>
      <w:adjustRightInd w:val="0"/>
      <w:spacing w:line="480" w:lineRule="atLeast"/>
      <w:ind w:firstLine="482"/>
    </w:pPr>
    <w:rPr>
      <w:rFonts w:ascii="Arial" w:hAnsi="Arial" w:eastAsia="Times New Roman" w:cs="Verdana"/>
      <w:b/>
      <w:kern w:val="24"/>
      <w:lang w:eastAsia="en-US"/>
    </w:rPr>
  </w:style>
  <w:style w:type="paragraph" w:customStyle="1" w:styleId="108">
    <w:name w:val="自定义2"/>
    <w:basedOn w:val="1"/>
    <w:qFormat/>
    <w:uiPriority w:val="0"/>
    <w:pPr>
      <w:spacing w:line="360" w:lineRule="auto"/>
      <w:ind w:firstLine="480" w:firstLineChars="200"/>
    </w:pPr>
    <w:rPr>
      <w:rFonts w:hAnsi="宋体"/>
      <w:sz w:val="24"/>
      <w:szCs w:val="22"/>
    </w:rPr>
  </w:style>
  <w:style w:type="paragraph" w:customStyle="1" w:styleId="109">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10">
    <w:name w:val="样式 (西文) Times New Roman 小四 行距: 1.5 倍行距 首行缩进:  2 字符"/>
    <w:basedOn w:val="1"/>
    <w:qFormat/>
    <w:uiPriority w:val="0"/>
    <w:pPr>
      <w:spacing w:line="360" w:lineRule="auto"/>
      <w:ind w:firstLine="480" w:firstLineChars="200"/>
    </w:pPr>
    <w:rPr>
      <w:rFonts w:cs="宋体"/>
      <w:sz w:val="24"/>
      <w:szCs w:val="20"/>
    </w:rPr>
  </w:style>
  <w:style w:type="paragraph" w:customStyle="1" w:styleId="111">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112">
    <w:name w:val="样式1"/>
    <w:basedOn w:val="1"/>
    <w:qFormat/>
    <w:uiPriority w:val="0"/>
    <w:pPr>
      <w:adjustRightInd w:val="0"/>
      <w:spacing w:line="480" w:lineRule="atLeast"/>
      <w:ind w:firstLine="539"/>
    </w:pPr>
    <w:rPr>
      <w:rFonts w:eastAsia="仿宋_GB2312"/>
      <w:kern w:val="0"/>
      <w:sz w:val="28"/>
    </w:rPr>
  </w:style>
  <w:style w:type="paragraph" w:customStyle="1" w:styleId="113">
    <w:name w:val="_Style 11"/>
    <w:basedOn w:val="1"/>
    <w:next w:val="80"/>
    <w:qFormat/>
    <w:uiPriority w:val="99"/>
    <w:pPr>
      <w:ind w:firstLine="420"/>
    </w:pPr>
  </w:style>
  <w:style w:type="character" w:customStyle="1" w:styleId="114">
    <w:name w:val="fontstyle01"/>
    <w:qFormat/>
    <w:uiPriority w:val="0"/>
    <w:rPr>
      <w:rFonts w:hint="eastAsia" w:ascii="宋体" w:hAnsi="宋体" w:eastAsia="宋体"/>
      <w:color w:val="000000"/>
      <w:sz w:val="24"/>
      <w:szCs w:val="24"/>
    </w:rPr>
  </w:style>
  <w:style w:type="character" w:customStyle="1" w:styleId="115">
    <w:name w:val="电子邮件签名 字符"/>
    <w:basedOn w:val="34"/>
    <w:link w:val="7"/>
    <w:qFormat/>
    <w:uiPriority w:val="0"/>
    <w:rPr>
      <w:rFonts w:ascii="宋体" w:hAnsi="宋体" w:eastAsia="汉鼎简书宋" w:cs="Times New Roman"/>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1.pn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png"/><Relationship Id="rId33" Type="http://schemas.openxmlformats.org/officeDocument/2006/relationships/image" Target="media/image17.emf"/><Relationship Id="rId32" Type="http://schemas.openxmlformats.org/officeDocument/2006/relationships/package" Target="embeddings/Microsoft_Visio___7.vsdx"/><Relationship Id="rId31" Type="http://schemas.openxmlformats.org/officeDocument/2006/relationships/image" Target="media/image16.emf"/><Relationship Id="rId30" Type="http://schemas.openxmlformats.org/officeDocument/2006/relationships/package" Target="embeddings/Microsoft_Visio___6.vsdx"/><Relationship Id="rId3" Type="http://schemas.openxmlformats.org/officeDocument/2006/relationships/footer" Target="footer1.xml"/><Relationship Id="rId29" Type="http://schemas.openxmlformats.org/officeDocument/2006/relationships/image" Target="media/image15.emf"/><Relationship Id="rId28" Type="http://schemas.openxmlformats.org/officeDocument/2006/relationships/package" Target="embeddings/Microsoft_Visio___5.vsdx"/><Relationship Id="rId27" Type="http://schemas.openxmlformats.org/officeDocument/2006/relationships/image" Target="media/image14.emf"/><Relationship Id="rId26" Type="http://schemas.openxmlformats.org/officeDocument/2006/relationships/package" Target="embeddings/Microsoft_Visio___4.vsdx"/><Relationship Id="rId25" Type="http://schemas.openxmlformats.org/officeDocument/2006/relationships/image" Target="media/image13.emf"/><Relationship Id="rId24" Type="http://schemas.openxmlformats.org/officeDocument/2006/relationships/package" Target="embeddings/Microsoft_Visio___3.vsdx"/><Relationship Id="rId23" Type="http://schemas.openxmlformats.org/officeDocument/2006/relationships/image" Target="media/image12.emf"/><Relationship Id="rId22" Type="http://schemas.openxmlformats.org/officeDocument/2006/relationships/oleObject" Target="embeddings/Microsoft_Visio_2003-2010___2.vsd"/><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emf"/><Relationship Id="rId10" Type="http://schemas.openxmlformats.org/officeDocument/2006/relationships/package" Target="embeddings/Microsoft_Visio___1.vsd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45DC25-D835-4FB5-8F96-BEB9AEA44C8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112</Pages>
  <Words>12930</Words>
  <Characters>73703</Characters>
  <Lines>614</Lines>
  <Paragraphs>172</Paragraphs>
  <TotalTime>102</TotalTime>
  <ScaleCrop>false</ScaleCrop>
  <LinksUpToDate>false</LinksUpToDate>
  <CharactersWithSpaces>86461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2023-06-27T06:35:00Z</dcterms:created>
  <dc:creator>lhj</dc:creator>
  <cp:lastModifiedBy>岂曰无衣</cp:lastModifiedBy>
  <cp:lastPrinted>2023-06-27T06:36:00Z</cp:lastPrinted>
  <dcterms:modified xsi:type="dcterms:W3CDTF">2023-11-13T01:57:43Z</dcterms:modified>
  <dc:title>附件2</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03B274D19BD24D5C91D4B48D1917C457</vt:lpwstr>
  </property>
</Properties>
</file>