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ind w:firstLine="0" w:firstLineChars="0"/>
        <w:jc w:val="center"/>
        <w:rPr>
          <w:rFonts w:cs="仿宋"/>
          <w:b/>
          <w:sz w:val="36"/>
          <w:szCs w:val="36"/>
        </w:rPr>
      </w:pPr>
    </w:p>
    <w:p>
      <w:pPr>
        <w:pStyle w:val="3"/>
        <w:spacing w:line="600" w:lineRule="atLeast"/>
        <w:ind w:firstLine="0" w:firstLineChars="0"/>
      </w:pPr>
    </w:p>
    <w:p>
      <w:pPr>
        <w:spacing w:line="600" w:lineRule="exact"/>
        <w:ind w:firstLine="0" w:firstLineChars="0"/>
        <w:jc w:val="center"/>
        <w:outlineLvl w:val="0"/>
        <w:rPr>
          <w:rFonts w:ascii="宋体" w:hAnsi="宋体" w:eastAsia="宋体" w:cs="Times New Roman"/>
          <w:szCs w:val="24"/>
        </w:rPr>
      </w:pPr>
      <w:r>
        <w:rPr>
          <w:rFonts w:hint="eastAsia" w:ascii="宋体" w:hAnsi="宋体" w:eastAsia="宋体" w:cs="Times New Roman"/>
          <w:szCs w:val="24"/>
        </w:rPr>
        <w:t>寻甸回族彝族自治县住房和城乡建设局202</w:t>
      </w:r>
      <w:r>
        <w:rPr>
          <w:rFonts w:ascii="宋体" w:hAnsi="宋体" w:eastAsia="宋体" w:cs="Times New Roman"/>
          <w:szCs w:val="24"/>
        </w:rPr>
        <w:t>1</w:t>
      </w:r>
      <w:r>
        <w:rPr>
          <w:rFonts w:hint="eastAsia" w:ascii="宋体" w:hAnsi="宋体" w:eastAsia="宋体" w:cs="Times New Roman"/>
          <w:szCs w:val="24"/>
        </w:rPr>
        <w:t>年</w:t>
      </w:r>
      <w:bookmarkStart w:id="0" w:name="_Hlk144901891"/>
      <w:r>
        <w:rPr>
          <w:rFonts w:hint="eastAsia" w:ascii="宋体" w:hAnsi="宋体" w:eastAsia="宋体" w:cs="Times New Roman"/>
          <w:szCs w:val="24"/>
        </w:rPr>
        <w:t>城市更新改造建设工程</w:t>
      </w:r>
      <w:bookmarkEnd w:id="0"/>
      <w:r>
        <w:rPr>
          <w:rFonts w:hint="eastAsia" w:ascii="宋体" w:hAnsi="宋体" w:eastAsia="宋体" w:cs="Times New Roman"/>
          <w:szCs w:val="24"/>
        </w:rPr>
        <w:t>项目支出</w:t>
      </w:r>
    </w:p>
    <w:p>
      <w:pPr>
        <w:spacing w:line="600" w:lineRule="exact"/>
        <w:ind w:firstLine="0" w:firstLineChars="0"/>
        <w:jc w:val="center"/>
        <w:outlineLvl w:val="0"/>
        <w:rPr>
          <w:rFonts w:ascii="宋体" w:hAnsi="宋体" w:eastAsia="宋体" w:cs="Times New Roman"/>
          <w:sz w:val="36"/>
          <w:szCs w:val="36"/>
        </w:rPr>
      </w:pPr>
      <w:r>
        <w:rPr>
          <w:rFonts w:hint="eastAsia" w:ascii="宋体" w:hAnsi="宋体" w:eastAsia="宋体" w:cs="Times New Roman"/>
          <w:sz w:val="36"/>
          <w:szCs w:val="36"/>
        </w:rPr>
        <w:t>绩效评价报告</w:t>
      </w:r>
    </w:p>
    <w:p>
      <w:pPr>
        <w:spacing w:line="600" w:lineRule="exact"/>
        <w:ind w:firstLine="0" w:firstLineChars="0"/>
        <w:jc w:val="center"/>
        <w:rPr>
          <w:rFonts w:ascii="仿宋_GB2312" w:hAnsi="仿宋_GB2312" w:eastAsia="仿宋_GB2312" w:cs="仿宋_GB2312"/>
          <w:sz w:val="32"/>
          <w:szCs w:val="32"/>
        </w:rPr>
      </w:pPr>
    </w:p>
    <w:p>
      <w:pPr>
        <w:pStyle w:val="2"/>
        <w:ind w:firstLine="883"/>
      </w:pPr>
    </w:p>
    <w:p>
      <w:pPr>
        <w:ind w:firstLine="480"/>
      </w:pPr>
    </w:p>
    <w:p>
      <w:pPr>
        <w:pStyle w:val="3"/>
        <w:spacing w:line="600" w:lineRule="exact"/>
        <w:ind w:firstLine="0" w:firstLineChars="0"/>
      </w:pPr>
    </w:p>
    <w:p>
      <w:pPr>
        <w:spacing w:line="600" w:lineRule="exact"/>
        <w:ind w:firstLine="0" w:firstLineChars="0"/>
        <w:jc w:val="center"/>
        <w:rPr>
          <w:rFonts w:ascii="宋体" w:hAnsi="宋体" w:eastAsia="宋体"/>
          <w:szCs w:val="24"/>
        </w:rPr>
      </w:pPr>
    </w:p>
    <w:p>
      <w:pPr>
        <w:spacing w:line="600" w:lineRule="exact"/>
        <w:ind w:firstLine="0" w:firstLineChars="0"/>
      </w:pPr>
    </w:p>
    <w:p>
      <w:pPr>
        <w:spacing w:line="600" w:lineRule="exact"/>
        <w:ind w:left="1500" w:hanging="1500" w:hangingChars="500"/>
        <w:jc w:val="left"/>
        <w:outlineLvl w:val="0"/>
        <w:rPr>
          <w:rFonts w:ascii="宋体" w:hAnsi="宋体" w:eastAsia="宋体" w:cs="宋体"/>
          <w:sz w:val="30"/>
          <w:szCs w:val="30"/>
        </w:rPr>
      </w:pPr>
      <w:r>
        <w:rPr>
          <w:rFonts w:hint="eastAsia" w:ascii="宋体" w:hAnsi="宋体" w:eastAsia="宋体" w:cs="宋体"/>
          <w:sz w:val="30"/>
          <w:szCs w:val="30"/>
        </w:rPr>
        <w:t>项目名称：202</w:t>
      </w:r>
      <w:r>
        <w:rPr>
          <w:rFonts w:ascii="宋体" w:hAnsi="宋体" w:eastAsia="宋体" w:cs="宋体"/>
          <w:sz w:val="30"/>
          <w:szCs w:val="30"/>
        </w:rPr>
        <w:t>1</w:t>
      </w:r>
      <w:r>
        <w:rPr>
          <w:rFonts w:hint="eastAsia" w:ascii="宋体" w:hAnsi="宋体" w:eastAsia="宋体" w:cs="宋体"/>
          <w:sz w:val="30"/>
          <w:szCs w:val="30"/>
        </w:rPr>
        <w:t>年</w:t>
      </w:r>
      <w:bookmarkStart w:id="1" w:name="_Hlk144901961"/>
      <w:r>
        <w:rPr>
          <w:rFonts w:hint="eastAsia" w:ascii="宋体" w:hAnsi="宋体" w:eastAsia="宋体" w:cs="宋体"/>
          <w:sz w:val="30"/>
          <w:szCs w:val="30"/>
        </w:rPr>
        <w:t>城市更新改造建设工程</w:t>
      </w:r>
      <w:bookmarkEnd w:id="1"/>
      <w:r>
        <w:rPr>
          <w:rFonts w:hint="eastAsia" w:ascii="宋体" w:hAnsi="宋体" w:eastAsia="宋体" w:cs="宋体"/>
          <w:sz w:val="30"/>
          <w:szCs w:val="30"/>
        </w:rPr>
        <w:t>项目支出绩效评价</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评价单位：寻甸回族彝族自治县住房和城乡建设局</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委托部门：寻甸回族彝族自治县财政局</w:t>
      </w:r>
    </w:p>
    <w:p>
      <w:pPr>
        <w:spacing w:line="600" w:lineRule="exact"/>
        <w:ind w:firstLine="0" w:firstLineChars="0"/>
        <w:jc w:val="left"/>
        <w:rPr>
          <w:rFonts w:ascii="宋体" w:hAnsi="宋体" w:eastAsia="宋体" w:cs="宋体"/>
          <w:b/>
          <w:sz w:val="30"/>
          <w:szCs w:val="30"/>
        </w:rPr>
      </w:pPr>
      <w:r>
        <w:rPr>
          <w:rFonts w:hint="eastAsia" w:ascii="宋体" w:hAnsi="宋体" w:eastAsia="宋体" w:cs="宋体"/>
          <w:sz w:val="30"/>
          <w:szCs w:val="30"/>
        </w:rPr>
        <w:t>评价机构：云南京健会计师事务所（普通合伙）</w:t>
      </w:r>
    </w:p>
    <w:p>
      <w:pPr>
        <w:ind w:firstLine="0" w:firstLineChars="0"/>
        <w:jc w:val="center"/>
        <w:rPr>
          <w:rFonts w:ascii="黑体" w:hAnsi="黑体" w:eastAsia="黑体" w:cs="黑体"/>
          <w:bCs/>
          <w:sz w:val="30"/>
          <w:szCs w:val="30"/>
        </w:rPr>
      </w:pPr>
    </w:p>
    <w:p>
      <w:pPr>
        <w:ind w:firstLine="0" w:firstLineChars="0"/>
        <w:jc w:val="center"/>
        <w:rPr>
          <w:rFonts w:ascii="黑体" w:hAnsi="黑体" w:eastAsia="黑体" w:cs="黑体"/>
          <w:bCs/>
          <w:sz w:val="21"/>
          <w:szCs w:val="21"/>
        </w:rPr>
      </w:pPr>
    </w:p>
    <w:p>
      <w:pPr>
        <w:ind w:firstLine="0" w:firstLineChars="0"/>
        <w:jc w:val="center"/>
        <w:rPr>
          <w:rFonts w:ascii="黑体" w:hAnsi="黑体" w:eastAsia="黑体" w:cs="黑体"/>
          <w:bCs/>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1077" w:footer="992" w:gutter="0"/>
          <w:pgBorders w:zOrder="back">
            <w:top w:val="single" w:color="auto" w:sz="8" w:space="1"/>
            <w:bottom w:val="single" w:color="auto" w:sz="8" w:space="1"/>
          </w:pgBorders>
          <w:pgNumType w:start="1"/>
          <w:cols w:space="425" w:num="1"/>
          <w:docGrid w:type="lines" w:linePitch="312" w:charSpace="0"/>
        </w:sectPr>
      </w:pPr>
    </w:p>
    <w:p>
      <w:pPr>
        <w:ind w:firstLine="0" w:firstLineChars="0"/>
        <w:jc w:val="center"/>
        <w:rPr>
          <w:rFonts w:ascii="黑体" w:hAnsi="黑体" w:eastAsia="黑体" w:cs="黑体"/>
          <w:bCs/>
          <w:szCs w:val="24"/>
        </w:rPr>
      </w:pPr>
      <w:r>
        <w:rPr>
          <w:rFonts w:hint="eastAsia" w:ascii="黑体" w:hAnsi="黑体" w:eastAsia="黑体" w:cs="黑体"/>
          <w:bCs/>
          <w:szCs w:val="24"/>
        </w:rPr>
        <w:t>寻甸回族彝族自治县住房和城乡建设局202</w:t>
      </w:r>
      <w:r>
        <w:rPr>
          <w:rFonts w:ascii="黑体" w:hAnsi="黑体" w:eastAsia="黑体" w:cs="黑体"/>
          <w:bCs/>
          <w:szCs w:val="24"/>
        </w:rPr>
        <w:t>1</w:t>
      </w:r>
      <w:r>
        <w:rPr>
          <w:rFonts w:hint="eastAsia" w:ascii="黑体" w:hAnsi="黑体" w:eastAsia="黑体" w:cs="黑体"/>
          <w:bCs/>
          <w:szCs w:val="24"/>
        </w:rPr>
        <w:t>年城市更新改造建设工程项目支出</w:t>
      </w:r>
    </w:p>
    <w:p>
      <w:pPr>
        <w:spacing w:line="240" w:lineRule="auto"/>
        <w:ind w:firstLine="0" w:firstLineChars="0"/>
        <w:jc w:val="center"/>
        <w:rPr>
          <w:rFonts w:ascii="黑体" w:hAnsi="黑体" w:eastAsia="黑体" w:cs="黑体"/>
          <w:bCs/>
          <w:sz w:val="32"/>
          <w:szCs w:val="32"/>
        </w:rPr>
      </w:pPr>
      <w:r>
        <w:rPr>
          <w:rFonts w:hint="eastAsia" w:ascii="黑体" w:hAnsi="黑体" w:eastAsia="黑体" w:cs="黑体"/>
          <w:bCs/>
          <w:sz w:val="32"/>
          <w:szCs w:val="32"/>
        </w:rPr>
        <w:t>绩效评价报告</w:t>
      </w:r>
    </w:p>
    <w:p>
      <w:pPr>
        <w:spacing w:line="240" w:lineRule="auto"/>
        <w:ind w:firstLine="0" w:firstLineChars="0"/>
        <w:jc w:val="center"/>
        <w:rPr>
          <w:rFonts w:hint="eastAsia" w:ascii="宋体" w:hAnsi="宋体" w:eastAsia="宋体"/>
          <w:sz w:val="18"/>
          <w:szCs w:val="18"/>
          <w:highlight w:val="yellow"/>
        </w:rPr>
      </w:pPr>
      <w:r>
        <w:rPr>
          <w:rFonts w:hint="eastAsia" w:ascii="宋体" w:hAnsi="宋体" w:eastAsia="宋体"/>
          <w:sz w:val="18"/>
          <w:szCs w:val="18"/>
        </w:rPr>
        <w:t>云京健专审字（202</w:t>
      </w:r>
      <w:r>
        <w:rPr>
          <w:rFonts w:ascii="宋体" w:hAnsi="宋体" w:eastAsia="宋体"/>
          <w:sz w:val="18"/>
          <w:szCs w:val="18"/>
        </w:rPr>
        <w:t>3</w:t>
      </w:r>
      <w:r>
        <w:rPr>
          <w:rFonts w:hint="eastAsia" w:ascii="宋体" w:hAnsi="宋体" w:eastAsia="宋体"/>
          <w:sz w:val="18"/>
          <w:szCs w:val="18"/>
        </w:rPr>
        <w:t>）第</w:t>
      </w:r>
      <w:r>
        <w:rPr>
          <w:rFonts w:hint="eastAsia" w:ascii="宋体" w:hAnsi="宋体" w:eastAsia="宋体"/>
          <w:sz w:val="18"/>
          <w:szCs w:val="18"/>
          <w:lang w:val="en-US" w:eastAsia="zh-CN"/>
        </w:rPr>
        <w:t>070</w:t>
      </w:r>
      <w:r>
        <w:rPr>
          <w:rFonts w:hint="eastAsia" w:ascii="宋体" w:hAnsi="宋体" w:eastAsia="宋体"/>
          <w:sz w:val="18"/>
          <w:szCs w:val="18"/>
        </w:rPr>
        <w:t>号</w:t>
      </w:r>
    </w:p>
    <w:p>
      <w:pPr>
        <w:ind w:firstLine="0" w:firstLineChars="0"/>
        <w:rPr>
          <w:rFonts w:ascii="宋体" w:hAnsi="宋体" w:eastAsia="宋体" w:cs="宋体"/>
          <w:b/>
          <w:szCs w:val="24"/>
        </w:rPr>
      </w:pPr>
      <w:r>
        <w:rPr>
          <w:rFonts w:hint="eastAsia" w:ascii="宋体" w:hAnsi="宋体" w:eastAsia="宋体" w:cs="宋体"/>
          <w:b/>
          <w:szCs w:val="24"/>
        </w:rPr>
        <w:t>寻甸回族彝族自治县财政局：</w:t>
      </w:r>
    </w:p>
    <w:p>
      <w:pPr>
        <w:ind w:firstLine="480"/>
      </w:pPr>
      <w:r>
        <w:rPr>
          <w:rFonts w:hint="eastAsia"/>
        </w:rPr>
        <w:t>我们接受委托，根据</w:t>
      </w:r>
      <w:bookmarkStart w:id="2" w:name="_Hlk143855331"/>
      <w:r>
        <w:rPr>
          <w:rFonts w:hint="eastAsia"/>
        </w:rPr>
        <w:t>《关于全面推进预算绩效管理改革的实施意见》（寻政发〔</w:t>
      </w:r>
      <w:r>
        <w:t>2016〕122号）</w:t>
      </w:r>
      <w:bookmarkEnd w:id="2"/>
      <w:r>
        <w:t>、《关于印发寻甸回族彝族自治县预算绩效管理工作考核办法（试行）的通知》（寻政办发〔2016〕79号）、《关于明确预算绩效管理工作职责的通知》（寻财〔2020〕5号）和</w:t>
      </w:r>
      <w:bookmarkStart w:id="3" w:name="_Hlk143855269"/>
      <w:r>
        <w:t>《关于2022年度部门整体支出、重大项目支出和地方政府债券项目支出绩效再评价的通知》（寻财绩〔2023〕5号）</w:t>
      </w:r>
      <w:bookmarkEnd w:id="3"/>
      <w:r>
        <w:rPr>
          <w:rFonts w:hint="eastAsia"/>
        </w:rPr>
        <w:t>等文件要求，组成审计评价组对寻甸回族彝族自治县住房和城乡建设局202</w:t>
      </w:r>
      <w:r>
        <w:t>1</w:t>
      </w:r>
      <w:r>
        <w:rPr>
          <w:rFonts w:hint="eastAsia"/>
        </w:rPr>
        <w:t>年</w:t>
      </w:r>
      <w:bookmarkStart w:id="4" w:name="_Hlk144974620"/>
      <w:r>
        <w:rPr>
          <w:rFonts w:hint="eastAsia"/>
        </w:rPr>
        <w:t>城市更新改造建设工程项目</w:t>
      </w:r>
      <w:bookmarkEnd w:id="4"/>
      <w:r>
        <w:rPr>
          <w:rFonts w:hint="eastAsia"/>
        </w:rPr>
        <w:t>资金（以下简称“项目”）的管理、使用及效益情况进行了绩效评价。寻甸回族彝族自治县住房和城乡建设局（以下简称“住建局”）对所提供评价资料的真实性、完整性负责。现将绩效评价情况报告如下：</w:t>
      </w:r>
      <w:bookmarkStart w:id="5" w:name="_Toc502134848"/>
    </w:p>
    <w:p>
      <w:pPr>
        <w:ind w:firstLine="482"/>
        <w:rPr>
          <w:rFonts w:ascii="黑体" w:hAnsi="黑体" w:eastAsia="黑体" w:cs="黑体"/>
          <w:b/>
          <w:bCs/>
          <w:szCs w:val="24"/>
        </w:rPr>
      </w:pPr>
      <w:r>
        <w:rPr>
          <w:rFonts w:hint="eastAsia" w:ascii="黑体" w:hAnsi="黑体" w:eastAsia="黑体" w:cs="黑体"/>
          <w:b/>
          <w:bCs/>
          <w:szCs w:val="24"/>
        </w:rPr>
        <w:t>一、基本情况</w:t>
      </w:r>
      <w:bookmarkEnd w:id="5"/>
      <w:bookmarkStart w:id="6" w:name="_Toc502134849"/>
    </w:p>
    <w:p>
      <w:pPr>
        <w:ind w:firstLine="480"/>
        <w:rPr>
          <w:rFonts w:ascii="楷体" w:hAnsi="楷体" w:eastAsia="楷体" w:cs="楷体"/>
          <w:szCs w:val="24"/>
        </w:rPr>
      </w:pPr>
      <w:r>
        <w:rPr>
          <w:rFonts w:hint="eastAsia" w:ascii="楷体" w:hAnsi="楷体" w:eastAsia="楷体" w:cs="楷体"/>
          <w:szCs w:val="24"/>
        </w:rPr>
        <w:t>(一)项目概况</w:t>
      </w:r>
      <w:bookmarkEnd w:id="6"/>
    </w:p>
    <w:p>
      <w:pPr>
        <w:ind w:firstLine="480"/>
        <w:rPr>
          <w:rFonts w:cs="仿宋"/>
          <w:szCs w:val="24"/>
        </w:rPr>
      </w:pPr>
      <w:r>
        <w:rPr>
          <w:rFonts w:hint="eastAsia" w:cs="仿宋"/>
          <w:szCs w:val="24"/>
        </w:rPr>
        <w:t>1.项目设定背景、目的</w:t>
      </w:r>
    </w:p>
    <w:p>
      <w:pPr>
        <w:ind w:firstLine="480"/>
        <w:rPr>
          <w:rFonts w:cs="仿宋"/>
          <w:szCs w:val="24"/>
        </w:rPr>
      </w:pPr>
      <w:r>
        <w:rPr>
          <w:rFonts w:hint="eastAsia" w:cs="仿宋"/>
          <w:szCs w:val="24"/>
        </w:rPr>
        <w:t>2</w:t>
      </w:r>
      <w:r>
        <w:rPr>
          <w:rFonts w:cs="仿宋"/>
          <w:szCs w:val="24"/>
        </w:rPr>
        <w:t>015</w:t>
      </w:r>
      <w:r>
        <w:rPr>
          <w:rFonts w:hint="eastAsia" w:cs="仿宋"/>
          <w:szCs w:val="24"/>
        </w:rPr>
        <w:t>年中央城市工作会议提出城市的发展要坚持集约发展，树立“精明增长”、“紧凑城市”理念，科学划定城市开发边界，推动城市发展由外延扩张式向内涵提升式转变，防止“摊大饼”式扩张。寻甸县建成区内城市发展在生态宜居、健康舒适、安全韧性、交通便捷、风貌特色、整洁有序、多元包容和创新活力“八大版块”还存在各项短板，不同程度上影响和制约着寻甸县城市发展。为切实推动寻甸县城市更新的实施进程，根据</w:t>
      </w:r>
      <w:bookmarkStart w:id="7" w:name="_Hlk144969678"/>
      <w:r>
        <w:rPr>
          <w:rFonts w:hint="eastAsia" w:cs="仿宋"/>
          <w:szCs w:val="24"/>
        </w:rPr>
        <w:t>住房和城乡建设部《</w:t>
      </w:r>
      <w:r>
        <w:rPr>
          <w:rFonts w:cs="仿宋"/>
          <w:szCs w:val="24"/>
        </w:rPr>
        <w:t>2020年城市体检工作方案》</w:t>
      </w:r>
      <w:r>
        <w:rPr>
          <w:rFonts w:hint="eastAsia" w:cs="仿宋"/>
          <w:szCs w:val="24"/>
        </w:rPr>
        <w:t>、</w:t>
      </w:r>
      <w:r>
        <w:rPr>
          <w:rFonts w:cs="仿宋"/>
          <w:szCs w:val="24"/>
        </w:rPr>
        <w:t>《云南省人民政府关于统筹推进城市更新的指导意见》（云政发〔2020〕33号）</w:t>
      </w:r>
      <w:bookmarkEnd w:id="7"/>
      <w:r>
        <w:rPr>
          <w:rFonts w:cs="仿宋"/>
          <w:szCs w:val="24"/>
        </w:rPr>
        <w:t>以及寻甸县人民政府工作安排，通过对城市进行整体的统筹安排、多元化的城市更新</w:t>
      </w:r>
      <w:r>
        <w:rPr>
          <w:rFonts w:hint="eastAsia" w:cs="仿宋"/>
          <w:szCs w:val="24"/>
        </w:rPr>
        <w:t>改造</w:t>
      </w:r>
      <w:r>
        <w:rPr>
          <w:rFonts w:cs="仿宋"/>
          <w:szCs w:val="24"/>
        </w:rPr>
        <w:t>建设，</w:t>
      </w:r>
      <w:r>
        <w:rPr>
          <w:rFonts w:hint="eastAsia" w:cs="仿宋"/>
          <w:szCs w:val="24"/>
        </w:rPr>
        <w:t>进一步优化寻甸县城市空间结构，</w:t>
      </w:r>
      <w:bookmarkStart w:id="8" w:name="_Hlk144975068"/>
      <w:r>
        <w:rPr>
          <w:rFonts w:hint="eastAsia" w:cs="仿宋"/>
          <w:szCs w:val="24"/>
        </w:rPr>
        <w:t>完善城市功能，彻底解决交通拥堵、停车难等城市病，</w:t>
      </w:r>
      <w:r>
        <w:rPr>
          <w:rFonts w:cs="仿宋"/>
          <w:szCs w:val="24"/>
        </w:rPr>
        <w:t>为市民创造更加美好、舒适的生活和工作环境，实现城市空间布局结构合理、土地利用科学高效、</w:t>
      </w:r>
      <w:r>
        <w:rPr>
          <w:rFonts w:hint="eastAsia" w:cs="仿宋"/>
          <w:szCs w:val="24"/>
        </w:rPr>
        <w:t>改善</w:t>
      </w:r>
      <w:r>
        <w:rPr>
          <w:rFonts w:cs="仿宋"/>
          <w:szCs w:val="24"/>
        </w:rPr>
        <w:t>人居环境、公共服务设</w:t>
      </w:r>
      <w:r>
        <w:rPr>
          <w:rFonts w:hint="eastAsia" w:cs="仿宋"/>
          <w:szCs w:val="24"/>
        </w:rPr>
        <w:t>施布局均衡的城市更新目标，提升城市品质，传承历史文化，增进社会福祉，增强城市综合承载力和可持续发展能力，实现城市高质量发展</w:t>
      </w:r>
      <w:bookmarkEnd w:id="8"/>
      <w:r>
        <w:rPr>
          <w:rFonts w:hint="eastAsia" w:cs="仿宋"/>
          <w:szCs w:val="24"/>
        </w:rPr>
        <w:t>。</w:t>
      </w:r>
    </w:p>
    <w:p>
      <w:pPr>
        <w:ind w:firstLine="480"/>
        <w:rPr>
          <w:rFonts w:cs="仿宋"/>
          <w:szCs w:val="24"/>
        </w:rPr>
      </w:pPr>
      <w:r>
        <w:rPr>
          <w:rFonts w:hint="eastAsia" w:cs="仿宋"/>
          <w:szCs w:val="24"/>
        </w:rPr>
        <w:t>据</w:t>
      </w:r>
      <w:r>
        <w:rPr>
          <w:rFonts w:cs="仿宋"/>
          <w:szCs w:val="24"/>
        </w:rPr>
        <w:t>《云南省人民政府关于统筹推进城市更新的指导意见》（云政发〔2020〕33号）要求，到2022年，基本形成城市更新制度框架、政策体系和工作机制</w:t>
      </w:r>
      <w:r>
        <w:rPr>
          <w:rFonts w:hint="eastAsia" w:cs="仿宋"/>
          <w:szCs w:val="24"/>
        </w:rPr>
        <w:t>；</w:t>
      </w:r>
      <w:r>
        <w:rPr>
          <w:rFonts w:cs="仿宋"/>
          <w:szCs w:val="24"/>
        </w:rPr>
        <w:t>到2025年，全县城市空间布局更加优化、综合功能更加完善、人居环境更加优美、风貌特色更加突出，产城进一步融合，显现具有时代特征、民族特色、寻甸特点</w:t>
      </w:r>
      <w:r>
        <w:rPr>
          <w:rFonts w:hint="eastAsia" w:cs="仿宋"/>
          <w:szCs w:val="24"/>
        </w:rPr>
        <w:t>的城市之美。</w:t>
      </w:r>
    </w:p>
    <w:p>
      <w:pPr>
        <w:ind w:firstLine="480"/>
        <w:rPr>
          <w:rFonts w:cs="仿宋"/>
          <w:color w:val="FF0000"/>
          <w:szCs w:val="24"/>
        </w:rPr>
      </w:pPr>
      <w:r>
        <w:rPr>
          <w:rFonts w:hint="eastAsia" w:cs="仿宋"/>
          <w:szCs w:val="24"/>
        </w:rPr>
        <w:t>2.项目立项依据</w:t>
      </w:r>
    </w:p>
    <w:p>
      <w:pPr>
        <w:ind w:firstLine="480"/>
        <w:rPr>
          <w:rFonts w:cs="仿宋"/>
          <w:szCs w:val="24"/>
        </w:rPr>
      </w:pPr>
      <w:bookmarkStart w:id="9" w:name="_Hlk114838304"/>
      <w:bookmarkStart w:id="10" w:name="_Toc502134850"/>
      <w:r>
        <w:rPr>
          <w:rFonts w:hint="eastAsia" w:cs="仿宋"/>
          <w:szCs w:val="24"/>
        </w:rPr>
        <w:t>(1)</w:t>
      </w:r>
      <w:bookmarkEnd w:id="9"/>
      <w:r>
        <w:rPr>
          <w:rFonts w:hint="eastAsia" w:cs="仿宋"/>
          <w:szCs w:val="24"/>
        </w:rPr>
        <w:t>《住房和城乡建设部关于支持开展</w:t>
      </w:r>
      <w:r>
        <w:rPr>
          <w:rFonts w:cs="仿宋"/>
          <w:szCs w:val="24"/>
        </w:rPr>
        <w:t>2020年城市体检工作的函》（建科函〔2020〕92号）</w:t>
      </w:r>
      <w:r>
        <w:rPr>
          <w:rFonts w:hint="eastAsia" w:cs="仿宋"/>
          <w:szCs w:val="24"/>
        </w:rPr>
        <w:t>；</w:t>
      </w:r>
    </w:p>
    <w:p>
      <w:pPr>
        <w:ind w:firstLine="480"/>
        <w:rPr>
          <w:rFonts w:cs="仿宋"/>
          <w:color w:val="FF0000"/>
          <w:szCs w:val="24"/>
        </w:rPr>
      </w:pPr>
      <w:r>
        <w:rPr>
          <w:rFonts w:cs="仿宋"/>
          <w:szCs w:val="24"/>
        </w:rPr>
        <w:t>(2)</w:t>
      </w:r>
      <w:r>
        <w:rPr>
          <w:rFonts w:hint="eastAsia" w:cs="仿宋"/>
          <w:szCs w:val="24"/>
        </w:rPr>
        <w:t>《云南省人民政府关于统筹推进城市更新的指导意见》（云政发〔</w:t>
      </w:r>
      <w:r>
        <w:rPr>
          <w:rFonts w:cs="仿宋"/>
          <w:szCs w:val="24"/>
        </w:rPr>
        <w:t>2020〕33号）；</w:t>
      </w:r>
    </w:p>
    <w:p>
      <w:pPr>
        <w:ind w:firstLine="480"/>
        <w:rPr>
          <w:rFonts w:cs="仿宋"/>
          <w:szCs w:val="24"/>
        </w:rPr>
      </w:pPr>
      <w:r>
        <w:rPr>
          <w:rFonts w:cs="仿宋"/>
          <w:szCs w:val="24"/>
        </w:rPr>
        <w:t>(3)</w:t>
      </w:r>
      <w:r>
        <w:rPr>
          <w:rFonts w:hint="eastAsia" w:cs="仿宋"/>
          <w:szCs w:val="24"/>
        </w:rPr>
        <w:t>《寻甸回族彝族自治县人民政府办公室关于印发寻甸县2</w:t>
      </w:r>
      <w:r>
        <w:rPr>
          <w:rFonts w:cs="仿宋"/>
          <w:szCs w:val="24"/>
        </w:rPr>
        <w:t>021</w:t>
      </w:r>
      <w:r>
        <w:rPr>
          <w:rFonts w:hint="eastAsia" w:cs="仿宋"/>
          <w:szCs w:val="24"/>
        </w:rPr>
        <w:t>城市更新改造项目实施方案的通知》（2</w:t>
      </w:r>
      <w:r>
        <w:rPr>
          <w:rFonts w:cs="仿宋"/>
          <w:szCs w:val="24"/>
        </w:rPr>
        <w:t>021</w:t>
      </w:r>
      <w:r>
        <w:rPr>
          <w:rFonts w:hint="eastAsia" w:cs="仿宋"/>
          <w:szCs w:val="24"/>
        </w:rPr>
        <w:t>年1</w:t>
      </w:r>
      <w:r>
        <w:rPr>
          <w:rFonts w:cs="仿宋"/>
          <w:szCs w:val="24"/>
        </w:rPr>
        <w:t>0</w:t>
      </w:r>
      <w:r>
        <w:rPr>
          <w:rFonts w:hint="eastAsia" w:cs="仿宋"/>
          <w:szCs w:val="24"/>
        </w:rPr>
        <w:t>月2</w:t>
      </w:r>
      <w:r>
        <w:rPr>
          <w:rFonts w:cs="仿宋"/>
          <w:szCs w:val="24"/>
        </w:rPr>
        <w:t>9</w:t>
      </w:r>
      <w:r>
        <w:rPr>
          <w:rFonts w:hint="eastAsia" w:cs="仿宋"/>
          <w:szCs w:val="24"/>
        </w:rPr>
        <w:t>日）；</w:t>
      </w:r>
    </w:p>
    <w:p>
      <w:pPr>
        <w:ind w:firstLine="480"/>
        <w:rPr>
          <w:rFonts w:cs="仿宋"/>
          <w:szCs w:val="24"/>
        </w:rPr>
      </w:pPr>
      <w:r>
        <w:rPr>
          <w:rFonts w:cs="仿宋"/>
          <w:szCs w:val="24"/>
        </w:rPr>
        <w:t>(4)</w:t>
      </w:r>
      <w:bookmarkStart w:id="11" w:name="_Hlk144970402"/>
      <w:r>
        <w:rPr>
          <w:rFonts w:hint="eastAsia" w:cs="仿宋"/>
          <w:szCs w:val="24"/>
        </w:rPr>
        <w:t>《寻甸回族彝族自治县发展和改革局关于</w:t>
      </w:r>
      <w:r>
        <w:rPr>
          <w:rFonts w:cs="仿宋"/>
          <w:szCs w:val="24"/>
        </w:rPr>
        <w:t>2021年寻甸县城市更新改造建设改造的批复》</w:t>
      </w:r>
      <w:r>
        <w:rPr>
          <w:rFonts w:hint="eastAsia" w:cs="仿宋"/>
          <w:szCs w:val="24"/>
        </w:rPr>
        <w:t>（</w:t>
      </w:r>
      <w:r>
        <w:rPr>
          <w:rFonts w:cs="仿宋"/>
          <w:szCs w:val="24"/>
        </w:rPr>
        <w:t>寻发改投资</w:t>
      </w:r>
      <w:r>
        <w:rPr>
          <w:rFonts w:hint="eastAsia" w:cs="仿宋"/>
          <w:szCs w:val="24"/>
        </w:rPr>
        <w:t>〔</w:t>
      </w:r>
      <w:r>
        <w:rPr>
          <w:rFonts w:cs="仿宋"/>
          <w:szCs w:val="24"/>
        </w:rPr>
        <w:t>202</w:t>
      </w:r>
      <w:r>
        <w:rPr>
          <w:rFonts w:hint="eastAsia" w:cs="仿宋"/>
          <w:szCs w:val="24"/>
        </w:rPr>
        <w:t>1</w:t>
      </w:r>
      <w:r>
        <w:rPr>
          <w:rFonts w:cs="仿宋"/>
          <w:szCs w:val="24"/>
        </w:rPr>
        <w:t>〕76号</w:t>
      </w:r>
      <w:r>
        <w:rPr>
          <w:rFonts w:hint="eastAsia" w:cs="仿宋"/>
          <w:szCs w:val="24"/>
        </w:rPr>
        <w:t>）</w:t>
      </w:r>
      <w:bookmarkEnd w:id="11"/>
      <w:r>
        <w:rPr>
          <w:rFonts w:hint="eastAsia" w:cs="仿宋"/>
          <w:szCs w:val="24"/>
        </w:rPr>
        <w:t>。</w:t>
      </w:r>
    </w:p>
    <w:p>
      <w:pPr>
        <w:ind w:firstLine="480"/>
        <w:rPr>
          <w:rFonts w:ascii="楷体" w:hAnsi="楷体" w:eastAsia="楷体" w:cs="楷体"/>
          <w:szCs w:val="24"/>
        </w:rPr>
      </w:pPr>
      <w:r>
        <w:rPr>
          <w:rFonts w:hint="eastAsia" w:ascii="楷体" w:hAnsi="楷体" w:eastAsia="楷体" w:cs="楷体"/>
          <w:szCs w:val="24"/>
        </w:rPr>
        <w:t>(二)项目资金安排情况</w:t>
      </w:r>
      <w:bookmarkEnd w:id="10"/>
    </w:p>
    <w:p>
      <w:pPr>
        <w:ind w:firstLine="480"/>
        <w:rPr>
          <w:rFonts w:cs="仿宋"/>
          <w:szCs w:val="24"/>
        </w:rPr>
      </w:pPr>
      <w:bookmarkStart w:id="12" w:name="_Toc502134851"/>
      <w:r>
        <w:rPr>
          <w:rFonts w:hint="eastAsia" w:cs="仿宋"/>
          <w:szCs w:val="24"/>
        </w:rPr>
        <w:t>根据</w:t>
      </w:r>
      <w:bookmarkStart w:id="13" w:name="_Hlk144970777"/>
      <w:r>
        <w:rPr>
          <w:rFonts w:hint="eastAsia" w:cs="仿宋"/>
          <w:szCs w:val="24"/>
        </w:rPr>
        <w:t>《寻甸回族彝族自治县发展和改革局关于</w:t>
      </w:r>
      <w:r>
        <w:rPr>
          <w:rFonts w:cs="仿宋"/>
          <w:szCs w:val="24"/>
        </w:rPr>
        <w:t>2021年寻甸县城市更新改造建设工程的批复》</w:t>
      </w:r>
      <w:r>
        <w:rPr>
          <w:rFonts w:hint="eastAsia" w:cs="仿宋"/>
          <w:szCs w:val="24"/>
        </w:rPr>
        <w:t>（寻发改投资〔</w:t>
      </w:r>
      <w:r>
        <w:rPr>
          <w:rFonts w:cs="仿宋"/>
          <w:szCs w:val="24"/>
        </w:rPr>
        <w:t>202</w:t>
      </w:r>
      <w:r>
        <w:rPr>
          <w:rFonts w:hint="eastAsia" w:cs="仿宋"/>
          <w:szCs w:val="24"/>
        </w:rPr>
        <w:t>1</w:t>
      </w:r>
      <w:r>
        <w:rPr>
          <w:rFonts w:cs="仿宋"/>
          <w:szCs w:val="24"/>
        </w:rPr>
        <w:t>〕76号）</w:t>
      </w:r>
      <w:bookmarkEnd w:id="13"/>
      <w:r>
        <w:rPr>
          <w:rFonts w:hint="eastAsia" w:cs="仿宋"/>
          <w:szCs w:val="24"/>
        </w:rPr>
        <w:t>，</w:t>
      </w:r>
      <w:r>
        <w:rPr>
          <w:rFonts w:cs="仿宋"/>
          <w:szCs w:val="24"/>
        </w:rPr>
        <w:t>项目总投资135,696,400.00元，项目实施期限为2021-2025年</w:t>
      </w:r>
      <w:r>
        <w:rPr>
          <w:rFonts w:hint="eastAsia" w:cs="仿宋"/>
          <w:szCs w:val="24"/>
        </w:rPr>
        <w:t>，项目建设资金来源：争取上级补助资金及自筹</w:t>
      </w:r>
      <w:r>
        <w:rPr>
          <w:rFonts w:cs="仿宋"/>
          <w:szCs w:val="24"/>
        </w:rPr>
        <w:t>。</w:t>
      </w:r>
    </w:p>
    <w:p>
      <w:pPr>
        <w:ind w:firstLine="480"/>
        <w:rPr>
          <w:rFonts w:cs="仿宋"/>
          <w:szCs w:val="24"/>
        </w:rPr>
      </w:pPr>
      <w:r>
        <w:rPr>
          <w:rFonts w:cs="仿宋"/>
          <w:szCs w:val="24"/>
        </w:rPr>
        <w:t>《寻甸回族彝族自治县财政局关于批复2022年部门预算的通知》（寻财预〔2022〕1号）该项目</w:t>
      </w:r>
      <w:r>
        <w:rPr>
          <w:rFonts w:hint="eastAsia" w:cs="仿宋"/>
          <w:szCs w:val="24"/>
        </w:rPr>
        <w:t>2</w:t>
      </w:r>
      <w:r>
        <w:rPr>
          <w:rFonts w:cs="仿宋"/>
          <w:szCs w:val="24"/>
        </w:rPr>
        <w:t>022年预算55,000,000.00元。截止2022年年底，该项目实际到位资金</w:t>
      </w:r>
      <w:bookmarkStart w:id="14" w:name="_Hlk144970498"/>
      <w:r>
        <w:rPr>
          <w:rFonts w:cs="仿宋"/>
          <w:szCs w:val="24"/>
        </w:rPr>
        <w:t>55,000,000.00</w:t>
      </w:r>
      <w:bookmarkEnd w:id="14"/>
      <w:r>
        <w:rPr>
          <w:rFonts w:cs="仿宋"/>
          <w:szCs w:val="24"/>
        </w:rPr>
        <w:t>元，根据项目支出凭证，截至2022年12月31日，共计支付相关费用36,688,474.80元，项目结余资金18,311,525.20元。</w:t>
      </w:r>
    </w:p>
    <w:p>
      <w:pPr>
        <w:ind w:firstLine="480"/>
        <w:rPr>
          <w:rFonts w:ascii="楷体" w:hAnsi="楷体" w:eastAsia="楷体" w:cs="楷体"/>
          <w:szCs w:val="24"/>
        </w:rPr>
      </w:pPr>
      <w:r>
        <w:rPr>
          <w:rFonts w:hint="eastAsia" w:ascii="楷体" w:hAnsi="楷体" w:eastAsia="楷体" w:cs="楷体"/>
          <w:szCs w:val="24"/>
        </w:rPr>
        <w:t>(三)项目实施内容</w:t>
      </w:r>
      <w:bookmarkEnd w:id="12"/>
    </w:p>
    <w:p>
      <w:pPr>
        <w:ind w:firstLine="480"/>
        <w:rPr>
          <w:rFonts w:cs="仿宋"/>
          <w:szCs w:val="24"/>
        </w:rPr>
      </w:pPr>
      <w:bookmarkStart w:id="15" w:name="_Toc502134852"/>
      <w:r>
        <w:rPr>
          <w:rFonts w:hint="eastAsia" w:cs="仿宋"/>
          <w:szCs w:val="24"/>
        </w:rPr>
        <w:t>根据《寻甸回族彝族自治县发展和改革局关于</w:t>
      </w:r>
      <w:r>
        <w:rPr>
          <w:rFonts w:cs="仿宋"/>
          <w:szCs w:val="24"/>
        </w:rPr>
        <w:t>2021年寻甸县城市更新改造建设工程的批复》（寻发改投资</w:t>
      </w:r>
      <w:r>
        <w:rPr>
          <w:rFonts w:hint="eastAsia" w:cs="仿宋"/>
          <w:szCs w:val="24"/>
        </w:rPr>
        <w:t>〔</w:t>
      </w:r>
      <w:r>
        <w:rPr>
          <w:rFonts w:cs="仿宋"/>
          <w:szCs w:val="24"/>
        </w:rPr>
        <w:t>202</w:t>
      </w:r>
      <w:r>
        <w:rPr>
          <w:rFonts w:hint="eastAsia" w:cs="仿宋"/>
          <w:szCs w:val="24"/>
        </w:rPr>
        <w:t>1</w:t>
      </w:r>
      <w:r>
        <w:rPr>
          <w:rFonts w:cs="仿宋"/>
          <w:szCs w:val="24"/>
        </w:rPr>
        <w:t>〕76号）</w:t>
      </w:r>
      <w:r>
        <w:rPr>
          <w:rFonts w:hint="eastAsia" w:cs="仿宋"/>
          <w:szCs w:val="24"/>
        </w:rPr>
        <w:t>，</w:t>
      </w:r>
      <w:bookmarkStart w:id="16" w:name="_Hlk143940306"/>
      <w:r>
        <w:rPr>
          <w:rFonts w:hint="eastAsia" w:cs="仿宋"/>
          <w:szCs w:val="24"/>
        </w:rPr>
        <w:t>项目实施内容</w:t>
      </w:r>
      <w:bookmarkEnd w:id="16"/>
      <w:r>
        <w:rPr>
          <w:rFonts w:hint="eastAsia" w:cs="仿宋"/>
          <w:szCs w:val="24"/>
        </w:rPr>
        <w:t>为：</w:t>
      </w:r>
    </w:p>
    <w:p>
      <w:pPr>
        <w:ind w:firstLine="480"/>
        <w:rPr>
          <w:rFonts w:cs="仿宋"/>
          <w:szCs w:val="24"/>
        </w:rPr>
      </w:pPr>
      <w:r>
        <w:rPr>
          <w:rFonts w:cs="仿宋"/>
          <w:szCs w:val="24"/>
        </w:rPr>
        <w:t>1.寻甸县龙泉路、月华路、月秀路、月中路，三月三路等城市主干道维修，维修面积11.97万平米；</w:t>
      </w:r>
    </w:p>
    <w:p>
      <w:pPr>
        <w:ind w:firstLine="480"/>
        <w:rPr>
          <w:rFonts w:cs="仿宋"/>
          <w:szCs w:val="24"/>
        </w:rPr>
      </w:pPr>
      <w:r>
        <w:rPr>
          <w:rFonts w:cs="仿宋"/>
          <w:szCs w:val="24"/>
        </w:rPr>
        <w:t>2.供销大厦至凤梧路水泥路面改造提升，改造提升路面约2万平米；</w:t>
      </w:r>
    </w:p>
    <w:p>
      <w:pPr>
        <w:ind w:firstLine="480"/>
        <w:rPr>
          <w:rFonts w:cs="仿宋"/>
          <w:szCs w:val="24"/>
        </w:rPr>
      </w:pPr>
      <w:r>
        <w:rPr>
          <w:rFonts w:cs="仿宋"/>
          <w:szCs w:val="24"/>
        </w:rPr>
        <w:t>3.星河路与龙泉路交叉口非机动车道和人行道改造提升，新建星河路与龙泉路交叉口非机动车道和人行道300米；</w:t>
      </w:r>
    </w:p>
    <w:p>
      <w:pPr>
        <w:ind w:firstLine="480"/>
        <w:rPr>
          <w:rFonts w:cs="仿宋"/>
          <w:szCs w:val="24"/>
        </w:rPr>
      </w:pPr>
      <w:r>
        <w:rPr>
          <w:rFonts w:cs="仿宋"/>
          <w:szCs w:val="24"/>
        </w:rPr>
        <w:t>4.县城园林绿化补植提升，对县城公园、广场绿地和道路附属绿地53119m</w:t>
      </w:r>
      <w:r>
        <w:rPr>
          <w:rFonts w:ascii="Calibri" w:hAnsi="Calibri" w:cs="Calibri"/>
          <w:szCs w:val="24"/>
        </w:rPr>
        <w:t>²</w:t>
      </w:r>
      <w:r>
        <w:rPr>
          <w:rFonts w:cs="仿宋"/>
          <w:szCs w:val="24"/>
        </w:rPr>
        <w:t>缺损、退化苗木进行补植，维修公园配套设施(特别是湿地公园二期的维修开放),安装绿化防护栏，适当新增人行通道；</w:t>
      </w:r>
    </w:p>
    <w:p>
      <w:pPr>
        <w:ind w:firstLine="480"/>
        <w:rPr>
          <w:rFonts w:cs="仿宋"/>
          <w:szCs w:val="24"/>
        </w:rPr>
      </w:pPr>
      <w:r>
        <w:rPr>
          <w:rFonts w:cs="仿宋"/>
          <w:szCs w:val="24"/>
        </w:rPr>
        <w:t>5.县城三月三公园提升改造，修建1710m观光步道，并沿途配套必要的观景台、果皮箱、座椅、照明灯具等设施；</w:t>
      </w:r>
    </w:p>
    <w:p>
      <w:pPr>
        <w:ind w:firstLine="480"/>
        <w:rPr>
          <w:rFonts w:cs="仿宋"/>
          <w:szCs w:val="24"/>
        </w:rPr>
      </w:pPr>
      <w:r>
        <w:rPr>
          <w:rFonts w:cs="仿宋"/>
          <w:szCs w:val="24"/>
        </w:rPr>
        <w:t>6.城区人行道提升改造，按照海绵城市要求更换人行道小块26.4万平；</w:t>
      </w:r>
    </w:p>
    <w:p>
      <w:pPr>
        <w:ind w:firstLine="480"/>
        <w:rPr>
          <w:rFonts w:cs="仿宋"/>
          <w:szCs w:val="24"/>
        </w:rPr>
      </w:pPr>
      <w:r>
        <w:rPr>
          <w:rFonts w:cs="仿宋"/>
          <w:szCs w:val="24"/>
        </w:rPr>
        <w:t>7.县城生活垃圾收集基础设施建设，增5桶位生活垃圾分类亭40座，更新和新增生活</w:t>
      </w:r>
      <w:bookmarkStart w:id="94" w:name="_GoBack"/>
      <w:bookmarkEnd w:id="94"/>
      <w:r>
        <w:rPr>
          <w:rFonts w:hint="eastAsia" w:cs="仿宋"/>
          <w:szCs w:val="24"/>
          <w:lang w:eastAsia="zh-CN"/>
        </w:rPr>
        <w:t>垃圾分类</w:t>
      </w:r>
      <w:r>
        <w:rPr>
          <w:rFonts w:cs="仿宋"/>
          <w:szCs w:val="24"/>
        </w:rPr>
        <w:t>桶500只，更换和新安装街道果皮箱1500只；</w:t>
      </w:r>
    </w:p>
    <w:p>
      <w:pPr>
        <w:ind w:firstLine="480"/>
        <w:rPr>
          <w:rFonts w:cs="仿宋"/>
          <w:szCs w:val="24"/>
        </w:rPr>
      </w:pPr>
      <w:r>
        <w:rPr>
          <w:rFonts w:cs="仿宋"/>
          <w:szCs w:val="24"/>
        </w:rPr>
        <w:t>8.道路隔离栏新建，对县城5条道路(长度5750米)中央隔离围栏进行增补；</w:t>
      </w:r>
    </w:p>
    <w:p>
      <w:pPr>
        <w:ind w:firstLine="480"/>
        <w:rPr>
          <w:rFonts w:cs="仿宋"/>
          <w:szCs w:val="24"/>
        </w:rPr>
      </w:pPr>
      <w:r>
        <w:rPr>
          <w:rFonts w:cs="仿宋"/>
          <w:szCs w:val="24"/>
        </w:rPr>
        <w:t>9.智慧公厕建设，新建民族团结进步广场智慧公厕一座</w:t>
      </w:r>
      <w:r>
        <w:rPr>
          <w:rFonts w:hint="eastAsia" w:cs="仿宋"/>
          <w:szCs w:val="24"/>
        </w:rPr>
        <w:t>；</w:t>
      </w:r>
    </w:p>
    <w:p>
      <w:pPr>
        <w:ind w:firstLine="464"/>
        <w:rPr>
          <w:rFonts w:cs="仿宋"/>
          <w:spacing w:val="-4"/>
          <w:szCs w:val="24"/>
        </w:rPr>
      </w:pPr>
      <w:r>
        <w:rPr>
          <w:rFonts w:cs="仿宋"/>
          <w:spacing w:val="-4"/>
          <w:szCs w:val="24"/>
        </w:rPr>
        <w:t>10.县城公共厕所建设维护，对县城27座公厕进行设施维护及无障碍通道建设</w:t>
      </w:r>
      <w:r>
        <w:rPr>
          <w:rFonts w:hint="eastAsia" w:cs="仿宋"/>
          <w:spacing w:val="-4"/>
          <w:szCs w:val="24"/>
        </w:rPr>
        <w:t>。</w:t>
      </w:r>
    </w:p>
    <w:p>
      <w:pPr>
        <w:ind w:firstLine="480"/>
        <w:rPr>
          <w:rFonts w:ascii="楷体" w:hAnsi="楷体" w:eastAsia="楷体" w:cs="楷体"/>
          <w:szCs w:val="24"/>
        </w:rPr>
      </w:pPr>
      <w:r>
        <w:rPr>
          <w:rFonts w:hint="eastAsia" w:ascii="楷体" w:hAnsi="楷体" w:eastAsia="楷体" w:cs="楷体"/>
          <w:szCs w:val="24"/>
        </w:rPr>
        <w:t>(四)项目绩效目标设定情况</w:t>
      </w:r>
      <w:bookmarkEnd w:id="15"/>
    </w:p>
    <w:p>
      <w:pPr>
        <w:ind w:firstLine="480"/>
        <w:rPr>
          <w:rFonts w:cs="仿宋"/>
          <w:szCs w:val="24"/>
        </w:rPr>
      </w:pPr>
      <w:bookmarkStart w:id="17" w:name="_Hlk144996368"/>
      <w:r>
        <w:rPr>
          <w:rFonts w:hint="eastAsia" w:cs="仿宋"/>
          <w:szCs w:val="24"/>
        </w:rPr>
        <w:t>住建局根据上述项目实施内容，设定了项目总体目标和年度目标。</w:t>
      </w:r>
    </w:p>
    <w:p>
      <w:pPr>
        <w:ind w:firstLine="480"/>
        <w:rPr>
          <w:rFonts w:cs="仿宋"/>
          <w:szCs w:val="24"/>
        </w:rPr>
      </w:pPr>
      <w:r>
        <w:rPr>
          <w:rFonts w:hint="eastAsia" w:cs="仿宋"/>
          <w:szCs w:val="24"/>
        </w:rPr>
        <w:t>总体目标：</w:t>
      </w:r>
      <w:bookmarkStart w:id="18" w:name="_Hlk144905852"/>
      <w:r>
        <w:rPr>
          <w:rFonts w:hint="eastAsia" w:cs="仿宋"/>
          <w:szCs w:val="24"/>
        </w:rPr>
        <w:t>2</w:t>
      </w:r>
      <w:r>
        <w:rPr>
          <w:rFonts w:cs="仿宋"/>
          <w:szCs w:val="24"/>
        </w:rPr>
        <w:t>021</w:t>
      </w:r>
      <w:r>
        <w:rPr>
          <w:rFonts w:hint="eastAsia" w:cs="仿宋"/>
          <w:szCs w:val="24"/>
        </w:rPr>
        <w:t>年寻甸县城市更新改造建设项目投资概算约1</w:t>
      </w:r>
      <w:r>
        <w:rPr>
          <w:rFonts w:cs="仿宋"/>
          <w:szCs w:val="24"/>
        </w:rPr>
        <w:t>.36</w:t>
      </w:r>
      <w:r>
        <w:rPr>
          <w:rFonts w:hint="eastAsia" w:cs="仿宋"/>
          <w:szCs w:val="24"/>
        </w:rPr>
        <w:t>亿元，预计2</w:t>
      </w:r>
      <w:r>
        <w:rPr>
          <w:rFonts w:cs="仿宋"/>
          <w:szCs w:val="24"/>
        </w:rPr>
        <w:t>021</w:t>
      </w:r>
      <w:r>
        <w:rPr>
          <w:rFonts w:hint="eastAsia" w:cs="仿宋"/>
          <w:szCs w:val="24"/>
        </w:rPr>
        <w:t>年1</w:t>
      </w:r>
      <w:r>
        <w:rPr>
          <w:rFonts w:cs="仿宋"/>
          <w:szCs w:val="24"/>
        </w:rPr>
        <w:t>1</w:t>
      </w:r>
      <w:r>
        <w:rPr>
          <w:rFonts w:hint="eastAsia" w:cs="仿宋"/>
          <w:szCs w:val="24"/>
        </w:rPr>
        <w:t>月开工，按照投资建设协议，项目建设款分3年支付，2</w:t>
      </w:r>
      <w:r>
        <w:rPr>
          <w:rFonts w:cs="仿宋"/>
          <w:szCs w:val="24"/>
        </w:rPr>
        <w:t>021</w:t>
      </w:r>
      <w:r>
        <w:rPr>
          <w:rFonts w:hint="eastAsia" w:cs="仿宋"/>
          <w:szCs w:val="24"/>
        </w:rPr>
        <w:t>年需支付4</w:t>
      </w:r>
      <w:r>
        <w:rPr>
          <w:rFonts w:cs="仿宋"/>
          <w:szCs w:val="24"/>
        </w:rPr>
        <w:t>0%</w:t>
      </w:r>
      <w:r>
        <w:rPr>
          <w:rFonts w:hint="eastAsia" w:cs="仿宋"/>
          <w:szCs w:val="24"/>
        </w:rPr>
        <w:t>及建设期利息约6</w:t>
      </w:r>
      <w:r>
        <w:rPr>
          <w:rFonts w:cs="仿宋"/>
          <w:szCs w:val="24"/>
        </w:rPr>
        <w:t>000</w:t>
      </w:r>
      <w:r>
        <w:rPr>
          <w:rFonts w:hint="eastAsia" w:cs="仿宋"/>
          <w:szCs w:val="24"/>
        </w:rPr>
        <w:t>万元。</w:t>
      </w:r>
      <w:bookmarkEnd w:id="18"/>
    </w:p>
    <w:p>
      <w:pPr>
        <w:ind w:firstLine="480"/>
        <w:rPr>
          <w:rFonts w:cs="仿宋"/>
          <w:szCs w:val="24"/>
        </w:rPr>
      </w:pPr>
      <w:r>
        <w:rPr>
          <w:rFonts w:hint="eastAsia" w:cs="仿宋"/>
          <w:szCs w:val="24"/>
        </w:rPr>
        <w:t>年度目标：履行合同约定内容，支付工程建设相关费用4</w:t>
      </w:r>
      <w:r>
        <w:rPr>
          <w:rFonts w:cs="仿宋"/>
          <w:szCs w:val="24"/>
        </w:rPr>
        <w:t>0%</w:t>
      </w:r>
      <w:r>
        <w:rPr>
          <w:rFonts w:hint="eastAsia" w:cs="仿宋"/>
          <w:szCs w:val="24"/>
        </w:rPr>
        <w:t>约6</w:t>
      </w:r>
      <w:r>
        <w:rPr>
          <w:rFonts w:cs="仿宋"/>
          <w:szCs w:val="24"/>
        </w:rPr>
        <w:t>000</w:t>
      </w:r>
      <w:r>
        <w:rPr>
          <w:rFonts w:hint="eastAsia" w:cs="仿宋"/>
          <w:szCs w:val="24"/>
        </w:rPr>
        <w:t>万元。</w:t>
      </w:r>
    </w:p>
    <w:p>
      <w:pPr>
        <w:spacing w:after="312" w:afterLines="100"/>
        <w:ind w:firstLine="480"/>
      </w:pPr>
      <w:r>
        <w:rPr>
          <w:rFonts w:hint="eastAsia" w:cs="仿宋"/>
          <w:szCs w:val="24"/>
        </w:rPr>
        <w:t>根据上述项目年度目标，住建局申报的年度预算绩效指标及指标值的具体情况如下：</w:t>
      </w:r>
    </w:p>
    <w:tbl>
      <w:tblPr>
        <w:tblStyle w:val="7"/>
        <w:tblW w:w="7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986"/>
        <w:gridCol w:w="2793"/>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bookmarkStart w:id="19" w:name="_Hlk144923174"/>
            <w:r>
              <w:rPr>
                <w:rFonts w:hint="eastAsia" w:ascii="宋体" w:hAnsi="宋体" w:eastAsia="宋体" w:cs="宋体"/>
                <w:color w:val="000000"/>
                <w:kern w:val="0"/>
                <w:sz w:val="18"/>
                <w:szCs w:val="18"/>
              </w:rPr>
              <w:t>一级指标</w:t>
            </w:r>
          </w:p>
        </w:tc>
        <w:tc>
          <w:tcPr>
            <w:tcW w:w="1986"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2793"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1782"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vMerge w:val="restar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986"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2793" w:type="dxa"/>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支付金额</w:t>
            </w:r>
          </w:p>
        </w:tc>
        <w:tc>
          <w:tcPr>
            <w:tcW w:w="1782" w:type="dxa"/>
            <w:tcBorders>
              <w:tl2br w:val="nil"/>
              <w:tr2bl w:val="nil"/>
            </w:tcBorders>
            <w:shd w:val="clear" w:color="auto" w:fill="auto"/>
            <w:vAlign w:val="center"/>
          </w:tcPr>
          <w:p>
            <w:pPr>
              <w:widowControl/>
              <w:spacing w:line="240" w:lineRule="auto"/>
              <w:ind w:firstLine="360"/>
              <w:rPr>
                <w:rFonts w:ascii="宋体" w:hAnsi="宋体" w:eastAsia="宋体" w:cs="宋体"/>
                <w:color w:val="000000"/>
                <w:kern w:val="0"/>
                <w:sz w:val="18"/>
                <w:szCs w:val="18"/>
              </w:rPr>
            </w:pPr>
            <w:r>
              <w:rPr>
                <w:rFonts w:hint="eastAsia" w:ascii="宋体" w:hAnsi="宋体" w:eastAsia="宋体" w:cs="宋体"/>
                <w:color w:val="000000"/>
                <w:kern w:val="0"/>
                <w:sz w:val="18"/>
                <w:szCs w:val="18"/>
              </w:rPr>
              <w:t>≤7000万元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986"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793" w:type="dxa"/>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履行合同内容</w:t>
            </w:r>
          </w:p>
        </w:tc>
        <w:tc>
          <w:tcPr>
            <w:tcW w:w="1782"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986"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2793" w:type="dxa"/>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支付及时率</w:t>
            </w:r>
          </w:p>
        </w:tc>
        <w:tc>
          <w:tcPr>
            <w:tcW w:w="1782"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986"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2793" w:type="dxa"/>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成本控制情况</w:t>
            </w:r>
          </w:p>
        </w:tc>
        <w:tc>
          <w:tcPr>
            <w:tcW w:w="1782"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986"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793" w:type="dxa"/>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法务纠纷及农民工上访率</w:t>
            </w:r>
          </w:p>
        </w:tc>
        <w:tc>
          <w:tcPr>
            <w:tcW w:w="1782"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tcBorders>
              <w:tl2br w:val="nil"/>
              <w:tr2bl w:val="nil"/>
            </w:tcBorders>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1986"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服务对象满意度指标</w:t>
            </w:r>
          </w:p>
        </w:tc>
        <w:tc>
          <w:tcPr>
            <w:tcW w:w="2793" w:type="dxa"/>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民众满意度</w:t>
            </w:r>
          </w:p>
        </w:tc>
        <w:tc>
          <w:tcPr>
            <w:tcW w:w="1782" w:type="dxa"/>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r>
      <w:bookmarkEnd w:id="19"/>
    </w:tbl>
    <w:p>
      <w:pPr>
        <w:ind w:firstLine="480"/>
      </w:pPr>
      <w:r>
        <w:rPr>
          <w:rFonts w:hint="eastAsia"/>
        </w:rPr>
        <w:t>根据住建局提供的预算绩效目标申报表，申报表</w:t>
      </w:r>
      <w:bookmarkStart w:id="20" w:name="_Hlk144916459"/>
      <w:r>
        <w:rPr>
          <w:rFonts w:hint="eastAsia"/>
        </w:rPr>
        <w:t>填列不规范完整，设定的总体目标和年度目标均未清晰表述项目总体及年度工作内容和数量，未充分、恰当描述项目的主要内容；设定的绩效指标不充分全面，</w:t>
      </w:r>
      <w:bookmarkStart w:id="21" w:name="_Hlk144979236"/>
      <w:r>
        <w:rPr>
          <w:rFonts w:hint="eastAsia"/>
        </w:rPr>
        <w:t>未选取最能体现项目绩效目标实现程度和项目实施部门职能履职情况的关键的、核心的绩效指标；设定的三级指标未通过清晰、可衡量的指标及指标值细化、量化并分解项目总体目标，产出指标性质界定不清晰明确</w:t>
      </w:r>
      <w:bookmarkEnd w:id="21"/>
      <w:r>
        <w:rPr>
          <w:rFonts w:hint="eastAsia"/>
        </w:rPr>
        <w:t>。</w:t>
      </w:r>
      <w:bookmarkEnd w:id="17"/>
      <w:bookmarkEnd w:id="20"/>
    </w:p>
    <w:p>
      <w:pPr>
        <w:ind w:firstLine="480"/>
      </w:pPr>
      <w:r>
        <w:rPr>
          <w:rFonts w:hint="eastAsia"/>
        </w:rPr>
        <w:t>根据上述情况，绩效评价组在与住建局充分沟通一致后，根据项目具体实施内容，结合项目设定的背景、目的及依据和项目为实施期间的特点等，将项目个性指标及指标值设定如下</w:t>
      </w:r>
      <w:r>
        <w:t>：</w:t>
      </w:r>
    </w:p>
    <w:tbl>
      <w:tblPr>
        <w:tblStyle w:val="7"/>
        <w:tblW w:w="8355" w:type="dxa"/>
        <w:tblInd w:w="0" w:type="dxa"/>
        <w:tblLayout w:type="fixed"/>
        <w:tblCellMar>
          <w:top w:w="0" w:type="dxa"/>
          <w:left w:w="0" w:type="dxa"/>
          <w:bottom w:w="0" w:type="dxa"/>
          <w:right w:w="0" w:type="dxa"/>
        </w:tblCellMar>
      </w:tblPr>
      <w:tblGrid>
        <w:gridCol w:w="1065"/>
        <w:gridCol w:w="1128"/>
        <w:gridCol w:w="1933"/>
        <w:gridCol w:w="3119"/>
        <w:gridCol w:w="1110"/>
      </w:tblGrid>
      <w:tr>
        <w:tblPrEx>
          <w:tblLayout w:type="fixed"/>
          <w:tblCellMar>
            <w:top w:w="0" w:type="dxa"/>
            <w:left w:w="0" w:type="dxa"/>
            <w:bottom w:w="0" w:type="dxa"/>
            <w:right w:w="0" w:type="dxa"/>
          </w:tblCellMar>
        </w:tblPrEx>
        <w:trPr>
          <w:cantSplit/>
          <w:trHeight w:val="387" w:hRule="exact"/>
        </w:trPr>
        <w:tc>
          <w:tcPr>
            <w:tcW w:w="10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rPr>
                <w:rFonts w:ascii="宋体" w:hAnsi="宋体" w:eastAsia="宋体" w:cs="宋体"/>
                <w:sz w:val="18"/>
                <w:szCs w:val="18"/>
              </w:rPr>
            </w:pPr>
            <w:r>
              <w:rPr>
                <w:rFonts w:hint="eastAsia" w:ascii="宋体" w:hAnsi="宋体" w:eastAsia="宋体" w:cs="宋体"/>
                <w:sz w:val="18"/>
                <w:szCs w:val="18"/>
              </w:rPr>
              <w:t>绩</w:t>
            </w:r>
            <w:r>
              <w:rPr>
                <w:rFonts w:hint="eastAsia" w:ascii="宋体" w:hAnsi="宋体" w:eastAsia="宋体" w:cs="宋体"/>
                <w:color w:val="000000"/>
                <w:kern w:val="0"/>
                <w:sz w:val="18"/>
                <w:szCs w:val="18"/>
              </w:rPr>
              <w:t>效指标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一级指标</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二级指标</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三级指标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指标值</w:t>
            </w:r>
          </w:p>
        </w:tc>
      </w:tr>
      <w:tr>
        <w:tblPrEx>
          <w:tblLayout w:type="fixed"/>
          <w:tblCellMar>
            <w:top w:w="0" w:type="dxa"/>
            <w:left w:w="0" w:type="dxa"/>
            <w:bottom w:w="0" w:type="dxa"/>
            <w:right w:w="0" w:type="dxa"/>
          </w:tblCellMar>
        </w:tblPrEx>
        <w:trPr>
          <w:cantSplit/>
          <w:trHeight w:val="348"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restart"/>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效益指标</w:t>
            </w:r>
          </w:p>
        </w:tc>
        <w:tc>
          <w:tcPr>
            <w:tcW w:w="19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社会效益指标</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安全事件处理及时率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Layout w:type="fixed"/>
          <w:tblCellMar>
            <w:top w:w="0" w:type="dxa"/>
            <w:left w:w="0" w:type="dxa"/>
            <w:bottom w:w="0" w:type="dxa"/>
            <w:right w:w="0" w:type="dxa"/>
          </w:tblCellMar>
        </w:tblPrEx>
        <w:trPr>
          <w:cantSplit/>
          <w:trHeight w:val="368"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基本建设程序合规率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Layout w:type="fixed"/>
          <w:tblCellMar>
            <w:top w:w="0" w:type="dxa"/>
            <w:left w:w="0" w:type="dxa"/>
            <w:bottom w:w="0" w:type="dxa"/>
            <w:right w:w="0" w:type="dxa"/>
          </w:tblCellMar>
        </w:tblPrEx>
        <w:trPr>
          <w:cantSplit/>
          <w:trHeight w:val="388"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基建项目“四制”执行合规率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Layout w:type="fixed"/>
          <w:tblCellMar>
            <w:top w:w="0" w:type="dxa"/>
            <w:left w:w="0" w:type="dxa"/>
            <w:bottom w:w="0" w:type="dxa"/>
            <w:right w:w="0" w:type="dxa"/>
          </w:tblCellMar>
        </w:tblPrEx>
        <w:trPr>
          <w:cantSplit/>
          <w:trHeight w:val="335"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生态效益指标</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项目环评通过率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Layout w:type="fixed"/>
          <w:tblCellMar>
            <w:top w:w="0" w:type="dxa"/>
            <w:left w:w="0" w:type="dxa"/>
            <w:bottom w:w="0" w:type="dxa"/>
            <w:right w:w="0" w:type="dxa"/>
          </w:tblCellMar>
        </w:tblPrEx>
        <w:trPr>
          <w:cantSplit/>
          <w:trHeight w:val="344"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人居环境提升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明显</w:t>
            </w:r>
          </w:p>
        </w:tc>
      </w:tr>
      <w:tr>
        <w:tblPrEx>
          <w:tblLayout w:type="fixed"/>
          <w:tblCellMar>
            <w:top w:w="0" w:type="dxa"/>
            <w:left w:w="0" w:type="dxa"/>
            <w:bottom w:w="0" w:type="dxa"/>
            <w:right w:w="0" w:type="dxa"/>
          </w:tblCellMar>
        </w:tblPrEx>
        <w:trPr>
          <w:cantSplit/>
          <w:trHeight w:val="294"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可持续性指标</w:t>
            </w:r>
          </w:p>
        </w:tc>
        <w:tc>
          <w:tcPr>
            <w:tcW w:w="311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可持续性影响期</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≥5年</w:t>
            </w:r>
          </w:p>
        </w:tc>
      </w:tr>
      <w:tr>
        <w:tblPrEx>
          <w:tblLayout w:type="fixed"/>
          <w:tblCellMar>
            <w:top w:w="0" w:type="dxa"/>
            <w:left w:w="0" w:type="dxa"/>
            <w:bottom w:w="0" w:type="dxa"/>
            <w:right w:w="0" w:type="dxa"/>
          </w:tblCellMar>
        </w:tblPrEx>
        <w:trPr>
          <w:cantSplit/>
          <w:trHeight w:val="284" w:hRule="exact"/>
        </w:trPr>
        <w:tc>
          <w:tcPr>
            <w:tcW w:w="10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满意度指标</w:t>
            </w:r>
          </w:p>
        </w:tc>
        <w:tc>
          <w:tcPr>
            <w:tcW w:w="311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社会公众满意度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≥90%</w:t>
            </w:r>
          </w:p>
        </w:tc>
      </w:tr>
    </w:tbl>
    <w:p>
      <w:pPr>
        <w:spacing w:before="312" w:beforeLines="100"/>
        <w:ind w:firstLine="480"/>
        <w:rPr>
          <w:rFonts w:ascii="楷体" w:hAnsi="楷体" w:eastAsia="楷体" w:cs="楷体"/>
          <w:color w:val="FF0000"/>
          <w:szCs w:val="24"/>
        </w:rPr>
      </w:pPr>
      <w:bookmarkStart w:id="22" w:name="_Toc502134853"/>
      <w:r>
        <w:rPr>
          <w:rFonts w:hint="eastAsia" w:ascii="楷体" w:hAnsi="楷体" w:eastAsia="楷体" w:cs="楷体"/>
          <w:szCs w:val="24"/>
        </w:rPr>
        <w:t>(五)组织管理情况</w:t>
      </w:r>
      <w:bookmarkEnd w:id="22"/>
    </w:p>
    <w:p>
      <w:pPr>
        <w:ind w:firstLine="480"/>
      </w:pPr>
      <w:r>
        <w:rPr>
          <w:rFonts w:hint="eastAsia"/>
        </w:rPr>
        <w:t>1.项目实施主体。</w:t>
      </w:r>
      <w:bookmarkStart w:id="23" w:name="_Hlk144916314"/>
      <w:r>
        <w:rPr>
          <w:rFonts w:hint="eastAsia"/>
        </w:rPr>
        <w:t>住建局（对口服务上述项目实施内容</w:t>
      </w:r>
      <w:r>
        <w:t>1、2、3项）</w:t>
      </w:r>
      <w:bookmarkStart w:id="24" w:name="_Hlk144991539"/>
      <w:r>
        <w:t>和寻甸回族彝族自治县城市管理局（对口服务上述项目实施内容4至10项）为项目主管部门、</w:t>
      </w:r>
      <w:bookmarkStart w:id="25" w:name="_Hlk144979785"/>
      <w:r>
        <w:t>寻甸城乡投资开发集团有限公司</w:t>
      </w:r>
      <w:bookmarkEnd w:id="25"/>
      <w:r>
        <w:t>为项目代建方，按照政府采购管理规定，通过</w:t>
      </w:r>
      <w:r>
        <w:rPr>
          <w:rFonts w:hint="eastAsia"/>
        </w:rPr>
        <w:t>邀请</w:t>
      </w:r>
      <w:r>
        <w:t>招标的方式采购</w:t>
      </w:r>
      <w:bookmarkStart w:id="26" w:name="_Hlk144978878"/>
      <w:r>
        <w:t>中冶（云南）工程投资建设有限公司（联合体牵头方）、中亿通达设计咨询集团有限公司（联合体成员）</w:t>
      </w:r>
      <w:bookmarkEnd w:id="26"/>
      <w:r>
        <w:t>为项目EPC总承包单位</w:t>
      </w:r>
      <w:bookmarkEnd w:id="23"/>
      <w:r>
        <w:rPr>
          <w:rFonts w:hint="eastAsia"/>
        </w:rPr>
        <w:t>组织实施</w:t>
      </w:r>
      <w:bookmarkEnd w:id="24"/>
      <w:r>
        <w:rPr>
          <w:rFonts w:hint="eastAsia"/>
        </w:rPr>
        <w:t>。</w:t>
      </w:r>
    </w:p>
    <w:p>
      <w:pPr>
        <w:ind w:firstLine="480"/>
      </w:pPr>
      <w:r>
        <w:rPr>
          <w:rFonts w:hint="eastAsia"/>
        </w:rPr>
        <w:t>2.保障措施。一是以项目管理办法保障项目的申报范围、安排导向和实施方式；二是以绩效考核、工程质量监测的方式发挥资金效益；三是以预算明细的方式保障资金安排的科学规范，住建局建立预算管理制度，规范管理项目。</w:t>
      </w:r>
    </w:p>
    <w:p>
      <w:pPr>
        <w:ind w:firstLine="480"/>
      </w:pPr>
      <w:r>
        <w:rPr>
          <w:rFonts w:hint="eastAsia"/>
        </w:rPr>
        <w:t>3.资金安排程序。由涉及到的相关处室进行项目经费的测算，测算完后及时将所需资金报住建局，住建局领导成员班子通过会议讨论决定项目经费支出安排。</w:t>
      </w:r>
    </w:p>
    <w:p>
      <w:pPr>
        <w:ind w:firstLine="464"/>
        <w:rPr>
          <w:spacing w:val="-4"/>
        </w:rPr>
      </w:pPr>
      <w:r>
        <w:rPr>
          <w:rFonts w:hint="eastAsia"/>
          <w:spacing w:val="-4"/>
        </w:rPr>
        <w:t>4.资金安排标准或依据。《寻甸回族彝族自治县财政局关于批复</w:t>
      </w:r>
      <w:r>
        <w:rPr>
          <w:spacing w:val="-4"/>
        </w:rPr>
        <w:t>2022年部门预算的通知》（寻财预〔2022〕1号）项目</w:t>
      </w:r>
      <w:r>
        <w:rPr>
          <w:rFonts w:hint="eastAsia"/>
          <w:spacing w:val="-4"/>
        </w:rPr>
        <w:t>2</w:t>
      </w:r>
      <w:r>
        <w:rPr>
          <w:spacing w:val="-4"/>
        </w:rPr>
        <w:t>022</w:t>
      </w:r>
      <w:r>
        <w:rPr>
          <w:rFonts w:hint="eastAsia"/>
          <w:spacing w:val="-4"/>
        </w:rPr>
        <w:t>年度</w:t>
      </w:r>
      <w:r>
        <w:rPr>
          <w:spacing w:val="-4"/>
        </w:rPr>
        <w:t>预算资金为55,000,000.00元</w:t>
      </w:r>
      <w:r>
        <w:rPr>
          <w:rFonts w:hint="eastAsia"/>
          <w:spacing w:val="-4"/>
        </w:rPr>
        <w:t>。</w:t>
      </w:r>
    </w:p>
    <w:p>
      <w:pPr>
        <w:ind w:firstLine="480"/>
      </w:pPr>
      <w:r>
        <w:rPr>
          <w:rFonts w:hint="eastAsia"/>
        </w:rPr>
        <w:t>5.财务管理。住建局制定了《寻甸县住建局财务管理制度》等财务管理制度。规定了严格的审批制度。加强专项资金管理，严格执行财务管理制度，切实提高财政资金的使用效率。资金管理及核算执行《政府会计制度》。</w:t>
      </w:r>
    </w:p>
    <w:p>
      <w:pPr>
        <w:ind w:firstLine="480"/>
        <w:rPr>
          <w:rFonts w:ascii="黑体" w:hAnsi="黑体" w:eastAsia="黑体" w:cs="黑体"/>
          <w:szCs w:val="24"/>
        </w:rPr>
      </w:pPr>
      <w:bookmarkStart w:id="27" w:name="_Toc502134854"/>
      <w:r>
        <w:rPr>
          <w:rFonts w:hint="eastAsia" w:ascii="黑体" w:hAnsi="黑体" w:eastAsia="黑体" w:cs="黑体"/>
          <w:szCs w:val="24"/>
        </w:rPr>
        <w:t>二、绩效自评情况</w:t>
      </w:r>
      <w:bookmarkEnd w:id="27"/>
    </w:p>
    <w:p>
      <w:pPr>
        <w:ind w:firstLine="480"/>
        <w:rPr>
          <w:rFonts w:ascii="楷体" w:hAnsi="楷体" w:eastAsia="楷体" w:cs="楷体"/>
          <w:szCs w:val="24"/>
        </w:rPr>
      </w:pPr>
      <w:bookmarkStart w:id="28" w:name="_Toc498009772"/>
      <w:bookmarkStart w:id="29" w:name="_Toc502134855"/>
      <w:r>
        <w:rPr>
          <w:rFonts w:hint="eastAsia" w:ascii="楷体" w:hAnsi="楷体" w:eastAsia="楷体" w:cs="楷体"/>
          <w:szCs w:val="24"/>
        </w:rPr>
        <w:t>(一)绩效自评概述</w:t>
      </w:r>
      <w:bookmarkEnd w:id="28"/>
      <w:bookmarkEnd w:id="29"/>
    </w:p>
    <w:p>
      <w:pPr>
        <w:ind w:firstLine="472"/>
        <w:rPr>
          <w:spacing w:val="-2"/>
        </w:rPr>
      </w:pPr>
      <w:bookmarkStart w:id="30" w:name="_Toc498009773"/>
      <w:bookmarkStart w:id="31" w:name="_Toc502134856"/>
      <w:r>
        <w:rPr>
          <w:rFonts w:hint="eastAsia"/>
          <w:spacing w:val="-2"/>
        </w:rPr>
        <w:t>根据</w:t>
      </w:r>
      <w:bookmarkStart w:id="32" w:name="_Hlk143869243"/>
      <w:r>
        <w:rPr>
          <w:rFonts w:hint="eastAsia"/>
          <w:spacing w:val="-2"/>
        </w:rPr>
        <w:t>《寻甸县财政局关于印发</w:t>
      </w:r>
      <w:r>
        <w:rPr>
          <w:spacing w:val="-2"/>
        </w:rPr>
        <w:t>&lt;寻甸县本级部门预算绩效自评管理暂行办法&gt;的通知》（寻财绩</w:t>
      </w:r>
      <w:r>
        <w:rPr>
          <w:rFonts w:hint="eastAsia" w:cs="仿宋"/>
          <w:spacing w:val="-2"/>
        </w:rPr>
        <w:t>〔</w:t>
      </w:r>
      <w:r>
        <w:rPr>
          <w:spacing w:val="-2"/>
        </w:rPr>
        <w:t>2018</w:t>
      </w:r>
      <w:r>
        <w:rPr>
          <w:rFonts w:hint="eastAsia" w:cs="仿宋"/>
          <w:spacing w:val="-2"/>
        </w:rPr>
        <w:t>〕</w:t>
      </w:r>
      <w:r>
        <w:rPr>
          <w:spacing w:val="-2"/>
        </w:rPr>
        <w:t>9号）</w:t>
      </w:r>
      <w:bookmarkEnd w:id="32"/>
      <w:r>
        <w:rPr>
          <w:rFonts w:hint="eastAsia"/>
          <w:spacing w:val="-2"/>
        </w:rPr>
        <w:t>等文件的规定，住建局成立了202</w:t>
      </w:r>
      <w:r>
        <w:rPr>
          <w:spacing w:val="-2"/>
        </w:rPr>
        <w:t>2</w:t>
      </w:r>
      <w:r>
        <w:rPr>
          <w:rFonts w:hint="eastAsia"/>
          <w:spacing w:val="-2"/>
        </w:rPr>
        <w:t>年</w:t>
      </w:r>
      <w:bookmarkStart w:id="33" w:name="_Hlk144910479"/>
      <w:bookmarkStart w:id="34" w:name="_Hlk144974749"/>
      <w:r>
        <w:rPr>
          <w:rFonts w:hint="eastAsia"/>
          <w:spacing w:val="-2"/>
        </w:rPr>
        <w:t>寻甸县城市更新改造建设工程</w:t>
      </w:r>
      <w:bookmarkEnd w:id="33"/>
      <w:r>
        <w:rPr>
          <w:rFonts w:hint="eastAsia"/>
          <w:spacing w:val="-2"/>
        </w:rPr>
        <w:t>项目</w:t>
      </w:r>
      <w:bookmarkEnd w:id="34"/>
      <w:r>
        <w:rPr>
          <w:rFonts w:hint="eastAsia"/>
          <w:spacing w:val="-2"/>
        </w:rPr>
        <w:t>支出绩效自评组，并于202</w:t>
      </w:r>
      <w:r>
        <w:rPr>
          <w:spacing w:val="-2"/>
        </w:rPr>
        <w:t>3</w:t>
      </w:r>
      <w:r>
        <w:rPr>
          <w:rFonts w:hint="eastAsia"/>
          <w:spacing w:val="-2"/>
        </w:rPr>
        <w:t>年</w:t>
      </w:r>
      <w:r>
        <w:rPr>
          <w:spacing w:val="-2"/>
        </w:rPr>
        <w:t>5</w:t>
      </w:r>
      <w:r>
        <w:rPr>
          <w:rFonts w:hint="eastAsia"/>
          <w:spacing w:val="-2"/>
        </w:rPr>
        <w:t>月形成了《寻甸回族彝族自治县住房和城乡建设局202</w:t>
      </w:r>
      <w:r>
        <w:rPr>
          <w:spacing w:val="-2"/>
        </w:rPr>
        <w:t>1</w:t>
      </w:r>
      <w:r>
        <w:rPr>
          <w:rFonts w:hint="eastAsia"/>
          <w:spacing w:val="-2"/>
        </w:rPr>
        <w:t>年城市更新改造建设工程项目支出绩效自评报告》。</w:t>
      </w:r>
    </w:p>
    <w:p>
      <w:pPr>
        <w:ind w:firstLine="480"/>
        <w:rPr>
          <w:rFonts w:ascii="楷体" w:hAnsi="楷体" w:eastAsia="楷体" w:cs="楷体"/>
          <w:szCs w:val="24"/>
        </w:rPr>
      </w:pPr>
      <w:r>
        <w:rPr>
          <w:rFonts w:hint="eastAsia" w:ascii="楷体" w:hAnsi="楷体" w:eastAsia="楷体" w:cs="楷体"/>
          <w:szCs w:val="24"/>
        </w:rPr>
        <w:t>(二)绩效自评结论</w:t>
      </w:r>
      <w:bookmarkEnd w:id="30"/>
      <w:bookmarkEnd w:id="31"/>
    </w:p>
    <w:p>
      <w:pPr>
        <w:ind w:firstLine="480"/>
        <w:rPr>
          <w:rFonts w:cs="仿宋"/>
          <w:szCs w:val="24"/>
        </w:rPr>
      </w:pPr>
      <w:r>
        <w:rPr>
          <w:rFonts w:hint="eastAsia" w:cs="仿宋"/>
          <w:szCs w:val="24"/>
        </w:rPr>
        <w:t>根据住建局提供的《2</w:t>
      </w:r>
      <w:r>
        <w:rPr>
          <w:rFonts w:cs="仿宋"/>
          <w:szCs w:val="24"/>
        </w:rPr>
        <w:t>021</w:t>
      </w:r>
      <w:r>
        <w:rPr>
          <w:rFonts w:hint="eastAsia" w:cs="仿宋"/>
          <w:szCs w:val="24"/>
        </w:rPr>
        <w:t>年</w:t>
      </w:r>
      <w:bookmarkStart w:id="35" w:name="_Hlk143941822"/>
      <w:r>
        <w:rPr>
          <w:rFonts w:hint="eastAsia" w:cs="仿宋"/>
          <w:szCs w:val="24"/>
        </w:rPr>
        <w:t>寻甸县</w:t>
      </w:r>
      <w:bookmarkStart w:id="36" w:name="_Hlk144974820"/>
      <w:r>
        <w:rPr>
          <w:rFonts w:hint="eastAsia" w:cs="仿宋"/>
          <w:szCs w:val="24"/>
        </w:rPr>
        <w:t>城市更新改造建设工程项目</w:t>
      </w:r>
      <w:bookmarkEnd w:id="35"/>
      <w:bookmarkEnd w:id="36"/>
      <w:r>
        <w:rPr>
          <w:rFonts w:hint="eastAsia" w:cs="仿宋"/>
          <w:szCs w:val="24"/>
        </w:rPr>
        <w:t>专项资金支出绩效自评报告》，住建局202</w:t>
      </w:r>
      <w:r>
        <w:rPr>
          <w:rFonts w:cs="仿宋"/>
          <w:szCs w:val="24"/>
        </w:rPr>
        <w:t>2</w:t>
      </w:r>
      <w:r>
        <w:rPr>
          <w:rFonts w:hint="eastAsia" w:cs="仿宋"/>
          <w:szCs w:val="24"/>
        </w:rPr>
        <w:t>年寻甸县城市更新改造建设工程项目的决策、管理、绩效情况自评综合得分为9</w:t>
      </w:r>
      <w:r>
        <w:rPr>
          <w:rFonts w:cs="仿宋"/>
          <w:szCs w:val="24"/>
        </w:rPr>
        <w:t>7</w:t>
      </w:r>
      <w:r>
        <w:rPr>
          <w:rFonts w:hint="eastAsia" w:cs="仿宋"/>
          <w:szCs w:val="24"/>
        </w:rPr>
        <w:t>分，自评等级为“优”。</w:t>
      </w:r>
    </w:p>
    <w:p>
      <w:pPr>
        <w:ind w:firstLine="480"/>
        <w:rPr>
          <w:rFonts w:ascii="黑体" w:hAnsi="黑体" w:eastAsia="黑体" w:cs="黑体"/>
          <w:szCs w:val="24"/>
        </w:rPr>
      </w:pPr>
      <w:bookmarkStart w:id="37" w:name="_Toc502134857"/>
      <w:r>
        <w:rPr>
          <w:rFonts w:hint="eastAsia" w:ascii="黑体" w:hAnsi="黑体" w:eastAsia="黑体" w:cs="黑体"/>
          <w:szCs w:val="24"/>
        </w:rPr>
        <w:t>三、绩效评价组织情况</w:t>
      </w:r>
      <w:bookmarkEnd w:id="37"/>
    </w:p>
    <w:p>
      <w:pPr>
        <w:ind w:firstLine="480"/>
        <w:rPr>
          <w:rFonts w:ascii="楷体" w:hAnsi="楷体" w:eastAsia="楷体" w:cs="楷体"/>
          <w:szCs w:val="24"/>
        </w:rPr>
      </w:pPr>
      <w:bookmarkStart w:id="38" w:name="_Toc502134858"/>
      <w:r>
        <w:rPr>
          <w:rFonts w:hint="eastAsia" w:ascii="楷体" w:hAnsi="楷体" w:eastAsia="楷体" w:cs="楷体"/>
          <w:szCs w:val="24"/>
        </w:rPr>
        <w:t>(一)绩效评价依据</w:t>
      </w:r>
      <w:bookmarkEnd w:id="38"/>
    </w:p>
    <w:p>
      <w:pPr>
        <w:ind w:firstLine="480"/>
        <w:rPr>
          <w:rFonts w:cs="仿宋"/>
          <w:szCs w:val="24"/>
        </w:rPr>
      </w:pPr>
      <w:r>
        <w:rPr>
          <w:rFonts w:hint="eastAsia" w:cs="仿宋"/>
          <w:szCs w:val="24"/>
        </w:rPr>
        <w:t>1.《中华人民共和国预算法》（201</w:t>
      </w:r>
      <w:r>
        <w:rPr>
          <w:rFonts w:cs="仿宋"/>
          <w:szCs w:val="24"/>
        </w:rPr>
        <w:t>8</w:t>
      </w:r>
      <w:r>
        <w:rPr>
          <w:rFonts w:hint="eastAsia" w:cs="仿宋"/>
          <w:szCs w:val="24"/>
        </w:rPr>
        <w:t>年修订）；</w:t>
      </w:r>
    </w:p>
    <w:p>
      <w:pPr>
        <w:ind w:firstLine="480"/>
        <w:rPr>
          <w:rFonts w:cs="仿宋"/>
          <w:szCs w:val="24"/>
        </w:rPr>
      </w:pPr>
      <w:r>
        <w:rPr>
          <w:rFonts w:hint="eastAsia" w:cs="仿宋"/>
          <w:szCs w:val="24"/>
        </w:rPr>
        <w:t>2.《项目支出绩效评价管理办法》（财预〔2020〕10号）；</w:t>
      </w:r>
    </w:p>
    <w:p>
      <w:pPr>
        <w:ind w:firstLine="480"/>
        <w:rPr>
          <w:rFonts w:cs="仿宋"/>
          <w:szCs w:val="24"/>
        </w:rPr>
      </w:pPr>
      <w:r>
        <w:rPr>
          <w:rFonts w:hint="eastAsia" w:cs="仿宋"/>
          <w:szCs w:val="24"/>
        </w:rPr>
        <w:t>3.《中共云南省委、云南省人民政府关于全面实施预算管理绩效的意见》（云发〔2019〕11号）；</w:t>
      </w:r>
    </w:p>
    <w:p>
      <w:pPr>
        <w:ind w:firstLine="480"/>
        <w:rPr>
          <w:rFonts w:cs="仿宋"/>
          <w:szCs w:val="24"/>
        </w:rPr>
      </w:pPr>
      <w:r>
        <w:rPr>
          <w:rFonts w:hint="eastAsia" w:cs="仿宋"/>
          <w:szCs w:val="24"/>
        </w:rPr>
        <w:t>4.《云南省省级财政预算绩效管理暂行办法》（云财预〔2015〕295号）；</w:t>
      </w:r>
    </w:p>
    <w:p>
      <w:pPr>
        <w:ind w:firstLine="480"/>
        <w:rPr>
          <w:rFonts w:cs="仿宋"/>
          <w:szCs w:val="24"/>
        </w:rPr>
      </w:pPr>
      <w:r>
        <w:rPr>
          <w:rFonts w:hint="eastAsia" w:cs="仿宋"/>
          <w:szCs w:val="24"/>
        </w:rPr>
        <w:t>5.</w:t>
      </w:r>
      <w:bookmarkStart w:id="39" w:name="_Hlk143869363"/>
      <w:r>
        <w:rPr>
          <w:rFonts w:hint="eastAsia" w:cs="仿宋"/>
          <w:szCs w:val="24"/>
        </w:rPr>
        <w:t>《关于全面推进预算绩效管理改革的实施意见》（寻政发〔</w:t>
      </w:r>
      <w:r>
        <w:rPr>
          <w:rFonts w:cs="仿宋"/>
          <w:szCs w:val="24"/>
        </w:rPr>
        <w:t>2016〕122号）</w:t>
      </w:r>
      <w:r>
        <w:rPr>
          <w:rFonts w:hint="eastAsia" w:cs="仿宋"/>
          <w:szCs w:val="24"/>
        </w:rPr>
        <w:t>；</w:t>
      </w:r>
    </w:p>
    <w:p>
      <w:pPr>
        <w:ind w:firstLine="480"/>
        <w:rPr>
          <w:rFonts w:cs="仿宋"/>
          <w:szCs w:val="24"/>
        </w:rPr>
      </w:pPr>
      <w:r>
        <w:rPr>
          <w:rFonts w:cs="仿宋"/>
          <w:szCs w:val="24"/>
        </w:rPr>
        <w:t>6.</w:t>
      </w:r>
      <w:r>
        <w:rPr>
          <w:rFonts w:hint="eastAsia" w:cs="仿宋"/>
          <w:szCs w:val="24"/>
        </w:rPr>
        <w:t>《关于</w:t>
      </w:r>
      <w:r>
        <w:rPr>
          <w:rFonts w:cs="仿宋"/>
          <w:szCs w:val="24"/>
        </w:rPr>
        <w:t>2022年度部门整体支出、重大项目支出和地方政府债券项目支出绩效再评价的通知》（寻财绩〔2023〕5号）</w:t>
      </w:r>
      <w:r>
        <w:rPr>
          <w:rFonts w:hint="eastAsia" w:cs="仿宋"/>
          <w:szCs w:val="24"/>
        </w:rPr>
        <w:t>；</w:t>
      </w:r>
    </w:p>
    <w:p>
      <w:pPr>
        <w:ind w:firstLine="480"/>
        <w:rPr>
          <w:rFonts w:cs="仿宋"/>
          <w:szCs w:val="24"/>
        </w:rPr>
      </w:pPr>
      <w:r>
        <w:rPr>
          <w:rFonts w:cs="仿宋"/>
          <w:szCs w:val="24"/>
        </w:rPr>
        <w:t>7</w:t>
      </w:r>
      <w:r>
        <w:rPr>
          <w:rFonts w:hint="eastAsia" w:cs="仿宋"/>
          <w:szCs w:val="24"/>
        </w:rPr>
        <w:t>.其他相关依据文件</w:t>
      </w:r>
      <w:bookmarkEnd w:id="39"/>
      <w:r>
        <w:rPr>
          <w:rFonts w:hint="eastAsia" w:cs="仿宋"/>
          <w:szCs w:val="24"/>
        </w:rPr>
        <w:t>。</w:t>
      </w:r>
    </w:p>
    <w:p>
      <w:pPr>
        <w:ind w:firstLine="480"/>
        <w:rPr>
          <w:rFonts w:ascii="楷体" w:hAnsi="楷体" w:eastAsia="楷体" w:cs="楷体"/>
          <w:szCs w:val="24"/>
        </w:rPr>
      </w:pPr>
      <w:bookmarkStart w:id="40" w:name="_Toc502134859"/>
      <w:r>
        <w:rPr>
          <w:rFonts w:hint="eastAsia" w:ascii="楷体" w:hAnsi="楷体" w:eastAsia="楷体" w:cs="楷体"/>
          <w:szCs w:val="24"/>
        </w:rPr>
        <w:t>(二)绩效评价方法</w:t>
      </w:r>
      <w:bookmarkEnd w:id="40"/>
    </w:p>
    <w:p>
      <w:pPr>
        <w:ind w:firstLine="480"/>
        <w:rPr>
          <w:rFonts w:cs="仿宋"/>
          <w:szCs w:val="24"/>
        </w:rPr>
      </w:pPr>
      <w:r>
        <w:rPr>
          <w:rFonts w:hint="eastAsia" w:cs="仿宋"/>
          <w:szCs w:val="24"/>
        </w:rPr>
        <w:t>本次绩效评价采取定量与定性相结合的方式，具体实施了审阅、实地踏勘、检查、分析复核、计算、交换和反馈意见、专家会审等程序。通过资料收集、数据填报、案卷研究、实地调研、座谈会、问卷调查等方式，开展实地评价。对202</w:t>
      </w:r>
      <w:r>
        <w:rPr>
          <w:rFonts w:cs="仿宋"/>
          <w:szCs w:val="24"/>
        </w:rPr>
        <w:t>2</w:t>
      </w:r>
      <w:r>
        <w:rPr>
          <w:rFonts w:hint="eastAsia" w:cs="仿宋"/>
          <w:szCs w:val="24"/>
        </w:rPr>
        <w:t>年城市更新改造建设工程项目相关档案资料进行查阅，结合现场核实情况和资金到位使用及结余情况的分析，进行数据分析和取证。</w:t>
      </w:r>
    </w:p>
    <w:p>
      <w:pPr>
        <w:ind w:firstLine="480"/>
        <w:rPr>
          <w:rFonts w:cs="仿宋"/>
          <w:szCs w:val="24"/>
        </w:rPr>
      </w:pPr>
      <w:r>
        <w:rPr>
          <w:rFonts w:hint="eastAsia" w:cs="仿宋"/>
          <w:szCs w:val="24"/>
        </w:rPr>
        <w:t>具体方法可以采用以下</w:t>
      </w:r>
      <w:r>
        <w:rPr>
          <w:rFonts w:hint="eastAsia" w:cs="仿宋"/>
          <w:szCs w:val="24"/>
          <w:lang w:val="en-US" w:eastAsia="zh-CN"/>
        </w:rPr>
        <w:t>6</w:t>
      </w:r>
      <w:r>
        <w:rPr>
          <w:rFonts w:hint="eastAsia" w:cs="仿宋"/>
          <w:szCs w:val="24"/>
        </w:rPr>
        <w:t>种方法中的一种，也可多种评价方法并用：目标比较法、成本效益法、历史比较法、专家评价法、问卷调查法、横向比较法。</w:t>
      </w:r>
    </w:p>
    <w:p>
      <w:pPr>
        <w:ind w:firstLine="480"/>
        <w:rPr>
          <w:rFonts w:ascii="楷体" w:hAnsi="楷体" w:eastAsia="楷体" w:cs="楷体"/>
          <w:szCs w:val="24"/>
        </w:rPr>
      </w:pPr>
      <w:bookmarkStart w:id="41" w:name="_Toc502134860"/>
      <w:r>
        <w:rPr>
          <w:rFonts w:hint="eastAsia" w:ascii="楷体" w:hAnsi="楷体" w:eastAsia="楷体" w:cs="楷体"/>
          <w:szCs w:val="24"/>
        </w:rPr>
        <w:t>(三)绩效评价指标体系</w:t>
      </w:r>
      <w:bookmarkEnd w:id="41"/>
    </w:p>
    <w:p>
      <w:pPr>
        <w:ind w:firstLine="480"/>
        <w:rPr>
          <w:rFonts w:cs="仿宋"/>
          <w:szCs w:val="24"/>
        </w:rPr>
      </w:pPr>
      <w:r>
        <w:rPr>
          <w:rFonts w:hint="eastAsia" w:cs="仿宋"/>
          <w:szCs w:val="24"/>
        </w:rPr>
        <w:t>1.绩效评价指标</w:t>
      </w:r>
    </w:p>
    <w:p>
      <w:pPr>
        <w:ind w:firstLine="480"/>
        <w:rPr>
          <w:rFonts w:cs="仿宋"/>
          <w:szCs w:val="24"/>
        </w:rPr>
      </w:pPr>
      <w:bookmarkStart w:id="42" w:name="_Toc502134861"/>
      <w:r>
        <w:rPr>
          <w:rFonts w:hint="eastAsia" w:cs="仿宋"/>
          <w:szCs w:val="24"/>
        </w:rPr>
        <w:t>本项目绩效评价以100分计，设项目决策、项目执行过程、项目产出、项目效益4个一级指标，权重分别为：1</w:t>
      </w:r>
      <w:r>
        <w:rPr>
          <w:rFonts w:cs="仿宋"/>
          <w:szCs w:val="24"/>
        </w:rPr>
        <w:t>6</w:t>
      </w:r>
      <w:r>
        <w:rPr>
          <w:rFonts w:hint="eastAsia" w:cs="仿宋"/>
          <w:szCs w:val="24"/>
        </w:rPr>
        <w:t>%、2</w:t>
      </w:r>
      <w:r>
        <w:rPr>
          <w:rFonts w:hint="eastAsia" w:cs="仿宋"/>
          <w:szCs w:val="24"/>
          <w:lang w:val="en-US" w:eastAsia="zh-CN"/>
        </w:rPr>
        <w:t>9</w:t>
      </w:r>
      <w:r>
        <w:rPr>
          <w:rFonts w:hint="eastAsia" w:cs="仿宋"/>
          <w:szCs w:val="24"/>
        </w:rPr>
        <w:t>%、3</w:t>
      </w:r>
      <w:r>
        <w:rPr>
          <w:rFonts w:hint="eastAsia" w:cs="仿宋"/>
          <w:szCs w:val="24"/>
          <w:lang w:val="en-US" w:eastAsia="zh-CN"/>
        </w:rPr>
        <w:t>5</w:t>
      </w:r>
      <w:r>
        <w:rPr>
          <w:rFonts w:hint="eastAsia" w:cs="仿宋"/>
          <w:szCs w:val="24"/>
        </w:rPr>
        <w:t>%、</w:t>
      </w:r>
      <w:r>
        <w:rPr>
          <w:rFonts w:hint="eastAsia" w:cs="仿宋"/>
          <w:szCs w:val="24"/>
          <w:lang w:val="en-US" w:eastAsia="zh-CN"/>
        </w:rPr>
        <w:t>2</w:t>
      </w:r>
      <w:r>
        <w:rPr>
          <w:rFonts w:hint="eastAsia" w:cs="仿宋"/>
          <w:szCs w:val="24"/>
        </w:rPr>
        <w:t>0%。在此基础上设定1</w:t>
      </w:r>
      <w:r>
        <w:rPr>
          <w:rFonts w:hint="eastAsia" w:cs="仿宋"/>
          <w:szCs w:val="24"/>
          <w:lang w:val="en-US" w:eastAsia="zh-CN"/>
        </w:rPr>
        <w:t>3</w:t>
      </w:r>
      <w:r>
        <w:rPr>
          <w:rFonts w:hint="eastAsia" w:cs="仿宋"/>
          <w:szCs w:val="24"/>
        </w:rPr>
        <w:t>个二级指标（项目立项、绩效目标、资金投入、资金管理、组织实施、产出数量、产出质量、产出时效、产出成本、社会效益、生态效益、可持续性、满意度），设2</w:t>
      </w:r>
      <w:r>
        <w:rPr>
          <w:rFonts w:cs="仿宋"/>
          <w:szCs w:val="24"/>
        </w:rPr>
        <w:t>2</w:t>
      </w:r>
      <w:r>
        <w:rPr>
          <w:rFonts w:hint="eastAsia" w:cs="仿宋"/>
          <w:szCs w:val="24"/>
        </w:rPr>
        <w:t>个三级指标</w:t>
      </w:r>
      <w:bookmarkStart w:id="43" w:name="_Hlk143856496"/>
      <w:r>
        <w:rPr>
          <w:rFonts w:hint="eastAsia" w:cs="仿宋"/>
          <w:szCs w:val="24"/>
        </w:rPr>
        <w:t>（详见后附“寻甸县住房和城乡建设局</w:t>
      </w:r>
      <w:bookmarkStart w:id="44" w:name="_Hlk145775504"/>
      <w:r>
        <w:rPr>
          <w:rFonts w:hint="eastAsia" w:cs="仿宋"/>
          <w:szCs w:val="24"/>
        </w:rPr>
        <w:t>城市更新改造建设工程</w:t>
      </w:r>
      <w:bookmarkEnd w:id="44"/>
      <w:r>
        <w:rPr>
          <w:rFonts w:hint="eastAsia" w:cs="仿宋"/>
          <w:szCs w:val="24"/>
        </w:rPr>
        <w:t>项目支出绩效评价指标体系及评分表”）</w:t>
      </w:r>
      <w:bookmarkEnd w:id="43"/>
      <w:r>
        <w:rPr>
          <w:rFonts w:hint="eastAsia" w:cs="仿宋"/>
          <w:szCs w:val="24"/>
        </w:rPr>
        <w:t>。</w:t>
      </w:r>
    </w:p>
    <w:p>
      <w:pPr>
        <w:ind w:firstLine="480"/>
        <w:rPr>
          <w:rFonts w:cs="仿宋"/>
          <w:szCs w:val="24"/>
        </w:rPr>
      </w:pPr>
      <w:r>
        <w:rPr>
          <w:rFonts w:hint="eastAsia" w:cs="仿宋"/>
          <w:szCs w:val="24"/>
        </w:rPr>
        <w:t>2.评价标准</w:t>
      </w:r>
    </w:p>
    <w:p>
      <w:pPr>
        <w:ind w:firstLine="480"/>
        <w:rPr>
          <w:rFonts w:cs="仿宋"/>
          <w:szCs w:val="24"/>
        </w:rPr>
      </w:pPr>
      <w:r>
        <w:rPr>
          <w:rFonts w:hint="eastAsia" w:cs="仿宋"/>
          <w:szCs w:val="24"/>
        </w:rPr>
        <w:t>(1)项目支出评价得分满分为100分。</w:t>
      </w:r>
    </w:p>
    <w:p>
      <w:pPr>
        <w:ind w:firstLine="480"/>
        <w:rPr>
          <w:rFonts w:cs="仿宋"/>
          <w:szCs w:val="24"/>
        </w:rPr>
      </w:pPr>
      <w:r>
        <w:rPr>
          <w:rFonts w:hint="eastAsia" w:cs="仿宋"/>
          <w:szCs w:val="24"/>
        </w:rPr>
        <w:t>(2)由审计评价组根据评价情况，对各单项指标分别进行独立打分。</w:t>
      </w:r>
    </w:p>
    <w:p>
      <w:pPr>
        <w:ind w:firstLine="480"/>
        <w:rPr>
          <w:rFonts w:cs="仿宋"/>
          <w:szCs w:val="24"/>
        </w:rPr>
      </w:pPr>
      <w:r>
        <w:rPr>
          <w:rFonts w:hint="eastAsia" w:cs="仿宋"/>
          <w:szCs w:val="24"/>
        </w:rPr>
        <w:t>(3)总评价分为各单项指标得分总和。</w:t>
      </w:r>
    </w:p>
    <w:p>
      <w:pPr>
        <w:ind w:firstLine="480"/>
        <w:rPr>
          <w:rFonts w:cs="仿宋"/>
          <w:szCs w:val="24"/>
        </w:rPr>
      </w:pPr>
      <w:r>
        <w:rPr>
          <w:rFonts w:hint="eastAsia" w:cs="仿宋"/>
          <w:szCs w:val="24"/>
        </w:rPr>
        <w:t>(4)评价结果：根据最终得分情况将评价结果分为四个等级：优（得分≥90分）；良（80分≤得分＜90分）；中（60≤得分＜80分）；差（得分＜60分）。</w:t>
      </w:r>
    </w:p>
    <w:p>
      <w:pPr>
        <w:ind w:firstLine="480"/>
        <w:rPr>
          <w:rFonts w:cs="仿宋"/>
          <w:szCs w:val="24"/>
        </w:rPr>
      </w:pPr>
      <w:bookmarkStart w:id="45" w:name="_Toc7874"/>
      <w:bookmarkStart w:id="46" w:name="_Toc25624"/>
      <w:r>
        <w:rPr>
          <w:rFonts w:hint="eastAsia" w:cs="仿宋"/>
          <w:szCs w:val="24"/>
        </w:rPr>
        <w:t>3.数据来源</w:t>
      </w:r>
      <w:bookmarkEnd w:id="45"/>
      <w:bookmarkEnd w:id="46"/>
    </w:p>
    <w:p>
      <w:pPr>
        <w:ind w:firstLine="480"/>
        <w:rPr>
          <w:rFonts w:cs="仿宋"/>
          <w:color w:val="FF0000"/>
          <w:szCs w:val="24"/>
        </w:rPr>
      </w:pPr>
      <w:r>
        <w:rPr>
          <w:rFonts w:hint="eastAsia" w:cs="仿宋"/>
          <w:szCs w:val="24"/>
        </w:rPr>
        <w:t>绩效评价数据由住建局提供。</w:t>
      </w:r>
    </w:p>
    <w:bookmarkEnd w:id="42"/>
    <w:p>
      <w:pPr>
        <w:ind w:firstLine="480"/>
        <w:rPr>
          <w:rFonts w:ascii="黑体" w:hAnsi="黑体" w:eastAsia="黑体" w:cs="黑体"/>
          <w:szCs w:val="24"/>
        </w:rPr>
      </w:pPr>
      <w:bookmarkStart w:id="47" w:name="_Toc502134862"/>
      <w:r>
        <w:rPr>
          <w:rFonts w:hint="eastAsia" w:ascii="黑体" w:hAnsi="黑体" w:eastAsia="黑体" w:cs="黑体"/>
          <w:szCs w:val="24"/>
        </w:rPr>
        <w:t>四、</w:t>
      </w:r>
      <w:bookmarkEnd w:id="47"/>
      <w:r>
        <w:rPr>
          <w:rFonts w:hint="eastAsia" w:ascii="黑体" w:hAnsi="黑体" w:eastAsia="黑体" w:cs="黑体"/>
          <w:szCs w:val="24"/>
        </w:rPr>
        <w:t>综合评价情况及评价结论</w:t>
      </w:r>
    </w:p>
    <w:p>
      <w:pPr>
        <w:ind w:firstLine="480"/>
        <w:rPr>
          <w:rFonts w:cs="仿宋"/>
          <w:szCs w:val="24"/>
        </w:rPr>
      </w:pPr>
      <w:bookmarkStart w:id="48" w:name="_Toc498009781"/>
      <w:r>
        <w:rPr>
          <w:rFonts w:hint="eastAsia" w:cs="仿宋"/>
          <w:szCs w:val="24"/>
        </w:rPr>
        <w:t>住建局202</w:t>
      </w:r>
      <w:r>
        <w:rPr>
          <w:rFonts w:cs="仿宋"/>
          <w:szCs w:val="24"/>
        </w:rPr>
        <w:t>1</w:t>
      </w:r>
      <w:r>
        <w:rPr>
          <w:rFonts w:hint="eastAsia" w:cs="仿宋"/>
          <w:szCs w:val="24"/>
        </w:rPr>
        <w:t>年寻甸县</w:t>
      </w:r>
      <w:bookmarkStart w:id="49" w:name="_Hlk144974937"/>
      <w:r>
        <w:rPr>
          <w:rFonts w:hint="eastAsia" w:cs="仿宋"/>
          <w:szCs w:val="24"/>
        </w:rPr>
        <w:t>城市更新改造建设工程</w:t>
      </w:r>
      <w:bookmarkEnd w:id="49"/>
      <w:r>
        <w:rPr>
          <w:rFonts w:hint="eastAsia" w:cs="仿宋"/>
          <w:szCs w:val="24"/>
        </w:rPr>
        <w:t>项目支出绩效评价综合评分</w:t>
      </w:r>
      <w:r>
        <w:rPr>
          <w:rFonts w:cs="仿宋"/>
          <w:szCs w:val="24"/>
        </w:rPr>
        <w:t>82.39</w:t>
      </w:r>
      <w:r>
        <w:rPr>
          <w:rFonts w:hint="eastAsia" w:cs="仿宋"/>
          <w:szCs w:val="24"/>
        </w:rPr>
        <w:t>分，评价等级“良”（详见后附“寻甸县住房和城乡建设局城市更新改造建设工程项目支出绩效评价指标体系及评分表”）。</w:t>
      </w:r>
    </w:p>
    <w:p>
      <w:pPr>
        <w:ind w:firstLine="480"/>
        <w:rPr>
          <w:rFonts w:ascii="仿宋_GB2312" w:eastAsia="仿宋_GB2312" w:cs="仿宋"/>
          <w:szCs w:val="24"/>
        </w:rPr>
      </w:pPr>
      <w:r>
        <w:rPr>
          <w:rFonts w:hint="eastAsia" w:cs="仿宋"/>
          <w:szCs w:val="24"/>
        </w:rPr>
        <w:t>综合评价结论：</w:t>
      </w:r>
      <w:bookmarkStart w:id="50" w:name="_Toc502134864"/>
      <w:r>
        <w:rPr>
          <w:rFonts w:hint="eastAsia" w:cs="仿宋"/>
          <w:szCs w:val="24"/>
        </w:rPr>
        <w:t>202</w:t>
      </w:r>
      <w:r>
        <w:rPr>
          <w:rFonts w:cs="仿宋"/>
          <w:szCs w:val="24"/>
        </w:rPr>
        <w:t>1</w:t>
      </w:r>
      <w:r>
        <w:rPr>
          <w:rFonts w:hint="eastAsia" w:cs="仿宋"/>
          <w:szCs w:val="24"/>
        </w:rPr>
        <w:t>年寻甸县城市更新改造建设工程项目批复建设工期为2</w:t>
      </w:r>
      <w:r>
        <w:rPr>
          <w:rFonts w:cs="仿宋"/>
          <w:szCs w:val="24"/>
        </w:rPr>
        <w:t>021</w:t>
      </w:r>
      <w:r>
        <w:rPr>
          <w:rFonts w:hint="eastAsia" w:cs="仿宋"/>
          <w:szCs w:val="24"/>
        </w:rPr>
        <w:t>年至2</w:t>
      </w:r>
      <w:r>
        <w:rPr>
          <w:rFonts w:cs="仿宋"/>
          <w:szCs w:val="24"/>
        </w:rPr>
        <w:t>025</w:t>
      </w:r>
      <w:r>
        <w:rPr>
          <w:rFonts w:hint="eastAsia" w:cs="仿宋"/>
          <w:szCs w:val="24"/>
        </w:rPr>
        <w:t>年，2</w:t>
      </w:r>
      <w:r>
        <w:rPr>
          <w:rFonts w:cs="仿宋"/>
          <w:szCs w:val="24"/>
        </w:rPr>
        <w:t>022</w:t>
      </w:r>
      <w:r>
        <w:rPr>
          <w:rFonts w:hint="eastAsia" w:cs="仿宋"/>
          <w:szCs w:val="24"/>
        </w:rPr>
        <w:t>年度为项目实施期，至2</w:t>
      </w:r>
      <w:r>
        <w:rPr>
          <w:rFonts w:cs="仿宋"/>
          <w:szCs w:val="24"/>
        </w:rPr>
        <w:t>023</w:t>
      </w:r>
      <w:r>
        <w:rPr>
          <w:rFonts w:hint="eastAsia" w:cs="仿宋"/>
          <w:szCs w:val="24"/>
        </w:rPr>
        <w:t>年7月，项目已实施完成大部分建设内容，项目决策程序基本规范，项目实施过程管理基本合规，项目实施取得良好的产出和效益，完善了城市功能，为市民创造更加美好、舒适的生活和工作环境，改善了人居环境、提升了城市品质。</w:t>
      </w:r>
    </w:p>
    <w:bookmarkEnd w:id="48"/>
    <w:bookmarkEnd w:id="50"/>
    <w:p>
      <w:pPr>
        <w:ind w:firstLine="480"/>
        <w:rPr>
          <w:rFonts w:ascii="黑体" w:hAnsi="黑体" w:eastAsia="黑体" w:cs="黑体"/>
          <w:szCs w:val="24"/>
        </w:rPr>
      </w:pPr>
      <w:bookmarkStart w:id="51" w:name="_Toc502134866"/>
      <w:bookmarkStart w:id="52" w:name="_Toc498009783"/>
      <w:r>
        <w:rPr>
          <w:rFonts w:hint="eastAsia" w:ascii="黑体" w:hAnsi="黑体" w:eastAsia="黑体" w:cs="黑体"/>
          <w:szCs w:val="24"/>
        </w:rPr>
        <w:t>五、绩效评价情况分析</w:t>
      </w:r>
      <w:bookmarkEnd w:id="51"/>
      <w:bookmarkEnd w:id="52"/>
    </w:p>
    <w:p>
      <w:pPr>
        <w:ind w:firstLine="480"/>
        <w:rPr>
          <w:rFonts w:ascii="楷体" w:hAnsi="楷体" w:eastAsia="楷体" w:cs="楷体"/>
          <w:szCs w:val="24"/>
        </w:rPr>
      </w:pPr>
      <w:bookmarkStart w:id="53" w:name="_Toc498009784"/>
      <w:bookmarkStart w:id="54" w:name="_Toc502134867"/>
      <w:r>
        <w:rPr>
          <w:rFonts w:hint="eastAsia" w:ascii="楷体" w:hAnsi="楷体" w:eastAsia="楷体" w:cs="楷体"/>
          <w:szCs w:val="24"/>
        </w:rPr>
        <w:t>(一)项目决策分析</w:t>
      </w:r>
      <w:bookmarkEnd w:id="53"/>
      <w:bookmarkEnd w:id="54"/>
    </w:p>
    <w:p>
      <w:pPr>
        <w:ind w:firstLine="480"/>
        <w:rPr>
          <w:rFonts w:cs="仿宋"/>
          <w:szCs w:val="24"/>
        </w:rPr>
      </w:pPr>
      <w:r>
        <w:rPr>
          <w:rFonts w:hint="eastAsia" w:cs="仿宋"/>
          <w:szCs w:val="24"/>
        </w:rPr>
        <w:t>项目决策满分1</w:t>
      </w:r>
      <w:r>
        <w:rPr>
          <w:rFonts w:cs="仿宋"/>
          <w:szCs w:val="24"/>
        </w:rPr>
        <w:t>6</w:t>
      </w:r>
      <w:r>
        <w:rPr>
          <w:rFonts w:hint="eastAsia" w:cs="仿宋"/>
          <w:szCs w:val="24"/>
        </w:rPr>
        <w:t>分，评价综合评分1</w:t>
      </w:r>
      <w:r>
        <w:rPr>
          <w:rFonts w:cs="仿宋"/>
          <w:szCs w:val="24"/>
        </w:rPr>
        <w:t>0</w:t>
      </w:r>
      <w:r>
        <w:rPr>
          <w:rFonts w:hint="eastAsia" w:cs="仿宋"/>
          <w:szCs w:val="24"/>
        </w:rPr>
        <w:t>分（占该项满分值的</w:t>
      </w:r>
      <w:r>
        <w:rPr>
          <w:rFonts w:cs="仿宋"/>
          <w:szCs w:val="24"/>
        </w:rPr>
        <w:t>62.50</w:t>
      </w:r>
      <w:r>
        <w:rPr>
          <w:rFonts w:hint="eastAsia" w:cs="仿宋"/>
          <w:szCs w:val="24"/>
        </w:rPr>
        <w:t>%），具体情况如下：</w:t>
      </w:r>
      <w:bookmarkStart w:id="55" w:name="_Toc502134868"/>
    </w:p>
    <w:p>
      <w:pPr>
        <w:ind w:firstLine="480"/>
        <w:rPr>
          <w:rFonts w:cs="仿宋"/>
          <w:szCs w:val="24"/>
        </w:rPr>
      </w:pPr>
      <w:r>
        <w:rPr>
          <w:rFonts w:hint="eastAsia" w:cs="仿宋"/>
          <w:szCs w:val="24"/>
        </w:rPr>
        <w:t>1.项目立项依据充分，符合国家法律法规、国民经济发展规划、行业发展规划和相关政策要求，与《寻甸回族彝族自治县“十四五”新型城镇化发展规划》及部门职能职责等相匹配，属于公共财政支持范围，未与相关部门同类项目或部门内部相关项目重复。住建局获取《关于寻甸回族彝族自治县发展和改革局关于</w:t>
      </w:r>
      <w:r>
        <w:rPr>
          <w:rFonts w:cs="仿宋"/>
          <w:szCs w:val="24"/>
        </w:rPr>
        <w:t>2021年寻甸县城市更新改造建设工程的批复》（寻发改投资</w:t>
      </w:r>
      <w:r>
        <w:rPr>
          <w:rFonts w:hint="eastAsia" w:cs="仿宋"/>
          <w:szCs w:val="24"/>
        </w:rPr>
        <w:t>〔</w:t>
      </w:r>
      <w:r>
        <w:rPr>
          <w:rFonts w:cs="仿宋"/>
          <w:szCs w:val="24"/>
        </w:rPr>
        <w:t>2021</w:t>
      </w:r>
      <w:r>
        <w:rPr>
          <w:rFonts w:hint="eastAsia" w:cs="仿宋"/>
          <w:szCs w:val="24"/>
        </w:rPr>
        <w:t>〕</w:t>
      </w:r>
      <w:r>
        <w:rPr>
          <w:rFonts w:cs="仿宋"/>
          <w:szCs w:val="24"/>
        </w:rPr>
        <w:t>76号）</w:t>
      </w:r>
      <w:r>
        <w:rPr>
          <w:rFonts w:hint="eastAsia" w:cs="仿宋"/>
          <w:szCs w:val="24"/>
        </w:rPr>
        <w:t>等项目立项程序资料，并按照政府采购管理规定和《寻甸回族彝族自治县人民政府关于寻甸县城市更新改造专题会议的纪要》（第</w:t>
      </w:r>
      <w:r>
        <w:rPr>
          <w:rFonts w:cs="仿宋"/>
          <w:szCs w:val="24"/>
        </w:rPr>
        <w:t>56期）采取EPC邀请招标</w:t>
      </w:r>
      <w:r>
        <w:rPr>
          <w:rFonts w:hint="eastAsia" w:cs="仿宋"/>
          <w:szCs w:val="24"/>
        </w:rPr>
        <w:t>，采购中冶（云南）工程投资建设有限公司、中亿通达设计咨询集团有限公司为项目</w:t>
      </w:r>
      <w:r>
        <w:rPr>
          <w:rFonts w:cs="仿宋"/>
          <w:szCs w:val="24"/>
        </w:rPr>
        <w:t>EPC总承包单位</w:t>
      </w:r>
      <w:r>
        <w:rPr>
          <w:rFonts w:hint="eastAsia" w:cs="仿宋"/>
          <w:szCs w:val="24"/>
        </w:rPr>
        <w:t>实施单位，项目立项程序规范。</w:t>
      </w:r>
    </w:p>
    <w:p>
      <w:pPr>
        <w:ind w:firstLine="480"/>
        <w:rPr>
          <w:rFonts w:cs="仿宋"/>
          <w:szCs w:val="24"/>
        </w:rPr>
      </w:pPr>
      <w:r>
        <w:rPr>
          <w:rFonts w:hint="eastAsia" w:cs="仿宋"/>
          <w:szCs w:val="24"/>
        </w:rPr>
        <w:t>2.项目所设定的绩效目标不合理，</w:t>
      </w:r>
      <w:r>
        <w:rPr>
          <w:rFonts w:cs="仿宋"/>
          <w:szCs w:val="24"/>
        </w:rPr>
        <w:t>与实际工作内容</w:t>
      </w:r>
      <w:r>
        <w:rPr>
          <w:rFonts w:hint="eastAsia" w:cs="仿宋"/>
          <w:szCs w:val="24"/>
        </w:rPr>
        <w:t>不</w:t>
      </w:r>
      <w:r>
        <w:rPr>
          <w:rFonts w:cs="仿宋"/>
          <w:szCs w:val="24"/>
        </w:rPr>
        <w:t>具有相关性，</w:t>
      </w:r>
      <w:r>
        <w:rPr>
          <w:rFonts w:hint="eastAsia" w:cs="仿宋"/>
          <w:szCs w:val="24"/>
        </w:rPr>
        <w:t>没有明确实际工作内容，没有清晰预期产出效益和效果，但项目实施内容</w:t>
      </w:r>
      <w:r>
        <w:rPr>
          <w:rFonts w:cs="仿宋"/>
          <w:szCs w:val="24"/>
        </w:rPr>
        <w:t>符合客观实际、国家相关法律法规、国民经济发展规划和党委政府决策。</w:t>
      </w:r>
      <w:r>
        <w:rPr>
          <w:rFonts w:hint="eastAsia" w:cs="仿宋"/>
          <w:szCs w:val="24"/>
        </w:rPr>
        <w:t>项目申报的绩效指标不科学、不明确，未选取最能体现项目绩效目标实现程度和项目实施部门职能履职情况的关键的、核心的绩效指标；设定的三级指标未通过清晰、可衡量的指标及指标值细化、量化并分解项目总体目标，产出指标性质界定不清晰明确。</w:t>
      </w:r>
    </w:p>
    <w:p>
      <w:pPr>
        <w:pStyle w:val="4"/>
        <w:spacing w:after="0"/>
        <w:ind w:firstLine="480"/>
        <w:rPr>
          <w:rFonts w:cs="仿宋"/>
          <w:szCs w:val="24"/>
        </w:rPr>
      </w:pPr>
      <w:r>
        <w:rPr>
          <w:rFonts w:hint="eastAsia" w:cs="仿宋"/>
          <w:szCs w:val="24"/>
        </w:rPr>
        <w:t>3.项目支出预算依据充分、合理，与项目内容相匹配，确定的项目投资额或资金量与工作任务相匹配，预算资金分配依据充分，资金分配额度合理，与项目单位或地方实际相适应。</w:t>
      </w:r>
    </w:p>
    <w:p>
      <w:pPr>
        <w:ind w:firstLine="480"/>
        <w:rPr>
          <w:rFonts w:ascii="楷体" w:hAnsi="楷体" w:eastAsia="楷体" w:cs="楷体"/>
          <w:szCs w:val="24"/>
        </w:rPr>
      </w:pPr>
      <w:r>
        <w:rPr>
          <w:rFonts w:hint="eastAsia" w:ascii="楷体" w:hAnsi="楷体" w:eastAsia="楷体" w:cs="楷体"/>
          <w:szCs w:val="24"/>
        </w:rPr>
        <w:t>(二</w:t>
      </w:r>
      <w:bookmarkStart w:id="56" w:name="_Toc498009785"/>
      <w:r>
        <w:rPr>
          <w:rFonts w:hint="eastAsia" w:ascii="楷体" w:hAnsi="楷体" w:eastAsia="楷体" w:cs="楷体"/>
          <w:szCs w:val="24"/>
        </w:rPr>
        <w:t>)项目过程管理情况分析</w:t>
      </w:r>
      <w:bookmarkEnd w:id="55"/>
      <w:bookmarkEnd w:id="56"/>
    </w:p>
    <w:p>
      <w:pPr>
        <w:ind w:firstLine="480"/>
        <w:rPr>
          <w:rFonts w:cs="仿宋"/>
          <w:szCs w:val="24"/>
        </w:rPr>
      </w:pPr>
      <w:r>
        <w:rPr>
          <w:rFonts w:hint="eastAsia" w:cs="仿宋"/>
          <w:szCs w:val="24"/>
        </w:rPr>
        <w:t>项目过程管理满分2</w:t>
      </w:r>
      <w:r>
        <w:rPr>
          <w:rFonts w:cs="仿宋"/>
          <w:szCs w:val="24"/>
        </w:rPr>
        <w:t>9</w:t>
      </w:r>
      <w:r>
        <w:rPr>
          <w:rFonts w:hint="eastAsia" w:cs="仿宋"/>
          <w:szCs w:val="24"/>
        </w:rPr>
        <w:t>分，评价综合评分</w:t>
      </w:r>
      <w:r>
        <w:rPr>
          <w:rFonts w:cs="仿宋"/>
          <w:szCs w:val="24"/>
        </w:rPr>
        <w:t>2</w:t>
      </w:r>
      <w:r>
        <w:rPr>
          <w:rFonts w:hint="eastAsia" w:cs="仿宋"/>
          <w:szCs w:val="24"/>
          <w:lang w:val="en-US" w:eastAsia="zh-CN"/>
        </w:rPr>
        <w:t>3</w:t>
      </w:r>
      <w:r>
        <w:rPr>
          <w:rFonts w:hint="eastAsia" w:cs="仿宋"/>
          <w:szCs w:val="24"/>
        </w:rPr>
        <w:t>分（占该项满分值的</w:t>
      </w:r>
      <w:r>
        <w:rPr>
          <w:rFonts w:cs="仿宋"/>
          <w:szCs w:val="24"/>
        </w:rPr>
        <w:t>7</w:t>
      </w:r>
      <w:r>
        <w:rPr>
          <w:rFonts w:hint="eastAsia" w:cs="仿宋"/>
          <w:szCs w:val="24"/>
          <w:lang w:val="en-US" w:eastAsia="zh-CN"/>
        </w:rPr>
        <w:t>9.31</w:t>
      </w:r>
      <w:r>
        <w:rPr>
          <w:rFonts w:hint="eastAsia" w:cs="仿宋"/>
          <w:szCs w:val="24"/>
        </w:rPr>
        <w:t>%），具体情况如下：</w:t>
      </w:r>
      <w:bookmarkStart w:id="57" w:name="_Toc498009786"/>
      <w:bookmarkStart w:id="58" w:name="_Toc502134869"/>
    </w:p>
    <w:p>
      <w:pPr>
        <w:ind w:firstLine="480"/>
        <w:rPr>
          <w:rFonts w:cs="仿宋"/>
          <w:szCs w:val="24"/>
        </w:rPr>
      </w:pPr>
      <w:r>
        <w:rPr>
          <w:rFonts w:hint="eastAsia" w:cs="仿宋"/>
          <w:szCs w:val="24"/>
        </w:rPr>
        <w:t>1.202</w:t>
      </w:r>
      <w:r>
        <w:rPr>
          <w:rFonts w:cs="仿宋"/>
          <w:szCs w:val="24"/>
        </w:rPr>
        <w:t>2</w:t>
      </w:r>
      <w:r>
        <w:rPr>
          <w:rFonts w:hint="eastAsia" w:cs="仿宋"/>
          <w:szCs w:val="24"/>
        </w:rPr>
        <w:t>年项目县本级预算资金</w:t>
      </w:r>
      <w:r>
        <w:rPr>
          <w:rFonts w:cs="仿宋"/>
          <w:szCs w:val="24"/>
        </w:rPr>
        <w:t>55</w:t>
      </w:r>
      <w:r>
        <w:rPr>
          <w:rFonts w:hint="eastAsia" w:cs="仿宋"/>
          <w:szCs w:val="24"/>
        </w:rPr>
        <w:t>,</w:t>
      </w:r>
      <w:r>
        <w:rPr>
          <w:rFonts w:cs="仿宋"/>
          <w:szCs w:val="24"/>
        </w:rPr>
        <w:t>0</w:t>
      </w:r>
      <w:r>
        <w:rPr>
          <w:rFonts w:hint="eastAsia" w:cs="仿宋"/>
          <w:szCs w:val="24"/>
        </w:rPr>
        <w:t>00,000.00元，根据项目支出台账，202</w:t>
      </w:r>
      <w:r>
        <w:rPr>
          <w:rFonts w:cs="仿宋"/>
          <w:szCs w:val="24"/>
        </w:rPr>
        <w:t>2</w:t>
      </w:r>
      <w:r>
        <w:rPr>
          <w:rFonts w:hint="eastAsia" w:cs="仿宋"/>
          <w:szCs w:val="24"/>
        </w:rPr>
        <w:t>年项目实际到位资金</w:t>
      </w:r>
      <w:bookmarkStart w:id="59" w:name="_Hlk143953278"/>
      <w:bookmarkStart w:id="60" w:name="_Hlk144919762"/>
      <w:r>
        <w:rPr>
          <w:rFonts w:cs="仿宋"/>
          <w:szCs w:val="24"/>
        </w:rPr>
        <w:t>55,000,</w:t>
      </w:r>
      <w:bookmarkEnd w:id="59"/>
      <w:r>
        <w:rPr>
          <w:rFonts w:cs="仿宋"/>
          <w:szCs w:val="24"/>
        </w:rPr>
        <w:t>000.00</w:t>
      </w:r>
      <w:bookmarkEnd w:id="60"/>
      <w:r>
        <w:rPr>
          <w:rFonts w:cs="仿宋"/>
          <w:szCs w:val="24"/>
        </w:rPr>
        <w:t>元，资金到位</w:t>
      </w:r>
      <w:r>
        <w:rPr>
          <w:rFonts w:hint="eastAsia" w:cs="仿宋"/>
          <w:szCs w:val="24"/>
        </w:rPr>
        <w:t>1</w:t>
      </w:r>
      <w:r>
        <w:rPr>
          <w:rFonts w:cs="仿宋"/>
          <w:szCs w:val="24"/>
        </w:rPr>
        <w:t>00%</w:t>
      </w:r>
      <w:r>
        <w:rPr>
          <w:rFonts w:hint="eastAsia" w:cs="仿宋"/>
          <w:szCs w:val="24"/>
        </w:rPr>
        <w:t>。</w:t>
      </w:r>
    </w:p>
    <w:p>
      <w:pPr>
        <w:ind w:firstLine="480"/>
        <w:rPr>
          <w:rFonts w:cs="仿宋"/>
          <w:szCs w:val="24"/>
        </w:rPr>
      </w:pPr>
      <w:r>
        <w:rPr>
          <w:rFonts w:hint="eastAsia" w:cs="仿宋"/>
          <w:szCs w:val="24"/>
        </w:rPr>
        <w:t>2.202</w:t>
      </w:r>
      <w:r>
        <w:rPr>
          <w:rFonts w:cs="仿宋"/>
          <w:szCs w:val="24"/>
        </w:rPr>
        <w:t>2</w:t>
      </w:r>
      <w:r>
        <w:rPr>
          <w:rFonts w:hint="eastAsia" w:cs="仿宋"/>
          <w:szCs w:val="24"/>
        </w:rPr>
        <w:t>年项目预算收入</w:t>
      </w:r>
      <w:r>
        <w:rPr>
          <w:rFonts w:cs="仿宋"/>
          <w:szCs w:val="24"/>
        </w:rPr>
        <w:t>55,000,000.00元</w:t>
      </w:r>
      <w:r>
        <w:rPr>
          <w:rFonts w:hint="eastAsia" w:cs="仿宋"/>
          <w:szCs w:val="24"/>
        </w:rPr>
        <w:t>，根据项目支出台账，截至202</w:t>
      </w:r>
      <w:r>
        <w:rPr>
          <w:rFonts w:cs="仿宋"/>
          <w:szCs w:val="24"/>
        </w:rPr>
        <w:t>2</w:t>
      </w:r>
      <w:r>
        <w:rPr>
          <w:rFonts w:hint="eastAsia" w:cs="仿宋"/>
          <w:szCs w:val="24"/>
        </w:rPr>
        <w:t>年12月31日，共计支付相关费用</w:t>
      </w:r>
      <w:r>
        <w:rPr>
          <w:rFonts w:cs="仿宋"/>
          <w:szCs w:val="24"/>
        </w:rPr>
        <w:t>36,688,474.80元。预算执行率66.71%</w:t>
      </w:r>
      <w:r>
        <w:rPr>
          <w:rFonts w:hint="eastAsia" w:cs="仿宋"/>
          <w:szCs w:val="24"/>
        </w:rPr>
        <w:t>。</w:t>
      </w:r>
    </w:p>
    <w:p>
      <w:pPr>
        <w:ind w:firstLine="480"/>
        <w:rPr>
          <w:rFonts w:cs="仿宋"/>
          <w:szCs w:val="24"/>
        </w:rPr>
      </w:pPr>
      <w:r>
        <w:rPr>
          <w:rFonts w:hint="eastAsia" w:cs="仿宋"/>
          <w:szCs w:val="24"/>
        </w:rPr>
        <w:t>3.项目预算资金使用基本符合国家财经法规和财务管理制度以及有关专项资金管理办法的规定和预算批复的用途，资金的拨付审批程序和手续完整，未发现截留、挤占、挪用、虚列支出等情况，但住建局未提供寻甸城乡投资开发集团有限公司最终支付情况等相关资料，无法穿透检查资金支付最终是否合规。</w:t>
      </w:r>
    </w:p>
    <w:p>
      <w:pPr>
        <w:ind w:firstLine="480"/>
        <w:rPr>
          <w:rFonts w:cs="仿宋"/>
          <w:szCs w:val="24"/>
        </w:rPr>
      </w:pPr>
      <w:r>
        <w:rPr>
          <w:rFonts w:hint="eastAsia" w:cs="仿宋"/>
          <w:szCs w:val="24"/>
        </w:rPr>
        <w:t>4.项目财务管理和业务管理执行《寻甸县住建局财务管理制度》等内部控制制度和国家有关法律法规，相关管理制度基本能够得到有效的执行，政府采购程序等基本合法合规，但检查发现，存在项目资料保管分散、未及时整理归档，无初设概算及批复、施工许可证等资料的情况。</w:t>
      </w:r>
    </w:p>
    <w:p>
      <w:pPr>
        <w:ind w:firstLine="480"/>
        <w:rPr>
          <w:rFonts w:ascii="楷体" w:hAnsi="楷体" w:eastAsia="楷体" w:cs="楷体"/>
          <w:szCs w:val="24"/>
        </w:rPr>
      </w:pPr>
      <w:r>
        <w:rPr>
          <w:rFonts w:hint="eastAsia" w:ascii="楷体" w:hAnsi="楷体" w:eastAsia="楷体" w:cs="楷体"/>
          <w:szCs w:val="24"/>
        </w:rPr>
        <w:t>(三)项目产出情况分析</w:t>
      </w:r>
    </w:p>
    <w:p>
      <w:pPr>
        <w:ind w:firstLine="480"/>
        <w:rPr>
          <w:rFonts w:cs="仿宋"/>
          <w:szCs w:val="24"/>
        </w:rPr>
      </w:pPr>
      <w:r>
        <w:rPr>
          <w:rFonts w:hint="eastAsia" w:cs="仿宋"/>
          <w:szCs w:val="24"/>
        </w:rPr>
        <w:t>项目产出满分3</w:t>
      </w:r>
      <w:r>
        <w:rPr>
          <w:rFonts w:cs="仿宋"/>
          <w:szCs w:val="24"/>
        </w:rPr>
        <w:t>5</w:t>
      </w:r>
      <w:r>
        <w:rPr>
          <w:rFonts w:hint="eastAsia" w:cs="仿宋"/>
          <w:szCs w:val="24"/>
        </w:rPr>
        <w:t>分，评价综合评分</w:t>
      </w:r>
      <w:r>
        <w:rPr>
          <w:rFonts w:cs="仿宋"/>
          <w:szCs w:val="24"/>
        </w:rPr>
        <w:t>31</w:t>
      </w:r>
      <w:r>
        <w:rPr>
          <w:rFonts w:hint="eastAsia" w:cs="仿宋"/>
          <w:szCs w:val="24"/>
        </w:rPr>
        <w:t>分（占该项满分值的</w:t>
      </w:r>
      <w:r>
        <w:rPr>
          <w:rFonts w:cs="仿宋"/>
          <w:szCs w:val="24"/>
        </w:rPr>
        <w:t>88.57</w:t>
      </w:r>
      <w:r>
        <w:rPr>
          <w:rFonts w:hint="eastAsia" w:cs="仿宋"/>
          <w:szCs w:val="24"/>
        </w:rPr>
        <w:t>%），具体情况如下：</w:t>
      </w:r>
    </w:p>
    <w:p>
      <w:pPr>
        <w:ind w:firstLine="472"/>
        <w:rPr>
          <w:rFonts w:cs="仿宋"/>
          <w:spacing w:val="-2"/>
          <w:szCs w:val="24"/>
        </w:rPr>
      </w:pPr>
      <w:r>
        <w:rPr>
          <w:rFonts w:hint="eastAsia" w:cs="仿宋"/>
          <w:spacing w:val="-2"/>
          <w:szCs w:val="24"/>
        </w:rPr>
        <w:t>住建局和寻甸回族彝族自治县城市管理局</w:t>
      </w:r>
      <w:r>
        <w:rPr>
          <w:rFonts w:cs="仿宋"/>
          <w:spacing w:val="-2"/>
          <w:szCs w:val="24"/>
        </w:rPr>
        <w:t>为项目主管部门、寻甸城乡投资开发集团有限公司为项目代建方</w:t>
      </w:r>
      <w:r>
        <w:rPr>
          <w:rFonts w:hint="eastAsia" w:cs="仿宋"/>
          <w:spacing w:val="-2"/>
          <w:szCs w:val="24"/>
        </w:rPr>
        <w:t>、</w:t>
      </w:r>
      <w:r>
        <w:rPr>
          <w:rFonts w:cs="仿宋"/>
          <w:spacing w:val="-2"/>
          <w:szCs w:val="24"/>
        </w:rPr>
        <w:t>中冶（云南）工程投资建设有限公司（联合体牵头方）</w:t>
      </w:r>
      <w:r>
        <w:rPr>
          <w:rFonts w:hint="eastAsia" w:cs="仿宋"/>
          <w:spacing w:val="-2"/>
          <w:szCs w:val="24"/>
        </w:rPr>
        <w:t>和</w:t>
      </w:r>
      <w:r>
        <w:rPr>
          <w:rFonts w:cs="仿宋"/>
          <w:spacing w:val="-2"/>
          <w:szCs w:val="24"/>
        </w:rPr>
        <w:t>中亿通达设计咨询集团有限公司（联合体成员）为项目EPC总承包单位组织实施</w:t>
      </w:r>
      <w:r>
        <w:rPr>
          <w:rFonts w:hint="eastAsia" w:cs="仿宋"/>
          <w:spacing w:val="-2"/>
          <w:szCs w:val="24"/>
        </w:rPr>
        <w:t>，项目批复建设期为2</w:t>
      </w:r>
      <w:r>
        <w:rPr>
          <w:rFonts w:cs="仿宋"/>
          <w:spacing w:val="-2"/>
          <w:szCs w:val="24"/>
        </w:rPr>
        <w:t>021</w:t>
      </w:r>
      <w:r>
        <w:rPr>
          <w:rFonts w:hint="eastAsia" w:cs="仿宋"/>
          <w:spacing w:val="-2"/>
          <w:szCs w:val="24"/>
        </w:rPr>
        <w:t>年至2</w:t>
      </w:r>
      <w:r>
        <w:rPr>
          <w:rFonts w:cs="仿宋"/>
          <w:spacing w:val="-2"/>
          <w:szCs w:val="24"/>
        </w:rPr>
        <w:t>025</w:t>
      </w:r>
      <w:r>
        <w:rPr>
          <w:rFonts w:hint="eastAsia" w:cs="仿宋"/>
          <w:spacing w:val="-2"/>
          <w:szCs w:val="24"/>
        </w:rPr>
        <w:t>年，</w:t>
      </w:r>
      <w:bookmarkStart w:id="61" w:name="_Hlk144992460"/>
      <w:r>
        <w:rPr>
          <w:rFonts w:hint="eastAsia" w:cs="仿宋"/>
          <w:spacing w:val="-2"/>
          <w:szCs w:val="24"/>
        </w:rPr>
        <w:t>截止</w:t>
      </w:r>
      <w:r>
        <w:rPr>
          <w:rFonts w:cs="仿宋"/>
          <w:spacing w:val="-2"/>
          <w:szCs w:val="24"/>
        </w:rPr>
        <w:t>2022年底</w:t>
      </w:r>
      <w:bookmarkEnd w:id="61"/>
      <w:r>
        <w:rPr>
          <w:rFonts w:hint="eastAsia" w:cs="仿宋"/>
          <w:spacing w:val="-2"/>
          <w:szCs w:val="24"/>
        </w:rPr>
        <w:t>的完成情况如下：</w:t>
      </w:r>
    </w:p>
    <w:p>
      <w:pPr>
        <w:ind w:firstLine="480"/>
        <w:rPr>
          <w:rFonts w:cs="仿宋"/>
          <w:szCs w:val="24"/>
        </w:rPr>
      </w:pPr>
      <w:r>
        <w:rPr>
          <w:rFonts w:hint="eastAsia" w:cs="仿宋"/>
          <w:szCs w:val="24"/>
        </w:rPr>
        <w:t>1</w:t>
      </w:r>
      <w:r>
        <w:rPr>
          <w:rFonts w:cs="仿宋"/>
          <w:szCs w:val="24"/>
        </w:rPr>
        <w:t>.</w:t>
      </w:r>
      <w:r>
        <w:rPr>
          <w:rFonts w:hint="eastAsia" w:cs="仿宋"/>
          <w:szCs w:val="24"/>
        </w:rPr>
        <w:t>已完成项目</w:t>
      </w:r>
    </w:p>
    <w:p>
      <w:pPr>
        <w:ind w:firstLine="464"/>
        <w:rPr>
          <w:rFonts w:cs="仿宋"/>
          <w:spacing w:val="-4"/>
          <w:szCs w:val="24"/>
        </w:rPr>
      </w:pPr>
      <w:bookmarkStart w:id="62" w:name="_Hlk144992845"/>
      <w:r>
        <w:rPr>
          <w:rFonts w:hint="eastAsia" w:ascii="宋体" w:hAnsi="宋体" w:eastAsia="宋体" w:cs="仿宋"/>
          <w:spacing w:val="-4"/>
          <w:szCs w:val="24"/>
        </w:rPr>
        <w:t>(</w:t>
      </w:r>
      <w:r>
        <w:rPr>
          <w:rFonts w:ascii="宋体" w:hAnsi="宋体" w:eastAsia="宋体" w:cs="仿宋"/>
          <w:spacing w:val="-4"/>
          <w:szCs w:val="24"/>
        </w:rPr>
        <w:t>1)</w:t>
      </w:r>
      <w:bookmarkEnd w:id="62"/>
      <w:r>
        <w:rPr>
          <w:rFonts w:hint="eastAsia" w:cs="仿宋"/>
          <w:spacing w:val="-4"/>
          <w:szCs w:val="24"/>
        </w:rPr>
        <w:t>寻甸县龙泉路、月华路、月秀路、月中路，三月三路等城市主干道维修工程</w:t>
      </w:r>
      <w:r>
        <w:rPr>
          <w:rFonts w:cs="仿宋"/>
          <w:spacing w:val="-4"/>
          <w:szCs w:val="24"/>
        </w:rPr>
        <w:t>；</w:t>
      </w:r>
    </w:p>
    <w:p>
      <w:pPr>
        <w:ind w:firstLine="480"/>
        <w:rPr>
          <w:rFonts w:cs="仿宋"/>
          <w:szCs w:val="24"/>
        </w:rPr>
      </w:pPr>
      <w:r>
        <w:rPr>
          <w:rFonts w:cs="仿宋"/>
          <w:szCs w:val="24"/>
        </w:rPr>
        <w:t>(2)供销大厦至凤梧路水泥路面改造提升</w:t>
      </w:r>
      <w:r>
        <w:rPr>
          <w:rFonts w:hint="eastAsia" w:cs="仿宋"/>
          <w:szCs w:val="24"/>
        </w:rPr>
        <w:t>工程</w:t>
      </w:r>
      <w:r>
        <w:rPr>
          <w:rFonts w:cs="仿宋"/>
          <w:szCs w:val="24"/>
        </w:rPr>
        <w:t>；</w:t>
      </w:r>
    </w:p>
    <w:p>
      <w:pPr>
        <w:ind w:firstLine="480"/>
        <w:rPr>
          <w:rFonts w:cs="仿宋"/>
          <w:szCs w:val="24"/>
        </w:rPr>
      </w:pPr>
      <w:r>
        <w:rPr>
          <w:rFonts w:cs="仿宋"/>
          <w:szCs w:val="24"/>
        </w:rPr>
        <w:t>(3)星河路与龙泉路交叉口非机动车道和人行道改造提升，新建星河路与龙泉路交叉口非机动车道和人行道</w:t>
      </w:r>
      <w:r>
        <w:rPr>
          <w:rFonts w:hint="eastAsia" w:cs="仿宋"/>
          <w:szCs w:val="24"/>
        </w:rPr>
        <w:t>工程</w:t>
      </w:r>
      <w:r>
        <w:rPr>
          <w:rFonts w:cs="仿宋"/>
          <w:szCs w:val="24"/>
        </w:rPr>
        <w:t>；</w:t>
      </w:r>
    </w:p>
    <w:p>
      <w:pPr>
        <w:ind w:firstLine="480"/>
        <w:rPr>
          <w:rFonts w:cs="仿宋"/>
          <w:szCs w:val="24"/>
        </w:rPr>
      </w:pPr>
      <w:r>
        <w:rPr>
          <w:rFonts w:cs="仿宋"/>
          <w:szCs w:val="24"/>
        </w:rPr>
        <w:t>(4)县城园林绿化补植提升，对县城公园、广场绿地和道路附属绿地53119m</w:t>
      </w:r>
      <w:r>
        <w:rPr>
          <w:rFonts w:ascii="Calibri" w:hAnsi="Calibri" w:cs="Calibri"/>
          <w:szCs w:val="24"/>
        </w:rPr>
        <w:t>²</w:t>
      </w:r>
      <w:r>
        <w:rPr>
          <w:rFonts w:cs="仿宋"/>
          <w:szCs w:val="24"/>
        </w:rPr>
        <w:t>缺损、退化苗木进行补植，维修公园配套设施(特别是湿地公园二期的维修开放),安装绿化防护栏，适当新增人行通道；</w:t>
      </w:r>
    </w:p>
    <w:p>
      <w:pPr>
        <w:ind w:firstLine="480"/>
        <w:rPr>
          <w:rFonts w:cs="仿宋"/>
          <w:szCs w:val="24"/>
        </w:rPr>
      </w:pPr>
      <w:r>
        <w:rPr>
          <w:rFonts w:ascii="宋体" w:hAnsi="宋体" w:eastAsia="宋体" w:cs="仿宋"/>
          <w:szCs w:val="24"/>
        </w:rPr>
        <w:t>(5)</w:t>
      </w:r>
      <w:r>
        <w:rPr>
          <w:rFonts w:hint="eastAsia" w:cs="仿宋"/>
          <w:szCs w:val="24"/>
        </w:rPr>
        <w:t>道路隔离栏新建，对县城</w:t>
      </w:r>
      <w:r>
        <w:rPr>
          <w:rFonts w:cs="仿宋"/>
          <w:szCs w:val="24"/>
        </w:rPr>
        <w:t>5条道路(长度5750米)中央隔离围栏进行增补</w:t>
      </w:r>
      <w:r>
        <w:rPr>
          <w:rFonts w:hint="eastAsia" w:cs="仿宋"/>
          <w:szCs w:val="24"/>
        </w:rPr>
        <w:t>；</w:t>
      </w:r>
    </w:p>
    <w:p>
      <w:pPr>
        <w:ind w:firstLine="464"/>
        <w:rPr>
          <w:rFonts w:cs="仿宋"/>
          <w:spacing w:val="-4"/>
          <w:szCs w:val="24"/>
        </w:rPr>
      </w:pPr>
      <w:r>
        <w:rPr>
          <w:rFonts w:ascii="宋体" w:hAnsi="宋体" w:eastAsia="宋体" w:cs="仿宋"/>
          <w:spacing w:val="-4"/>
          <w:szCs w:val="24"/>
        </w:rPr>
        <w:t>(6)</w:t>
      </w:r>
      <w:r>
        <w:rPr>
          <w:rFonts w:hint="eastAsia" w:cs="仿宋"/>
          <w:spacing w:val="-4"/>
          <w:szCs w:val="24"/>
        </w:rPr>
        <w:t>县城公共厕所建设维护，对县城</w:t>
      </w:r>
      <w:r>
        <w:rPr>
          <w:rFonts w:cs="仿宋"/>
          <w:spacing w:val="-4"/>
          <w:szCs w:val="24"/>
        </w:rPr>
        <w:t>27座公厕进行设施维护及无障碍通道建设。</w:t>
      </w:r>
    </w:p>
    <w:p>
      <w:pPr>
        <w:ind w:firstLine="480"/>
        <w:rPr>
          <w:rFonts w:cs="仿宋"/>
          <w:szCs w:val="24"/>
        </w:rPr>
      </w:pPr>
      <w:r>
        <w:rPr>
          <w:rFonts w:hint="eastAsia" w:cs="仿宋"/>
          <w:szCs w:val="24"/>
        </w:rPr>
        <w:t>2</w:t>
      </w:r>
      <w:r>
        <w:rPr>
          <w:rFonts w:cs="仿宋"/>
          <w:szCs w:val="24"/>
        </w:rPr>
        <w:t>.</w:t>
      </w:r>
      <w:r>
        <w:rPr>
          <w:rFonts w:hint="eastAsia" w:cs="仿宋"/>
          <w:szCs w:val="24"/>
        </w:rPr>
        <w:t>部分完成情况</w:t>
      </w:r>
    </w:p>
    <w:p>
      <w:pPr>
        <w:ind w:firstLine="480"/>
        <w:rPr>
          <w:rFonts w:cs="仿宋"/>
          <w:szCs w:val="24"/>
        </w:rPr>
      </w:pPr>
      <w:r>
        <w:rPr>
          <w:rFonts w:ascii="宋体" w:hAnsi="宋体" w:eastAsia="宋体" w:cs="仿宋"/>
          <w:szCs w:val="24"/>
        </w:rPr>
        <w:t>(1)</w:t>
      </w:r>
      <w:r>
        <w:rPr>
          <w:rFonts w:hint="eastAsia" w:cs="仿宋"/>
          <w:szCs w:val="24"/>
        </w:rPr>
        <w:t>城区人行道提升改造，按照海绵城市要求更换人行道小块</w:t>
      </w:r>
      <w:r>
        <w:rPr>
          <w:rFonts w:cs="仿宋"/>
          <w:szCs w:val="24"/>
        </w:rPr>
        <w:t>26.4万平</w:t>
      </w:r>
      <w:r>
        <w:rPr>
          <w:rFonts w:hint="eastAsia" w:cs="仿宋"/>
          <w:szCs w:val="24"/>
        </w:rPr>
        <w:t>。截止</w:t>
      </w:r>
      <w:r>
        <w:rPr>
          <w:rFonts w:cs="仿宋"/>
          <w:szCs w:val="24"/>
        </w:rPr>
        <w:t>2022年底</w:t>
      </w:r>
      <w:r>
        <w:rPr>
          <w:rFonts w:hint="eastAsia" w:cs="仿宋"/>
          <w:szCs w:val="24"/>
        </w:rPr>
        <w:t>已完成2</w:t>
      </w:r>
      <w:r>
        <w:rPr>
          <w:rFonts w:cs="仿宋"/>
          <w:szCs w:val="24"/>
        </w:rPr>
        <w:t>.55</w:t>
      </w:r>
      <w:r>
        <w:rPr>
          <w:rFonts w:hint="eastAsia" w:cs="仿宋"/>
          <w:szCs w:val="24"/>
        </w:rPr>
        <w:t>万平方米；</w:t>
      </w:r>
    </w:p>
    <w:p>
      <w:pPr>
        <w:ind w:firstLine="480"/>
        <w:rPr>
          <w:rFonts w:cs="仿宋"/>
          <w:szCs w:val="24"/>
        </w:rPr>
      </w:pPr>
      <w:r>
        <w:rPr>
          <w:rFonts w:ascii="宋体" w:hAnsi="宋体" w:eastAsia="宋体" w:cs="仿宋"/>
          <w:szCs w:val="24"/>
        </w:rPr>
        <w:t>(2)</w:t>
      </w:r>
      <w:r>
        <w:rPr>
          <w:rFonts w:hint="eastAsia" w:cs="仿宋"/>
          <w:szCs w:val="24"/>
        </w:rPr>
        <w:t>县城生活垃圾收集基础设施建设，增</w:t>
      </w:r>
      <w:r>
        <w:rPr>
          <w:rFonts w:cs="仿宋"/>
          <w:szCs w:val="24"/>
        </w:rPr>
        <w:t>5桶位生活垃圾分类亭40座，更新和新增生活</w:t>
      </w:r>
      <w:r>
        <w:rPr>
          <w:rFonts w:hint="eastAsia" w:cs="仿宋"/>
          <w:szCs w:val="24"/>
          <w:lang w:eastAsia="zh-CN"/>
        </w:rPr>
        <w:t>垃圾分类</w:t>
      </w:r>
      <w:r>
        <w:rPr>
          <w:rFonts w:cs="仿宋"/>
          <w:szCs w:val="24"/>
        </w:rPr>
        <w:t>桶500只，更换和新安装街道果皮箱1500只</w:t>
      </w:r>
      <w:r>
        <w:rPr>
          <w:rFonts w:hint="eastAsia" w:cs="仿宋"/>
          <w:szCs w:val="24"/>
        </w:rPr>
        <w:t>。截止</w:t>
      </w:r>
      <w:r>
        <w:rPr>
          <w:rFonts w:cs="仿宋"/>
          <w:szCs w:val="24"/>
        </w:rPr>
        <w:t>2022年底</w:t>
      </w:r>
      <w:r>
        <w:rPr>
          <w:rFonts w:hint="eastAsia" w:cs="仿宋"/>
          <w:szCs w:val="24"/>
        </w:rPr>
        <w:t>完成4</w:t>
      </w:r>
      <w:r>
        <w:rPr>
          <w:rFonts w:cs="仿宋"/>
          <w:szCs w:val="24"/>
        </w:rPr>
        <w:t>0%</w:t>
      </w:r>
      <w:r>
        <w:rPr>
          <w:rFonts w:hint="eastAsia" w:cs="仿宋"/>
          <w:szCs w:val="24"/>
        </w:rPr>
        <w:t>。</w:t>
      </w:r>
    </w:p>
    <w:p>
      <w:pPr>
        <w:ind w:firstLine="480"/>
        <w:rPr>
          <w:rFonts w:cs="仿宋"/>
          <w:szCs w:val="24"/>
        </w:rPr>
      </w:pPr>
      <w:r>
        <w:rPr>
          <w:rFonts w:hint="eastAsia" w:cs="仿宋"/>
          <w:szCs w:val="24"/>
        </w:rPr>
        <w:t>3</w:t>
      </w:r>
      <w:r>
        <w:rPr>
          <w:rFonts w:cs="仿宋"/>
          <w:szCs w:val="24"/>
        </w:rPr>
        <w:t>.</w:t>
      </w:r>
      <w:r>
        <w:rPr>
          <w:rFonts w:hint="eastAsia" w:cs="仿宋"/>
          <w:szCs w:val="24"/>
        </w:rPr>
        <w:t>未施工项目</w:t>
      </w:r>
    </w:p>
    <w:p>
      <w:pPr>
        <w:ind w:firstLine="480"/>
        <w:rPr>
          <w:rFonts w:cs="仿宋"/>
          <w:szCs w:val="24"/>
        </w:rPr>
      </w:pPr>
      <w:r>
        <w:rPr>
          <w:rFonts w:ascii="宋体" w:hAnsi="宋体" w:eastAsia="宋体" w:cs="仿宋"/>
          <w:szCs w:val="24"/>
        </w:rPr>
        <w:t>(1)</w:t>
      </w:r>
      <w:r>
        <w:rPr>
          <w:rFonts w:cs="仿宋"/>
          <w:szCs w:val="24"/>
        </w:rPr>
        <w:t>县城三月三公园提升改造，修建1710m观光步道，并沿途配套必要的观景台、果皮箱、座椅、照明灯具等设施；</w:t>
      </w:r>
    </w:p>
    <w:p>
      <w:pPr>
        <w:ind w:firstLine="480"/>
        <w:rPr>
          <w:rFonts w:cs="仿宋"/>
          <w:szCs w:val="24"/>
        </w:rPr>
      </w:pPr>
      <w:r>
        <w:rPr>
          <w:rFonts w:ascii="宋体" w:hAnsi="宋体" w:eastAsia="宋体" w:cs="仿宋"/>
          <w:szCs w:val="24"/>
        </w:rPr>
        <w:t>(2)</w:t>
      </w:r>
      <w:r>
        <w:rPr>
          <w:rFonts w:cs="仿宋"/>
          <w:szCs w:val="24"/>
        </w:rPr>
        <w:t>智慧公厕建设，新建民族团结进步广场智慧公厕一座。</w:t>
      </w:r>
    </w:p>
    <w:p>
      <w:pPr>
        <w:ind w:firstLine="480"/>
        <w:rPr>
          <w:rFonts w:cs="仿宋"/>
          <w:szCs w:val="24"/>
        </w:rPr>
      </w:pPr>
      <w:r>
        <w:rPr>
          <w:rFonts w:hint="eastAsia" w:cs="仿宋"/>
          <w:szCs w:val="24"/>
        </w:rPr>
        <w:t>上述已完成项目于</w:t>
      </w:r>
      <w:r>
        <w:rPr>
          <w:rFonts w:cs="仿宋"/>
          <w:szCs w:val="24"/>
        </w:rPr>
        <w:t>2023年7月经项目验收小组验收工程质量合格。</w:t>
      </w:r>
    </w:p>
    <w:p>
      <w:pPr>
        <w:ind w:firstLine="472"/>
        <w:rPr>
          <w:rFonts w:cs="仿宋"/>
          <w:spacing w:val="-2"/>
          <w:szCs w:val="24"/>
        </w:rPr>
      </w:pPr>
      <w:r>
        <w:rPr>
          <w:rFonts w:hint="eastAsia" w:cs="仿宋"/>
          <w:spacing w:val="-2"/>
          <w:szCs w:val="24"/>
        </w:rPr>
        <w:t>项目批复概算总投资为</w:t>
      </w:r>
      <w:bookmarkStart w:id="63" w:name="_Hlk145007868"/>
      <w:r>
        <w:rPr>
          <w:rFonts w:cs="仿宋"/>
          <w:spacing w:val="-2"/>
          <w:szCs w:val="24"/>
        </w:rPr>
        <w:t>135,696,400.00元</w:t>
      </w:r>
      <w:bookmarkEnd w:id="63"/>
      <w:r>
        <w:rPr>
          <w:rFonts w:cs="仿宋"/>
          <w:spacing w:val="-2"/>
          <w:szCs w:val="24"/>
        </w:rPr>
        <w:t>，截止2022年12月31日，项目</w:t>
      </w:r>
      <w:r>
        <w:rPr>
          <w:rFonts w:hint="eastAsia" w:cs="仿宋"/>
          <w:spacing w:val="-2"/>
          <w:szCs w:val="24"/>
        </w:rPr>
        <w:t>仍为建设实施期间，尚未</w:t>
      </w:r>
      <w:r>
        <w:rPr>
          <w:rFonts w:cs="仿宋"/>
          <w:spacing w:val="-2"/>
          <w:szCs w:val="24"/>
        </w:rPr>
        <w:t>进行</w:t>
      </w:r>
      <w:r>
        <w:rPr>
          <w:rFonts w:hint="eastAsia" w:cs="仿宋"/>
          <w:spacing w:val="-2"/>
          <w:szCs w:val="24"/>
        </w:rPr>
        <w:t>工程竣工总体</w:t>
      </w:r>
      <w:r>
        <w:rPr>
          <w:rFonts w:cs="仿宋"/>
          <w:spacing w:val="-2"/>
          <w:szCs w:val="24"/>
        </w:rPr>
        <w:t>结算</w:t>
      </w:r>
      <w:r>
        <w:rPr>
          <w:rFonts w:hint="eastAsia" w:cs="仿宋"/>
          <w:spacing w:val="-2"/>
          <w:szCs w:val="24"/>
        </w:rPr>
        <w:t>和工程竣工财务决算审计</w:t>
      </w:r>
      <w:r>
        <w:rPr>
          <w:rFonts w:cs="仿宋"/>
          <w:spacing w:val="-2"/>
          <w:szCs w:val="24"/>
        </w:rPr>
        <w:t>，无法判断项目</w:t>
      </w:r>
      <w:r>
        <w:rPr>
          <w:rFonts w:hint="eastAsia" w:cs="仿宋"/>
          <w:spacing w:val="-2"/>
          <w:szCs w:val="24"/>
        </w:rPr>
        <w:t>实际</w:t>
      </w:r>
      <w:r>
        <w:rPr>
          <w:rFonts w:cs="仿宋"/>
          <w:spacing w:val="-2"/>
          <w:szCs w:val="24"/>
        </w:rPr>
        <w:t>总</w:t>
      </w:r>
      <w:r>
        <w:rPr>
          <w:rFonts w:hint="eastAsia" w:cs="仿宋"/>
          <w:spacing w:val="-2"/>
          <w:szCs w:val="24"/>
        </w:rPr>
        <w:t>投资</w:t>
      </w:r>
      <w:r>
        <w:rPr>
          <w:rFonts w:cs="仿宋"/>
          <w:spacing w:val="-2"/>
          <w:szCs w:val="24"/>
        </w:rPr>
        <w:t>情况。</w:t>
      </w:r>
      <w:r>
        <w:rPr>
          <w:rFonts w:hint="eastAsia" w:cs="仿宋"/>
          <w:spacing w:val="-2"/>
          <w:szCs w:val="24"/>
        </w:rPr>
        <w:t>但</w:t>
      </w:r>
      <w:r>
        <w:rPr>
          <w:rFonts w:cs="仿宋"/>
          <w:spacing w:val="-2"/>
          <w:szCs w:val="24"/>
        </w:rPr>
        <w:t>从合同</w:t>
      </w:r>
      <w:r>
        <w:rPr>
          <w:rFonts w:hint="eastAsia" w:cs="仿宋"/>
          <w:spacing w:val="-2"/>
          <w:szCs w:val="24"/>
        </w:rPr>
        <w:t>价</w:t>
      </w:r>
      <w:r>
        <w:rPr>
          <w:rFonts w:cs="仿宋"/>
          <w:spacing w:val="-2"/>
          <w:szCs w:val="24"/>
        </w:rPr>
        <w:t>层面分析，该项目为EPC总承包</w:t>
      </w:r>
      <w:r>
        <w:rPr>
          <w:rFonts w:hint="eastAsia" w:cs="仿宋"/>
          <w:spacing w:val="-2"/>
          <w:szCs w:val="24"/>
        </w:rPr>
        <w:t>，已签订的</w:t>
      </w:r>
      <w:r>
        <w:rPr>
          <w:rFonts w:cs="仿宋"/>
          <w:spacing w:val="-2"/>
          <w:szCs w:val="24"/>
        </w:rPr>
        <w:t>合同总价</w:t>
      </w:r>
      <w:r>
        <w:rPr>
          <w:rFonts w:hint="eastAsia" w:cs="仿宋"/>
          <w:spacing w:val="-2"/>
          <w:szCs w:val="24"/>
        </w:rPr>
        <w:t>（暂定）</w:t>
      </w:r>
      <w:r>
        <w:rPr>
          <w:rFonts w:cs="仿宋"/>
          <w:spacing w:val="-2"/>
          <w:szCs w:val="24"/>
        </w:rPr>
        <w:t>为137,772,100.00元（</w:t>
      </w:r>
      <w:r>
        <w:rPr>
          <w:rFonts w:hint="eastAsia" w:cs="仿宋"/>
          <w:spacing w:val="-2"/>
          <w:szCs w:val="24"/>
        </w:rPr>
        <w:t>施工总承包合同暂定</w:t>
      </w:r>
      <w:r>
        <w:rPr>
          <w:rFonts w:cs="仿宋"/>
          <w:spacing w:val="-2"/>
          <w:szCs w:val="24"/>
        </w:rPr>
        <w:t>135,696,400.00元</w:t>
      </w:r>
      <w:r>
        <w:rPr>
          <w:rFonts w:hint="eastAsia" w:cs="仿宋"/>
          <w:spacing w:val="-2"/>
          <w:szCs w:val="24"/>
        </w:rPr>
        <w:t>、</w:t>
      </w:r>
      <w:r>
        <w:rPr>
          <w:rFonts w:cs="仿宋"/>
          <w:spacing w:val="-2"/>
          <w:szCs w:val="24"/>
        </w:rPr>
        <w:t>建设工程监理合同957,000.00元、第三方质量检测合同书242,250.00元、财务决算审计合同216,450.00元、建设工程造价咨询合同660,000.00元）</w:t>
      </w:r>
      <w:r>
        <w:rPr>
          <w:rFonts w:hint="eastAsia" w:cs="仿宋"/>
          <w:spacing w:val="-2"/>
          <w:szCs w:val="24"/>
        </w:rPr>
        <w:t>，</w:t>
      </w:r>
      <w:r>
        <w:rPr>
          <w:rFonts w:cs="仿宋"/>
          <w:spacing w:val="-2"/>
          <w:szCs w:val="24"/>
        </w:rPr>
        <w:t>从合同</w:t>
      </w:r>
      <w:r>
        <w:rPr>
          <w:rFonts w:hint="eastAsia" w:cs="仿宋"/>
          <w:spacing w:val="-2"/>
          <w:szCs w:val="24"/>
        </w:rPr>
        <w:t>价</w:t>
      </w:r>
      <w:r>
        <w:rPr>
          <w:rFonts w:cs="仿宋"/>
          <w:spacing w:val="-2"/>
          <w:szCs w:val="24"/>
        </w:rPr>
        <w:t>层面分析该项目投入已超概算</w:t>
      </w:r>
      <w:r>
        <w:rPr>
          <w:rFonts w:hint="eastAsia" w:cs="仿宋"/>
          <w:spacing w:val="-2"/>
          <w:szCs w:val="24"/>
        </w:rPr>
        <w:t>，且不包括代建管理费暂定1</w:t>
      </w:r>
      <w:r>
        <w:rPr>
          <w:rFonts w:cs="仿宋"/>
          <w:spacing w:val="-2"/>
          <w:szCs w:val="24"/>
        </w:rPr>
        <w:t>,756,964.00</w:t>
      </w:r>
      <w:r>
        <w:rPr>
          <w:rFonts w:hint="eastAsia" w:cs="仿宋"/>
          <w:spacing w:val="-2"/>
          <w:szCs w:val="24"/>
        </w:rPr>
        <w:t>元</w:t>
      </w:r>
      <w:r>
        <w:rPr>
          <w:rFonts w:cs="仿宋"/>
          <w:spacing w:val="-2"/>
          <w:szCs w:val="24"/>
        </w:rPr>
        <w:t>。</w:t>
      </w:r>
    </w:p>
    <w:p>
      <w:pPr>
        <w:ind w:firstLine="480"/>
        <w:rPr>
          <w:rFonts w:ascii="楷体" w:hAnsi="楷体" w:eastAsia="楷体" w:cs="楷体"/>
          <w:szCs w:val="24"/>
        </w:rPr>
      </w:pPr>
      <w:r>
        <w:rPr>
          <w:rFonts w:hint="eastAsia" w:ascii="楷体" w:hAnsi="楷体" w:eastAsia="楷体" w:cs="楷体"/>
          <w:szCs w:val="24"/>
        </w:rPr>
        <w:t>(四)项目绩效情况分析</w:t>
      </w:r>
      <w:bookmarkEnd w:id="57"/>
      <w:bookmarkEnd w:id="58"/>
      <w:bookmarkStart w:id="64" w:name="_Toc502134870"/>
      <w:bookmarkStart w:id="65" w:name="_Toc498009787"/>
    </w:p>
    <w:p>
      <w:pPr>
        <w:ind w:firstLine="480"/>
        <w:rPr>
          <w:rFonts w:cs="仿宋"/>
          <w:szCs w:val="24"/>
        </w:rPr>
      </w:pPr>
      <w:r>
        <w:rPr>
          <w:rFonts w:hint="eastAsia" w:cs="仿宋"/>
          <w:szCs w:val="24"/>
        </w:rPr>
        <w:t>项目绩效指标满分</w:t>
      </w:r>
      <w:r>
        <w:rPr>
          <w:rFonts w:cs="仿宋"/>
          <w:szCs w:val="24"/>
        </w:rPr>
        <w:t>2</w:t>
      </w:r>
      <w:r>
        <w:rPr>
          <w:rFonts w:hint="eastAsia" w:cs="仿宋"/>
          <w:szCs w:val="24"/>
        </w:rPr>
        <w:t>0分，评价综合评分</w:t>
      </w:r>
      <w:r>
        <w:rPr>
          <w:rFonts w:cs="仿宋"/>
          <w:szCs w:val="24"/>
        </w:rPr>
        <w:t>18.39</w:t>
      </w:r>
      <w:r>
        <w:rPr>
          <w:rFonts w:hint="eastAsia" w:cs="仿宋"/>
          <w:szCs w:val="24"/>
        </w:rPr>
        <w:t>分（占该项满分值的</w:t>
      </w:r>
      <w:r>
        <w:rPr>
          <w:rFonts w:cs="仿宋"/>
          <w:szCs w:val="24"/>
        </w:rPr>
        <w:t>91.95</w:t>
      </w:r>
      <w:r>
        <w:rPr>
          <w:rFonts w:hint="eastAsia" w:cs="仿宋"/>
          <w:szCs w:val="24"/>
        </w:rPr>
        <w:t>%），具体情况如下：</w:t>
      </w:r>
    </w:p>
    <w:bookmarkEnd w:id="64"/>
    <w:bookmarkEnd w:id="65"/>
    <w:p>
      <w:pPr>
        <w:ind w:firstLine="480"/>
      </w:pPr>
      <w:bookmarkStart w:id="66" w:name="_Toc498009788"/>
      <w:bookmarkStart w:id="67" w:name="_Toc502134871"/>
      <w:r>
        <w:rPr>
          <w:rFonts w:hint="eastAsia"/>
        </w:rPr>
        <w:t>通过项目的实施，对城市品质提升，人居环境改善，促进县城可持续发展，增强了人民群众的幸福感和获得感，实现了良好的社会效益和生态效益：</w:t>
      </w:r>
    </w:p>
    <w:p>
      <w:pPr>
        <w:ind w:firstLine="480"/>
      </w:pPr>
      <w:r>
        <w:rPr>
          <w:rFonts w:hint="eastAsia"/>
        </w:rPr>
        <w:t>项目施工过程中规范施工程序，安全措施得力，未发生安全事故，建设单位基本按规定执行了项目法人制、监理制、招投标制、合同制的建设项目“四制”规范，</w:t>
      </w:r>
      <w:bookmarkStart w:id="68" w:name="_Hlk145001823"/>
      <w:r>
        <w:rPr>
          <w:rFonts w:hint="eastAsia"/>
        </w:rPr>
        <w:t>项目基本建设程序执行基本规范，但未报批初设概算书和获取施工许可证。</w:t>
      </w:r>
      <w:bookmarkEnd w:id="68"/>
    </w:p>
    <w:p>
      <w:pPr>
        <w:ind w:firstLine="480"/>
      </w:pPr>
      <w:r>
        <w:t>根据</w:t>
      </w:r>
      <w:bookmarkStart w:id="69" w:name="_Hlk144922286"/>
      <w:r>
        <w:rPr>
          <w:rFonts w:hint="eastAsia"/>
        </w:rPr>
        <w:t>城市更新改造</w:t>
      </w:r>
      <w:r>
        <w:t>项目</w:t>
      </w:r>
      <w:bookmarkEnd w:id="69"/>
      <w:r>
        <w:t>支出绩效评价满意度</w:t>
      </w:r>
      <w:r>
        <w:rPr>
          <w:rFonts w:hint="eastAsia"/>
        </w:rPr>
        <w:t>社会</w:t>
      </w:r>
      <w:r>
        <w:t>调查情况</w:t>
      </w:r>
      <w:r>
        <w:rPr>
          <w:rFonts w:hint="eastAsia"/>
        </w:rPr>
        <w:t>统计</w:t>
      </w:r>
      <w:r>
        <w:t>汇总，</w:t>
      </w:r>
      <w:r>
        <w:rPr>
          <w:rFonts w:hint="eastAsia"/>
        </w:rPr>
        <w:t>社会公民认为</w:t>
      </w:r>
      <w:r>
        <w:t>对</w:t>
      </w:r>
      <w:r>
        <w:rPr>
          <w:rFonts w:hint="eastAsia"/>
        </w:rPr>
        <w:t>人居环境提升</w:t>
      </w:r>
      <w:r>
        <w:t>效果</w:t>
      </w:r>
      <w:r>
        <w:rPr>
          <w:rFonts w:hint="eastAsia"/>
        </w:rPr>
        <w:t>明显</w:t>
      </w:r>
      <w:r>
        <w:t>。</w:t>
      </w:r>
    </w:p>
    <w:p>
      <w:pPr>
        <w:ind w:firstLine="480"/>
      </w:pPr>
      <w:r>
        <w:rPr>
          <w:rFonts w:hint="eastAsia"/>
        </w:rPr>
        <w:t>通过对20份社会公众或服务对象满意度调查问卷统计分析，社会公众对住建局</w:t>
      </w:r>
      <w:bookmarkStart w:id="70" w:name="_Hlk144923361"/>
      <w:r>
        <w:rPr>
          <w:rFonts w:hint="eastAsia"/>
        </w:rPr>
        <w:t>城市更新改造建设工程</w:t>
      </w:r>
      <w:bookmarkEnd w:id="70"/>
      <w:r>
        <w:rPr>
          <w:rFonts w:hint="eastAsia"/>
        </w:rPr>
        <w:t>项目开展情况的综合满意度为</w:t>
      </w:r>
      <w:r>
        <w:t>89.33%</w:t>
      </w:r>
      <w:r>
        <w:rPr>
          <w:rFonts w:hint="eastAsia"/>
        </w:rPr>
        <w:t>。</w:t>
      </w:r>
    </w:p>
    <w:p>
      <w:pPr>
        <w:ind w:firstLine="480"/>
        <w:rPr>
          <w:rFonts w:ascii="黑体" w:hAnsi="黑体" w:eastAsia="黑体" w:cs="黑体"/>
          <w:szCs w:val="24"/>
        </w:rPr>
      </w:pPr>
      <w:r>
        <w:rPr>
          <w:rFonts w:hint="eastAsia" w:ascii="黑体" w:hAnsi="黑体" w:eastAsia="黑体" w:cs="黑体"/>
          <w:szCs w:val="24"/>
        </w:rPr>
        <w:t>六、主要经验及做法</w:t>
      </w:r>
      <w:bookmarkEnd w:id="66"/>
      <w:bookmarkEnd w:id="67"/>
    </w:p>
    <w:p>
      <w:pPr>
        <w:ind w:firstLine="480"/>
        <w:rPr>
          <w:rFonts w:ascii="仿宋_GB2312" w:eastAsia="仿宋_GB2312" w:cs="仿宋"/>
          <w:szCs w:val="24"/>
        </w:rPr>
      </w:pPr>
      <w:bookmarkStart w:id="71" w:name="_Toc502134872"/>
      <w:bookmarkStart w:id="72" w:name="_Toc498009789"/>
      <w:r>
        <w:rPr>
          <w:rFonts w:hint="eastAsia" w:cs="仿宋"/>
          <w:szCs w:val="24"/>
        </w:rPr>
        <w:t>成立综合协调、进度、安全等领导小组，统筹协调城市更新改造项目各项工作顺利推进，明确各单位及各组成人员职能职责，压实工作责任，按程序优选符合条件的监理、造价等技术中介进行全过程监督，对中标企业施工质量进行全过程监督，确保良好的工程质量。</w:t>
      </w:r>
    </w:p>
    <w:p>
      <w:pPr>
        <w:ind w:firstLine="480"/>
        <w:rPr>
          <w:rFonts w:ascii="黑体" w:hAnsi="黑体" w:eastAsia="黑体" w:cs="黑体"/>
          <w:szCs w:val="24"/>
        </w:rPr>
      </w:pPr>
      <w:r>
        <w:rPr>
          <w:rFonts w:hint="eastAsia" w:ascii="黑体" w:hAnsi="黑体" w:eastAsia="黑体" w:cs="黑体"/>
          <w:szCs w:val="24"/>
        </w:rPr>
        <w:t>七、存在的主要问题</w:t>
      </w:r>
      <w:bookmarkEnd w:id="71"/>
      <w:bookmarkEnd w:id="72"/>
    </w:p>
    <w:p>
      <w:pPr>
        <w:ind w:firstLine="480"/>
        <w:rPr>
          <w:rFonts w:ascii="楷体" w:hAnsi="楷体" w:eastAsia="楷体" w:cs="楷体"/>
          <w:bCs/>
          <w:szCs w:val="24"/>
        </w:rPr>
      </w:pPr>
      <w:bookmarkStart w:id="73" w:name="_Toc500589022"/>
      <w:bookmarkStart w:id="74" w:name="_Toc500849310"/>
      <w:bookmarkStart w:id="75" w:name="_Toc500364179"/>
      <w:bookmarkStart w:id="76" w:name="_Toc500440025"/>
      <w:bookmarkStart w:id="77" w:name="_Toc500202563"/>
      <w:bookmarkStart w:id="78" w:name="_Toc502134873"/>
      <w:r>
        <w:rPr>
          <w:rFonts w:ascii="楷体" w:hAnsi="楷体" w:eastAsia="楷体" w:cs="楷体"/>
          <w:bCs/>
          <w:szCs w:val="24"/>
        </w:rPr>
        <w:t>(一)</w:t>
      </w:r>
      <w:r>
        <w:rPr>
          <w:rFonts w:hint="eastAsia" w:ascii="楷体" w:hAnsi="楷体" w:eastAsia="楷体" w:cs="楷体"/>
          <w:bCs/>
          <w:szCs w:val="24"/>
        </w:rPr>
        <w:t>项目绩效</w:t>
      </w:r>
      <w:r>
        <w:rPr>
          <w:rFonts w:ascii="楷体" w:hAnsi="楷体" w:eastAsia="楷体" w:cs="楷体"/>
          <w:bCs/>
          <w:szCs w:val="24"/>
        </w:rPr>
        <w:t>目标管理不到位</w:t>
      </w:r>
    </w:p>
    <w:p>
      <w:pPr>
        <w:ind w:firstLine="480"/>
        <w:rPr>
          <w:rFonts w:cs="仿宋"/>
          <w:szCs w:val="24"/>
        </w:rPr>
      </w:pPr>
      <w:r>
        <w:rPr>
          <w:rFonts w:hint="eastAsia" w:cs="仿宋"/>
          <w:szCs w:val="24"/>
        </w:rPr>
        <w:t>住建</w:t>
      </w:r>
      <w:r>
        <w:rPr>
          <w:rFonts w:cs="仿宋"/>
          <w:szCs w:val="24"/>
        </w:rPr>
        <w:t>局</w:t>
      </w:r>
      <w:r>
        <w:rPr>
          <w:rFonts w:hint="eastAsia" w:cs="仿宋"/>
          <w:szCs w:val="24"/>
        </w:rPr>
        <w:t>预算申报</w:t>
      </w:r>
      <w:r>
        <w:rPr>
          <w:rFonts w:cs="仿宋"/>
          <w:szCs w:val="24"/>
        </w:rPr>
        <w:t>的</w:t>
      </w:r>
      <w:r>
        <w:rPr>
          <w:rFonts w:hint="eastAsia" w:cs="仿宋"/>
          <w:szCs w:val="24"/>
        </w:rPr>
        <w:t>项目总体目标：</w:t>
      </w:r>
      <w:r>
        <w:rPr>
          <w:rFonts w:cs="仿宋"/>
          <w:szCs w:val="24"/>
        </w:rPr>
        <w:t>2021年寻甸县城市更新改造建设项目投资概算约1.36亿元，预计2021年11月开工，按照投资建设协议，项目建设款分3年支付，2021年需支付40%及建设期利息约6000万元</w:t>
      </w:r>
      <w:r>
        <w:rPr>
          <w:rFonts w:hint="eastAsia" w:cs="仿宋"/>
          <w:szCs w:val="24"/>
        </w:rPr>
        <w:t>；申报的年度目标：履行合同约定内容，支付工程建设相关费用</w:t>
      </w:r>
      <w:r>
        <w:rPr>
          <w:rFonts w:cs="仿宋"/>
          <w:szCs w:val="24"/>
        </w:rPr>
        <w:t>40%约6000万元</w:t>
      </w:r>
      <w:r>
        <w:rPr>
          <w:rFonts w:hint="eastAsia" w:cs="仿宋"/>
          <w:szCs w:val="24"/>
        </w:rPr>
        <w:t>。设定的绩效指标如下：</w:t>
      </w:r>
    </w:p>
    <w:tbl>
      <w:tblPr>
        <w:tblStyle w:val="7"/>
        <w:tblW w:w="7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986"/>
        <w:gridCol w:w="2793"/>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一级指标</w:t>
            </w:r>
          </w:p>
        </w:tc>
        <w:tc>
          <w:tcPr>
            <w:tcW w:w="1986"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二级指标</w:t>
            </w:r>
          </w:p>
        </w:tc>
        <w:tc>
          <w:tcPr>
            <w:tcW w:w="2793"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三级指标</w:t>
            </w:r>
          </w:p>
        </w:tc>
        <w:tc>
          <w:tcPr>
            <w:tcW w:w="1782"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vMerge w:val="restar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产出指标</w:t>
            </w:r>
          </w:p>
        </w:tc>
        <w:tc>
          <w:tcPr>
            <w:tcW w:w="1986"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数量指标</w:t>
            </w:r>
          </w:p>
        </w:tc>
        <w:tc>
          <w:tcPr>
            <w:tcW w:w="2793" w:type="dxa"/>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支付金额</w:t>
            </w:r>
          </w:p>
        </w:tc>
        <w:tc>
          <w:tcPr>
            <w:tcW w:w="1782" w:type="dxa"/>
            <w:tcBorders>
              <w:tl2br w:val="nil"/>
              <w:tr2bl w:val="nil"/>
            </w:tcBorders>
            <w:shd w:val="clear" w:color="auto" w:fill="auto"/>
            <w:vAlign w:val="center"/>
          </w:tcPr>
          <w:p>
            <w:pPr>
              <w:widowControl/>
              <w:spacing w:line="240" w:lineRule="auto"/>
              <w:ind w:firstLine="360"/>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w:t>
            </w:r>
            <w:r>
              <w:rPr>
                <w:rFonts w:asciiTheme="minorEastAsia" w:hAnsiTheme="minorEastAsia" w:eastAsiaTheme="minorEastAsia" w:cstheme="minorEastAsia"/>
                <w:color w:val="000000"/>
                <w:kern w:val="0"/>
                <w:sz w:val="18"/>
                <w:szCs w:val="18"/>
              </w:rPr>
              <w:t>000</w:t>
            </w:r>
            <w:r>
              <w:rPr>
                <w:rFonts w:hint="eastAsia" w:asciiTheme="minorEastAsia" w:hAnsiTheme="minorEastAsia" w:eastAsiaTheme="minorEastAsia" w:cstheme="minorEastAsia"/>
                <w:color w:val="000000"/>
                <w:kern w:val="0"/>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986"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质量指标</w:t>
            </w:r>
          </w:p>
        </w:tc>
        <w:tc>
          <w:tcPr>
            <w:tcW w:w="2793" w:type="dxa"/>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bookmarkStart w:id="79" w:name="_Hlk144997019"/>
            <w:r>
              <w:rPr>
                <w:rFonts w:hint="eastAsia" w:asciiTheme="minorEastAsia" w:hAnsiTheme="minorEastAsia" w:eastAsiaTheme="minorEastAsia" w:cstheme="minorEastAsia"/>
                <w:color w:val="000000"/>
                <w:kern w:val="0"/>
                <w:sz w:val="18"/>
                <w:szCs w:val="18"/>
              </w:rPr>
              <w:t>履行合同内容</w:t>
            </w:r>
            <w:bookmarkEnd w:id="79"/>
          </w:p>
        </w:tc>
        <w:tc>
          <w:tcPr>
            <w:tcW w:w="1782"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r>
              <w:rPr>
                <w:rFonts w:asciiTheme="minorEastAsia" w:hAnsiTheme="minorEastAsia" w:eastAsiaTheme="minorEastAsia" w:cstheme="minorEastAsia"/>
                <w:color w:val="000000"/>
                <w:kern w:val="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986"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时效指标</w:t>
            </w:r>
          </w:p>
        </w:tc>
        <w:tc>
          <w:tcPr>
            <w:tcW w:w="2793" w:type="dxa"/>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支付及时率</w:t>
            </w:r>
          </w:p>
        </w:tc>
        <w:tc>
          <w:tcPr>
            <w:tcW w:w="1782"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r>
              <w:rPr>
                <w:rFonts w:asciiTheme="minorEastAsia" w:hAnsiTheme="minorEastAsia" w:eastAsiaTheme="minorEastAsia" w:cstheme="minorEastAsia"/>
                <w:color w:val="000000"/>
                <w:kern w:val="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vMerge w:val="continue"/>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p>
        </w:tc>
        <w:tc>
          <w:tcPr>
            <w:tcW w:w="1986"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成本指标</w:t>
            </w:r>
          </w:p>
        </w:tc>
        <w:tc>
          <w:tcPr>
            <w:tcW w:w="2793" w:type="dxa"/>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成本控制情况</w:t>
            </w:r>
          </w:p>
        </w:tc>
        <w:tc>
          <w:tcPr>
            <w:tcW w:w="1782"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r>
              <w:rPr>
                <w:rFonts w:asciiTheme="minorEastAsia" w:hAnsiTheme="minorEastAsia" w:eastAsiaTheme="minorEastAsia" w:cstheme="minorEastAsia"/>
                <w:color w:val="000000"/>
                <w:kern w:val="0"/>
                <w:sz w:val="18"/>
                <w:szCs w:val="18"/>
              </w:rPr>
              <w:t>7000万元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效益指标</w:t>
            </w:r>
          </w:p>
        </w:tc>
        <w:tc>
          <w:tcPr>
            <w:tcW w:w="1986"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社会效益指标</w:t>
            </w:r>
          </w:p>
        </w:tc>
        <w:tc>
          <w:tcPr>
            <w:tcW w:w="2793" w:type="dxa"/>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bookmarkStart w:id="80" w:name="_Hlk144997299"/>
            <w:r>
              <w:rPr>
                <w:rFonts w:hint="eastAsia" w:asciiTheme="minorEastAsia" w:hAnsiTheme="minorEastAsia" w:eastAsiaTheme="minorEastAsia" w:cstheme="minorEastAsia"/>
                <w:color w:val="000000"/>
                <w:kern w:val="0"/>
                <w:sz w:val="18"/>
                <w:szCs w:val="18"/>
              </w:rPr>
              <w:t>法务纠纷及农民工上访率</w:t>
            </w:r>
            <w:bookmarkEnd w:id="80"/>
          </w:p>
        </w:tc>
        <w:tc>
          <w:tcPr>
            <w:tcW w:w="1782"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94" w:type="dxa"/>
            <w:tcBorders>
              <w:tl2br w:val="nil"/>
              <w:tr2bl w:val="nil"/>
            </w:tcBorders>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满意度指标</w:t>
            </w:r>
          </w:p>
        </w:tc>
        <w:tc>
          <w:tcPr>
            <w:tcW w:w="1986"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服务对象满意度指标</w:t>
            </w:r>
          </w:p>
        </w:tc>
        <w:tc>
          <w:tcPr>
            <w:tcW w:w="2793" w:type="dxa"/>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民众满意度</w:t>
            </w:r>
          </w:p>
        </w:tc>
        <w:tc>
          <w:tcPr>
            <w:tcW w:w="1782"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＝90%</w:t>
            </w:r>
          </w:p>
        </w:tc>
      </w:tr>
    </w:tbl>
    <w:p>
      <w:pPr>
        <w:ind w:firstLine="480"/>
        <w:rPr>
          <w:rFonts w:cs="仿宋"/>
          <w:szCs w:val="24"/>
        </w:rPr>
      </w:pPr>
      <w:r>
        <w:rPr>
          <w:rFonts w:hint="eastAsia" w:cs="仿宋"/>
          <w:szCs w:val="24"/>
        </w:rPr>
        <w:t>存在的主要问题：</w:t>
      </w:r>
    </w:p>
    <w:p>
      <w:pPr>
        <w:ind w:firstLine="480"/>
        <w:rPr>
          <w:rFonts w:cs="仿宋"/>
          <w:szCs w:val="24"/>
        </w:rPr>
      </w:pPr>
      <w:r>
        <w:rPr>
          <w:rFonts w:hint="eastAsia" w:cs="仿宋"/>
          <w:szCs w:val="24"/>
        </w:rPr>
        <w:t>1</w:t>
      </w:r>
      <w:r>
        <w:rPr>
          <w:rFonts w:cs="仿宋"/>
          <w:szCs w:val="24"/>
        </w:rPr>
        <w:t>.</w:t>
      </w:r>
      <w:r>
        <w:rPr>
          <w:rFonts w:hint="eastAsia" w:cs="仿宋"/>
          <w:szCs w:val="24"/>
        </w:rPr>
        <w:t>预算年度绩效目标设定不规范，未清晰明确项目总体实施内容及具体的工作数量，未清晰明确在项目批复建设期内、在总体目标下，2</w:t>
      </w:r>
      <w:r>
        <w:rPr>
          <w:rFonts w:cs="仿宋"/>
          <w:szCs w:val="24"/>
        </w:rPr>
        <w:t>022</w:t>
      </w:r>
      <w:r>
        <w:rPr>
          <w:rFonts w:hint="eastAsia" w:cs="仿宋"/>
          <w:szCs w:val="24"/>
        </w:rPr>
        <w:t>年度的具体工作内容和数量。</w:t>
      </w:r>
    </w:p>
    <w:p>
      <w:pPr>
        <w:ind w:firstLine="480"/>
        <w:rPr>
          <w:rFonts w:cs="仿宋"/>
          <w:szCs w:val="24"/>
        </w:rPr>
      </w:pPr>
      <w:r>
        <w:rPr>
          <w:rFonts w:hint="eastAsia" w:cs="仿宋"/>
          <w:szCs w:val="24"/>
        </w:rPr>
        <w:t>2</w:t>
      </w:r>
      <w:r>
        <w:rPr>
          <w:rFonts w:cs="仿宋"/>
          <w:szCs w:val="24"/>
        </w:rPr>
        <w:t>.</w:t>
      </w:r>
      <w:bookmarkStart w:id="81" w:name="_Hlk144923860"/>
      <w:r>
        <w:rPr>
          <w:rFonts w:hint="eastAsia" w:cs="仿宋"/>
          <w:szCs w:val="24"/>
        </w:rPr>
        <w:t>产出指标设定不科学、不充分，</w:t>
      </w:r>
      <w:bookmarkEnd w:id="81"/>
      <w:r>
        <w:rPr>
          <w:rFonts w:hint="eastAsia" w:cs="仿宋"/>
          <w:szCs w:val="24"/>
        </w:rPr>
        <w:t>且指标性质界定不清晰：数量指标设定为“支付金额”1个指标，未将项目的绩效目标细化分解为具体的工作任务和数量，未清晰反映项目的主要内容和数量；质量指标仅设定“履行合同内容”1个指标，未就项目建设质量方面设定；时效指标仅设定1个“支付及时率”指标，未就项目建设时效及效率等方面设定。</w:t>
      </w:r>
    </w:p>
    <w:p>
      <w:pPr>
        <w:ind w:firstLine="480"/>
        <w:rPr>
          <w:rFonts w:cs="仿宋"/>
          <w:szCs w:val="24"/>
        </w:rPr>
      </w:pPr>
      <w:r>
        <w:rPr>
          <w:rFonts w:hint="eastAsia" w:cs="仿宋"/>
          <w:szCs w:val="24"/>
        </w:rPr>
        <w:t>3</w:t>
      </w:r>
      <w:r>
        <w:rPr>
          <w:rFonts w:cs="仿宋"/>
          <w:szCs w:val="24"/>
        </w:rPr>
        <w:t>.</w:t>
      </w:r>
      <w:r>
        <w:rPr>
          <w:rFonts w:hint="eastAsia" w:cs="仿宋"/>
          <w:szCs w:val="24"/>
        </w:rPr>
        <w:t>效益指标设定不充分完整，效益指标仅设定1个“法务纠纷及农民工上访率”指标，未就项目建设对经济发展、社会发展、生态环境治理等方面，选取最能体现总体目标实现程度的关键性、最具代表性的绩效指标，未通过清晰、可衡量的指标及指标值细化、量化并分解项目总体目标。</w:t>
      </w:r>
    </w:p>
    <w:p>
      <w:pPr>
        <w:ind w:firstLine="480"/>
        <w:rPr>
          <w:rFonts w:cs="仿宋"/>
          <w:szCs w:val="24"/>
        </w:rPr>
      </w:pPr>
      <w:r>
        <w:rPr>
          <w:rFonts w:hint="eastAsia" w:cs="仿宋"/>
          <w:szCs w:val="24"/>
        </w:rPr>
        <w:t>上述情况不符合《中华人民共和国预算法》第三十二条“……各部门、各单位应当按照……以及绩效目标管理等预算编制规定，……编制本部门、本单位预算草案。”、《中共中央、国务院关于全面实施预算绩效管理的意见》（中发〔</w:t>
      </w:r>
      <w:r>
        <w:rPr>
          <w:rFonts w:cs="仿宋"/>
          <w:szCs w:val="24"/>
        </w:rPr>
        <w:t>2018〕34号）第四条第（七）项“强化绩效目标管理。各地区各部门编制预算时要……全面设置部门和单位整体绩效目标、政策及项目绩效目标。绩效目标不仅要包括产出、成本，还要包括经济效益、社会效益、生态效益、可持续影响和服务对象满意度等绩效指标。……。”</w:t>
      </w:r>
      <w:r>
        <w:rPr>
          <w:rFonts w:hint="eastAsia" w:cs="仿宋"/>
          <w:szCs w:val="24"/>
        </w:rPr>
        <w:t>和《云南省省级财政预算绩效目标管理暂行办法》（云财预〔</w:t>
      </w:r>
      <w:r>
        <w:rPr>
          <w:rFonts w:cs="仿宋"/>
          <w:szCs w:val="24"/>
        </w:rPr>
        <w:t>2015〕344号）第十二条“绩效指标是绩效目标的细化和量化，主要包括产出指标、效果指标和效率指标等。绩效指标应符合相关性、重要性、可比性、系统性、经济性要求。每一类型的绩效指标应有具体、细化、量化的绩效指标内容与之对应。”</w:t>
      </w:r>
      <w:r>
        <w:rPr>
          <w:rFonts w:hint="eastAsia" w:cs="仿宋"/>
          <w:szCs w:val="24"/>
        </w:rPr>
        <w:t>的规定。</w:t>
      </w:r>
    </w:p>
    <w:p>
      <w:pPr>
        <w:ind w:firstLine="480"/>
        <w:rPr>
          <w:rFonts w:ascii="楷体" w:hAnsi="楷体" w:eastAsia="楷体" w:cs="楷体"/>
          <w:bCs/>
          <w:szCs w:val="24"/>
        </w:rPr>
      </w:pPr>
      <w:r>
        <w:rPr>
          <w:rFonts w:hint="eastAsia" w:ascii="楷体" w:hAnsi="楷体" w:eastAsia="楷体" w:cs="楷体"/>
          <w:bCs/>
          <w:szCs w:val="24"/>
        </w:rPr>
        <w:t>(二</w:t>
      </w:r>
      <w:r>
        <w:rPr>
          <w:rFonts w:ascii="楷体" w:hAnsi="楷体" w:eastAsia="楷体" w:cs="楷体"/>
          <w:bCs/>
          <w:szCs w:val="24"/>
        </w:rPr>
        <w:t>)</w:t>
      </w:r>
      <w:bookmarkStart w:id="82" w:name="_Hlk144924703"/>
      <w:r>
        <w:rPr>
          <w:rFonts w:ascii="楷体" w:hAnsi="楷体" w:eastAsia="楷体" w:cs="楷体"/>
          <w:bCs/>
          <w:szCs w:val="24"/>
        </w:rPr>
        <w:t>账务核算</w:t>
      </w:r>
      <w:r>
        <w:rPr>
          <w:rFonts w:hint="eastAsia" w:ascii="楷体" w:hAnsi="楷体" w:eastAsia="楷体" w:cs="楷体"/>
          <w:bCs/>
          <w:szCs w:val="24"/>
        </w:rPr>
        <w:t>不规范</w:t>
      </w:r>
      <w:bookmarkEnd w:id="82"/>
    </w:p>
    <w:p>
      <w:pPr>
        <w:ind w:firstLine="480"/>
        <w:rPr>
          <w:rFonts w:cs="仿宋"/>
          <w:szCs w:val="24"/>
        </w:rPr>
      </w:pPr>
      <w:r>
        <w:rPr>
          <w:rFonts w:cs="仿宋"/>
          <w:szCs w:val="24"/>
        </w:rPr>
        <w:t>住建局在支付项目相关工程款及待摊费用时，账面借记“业务活动费用-商品和服务费用”，未记入“在建工程”核算</w:t>
      </w:r>
      <w:r>
        <w:rPr>
          <w:rFonts w:hint="eastAsia" w:cs="仿宋"/>
          <w:szCs w:val="24"/>
        </w:rPr>
        <w:t>，如：2</w:t>
      </w:r>
      <w:r>
        <w:rPr>
          <w:rFonts w:cs="仿宋"/>
          <w:szCs w:val="24"/>
        </w:rPr>
        <w:t>022</w:t>
      </w:r>
      <w:r>
        <w:rPr>
          <w:rFonts w:hint="eastAsia" w:cs="仿宋"/>
          <w:szCs w:val="24"/>
        </w:rPr>
        <w:t>年1</w:t>
      </w:r>
      <w:r>
        <w:rPr>
          <w:rFonts w:cs="仿宋"/>
          <w:szCs w:val="24"/>
        </w:rPr>
        <w:t>0</w:t>
      </w:r>
      <w:r>
        <w:rPr>
          <w:rFonts w:hint="eastAsia" w:cs="仿宋"/>
          <w:szCs w:val="24"/>
        </w:rPr>
        <w:t>月记账</w:t>
      </w:r>
      <w:r>
        <w:rPr>
          <w:rFonts w:cs="仿宋"/>
          <w:szCs w:val="24"/>
        </w:rPr>
        <w:t>20</w:t>
      </w:r>
      <w:r>
        <w:rPr>
          <w:rFonts w:hint="eastAsia" w:cs="仿宋"/>
          <w:szCs w:val="24"/>
        </w:rPr>
        <w:t>号凭证“寻沾连接线与月秀路交叉环岛雕塑建设”</w:t>
      </w:r>
      <w:r>
        <w:rPr>
          <w:rFonts w:cs="仿宋"/>
          <w:szCs w:val="24"/>
        </w:rPr>
        <w:t>5,307,596.43</w:t>
      </w:r>
      <w:r>
        <w:rPr>
          <w:rFonts w:hint="eastAsia" w:cs="仿宋"/>
          <w:szCs w:val="24"/>
        </w:rPr>
        <w:t>元，预算账记“行政支出”、财务账记“业务活动费”，</w:t>
      </w:r>
      <w:r>
        <w:rPr>
          <w:rFonts w:cs="仿宋"/>
          <w:szCs w:val="24"/>
        </w:rPr>
        <w:t>不符合《政府会计准则制度解释第2号》（财会〔2019〕24号）第八条第（一）项“基本建设项目应当由负责编报基本建设项目预决算的单位（即建设单位）作为会计核算主体。建设单位应当按照《政府会计制度》规定在相关会计科目下分项目对基本建设项目进行明细核算</w:t>
      </w:r>
      <w:r>
        <w:rPr>
          <w:rFonts w:hint="eastAsia" w:cs="仿宋"/>
          <w:szCs w:val="24"/>
        </w:rPr>
        <w:t>。”和《基本建设项目建设成本管理规定》（财建〔</w:t>
      </w:r>
      <w:r>
        <w:rPr>
          <w:rFonts w:cs="仿宋"/>
          <w:szCs w:val="24"/>
        </w:rPr>
        <w:t>2016〕504号）第二条“建筑安装工程投资支出是指基本建设项目（以下简称项目）建设单位按照批准的建设内容发生的建筑工程和安装工程的实际成本，其中不包括被安装设备本身的价值，以及按照合同规定支付给施工单位的预付备料款和预付工程款。”的规定。</w:t>
      </w:r>
    </w:p>
    <w:p>
      <w:pPr>
        <w:ind w:firstLine="480"/>
        <w:rPr>
          <w:rFonts w:cs="仿宋"/>
          <w:szCs w:val="24"/>
        </w:rPr>
      </w:pPr>
      <w:r>
        <w:rPr>
          <w:rFonts w:hint="eastAsia" w:ascii="楷体" w:hAnsi="楷体" w:eastAsia="楷体" w:cs="楷体"/>
          <w:bCs/>
          <w:szCs w:val="24"/>
        </w:rPr>
        <w:t>(三</w:t>
      </w:r>
      <w:r>
        <w:rPr>
          <w:rFonts w:ascii="楷体" w:hAnsi="楷体" w:eastAsia="楷体" w:cs="楷体"/>
          <w:bCs/>
          <w:szCs w:val="24"/>
        </w:rPr>
        <w:t>)</w:t>
      </w:r>
      <w:bookmarkStart w:id="83" w:name="_Hlk145008862"/>
      <w:r>
        <w:rPr>
          <w:rFonts w:hint="eastAsia" w:ascii="楷体" w:hAnsi="楷体" w:eastAsia="楷体" w:cs="楷体"/>
          <w:bCs/>
          <w:szCs w:val="24"/>
        </w:rPr>
        <w:t>基本建设程序执行不完整</w:t>
      </w:r>
      <w:bookmarkEnd w:id="83"/>
    </w:p>
    <w:p>
      <w:pPr>
        <w:ind w:firstLine="480"/>
        <w:rPr>
          <w:rFonts w:cs="仿宋"/>
          <w:szCs w:val="24"/>
        </w:rPr>
      </w:pPr>
      <w:r>
        <w:rPr>
          <w:rFonts w:hint="eastAsia" w:cs="仿宋"/>
          <w:szCs w:val="24"/>
        </w:rPr>
        <w:t>批复概算总投资达</w:t>
      </w:r>
      <w:r>
        <w:rPr>
          <w:rFonts w:cs="仿宋"/>
          <w:szCs w:val="24"/>
        </w:rPr>
        <w:t>135,696,400.00元</w:t>
      </w:r>
      <w:r>
        <w:rPr>
          <w:rFonts w:hint="eastAsia" w:cs="仿宋"/>
          <w:szCs w:val="24"/>
        </w:rPr>
        <w:t>的项目，未报批初步设计概算书和获取施工许可证，基本建设程序执行不完整，不符合《关于重申严格执行基本建设程序和审批规定的通知》（计投资〔</w:t>
      </w:r>
      <w:r>
        <w:rPr>
          <w:rFonts w:cs="仿宋"/>
          <w:szCs w:val="24"/>
        </w:rPr>
        <w:t>1999</w:t>
      </w:r>
      <w:r>
        <w:rPr>
          <w:rFonts w:hint="eastAsia" w:cs="仿宋"/>
          <w:szCs w:val="24"/>
        </w:rPr>
        <w:t>〕</w:t>
      </w:r>
      <w:r>
        <w:rPr>
          <w:rFonts w:cs="仿宋"/>
          <w:szCs w:val="24"/>
        </w:rPr>
        <w:t>693号</w:t>
      </w:r>
      <w:r>
        <w:rPr>
          <w:rFonts w:hint="eastAsia" w:cs="仿宋"/>
          <w:szCs w:val="24"/>
        </w:rPr>
        <w:t>）第一条“严格执行基本建设程序。尤其是在建设项目前期工作阶段，必须严格按照现行建设程序执行。现行基本建设前期工作程序包括：项目建议书、可行性研究报告、初步设计、开工报告等工作环节。只有在完成上一环节工作后方可转入下一环节。除国家特别批准外，各地方、部门和企业不得简化项目建设程序。”和《中华人民共和国建筑法》第七条“</w:t>
      </w:r>
      <w:r>
        <w:rPr>
          <w:rFonts w:cs="仿宋"/>
          <w:szCs w:val="24"/>
        </w:rPr>
        <w:t>建筑工程开工前，建设单位应当按照国家有关规定向工程所在地县级以上人民政府建设行政主管部门申请领取施工许可证；</w:t>
      </w:r>
      <w:r>
        <w:rPr>
          <w:rFonts w:hint="eastAsia" w:cs="仿宋"/>
          <w:szCs w:val="24"/>
        </w:rPr>
        <w:t>……。”的规定。</w:t>
      </w:r>
    </w:p>
    <w:bookmarkEnd w:id="73"/>
    <w:bookmarkEnd w:id="74"/>
    <w:bookmarkEnd w:id="75"/>
    <w:bookmarkEnd w:id="76"/>
    <w:bookmarkEnd w:id="77"/>
    <w:bookmarkEnd w:id="78"/>
    <w:p>
      <w:pPr>
        <w:ind w:firstLine="480"/>
        <w:rPr>
          <w:rFonts w:ascii="黑体" w:hAnsi="黑体" w:eastAsia="黑体" w:cs="黑体"/>
          <w:szCs w:val="24"/>
        </w:rPr>
      </w:pPr>
      <w:bookmarkStart w:id="84" w:name="_Toc502134879"/>
      <w:bookmarkStart w:id="85" w:name="_Toc498009790"/>
      <w:r>
        <w:rPr>
          <w:rFonts w:hint="eastAsia" w:ascii="黑体" w:hAnsi="黑体" w:eastAsia="黑体" w:cs="黑体"/>
          <w:szCs w:val="24"/>
        </w:rPr>
        <w:t>八、建议</w:t>
      </w:r>
      <w:bookmarkEnd w:id="84"/>
      <w:bookmarkEnd w:id="85"/>
      <w:bookmarkStart w:id="86" w:name="_Toc500364185"/>
      <w:bookmarkStart w:id="87" w:name="_Toc500589028"/>
      <w:bookmarkStart w:id="88" w:name="_Toc500849317"/>
      <w:bookmarkStart w:id="89" w:name="_Toc500202569"/>
      <w:bookmarkStart w:id="90" w:name="_Toc500440031"/>
      <w:bookmarkStart w:id="91" w:name="_Toc502134880"/>
      <w:bookmarkStart w:id="92" w:name="_Toc498009791"/>
    </w:p>
    <w:bookmarkEnd w:id="86"/>
    <w:bookmarkEnd w:id="87"/>
    <w:bookmarkEnd w:id="88"/>
    <w:bookmarkEnd w:id="89"/>
    <w:bookmarkEnd w:id="90"/>
    <w:bookmarkEnd w:id="91"/>
    <w:p>
      <w:pPr>
        <w:ind w:firstLine="480"/>
        <w:rPr>
          <w:rFonts w:ascii="楷体" w:hAnsi="楷体" w:eastAsia="楷体" w:cs="仿宋"/>
          <w:szCs w:val="24"/>
        </w:rPr>
      </w:pPr>
      <w:bookmarkStart w:id="93" w:name="_Hlk143876661"/>
      <w:r>
        <w:rPr>
          <w:rFonts w:hint="eastAsia" w:ascii="楷体" w:hAnsi="楷体" w:eastAsia="楷体" w:cs="仿宋"/>
          <w:szCs w:val="24"/>
        </w:rPr>
        <w:t>(一)加强绩效评价结果应用</w:t>
      </w:r>
    </w:p>
    <w:p>
      <w:pPr>
        <w:ind w:firstLine="480"/>
        <w:rPr>
          <w:rFonts w:cs="仿宋"/>
          <w:szCs w:val="24"/>
        </w:rPr>
      </w:pPr>
      <w:r>
        <w:rPr>
          <w:rFonts w:hint="eastAsia" w:cs="仿宋"/>
          <w:szCs w:val="24"/>
        </w:rPr>
        <w:t>按照《中华人民共和国预算法》等法律法规的规定，在预算绩效审核、审批、监督检查时，切实将绩效评价结果作为下一年度预算安排及相关责任落实的依据之一。同时根据《中共中央、国务院关于全面实施预算绩效管理的意见》（中发〔</w:t>
      </w:r>
      <w:r>
        <w:rPr>
          <w:rFonts w:cs="仿宋"/>
          <w:szCs w:val="24"/>
        </w:rPr>
        <w:t>2018〕34号）第八条第（十八）项“……各级政府要将预算绩效结果纳入政府绩效和干部政绩考核体系，作为领导干部选拔任用、公务员考核的重要参考。……。”的规定，将绩效评价结果作为单位及单位相关负责人评优、评先、晋升、考核考评的必要依据之一。切实贯彻执行“预算编制有目标、预算执行有监控、预算完成有评价、评</w:t>
      </w:r>
      <w:r>
        <w:rPr>
          <w:rFonts w:hint="eastAsia" w:cs="仿宋"/>
          <w:szCs w:val="24"/>
        </w:rPr>
        <w:t>价结果有反馈、反馈结果有应用”和“谁用钱谁负责，用钱必问效，无效要问责”的预算绩效管理原则。</w:t>
      </w:r>
    </w:p>
    <w:p>
      <w:pPr>
        <w:ind w:firstLine="480"/>
        <w:rPr>
          <w:rFonts w:ascii="楷体" w:hAnsi="楷体" w:eastAsia="楷体" w:cs="仿宋"/>
          <w:szCs w:val="24"/>
        </w:rPr>
      </w:pPr>
      <w:r>
        <w:rPr>
          <w:rFonts w:ascii="楷体" w:hAnsi="楷体" w:eastAsia="楷体" w:cs="仿宋"/>
          <w:szCs w:val="24"/>
        </w:rPr>
        <w:t>(二)强化绩效目标管理主体责任</w:t>
      </w:r>
    </w:p>
    <w:p>
      <w:pPr>
        <w:ind w:firstLine="480"/>
        <w:rPr>
          <w:rFonts w:cs="仿宋"/>
          <w:szCs w:val="24"/>
        </w:rPr>
      </w:pPr>
      <w:r>
        <w:rPr>
          <w:rFonts w:hint="eastAsia" w:cs="仿宋"/>
          <w:szCs w:val="24"/>
        </w:rPr>
        <w:t>各部门、各单位在编制年度绩效目标时，应切实履行绩效目标管理主体责任，结合部门中长期规划、部门职能职责及年度的主要工作任务，梳理完善部门总体绩效目标和年度绩效目标，根据绩效目标确定具体的绩效指标，并设定清晰明确、规范完整、充分全面、最能体现总体目标实现程度的关键性、最具代表性、最能直接反映产出和效益的核心指标并明确具体指标值。</w:t>
      </w:r>
    </w:p>
    <w:p>
      <w:pPr>
        <w:ind w:firstLine="480"/>
        <w:rPr>
          <w:rFonts w:ascii="楷体" w:hAnsi="楷体" w:eastAsia="楷体" w:cs="仿宋"/>
          <w:szCs w:val="24"/>
        </w:rPr>
      </w:pPr>
      <w:r>
        <w:rPr>
          <w:rFonts w:ascii="楷体" w:hAnsi="楷体" w:eastAsia="楷体" w:cs="仿宋"/>
          <w:szCs w:val="24"/>
        </w:rPr>
        <w:t>(</w:t>
      </w:r>
      <w:r>
        <w:rPr>
          <w:rFonts w:hint="eastAsia" w:ascii="楷体" w:hAnsi="楷体" w:eastAsia="楷体" w:cs="仿宋"/>
          <w:szCs w:val="24"/>
        </w:rPr>
        <w:t>三</w:t>
      </w:r>
      <w:r>
        <w:rPr>
          <w:rFonts w:ascii="楷体" w:hAnsi="楷体" w:eastAsia="楷体" w:cs="仿宋"/>
          <w:szCs w:val="24"/>
        </w:rPr>
        <w:t>)加强学习，提高认识</w:t>
      </w:r>
    </w:p>
    <w:p>
      <w:pPr>
        <w:ind w:firstLine="480"/>
      </w:pPr>
      <w:r>
        <w:rPr>
          <w:rFonts w:hint="eastAsia" w:cs="仿宋"/>
          <w:szCs w:val="24"/>
        </w:rPr>
        <w:t>认真学习并严格按照《中华人民共和国预算法》、《中华人民共和国会计法》、《政府会计制度》、《政府会计准则》及运用指南和解释等系列法律法规，规范资金使用合规性和会计核算准确性。对项目具体实施单位资金使用、管理等情况进行有效的日常财务监控检查，保障项目资金合法合规使用，保证项目资金安全和专款专用。</w:t>
      </w:r>
      <w:bookmarkEnd w:id="92"/>
      <w:bookmarkEnd w:id="93"/>
    </w:p>
    <w:p>
      <w:pPr>
        <w:ind w:firstLine="480"/>
        <w:rPr>
          <w:rFonts w:cs="仿宋"/>
          <w:szCs w:val="24"/>
        </w:rPr>
      </w:pPr>
      <w:r>
        <w:rPr>
          <w:rFonts w:hint="eastAsia" w:cs="仿宋"/>
          <w:szCs w:val="24"/>
        </w:rPr>
        <w:t>(四</w:t>
      </w:r>
      <w:r>
        <w:rPr>
          <w:rFonts w:cs="仿宋"/>
          <w:szCs w:val="24"/>
        </w:rPr>
        <w:t>)</w:t>
      </w:r>
      <w:r>
        <w:rPr>
          <w:rFonts w:hint="eastAsia" w:cs="仿宋"/>
          <w:szCs w:val="24"/>
        </w:rPr>
        <w:t>对“账务核算不规范”的情况，建议住建局调整相关账务。对“基本建设程序执行不完整”的问题，建议住建局补充完善。</w:t>
      </w:r>
    </w:p>
    <w:p>
      <w:pPr>
        <w:ind w:firstLine="480"/>
        <w:rPr>
          <w:rFonts w:cs="仿宋"/>
          <w:szCs w:val="24"/>
        </w:rPr>
      </w:pPr>
    </w:p>
    <w:p>
      <w:pPr>
        <w:ind w:firstLine="480"/>
        <w:rPr>
          <w:rFonts w:cs="仿宋"/>
        </w:rPr>
      </w:pPr>
      <w:r>
        <w:rPr>
          <w:rFonts w:hint="eastAsia" w:cs="仿宋"/>
          <w:szCs w:val="24"/>
        </w:rPr>
        <w:t>附件：寻甸县住房和城乡建设局城市更新改造建设工程项目支出绩效评价指标体系及评分表</w:t>
      </w:r>
    </w:p>
    <w:p>
      <w:pPr>
        <w:ind w:firstLine="480"/>
        <w:rPr>
          <w:rFonts w:cs="仿宋"/>
          <w:szCs w:val="24"/>
        </w:rPr>
      </w:pPr>
    </w:p>
    <w:p>
      <w:pPr>
        <w:ind w:firstLine="480"/>
        <w:rPr>
          <w:rFonts w:cs="仿宋"/>
          <w:szCs w:val="24"/>
        </w:rPr>
      </w:pPr>
    </w:p>
    <w:p>
      <w:pPr>
        <w:ind w:firstLine="0" w:firstLineChars="0"/>
        <w:jc w:val="center"/>
        <w:rPr>
          <w:rFonts w:cs="仿宋"/>
          <w:szCs w:val="24"/>
        </w:rPr>
      </w:pPr>
      <w:r>
        <w:rPr>
          <w:rFonts w:hint="eastAsia" w:cs="仿宋"/>
          <w:szCs w:val="24"/>
        </w:rPr>
        <w:t>（此页无正文，为报告签章页）</w:t>
      </w:r>
    </w:p>
    <w:p>
      <w:pPr>
        <w:ind w:firstLine="480"/>
        <w:rPr>
          <w:rFonts w:cs="仿宋"/>
          <w:szCs w:val="24"/>
        </w:rPr>
      </w:pPr>
    </w:p>
    <w:p>
      <w:pPr>
        <w:ind w:firstLine="480"/>
        <w:rPr>
          <w:rFonts w:cs="仿宋"/>
          <w:szCs w:val="24"/>
        </w:rPr>
      </w:pPr>
    </w:p>
    <w:p>
      <w:pPr>
        <w:ind w:firstLine="480"/>
        <w:rPr>
          <w:rFonts w:cs="仿宋"/>
          <w:szCs w:val="24"/>
        </w:rPr>
      </w:pPr>
    </w:p>
    <w:p>
      <w:pPr>
        <w:ind w:firstLine="480"/>
      </w:pPr>
    </w:p>
    <w:p>
      <w:pPr>
        <w:ind w:firstLine="0" w:firstLineChars="0"/>
        <w:rPr>
          <w:rFonts w:cs="仿宋"/>
          <w:szCs w:val="24"/>
        </w:rPr>
      </w:pPr>
      <w:r>
        <w:rPr>
          <w:rFonts w:hint="eastAsia" w:cs="仿宋"/>
          <w:szCs w:val="24"/>
        </w:rPr>
        <w:t>云南京健会计师事务所（普通合伙）      中国注册会计师：</w:t>
      </w:r>
    </w:p>
    <w:p>
      <w:pPr>
        <w:ind w:firstLine="720" w:firstLineChars="300"/>
        <w:rPr>
          <w:rFonts w:cs="仿宋"/>
          <w:szCs w:val="24"/>
        </w:rPr>
      </w:pPr>
    </w:p>
    <w:p>
      <w:pPr>
        <w:ind w:firstLine="5040" w:firstLineChars="2100"/>
        <w:rPr>
          <w:rFonts w:cs="仿宋"/>
          <w:szCs w:val="24"/>
        </w:rPr>
      </w:pPr>
    </w:p>
    <w:p>
      <w:pPr>
        <w:ind w:firstLine="1200" w:firstLineChars="500"/>
        <w:rPr>
          <w:rFonts w:cs="仿宋"/>
          <w:szCs w:val="24"/>
        </w:rPr>
      </w:pPr>
      <w:r>
        <w:rPr>
          <w:rFonts w:hint="eastAsia" w:cs="仿宋"/>
          <w:szCs w:val="24"/>
        </w:rPr>
        <w:t>中国•昆明                   中国注册会计师：</w:t>
      </w:r>
    </w:p>
    <w:p>
      <w:pPr>
        <w:pStyle w:val="4"/>
        <w:ind w:firstLine="480"/>
      </w:pPr>
    </w:p>
    <w:p>
      <w:pPr>
        <w:ind w:firstLine="480"/>
        <w:rPr>
          <w:rFonts w:ascii="仿宋_GB2312" w:hAnsi="仿宋_GB2312" w:eastAsia="仿宋_GB2312" w:cs="仿宋_GB2312"/>
          <w:highlight w:val="yellow"/>
        </w:rPr>
      </w:pPr>
      <w:r>
        <w:rPr>
          <w:rFonts w:hint="eastAsia" w:cs="仿宋"/>
          <w:szCs w:val="24"/>
        </w:rPr>
        <w:t xml:space="preserve">                       </w:t>
      </w:r>
      <w:r>
        <w:rPr>
          <w:rFonts w:cs="仿宋"/>
          <w:szCs w:val="24"/>
        </w:rPr>
        <w:t xml:space="preserve"> </w:t>
      </w:r>
      <w:r>
        <w:rPr>
          <w:rFonts w:hint="eastAsia" w:cs="仿宋"/>
          <w:szCs w:val="24"/>
        </w:rPr>
        <w:t xml:space="preserve">    二〇二三年九月二十七日</w:t>
      </w:r>
    </w:p>
    <w:sectPr>
      <w:footerReference r:id="rId9" w:type="default"/>
      <w:pgSz w:w="11906" w:h="16838"/>
      <w:pgMar w:top="1440" w:right="1803" w:bottom="1440" w:left="1803" w:header="1077" w:footer="992" w:gutter="0"/>
      <w:pgBorders w:zOrder="back">
        <w:top w:val="single" w:color="auto" w:sz="8" w:space="1"/>
        <w:bottom w:val="single" w:color="auto" w:sz="8" w:space="1"/>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0288;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CcyV12gAAAAkBAAAPAAAA&#10;AAAAAAEAIAAAACIAAABkcnMvZG93bnJldi54bWxQSwECFAAUAAAACACHTuJAW/3IAxMCAAAFBAAA&#10;DgAAAAAAAAABACAAAAApAQAAZHJzL2Uyb0RvYy54bWxQSwUGAAAAAAYABgBZAQAArgU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6" name="文本框 6"/>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2336;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e+RtLXAAAACQEA&#10;AA8AAAAAAAAAAQAgAAAAIgAAAGRycy9kb3ducmV2LnhtbFBLAQIUABQAAAAIAIdO4kCLHIPBqQEA&#10;ADsDAAAOAAAAAAAAAAEAIAAAACYBAABkcnMvZTJvRG9jLnhtbFBLBQYAAAAABgAGAFkBAABBBQAA&#10;AAA=&#10;">
              <v:fill on="f" focussize="0,0"/>
              <v:stroke on="f"/>
              <v:imagedata o:title=""/>
              <o:lock v:ext="edit" aspectratio="f"/>
              <v:textbox inset="0mm,0mm,0mm,0mm">
                <w:txbxContent>
                  <w:p>
                    <w:pPr>
                      <w:pStyle w:val="5"/>
                      <w:ind w:firstLine="360"/>
                    </w:pPr>
                  </w:p>
                </w:txbxContent>
              </v:textbox>
            </v:shape>
          </w:pict>
        </mc:Fallback>
      </mc:AlternateContent>
    </w:r>
    <w:r>
      <w:rPr>
        <w:rFonts w:ascii="Calibri" w:hAnsi="Calibri" w:cs="Calibri"/>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jc w:val="distribute"/>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posOffset>2141220</wp:posOffset>
              </wp:positionH>
              <wp:positionV relativeFrom="paragraph">
                <wp:posOffset>29210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13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8.6pt;margin-top:2.3pt;height:144pt;width:144pt;mso-position-horizontal-relative:margin;mso-wrap-style:none;z-index:251662336;mso-width-relative:page;mso-height-relative:page;" filled="f" stroked="f" coordsize="21600,21600" o:gfxdata="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JwHG7WAAAACQEAAA8AAAAAAAAAAQAg&#10;AAAAIgAAAGRycy9kb3ducmV2LnhtbFBLAQIUABQAAAAIAIdO4kDoI+MdEAIAAAcEAAAOAAAAAAAA&#10;AAEAIAAAACUBAABkcnMvZTJvRG9jLnhtbFBLBQYAAAAABgAGAFkBAACnBQAAAAA=&#10;">
              <v:fill on="f" focussize="0,0"/>
              <v:stroke on="f" weight="0.5pt"/>
              <v:imagedata o:title=""/>
              <o:lock v:ext="edit" aspectratio="f"/>
              <v:textbox inset="0mm,0mm,0mm,0mm" style="mso-fit-shape-to-text:t;">
                <w:txbxContent>
                  <w:p>
                    <w:pPr>
                      <w:pStyle w:val="5"/>
                      <w:ind w:firstLine="360"/>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13 页</w:t>
                    </w:r>
                  </w:p>
                </w:txbxContent>
              </v:textbox>
            </v:shape>
          </w:pict>
        </mc:Fallback>
      </mc:AlternateContent>
    </w:r>
  </w:p>
  <w:p>
    <w:pP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3360;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JzJXXaAAAACQEAAA8AAAAA&#10;AAAAAQAgAAAAIgAAAGRycy9kb3ducmV2LnhtbFBLAQIUABQAAAAIAIdO4kAUBbfxEgIAAAUEAAAO&#10;AAAAAAAAAAEAIAAAACkBAABkcnMvZTJvRG9jLnhtbFBLBQYAAAAABgAGAFkBAACtBQ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4384"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3" name="文本框 3"/>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4384;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e+RtLXAAAACQEA&#10;AA8AAAAAAAAAAQAgAAAAIgAAAGRycy9kb3ducmV2LnhtbFBLAQIUABQAAAAIAIdO4kBNnmHFqQEA&#10;ADsDAAAOAAAAAAAAAAEAIAAAACYBAABkcnMvZTJvRG9jLnhtbFBLBQYAAAAABgAGAFkBAABBBQAA&#10;AAA=&#10;">
              <v:fill on="f" focussize="0,0"/>
              <v:stroke on="f"/>
              <v:imagedata o:title=""/>
              <o:lock v:ext="edit" aspectratio="f"/>
              <v:textbox inset="0mm,0mm,0mm,0mm">
                <w:txbxContent>
                  <w:p>
                    <w:pPr>
                      <w:pStyle w:val="5"/>
                      <w:ind w:firstLine="360"/>
                    </w:pPr>
                  </w:p>
                </w:txbxContent>
              </v:textbox>
            </v:shape>
          </w:pict>
        </mc:Fallback>
      </mc:AlternateContent>
    </w:r>
    <w:r>
      <w:rPr>
        <w:rFonts w:ascii="Calibri" w:hAnsi="Calibri" w:cs="Calibri"/>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ind w:firstLine="0" w:firstLineChars="0"/>
      <w:jc w:val="right"/>
    </w:pPr>
    <w:r>
      <w:rPr>
        <w:rFonts w:hint="eastAsia" w:ascii="隶书" w:hAnsi="隶书" w:eastAsia="隶书" w:cs="隶书"/>
        <w:sz w:val="21"/>
        <w:szCs w:val="21"/>
      </w:rPr>
      <w:t>云南京健会计师事务所（普通合伙）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OTFhZjMxNmRiNmQ0MjdkN2EwMzk1OTU3ZGNmNDkifQ=="/>
  </w:docVars>
  <w:rsids>
    <w:rsidRoot w:val="00AE6716"/>
    <w:rsid w:val="00002219"/>
    <w:rsid w:val="000038D4"/>
    <w:rsid w:val="00005169"/>
    <w:rsid w:val="00011C57"/>
    <w:rsid w:val="00015509"/>
    <w:rsid w:val="00024B3C"/>
    <w:rsid w:val="0003307D"/>
    <w:rsid w:val="00033BE3"/>
    <w:rsid w:val="000361C1"/>
    <w:rsid w:val="0005055D"/>
    <w:rsid w:val="000B6965"/>
    <w:rsid w:val="000D1D34"/>
    <w:rsid w:val="000E2072"/>
    <w:rsid w:val="000F72F8"/>
    <w:rsid w:val="001239EA"/>
    <w:rsid w:val="001264B1"/>
    <w:rsid w:val="00166060"/>
    <w:rsid w:val="001B0A62"/>
    <w:rsid w:val="001E5BB7"/>
    <w:rsid w:val="001E74EE"/>
    <w:rsid w:val="00202A6A"/>
    <w:rsid w:val="00214176"/>
    <w:rsid w:val="002415BB"/>
    <w:rsid w:val="002715D8"/>
    <w:rsid w:val="00275F57"/>
    <w:rsid w:val="002C2048"/>
    <w:rsid w:val="002D2828"/>
    <w:rsid w:val="002F42E5"/>
    <w:rsid w:val="003203FF"/>
    <w:rsid w:val="00326965"/>
    <w:rsid w:val="003712D1"/>
    <w:rsid w:val="00374C05"/>
    <w:rsid w:val="003756BB"/>
    <w:rsid w:val="003856E2"/>
    <w:rsid w:val="00391CCA"/>
    <w:rsid w:val="003935FA"/>
    <w:rsid w:val="003A1E68"/>
    <w:rsid w:val="003A2646"/>
    <w:rsid w:val="003A27F7"/>
    <w:rsid w:val="003B05DD"/>
    <w:rsid w:val="003B32E5"/>
    <w:rsid w:val="003B4DEF"/>
    <w:rsid w:val="003C273F"/>
    <w:rsid w:val="003D39DD"/>
    <w:rsid w:val="003E11E1"/>
    <w:rsid w:val="00403F6D"/>
    <w:rsid w:val="0042036D"/>
    <w:rsid w:val="00422D75"/>
    <w:rsid w:val="00431574"/>
    <w:rsid w:val="004329B0"/>
    <w:rsid w:val="0048737F"/>
    <w:rsid w:val="004A457C"/>
    <w:rsid w:val="004B0346"/>
    <w:rsid w:val="004D6964"/>
    <w:rsid w:val="00511D5C"/>
    <w:rsid w:val="005220D0"/>
    <w:rsid w:val="00532715"/>
    <w:rsid w:val="00533749"/>
    <w:rsid w:val="00571DF9"/>
    <w:rsid w:val="00586C37"/>
    <w:rsid w:val="005927C2"/>
    <w:rsid w:val="005B2093"/>
    <w:rsid w:val="005B639E"/>
    <w:rsid w:val="005C573E"/>
    <w:rsid w:val="005E15A2"/>
    <w:rsid w:val="005E6414"/>
    <w:rsid w:val="005E6E6C"/>
    <w:rsid w:val="00611E60"/>
    <w:rsid w:val="006149C5"/>
    <w:rsid w:val="00640D04"/>
    <w:rsid w:val="0066613F"/>
    <w:rsid w:val="0066677A"/>
    <w:rsid w:val="006703CD"/>
    <w:rsid w:val="0067124D"/>
    <w:rsid w:val="0068706F"/>
    <w:rsid w:val="006B193F"/>
    <w:rsid w:val="006B4261"/>
    <w:rsid w:val="006C43D2"/>
    <w:rsid w:val="006C5BA8"/>
    <w:rsid w:val="006C798D"/>
    <w:rsid w:val="006E0975"/>
    <w:rsid w:val="006E438B"/>
    <w:rsid w:val="006E5D1A"/>
    <w:rsid w:val="006E6946"/>
    <w:rsid w:val="00730ADF"/>
    <w:rsid w:val="00731A35"/>
    <w:rsid w:val="00763E3C"/>
    <w:rsid w:val="00770054"/>
    <w:rsid w:val="007701F9"/>
    <w:rsid w:val="0077314F"/>
    <w:rsid w:val="007926C2"/>
    <w:rsid w:val="007A2B55"/>
    <w:rsid w:val="007B2524"/>
    <w:rsid w:val="007D06F9"/>
    <w:rsid w:val="007F143F"/>
    <w:rsid w:val="007F5A7A"/>
    <w:rsid w:val="008041E4"/>
    <w:rsid w:val="008071AD"/>
    <w:rsid w:val="0081361F"/>
    <w:rsid w:val="008445D5"/>
    <w:rsid w:val="00854DF0"/>
    <w:rsid w:val="00861AF7"/>
    <w:rsid w:val="00864C20"/>
    <w:rsid w:val="008B0C94"/>
    <w:rsid w:val="008B79EC"/>
    <w:rsid w:val="008D6685"/>
    <w:rsid w:val="008E58E5"/>
    <w:rsid w:val="0090135B"/>
    <w:rsid w:val="00913BC2"/>
    <w:rsid w:val="00932AF3"/>
    <w:rsid w:val="00932D0E"/>
    <w:rsid w:val="009444DF"/>
    <w:rsid w:val="009654AB"/>
    <w:rsid w:val="009850B8"/>
    <w:rsid w:val="009B15DF"/>
    <w:rsid w:val="009B4B58"/>
    <w:rsid w:val="009C0BE2"/>
    <w:rsid w:val="009C4DF1"/>
    <w:rsid w:val="009F0FFF"/>
    <w:rsid w:val="009F65C5"/>
    <w:rsid w:val="00A007BA"/>
    <w:rsid w:val="00A13752"/>
    <w:rsid w:val="00A1491F"/>
    <w:rsid w:val="00A22A0E"/>
    <w:rsid w:val="00A32982"/>
    <w:rsid w:val="00A4267B"/>
    <w:rsid w:val="00A46FBA"/>
    <w:rsid w:val="00A53BC4"/>
    <w:rsid w:val="00A623BE"/>
    <w:rsid w:val="00A65A75"/>
    <w:rsid w:val="00A809BB"/>
    <w:rsid w:val="00A929E4"/>
    <w:rsid w:val="00A95766"/>
    <w:rsid w:val="00A975BA"/>
    <w:rsid w:val="00A978AE"/>
    <w:rsid w:val="00AC33F7"/>
    <w:rsid w:val="00AE21DE"/>
    <w:rsid w:val="00AE6716"/>
    <w:rsid w:val="00AE7FDF"/>
    <w:rsid w:val="00B0066B"/>
    <w:rsid w:val="00B01956"/>
    <w:rsid w:val="00B22112"/>
    <w:rsid w:val="00B2454C"/>
    <w:rsid w:val="00B35908"/>
    <w:rsid w:val="00B45F98"/>
    <w:rsid w:val="00B46E5F"/>
    <w:rsid w:val="00B7097B"/>
    <w:rsid w:val="00B709E3"/>
    <w:rsid w:val="00B90069"/>
    <w:rsid w:val="00B90764"/>
    <w:rsid w:val="00B95049"/>
    <w:rsid w:val="00B95EE7"/>
    <w:rsid w:val="00BA7A3B"/>
    <w:rsid w:val="00BB69B2"/>
    <w:rsid w:val="00BC4075"/>
    <w:rsid w:val="00BC7EDA"/>
    <w:rsid w:val="00BD28B5"/>
    <w:rsid w:val="00BD2F72"/>
    <w:rsid w:val="00BE697A"/>
    <w:rsid w:val="00BF04C3"/>
    <w:rsid w:val="00C14398"/>
    <w:rsid w:val="00C36906"/>
    <w:rsid w:val="00C3762A"/>
    <w:rsid w:val="00C45671"/>
    <w:rsid w:val="00C56F4D"/>
    <w:rsid w:val="00C6015B"/>
    <w:rsid w:val="00C76CBF"/>
    <w:rsid w:val="00C91185"/>
    <w:rsid w:val="00C956F9"/>
    <w:rsid w:val="00CC3346"/>
    <w:rsid w:val="00CE2AD0"/>
    <w:rsid w:val="00D00525"/>
    <w:rsid w:val="00D10B47"/>
    <w:rsid w:val="00D10C8C"/>
    <w:rsid w:val="00D12103"/>
    <w:rsid w:val="00D161F4"/>
    <w:rsid w:val="00D1717B"/>
    <w:rsid w:val="00D27FD0"/>
    <w:rsid w:val="00D52B37"/>
    <w:rsid w:val="00D80E2C"/>
    <w:rsid w:val="00DB350C"/>
    <w:rsid w:val="00DB458C"/>
    <w:rsid w:val="00DB612D"/>
    <w:rsid w:val="00DD64BC"/>
    <w:rsid w:val="00DE7A9A"/>
    <w:rsid w:val="00DF49F8"/>
    <w:rsid w:val="00E35CAE"/>
    <w:rsid w:val="00E42ADD"/>
    <w:rsid w:val="00E526BF"/>
    <w:rsid w:val="00E55609"/>
    <w:rsid w:val="00E6085D"/>
    <w:rsid w:val="00E8619D"/>
    <w:rsid w:val="00E959D8"/>
    <w:rsid w:val="00E97E57"/>
    <w:rsid w:val="00EA1F09"/>
    <w:rsid w:val="00EB637E"/>
    <w:rsid w:val="00EC0F7D"/>
    <w:rsid w:val="00EC490D"/>
    <w:rsid w:val="00ED5C39"/>
    <w:rsid w:val="00F048D4"/>
    <w:rsid w:val="00F1335B"/>
    <w:rsid w:val="00F55E9E"/>
    <w:rsid w:val="00F65635"/>
    <w:rsid w:val="00F66CE9"/>
    <w:rsid w:val="00FB1D37"/>
    <w:rsid w:val="00FB218F"/>
    <w:rsid w:val="00FB34B9"/>
    <w:rsid w:val="00FC52C9"/>
    <w:rsid w:val="00FE4897"/>
    <w:rsid w:val="00FF2222"/>
    <w:rsid w:val="010C6983"/>
    <w:rsid w:val="012C7DC0"/>
    <w:rsid w:val="012F3B23"/>
    <w:rsid w:val="01432CF3"/>
    <w:rsid w:val="01436F9F"/>
    <w:rsid w:val="01880A19"/>
    <w:rsid w:val="018C388B"/>
    <w:rsid w:val="01B65C30"/>
    <w:rsid w:val="01C64855"/>
    <w:rsid w:val="01E26F97"/>
    <w:rsid w:val="02151E80"/>
    <w:rsid w:val="022E0963"/>
    <w:rsid w:val="0257031E"/>
    <w:rsid w:val="02684EB4"/>
    <w:rsid w:val="026D72F2"/>
    <w:rsid w:val="02A02758"/>
    <w:rsid w:val="02A3463C"/>
    <w:rsid w:val="02A70805"/>
    <w:rsid w:val="02BC2BBA"/>
    <w:rsid w:val="02EA73E1"/>
    <w:rsid w:val="0307577D"/>
    <w:rsid w:val="03BD28D6"/>
    <w:rsid w:val="045C346D"/>
    <w:rsid w:val="048A2A24"/>
    <w:rsid w:val="049401D8"/>
    <w:rsid w:val="04AC5FBE"/>
    <w:rsid w:val="04E77027"/>
    <w:rsid w:val="05145211"/>
    <w:rsid w:val="0521507F"/>
    <w:rsid w:val="055C6AE7"/>
    <w:rsid w:val="05634866"/>
    <w:rsid w:val="057F1E81"/>
    <w:rsid w:val="05FB5DC4"/>
    <w:rsid w:val="06186903"/>
    <w:rsid w:val="062A6E20"/>
    <w:rsid w:val="06404308"/>
    <w:rsid w:val="06405FF2"/>
    <w:rsid w:val="06790629"/>
    <w:rsid w:val="06A96071"/>
    <w:rsid w:val="06BD18CD"/>
    <w:rsid w:val="06DD1B0A"/>
    <w:rsid w:val="06DE5211"/>
    <w:rsid w:val="070077AC"/>
    <w:rsid w:val="07014EC2"/>
    <w:rsid w:val="074C6A10"/>
    <w:rsid w:val="075C167D"/>
    <w:rsid w:val="07D475CA"/>
    <w:rsid w:val="07F53CEB"/>
    <w:rsid w:val="080C5426"/>
    <w:rsid w:val="081D15C4"/>
    <w:rsid w:val="08281E83"/>
    <w:rsid w:val="08310243"/>
    <w:rsid w:val="08932548"/>
    <w:rsid w:val="08BE1A5F"/>
    <w:rsid w:val="08E46646"/>
    <w:rsid w:val="095F41FF"/>
    <w:rsid w:val="09734E97"/>
    <w:rsid w:val="09790F31"/>
    <w:rsid w:val="097C2206"/>
    <w:rsid w:val="09811723"/>
    <w:rsid w:val="09943BCA"/>
    <w:rsid w:val="09BE3873"/>
    <w:rsid w:val="09D850BF"/>
    <w:rsid w:val="0A177A6F"/>
    <w:rsid w:val="0A9F4057"/>
    <w:rsid w:val="0ABE7C42"/>
    <w:rsid w:val="0AD41505"/>
    <w:rsid w:val="0B114150"/>
    <w:rsid w:val="0B2B5475"/>
    <w:rsid w:val="0B316DB7"/>
    <w:rsid w:val="0B45384A"/>
    <w:rsid w:val="0BFF1C88"/>
    <w:rsid w:val="0C016446"/>
    <w:rsid w:val="0C1D7C13"/>
    <w:rsid w:val="0C230B9E"/>
    <w:rsid w:val="0C45114E"/>
    <w:rsid w:val="0C4F19D8"/>
    <w:rsid w:val="0CC071D9"/>
    <w:rsid w:val="0CD226F8"/>
    <w:rsid w:val="0CD33493"/>
    <w:rsid w:val="0CED7F3F"/>
    <w:rsid w:val="0D4940A8"/>
    <w:rsid w:val="0D654235"/>
    <w:rsid w:val="0D831253"/>
    <w:rsid w:val="0DBA5E70"/>
    <w:rsid w:val="0DCA5DE1"/>
    <w:rsid w:val="0DE47989"/>
    <w:rsid w:val="0DFA4270"/>
    <w:rsid w:val="0E4873B8"/>
    <w:rsid w:val="0E62232C"/>
    <w:rsid w:val="0E69015E"/>
    <w:rsid w:val="0E6C554A"/>
    <w:rsid w:val="0E732050"/>
    <w:rsid w:val="0EA96822"/>
    <w:rsid w:val="0F201299"/>
    <w:rsid w:val="0F3026BC"/>
    <w:rsid w:val="0F4F24AB"/>
    <w:rsid w:val="0F6F0C3D"/>
    <w:rsid w:val="0FA554CA"/>
    <w:rsid w:val="102D258D"/>
    <w:rsid w:val="106C2346"/>
    <w:rsid w:val="106C7654"/>
    <w:rsid w:val="10762E0B"/>
    <w:rsid w:val="10A3523B"/>
    <w:rsid w:val="10A41CED"/>
    <w:rsid w:val="10AD2C55"/>
    <w:rsid w:val="10C43B87"/>
    <w:rsid w:val="11041BAB"/>
    <w:rsid w:val="110B1D5E"/>
    <w:rsid w:val="111D6972"/>
    <w:rsid w:val="11352493"/>
    <w:rsid w:val="11365128"/>
    <w:rsid w:val="1150050C"/>
    <w:rsid w:val="11686341"/>
    <w:rsid w:val="11CA17ED"/>
    <w:rsid w:val="11DA58D8"/>
    <w:rsid w:val="11E920D6"/>
    <w:rsid w:val="120A0F69"/>
    <w:rsid w:val="1225668C"/>
    <w:rsid w:val="122660D5"/>
    <w:rsid w:val="12320C01"/>
    <w:rsid w:val="1256332B"/>
    <w:rsid w:val="1283031A"/>
    <w:rsid w:val="128565DB"/>
    <w:rsid w:val="12DB208F"/>
    <w:rsid w:val="12ED67D7"/>
    <w:rsid w:val="12FC68FF"/>
    <w:rsid w:val="130C2193"/>
    <w:rsid w:val="130E3903"/>
    <w:rsid w:val="13166809"/>
    <w:rsid w:val="132922C3"/>
    <w:rsid w:val="13544641"/>
    <w:rsid w:val="13943B2C"/>
    <w:rsid w:val="13D5523A"/>
    <w:rsid w:val="13D656DB"/>
    <w:rsid w:val="13D7779C"/>
    <w:rsid w:val="13DF48A7"/>
    <w:rsid w:val="144D3492"/>
    <w:rsid w:val="144D747C"/>
    <w:rsid w:val="145A1383"/>
    <w:rsid w:val="14D5415A"/>
    <w:rsid w:val="14D9678B"/>
    <w:rsid w:val="14FC5A91"/>
    <w:rsid w:val="15AC577F"/>
    <w:rsid w:val="15EE2E40"/>
    <w:rsid w:val="16446A3C"/>
    <w:rsid w:val="16523EA2"/>
    <w:rsid w:val="16DD2D5E"/>
    <w:rsid w:val="16E01397"/>
    <w:rsid w:val="16EA3483"/>
    <w:rsid w:val="174C1CD5"/>
    <w:rsid w:val="1752026A"/>
    <w:rsid w:val="175A563C"/>
    <w:rsid w:val="179C442C"/>
    <w:rsid w:val="17D26242"/>
    <w:rsid w:val="186561F9"/>
    <w:rsid w:val="18736211"/>
    <w:rsid w:val="18772165"/>
    <w:rsid w:val="18B6616D"/>
    <w:rsid w:val="18E933C9"/>
    <w:rsid w:val="18FD2189"/>
    <w:rsid w:val="19250992"/>
    <w:rsid w:val="19BA7F53"/>
    <w:rsid w:val="19BE25D1"/>
    <w:rsid w:val="19EB2EA3"/>
    <w:rsid w:val="1A032ECE"/>
    <w:rsid w:val="1A17016E"/>
    <w:rsid w:val="1A1F29A8"/>
    <w:rsid w:val="1A3C7AF1"/>
    <w:rsid w:val="1A3D12CC"/>
    <w:rsid w:val="1A545436"/>
    <w:rsid w:val="1A6C6495"/>
    <w:rsid w:val="1AE02712"/>
    <w:rsid w:val="1AE80A5A"/>
    <w:rsid w:val="1AEA56AB"/>
    <w:rsid w:val="1AF104DA"/>
    <w:rsid w:val="1B045886"/>
    <w:rsid w:val="1B082591"/>
    <w:rsid w:val="1B3E28E5"/>
    <w:rsid w:val="1B552716"/>
    <w:rsid w:val="1B6D5FA5"/>
    <w:rsid w:val="1B6F0F2D"/>
    <w:rsid w:val="1B79551A"/>
    <w:rsid w:val="1BA928F0"/>
    <w:rsid w:val="1C2D714A"/>
    <w:rsid w:val="1C6D0C27"/>
    <w:rsid w:val="1C6D274D"/>
    <w:rsid w:val="1C7707CD"/>
    <w:rsid w:val="1C906637"/>
    <w:rsid w:val="1CC9627E"/>
    <w:rsid w:val="1CD55A4A"/>
    <w:rsid w:val="1D0F7A8E"/>
    <w:rsid w:val="1D1B0AD1"/>
    <w:rsid w:val="1D221FDC"/>
    <w:rsid w:val="1D2F1285"/>
    <w:rsid w:val="1D3941A5"/>
    <w:rsid w:val="1D4C7ED3"/>
    <w:rsid w:val="1D7736C9"/>
    <w:rsid w:val="1D831AE5"/>
    <w:rsid w:val="1D8D6A3B"/>
    <w:rsid w:val="1D904FA5"/>
    <w:rsid w:val="1DC03EC1"/>
    <w:rsid w:val="1DD14027"/>
    <w:rsid w:val="1DE925A7"/>
    <w:rsid w:val="1E010BC0"/>
    <w:rsid w:val="1E2C4E59"/>
    <w:rsid w:val="1EB01ACB"/>
    <w:rsid w:val="1ED05892"/>
    <w:rsid w:val="1ED53D73"/>
    <w:rsid w:val="1EE8779D"/>
    <w:rsid w:val="1F4164DF"/>
    <w:rsid w:val="1F591721"/>
    <w:rsid w:val="1F6F6360"/>
    <w:rsid w:val="1F8B1E2F"/>
    <w:rsid w:val="1F91086F"/>
    <w:rsid w:val="1FE2356A"/>
    <w:rsid w:val="200244D1"/>
    <w:rsid w:val="201E59ED"/>
    <w:rsid w:val="2025021C"/>
    <w:rsid w:val="20356024"/>
    <w:rsid w:val="20536DBE"/>
    <w:rsid w:val="20694D65"/>
    <w:rsid w:val="20A14E27"/>
    <w:rsid w:val="20D30E0A"/>
    <w:rsid w:val="20D60287"/>
    <w:rsid w:val="20FC17FA"/>
    <w:rsid w:val="2114179F"/>
    <w:rsid w:val="21197B5A"/>
    <w:rsid w:val="216A2D40"/>
    <w:rsid w:val="21B96FEE"/>
    <w:rsid w:val="21C127EB"/>
    <w:rsid w:val="21CB0D2F"/>
    <w:rsid w:val="21E17F5C"/>
    <w:rsid w:val="21E23314"/>
    <w:rsid w:val="21EC0A72"/>
    <w:rsid w:val="21EF780B"/>
    <w:rsid w:val="221055AD"/>
    <w:rsid w:val="223F479F"/>
    <w:rsid w:val="223F5AC1"/>
    <w:rsid w:val="22583D0D"/>
    <w:rsid w:val="225F634C"/>
    <w:rsid w:val="229064AC"/>
    <w:rsid w:val="22C67807"/>
    <w:rsid w:val="22C92735"/>
    <w:rsid w:val="22CB5EF7"/>
    <w:rsid w:val="22E86417"/>
    <w:rsid w:val="230C5D84"/>
    <w:rsid w:val="231435FF"/>
    <w:rsid w:val="2325225E"/>
    <w:rsid w:val="23950F27"/>
    <w:rsid w:val="23B177E1"/>
    <w:rsid w:val="24211347"/>
    <w:rsid w:val="24310DD4"/>
    <w:rsid w:val="246D2625"/>
    <w:rsid w:val="248C6DDD"/>
    <w:rsid w:val="24900048"/>
    <w:rsid w:val="24BB522A"/>
    <w:rsid w:val="24F37529"/>
    <w:rsid w:val="24FF72D3"/>
    <w:rsid w:val="250F2C31"/>
    <w:rsid w:val="251E0472"/>
    <w:rsid w:val="2520642A"/>
    <w:rsid w:val="25286AA1"/>
    <w:rsid w:val="252B25EC"/>
    <w:rsid w:val="25364DC1"/>
    <w:rsid w:val="253C3631"/>
    <w:rsid w:val="25462E4B"/>
    <w:rsid w:val="258309B4"/>
    <w:rsid w:val="25862011"/>
    <w:rsid w:val="258C0E52"/>
    <w:rsid w:val="260D7D0C"/>
    <w:rsid w:val="261A1FEA"/>
    <w:rsid w:val="261C3DE4"/>
    <w:rsid w:val="263A71E2"/>
    <w:rsid w:val="26690FCD"/>
    <w:rsid w:val="26963F27"/>
    <w:rsid w:val="269B1693"/>
    <w:rsid w:val="26DF0CD6"/>
    <w:rsid w:val="26ED48AE"/>
    <w:rsid w:val="271B4099"/>
    <w:rsid w:val="278F4F46"/>
    <w:rsid w:val="27A01740"/>
    <w:rsid w:val="27C416DF"/>
    <w:rsid w:val="27EF7121"/>
    <w:rsid w:val="28192057"/>
    <w:rsid w:val="281D28B1"/>
    <w:rsid w:val="283519AE"/>
    <w:rsid w:val="283C3A8D"/>
    <w:rsid w:val="2884724B"/>
    <w:rsid w:val="28870583"/>
    <w:rsid w:val="28D97FCA"/>
    <w:rsid w:val="28E7113E"/>
    <w:rsid w:val="291B5803"/>
    <w:rsid w:val="292F68A9"/>
    <w:rsid w:val="294D2F40"/>
    <w:rsid w:val="29733142"/>
    <w:rsid w:val="29A033E8"/>
    <w:rsid w:val="29BC365E"/>
    <w:rsid w:val="2A1C5137"/>
    <w:rsid w:val="2A3E70CF"/>
    <w:rsid w:val="2A6B5300"/>
    <w:rsid w:val="2A871926"/>
    <w:rsid w:val="2AC250CD"/>
    <w:rsid w:val="2B3602D5"/>
    <w:rsid w:val="2B4E7485"/>
    <w:rsid w:val="2B80177F"/>
    <w:rsid w:val="2B90159F"/>
    <w:rsid w:val="2B993748"/>
    <w:rsid w:val="2BAE482F"/>
    <w:rsid w:val="2BBE1DE2"/>
    <w:rsid w:val="2BE36683"/>
    <w:rsid w:val="2BE90021"/>
    <w:rsid w:val="2C706F8B"/>
    <w:rsid w:val="2C9B3A25"/>
    <w:rsid w:val="2CC24680"/>
    <w:rsid w:val="2CEF060E"/>
    <w:rsid w:val="2DA362F7"/>
    <w:rsid w:val="2DC42BAC"/>
    <w:rsid w:val="2DDB1185"/>
    <w:rsid w:val="2DDE1315"/>
    <w:rsid w:val="2E1F376D"/>
    <w:rsid w:val="2E70008E"/>
    <w:rsid w:val="2E795570"/>
    <w:rsid w:val="2EB4177E"/>
    <w:rsid w:val="2F32229C"/>
    <w:rsid w:val="2F474DB3"/>
    <w:rsid w:val="30065DDB"/>
    <w:rsid w:val="308D7FA8"/>
    <w:rsid w:val="30B1378E"/>
    <w:rsid w:val="30F14E48"/>
    <w:rsid w:val="30F25A6D"/>
    <w:rsid w:val="31202692"/>
    <w:rsid w:val="31202FD3"/>
    <w:rsid w:val="312A5619"/>
    <w:rsid w:val="31A23AE0"/>
    <w:rsid w:val="31C37AEC"/>
    <w:rsid w:val="32145CC4"/>
    <w:rsid w:val="32350A5C"/>
    <w:rsid w:val="32477ABF"/>
    <w:rsid w:val="325970B3"/>
    <w:rsid w:val="32CC0E3B"/>
    <w:rsid w:val="32DF1CBC"/>
    <w:rsid w:val="32E84C40"/>
    <w:rsid w:val="33656E24"/>
    <w:rsid w:val="33816DA8"/>
    <w:rsid w:val="33F469AE"/>
    <w:rsid w:val="340B3A91"/>
    <w:rsid w:val="34214870"/>
    <w:rsid w:val="345A637A"/>
    <w:rsid w:val="348D4052"/>
    <w:rsid w:val="34960E51"/>
    <w:rsid w:val="34B93037"/>
    <w:rsid w:val="34C2659C"/>
    <w:rsid w:val="34ED24C6"/>
    <w:rsid w:val="350911FE"/>
    <w:rsid w:val="35212153"/>
    <w:rsid w:val="3544533E"/>
    <w:rsid w:val="354C0B93"/>
    <w:rsid w:val="355B423F"/>
    <w:rsid w:val="355C3C40"/>
    <w:rsid w:val="357D6768"/>
    <w:rsid w:val="35BF3B38"/>
    <w:rsid w:val="35E23F6E"/>
    <w:rsid w:val="35EC067D"/>
    <w:rsid w:val="36215071"/>
    <w:rsid w:val="36314683"/>
    <w:rsid w:val="36472C7B"/>
    <w:rsid w:val="36753A20"/>
    <w:rsid w:val="36B0540D"/>
    <w:rsid w:val="36B326B4"/>
    <w:rsid w:val="36C17BFE"/>
    <w:rsid w:val="36CE2123"/>
    <w:rsid w:val="36D60122"/>
    <w:rsid w:val="36D9255D"/>
    <w:rsid w:val="37290822"/>
    <w:rsid w:val="373206A1"/>
    <w:rsid w:val="378E3DE6"/>
    <w:rsid w:val="37A32806"/>
    <w:rsid w:val="37D751E2"/>
    <w:rsid w:val="380B1DFE"/>
    <w:rsid w:val="38276F53"/>
    <w:rsid w:val="382E6775"/>
    <w:rsid w:val="385852A1"/>
    <w:rsid w:val="386F48E8"/>
    <w:rsid w:val="38A16914"/>
    <w:rsid w:val="38A718AB"/>
    <w:rsid w:val="38D91E08"/>
    <w:rsid w:val="38E0103A"/>
    <w:rsid w:val="38E063FB"/>
    <w:rsid w:val="38F230E0"/>
    <w:rsid w:val="393C79BC"/>
    <w:rsid w:val="3971570C"/>
    <w:rsid w:val="39945652"/>
    <w:rsid w:val="39B234B0"/>
    <w:rsid w:val="39CC0DE9"/>
    <w:rsid w:val="3A056E55"/>
    <w:rsid w:val="3A5860F9"/>
    <w:rsid w:val="3A896034"/>
    <w:rsid w:val="3A9F1F4F"/>
    <w:rsid w:val="3AA23B34"/>
    <w:rsid w:val="3AB45EB9"/>
    <w:rsid w:val="3AD018DF"/>
    <w:rsid w:val="3B013692"/>
    <w:rsid w:val="3B1667F3"/>
    <w:rsid w:val="3B3358B7"/>
    <w:rsid w:val="3B493B46"/>
    <w:rsid w:val="3B554279"/>
    <w:rsid w:val="3B55625B"/>
    <w:rsid w:val="3B597FFC"/>
    <w:rsid w:val="3B660AEC"/>
    <w:rsid w:val="3B760DD2"/>
    <w:rsid w:val="3B86620D"/>
    <w:rsid w:val="3BB421DB"/>
    <w:rsid w:val="3BE552CD"/>
    <w:rsid w:val="3BF2764E"/>
    <w:rsid w:val="3C021C37"/>
    <w:rsid w:val="3C0540D6"/>
    <w:rsid w:val="3C24092A"/>
    <w:rsid w:val="3C693243"/>
    <w:rsid w:val="3C976231"/>
    <w:rsid w:val="3C9B25CD"/>
    <w:rsid w:val="3CAA0274"/>
    <w:rsid w:val="3D1746DC"/>
    <w:rsid w:val="3D237BE8"/>
    <w:rsid w:val="3D2C4D79"/>
    <w:rsid w:val="3D366EF4"/>
    <w:rsid w:val="3D4142F0"/>
    <w:rsid w:val="3D511084"/>
    <w:rsid w:val="3D642282"/>
    <w:rsid w:val="3D6F1615"/>
    <w:rsid w:val="3D7B5779"/>
    <w:rsid w:val="3D8A5584"/>
    <w:rsid w:val="3D9B2911"/>
    <w:rsid w:val="3D9C39EF"/>
    <w:rsid w:val="3DA235BF"/>
    <w:rsid w:val="3DB15E99"/>
    <w:rsid w:val="3DB46368"/>
    <w:rsid w:val="3DD8680E"/>
    <w:rsid w:val="3DFD5343"/>
    <w:rsid w:val="3E3062DB"/>
    <w:rsid w:val="3E850F52"/>
    <w:rsid w:val="3E9B2E8A"/>
    <w:rsid w:val="3E9F6A9D"/>
    <w:rsid w:val="3F1672F1"/>
    <w:rsid w:val="3F231079"/>
    <w:rsid w:val="3F4B41E0"/>
    <w:rsid w:val="3F592467"/>
    <w:rsid w:val="3F5D0E23"/>
    <w:rsid w:val="3F8245EF"/>
    <w:rsid w:val="3F8B2040"/>
    <w:rsid w:val="3F913ED2"/>
    <w:rsid w:val="3FAC1725"/>
    <w:rsid w:val="3FAD78C2"/>
    <w:rsid w:val="3FF47E41"/>
    <w:rsid w:val="400F00BB"/>
    <w:rsid w:val="405C3701"/>
    <w:rsid w:val="40615229"/>
    <w:rsid w:val="40733563"/>
    <w:rsid w:val="40B10190"/>
    <w:rsid w:val="40B74800"/>
    <w:rsid w:val="40EF0B14"/>
    <w:rsid w:val="411613DD"/>
    <w:rsid w:val="41516E1E"/>
    <w:rsid w:val="416027A0"/>
    <w:rsid w:val="416E5398"/>
    <w:rsid w:val="418862CD"/>
    <w:rsid w:val="41A449A2"/>
    <w:rsid w:val="421B2713"/>
    <w:rsid w:val="42284FC8"/>
    <w:rsid w:val="42770C8F"/>
    <w:rsid w:val="429B2E0A"/>
    <w:rsid w:val="42AA5444"/>
    <w:rsid w:val="42F5056C"/>
    <w:rsid w:val="42FB7CE0"/>
    <w:rsid w:val="431112AD"/>
    <w:rsid w:val="43232F1C"/>
    <w:rsid w:val="433663BD"/>
    <w:rsid w:val="43561DE5"/>
    <w:rsid w:val="435E21EF"/>
    <w:rsid w:val="436B4467"/>
    <w:rsid w:val="43D9345F"/>
    <w:rsid w:val="440138B3"/>
    <w:rsid w:val="44154208"/>
    <w:rsid w:val="44394D1C"/>
    <w:rsid w:val="44406011"/>
    <w:rsid w:val="445451F2"/>
    <w:rsid w:val="44620BD2"/>
    <w:rsid w:val="446D7633"/>
    <w:rsid w:val="4488315B"/>
    <w:rsid w:val="4493471C"/>
    <w:rsid w:val="449C2C79"/>
    <w:rsid w:val="44B00229"/>
    <w:rsid w:val="44BE2144"/>
    <w:rsid w:val="44DF23A8"/>
    <w:rsid w:val="450736B6"/>
    <w:rsid w:val="45341CE2"/>
    <w:rsid w:val="45532B45"/>
    <w:rsid w:val="45621D42"/>
    <w:rsid w:val="45630290"/>
    <w:rsid w:val="45934454"/>
    <w:rsid w:val="4595257E"/>
    <w:rsid w:val="459D705A"/>
    <w:rsid w:val="45C42CBF"/>
    <w:rsid w:val="45DA2707"/>
    <w:rsid w:val="460E2404"/>
    <w:rsid w:val="46162C84"/>
    <w:rsid w:val="462E0F20"/>
    <w:rsid w:val="465F798A"/>
    <w:rsid w:val="46AC1B1A"/>
    <w:rsid w:val="46B80FA9"/>
    <w:rsid w:val="46CD7454"/>
    <w:rsid w:val="46FD0BBA"/>
    <w:rsid w:val="473D6FFA"/>
    <w:rsid w:val="47620B5A"/>
    <w:rsid w:val="476A374A"/>
    <w:rsid w:val="47C33349"/>
    <w:rsid w:val="47E54BDD"/>
    <w:rsid w:val="47E62852"/>
    <w:rsid w:val="4809270E"/>
    <w:rsid w:val="48155FBD"/>
    <w:rsid w:val="484F1501"/>
    <w:rsid w:val="48616542"/>
    <w:rsid w:val="487C4B5B"/>
    <w:rsid w:val="488B3ADA"/>
    <w:rsid w:val="489578D5"/>
    <w:rsid w:val="48C756C4"/>
    <w:rsid w:val="48F347C2"/>
    <w:rsid w:val="48F40872"/>
    <w:rsid w:val="490910CB"/>
    <w:rsid w:val="49466876"/>
    <w:rsid w:val="49672FCD"/>
    <w:rsid w:val="497D1E37"/>
    <w:rsid w:val="49A21D84"/>
    <w:rsid w:val="49C079A0"/>
    <w:rsid w:val="49E56842"/>
    <w:rsid w:val="4A202CB3"/>
    <w:rsid w:val="4A4C0BBD"/>
    <w:rsid w:val="4A741CD0"/>
    <w:rsid w:val="4AB169D3"/>
    <w:rsid w:val="4AE523B5"/>
    <w:rsid w:val="4AFF1CE5"/>
    <w:rsid w:val="4AFF2850"/>
    <w:rsid w:val="4B2C2C5C"/>
    <w:rsid w:val="4B3948BD"/>
    <w:rsid w:val="4B542445"/>
    <w:rsid w:val="4B8633C6"/>
    <w:rsid w:val="4BAE6978"/>
    <w:rsid w:val="4BF85767"/>
    <w:rsid w:val="4C4609B9"/>
    <w:rsid w:val="4C6B50F5"/>
    <w:rsid w:val="4C7613FB"/>
    <w:rsid w:val="4C9A610C"/>
    <w:rsid w:val="4CAB4A57"/>
    <w:rsid w:val="4CAF036C"/>
    <w:rsid w:val="4CB545C0"/>
    <w:rsid w:val="4CBB7439"/>
    <w:rsid w:val="4CBE1C08"/>
    <w:rsid w:val="4CFA12DC"/>
    <w:rsid w:val="4D317C9E"/>
    <w:rsid w:val="4D356131"/>
    <w:rsid w:val="4D521D49"/>
    <w:rsid w:val="4D5F31CA"/>
    <w:rsid w:val="4D635CDE"/>
    <w:rsid w:val="4D647E46"/>
    <w:rsid w:val="4D6B2FF6"/>
    <w:rsid w:val="4D7C15EC"/>
    <w:rsid w:val="4DA21BCB"/>
    <w:rsid w:val="4DA31278"/>
    <w:rsid w:val="4E022AED"/>
    <w:rsid w:val="4E0F5AA6"/>
    <w:rsid w:val="4E7B47FF"/>
    <w:rsid w:val="4E800E7B"/>
    <w:rsid w:val="4EC57FA6"/>
    <w:rsid w:val="4EDD2F85"/>
    <w:rsid w:val="4EE759E0"/>
    <w:rsid w:val="4EFB1785"/>
    <w:rsid w:val="4EFC0E40"/>
    <w:rsid w:val="4F073576"/>
    <w:rsid w:val="4F32383F"/>
    <w:rsid w:val="4F4201F9"/>
    <w:rsid w:val="4F596DC1"/>
    <w:rsid w:val="4F5B18B4"/>
    <w:rsid w:val="4F746E17"/>
    <w:rsid w:val="4F7E527E"/>
    <w:rsid w:val="4F9948BE"/>
    <w:rsid w:val="4F9A7281"/>
    <w:rsid w:val="4FAE6D31"/>
    <w:rsid w:val="4FB16A86"/>
    <w:rsid w:val="50114985"/>
    <w:rsid w:val="50173009"/>
    <w:rsid w:val="504B0595"/>
    <w:rsid w:val="508470D2"/>
    <w:rsid w:val="50CC2E3A"/>
    <w:rsid w:val="50E37FBB"/>
    <w:rsid w:val="516C1EC9"/>
    <w:rsid w:val="518F192B"/>
    <w:rsid w:val="51A35549"/>
    <w:rsid w:val="51A54E31"/>
    <w:rsid w:val="51C96CF8"/>
    <w:rsid w:val="51E16B22"/>
    <w:rsid w:val="51E71584"/>
    <w:rsid w:val="520134A4"/>
    <w:rsid w:val="52417CD3"/>
    <w:rsid w:val="525A2598"/>
    <w:rsid w:val="528D2D69"/>
    <w:rsid w:val="52A72CB9"/>
    <w:rsid w:val="52C645C7"/>
    <w:rsid w:val="5308234F"/>
    <w:rsid w:val="531A7701"/>
    <w:rsid w:val="533A7773"/>
    <w:rsid w:val="535A4036"/>
    <w:rsid w:val="535E0C0C"/>
    <w:rsid w:val="536F55E2"/>
    <w:rsid w:val="539A7C35"/>
    <w:rsid w:val="53EE2B63"/>
    <w:rsid w:val="541259A4"/>
    <w:rsid w:val="54221113"/>
    <w:rsid w:val="543625D7"/>
    <w:rsid w:val="54410718"/>
    <w:rsid w:val="5506526C"/>
    <w:rsid w:val="55497B99"/>
    <w:rsid w:val="556F44BF"/>
    <w:rsid w:val="557E0DC2"/>
    <w:rsid w:val="55981C1E"/>
    <w:rsid w:val="559E43DB"/>
    <w:rsid w:val="55CC0E83"/>
    <w:rsid w:val="5615080D"/>
    <w:rsid w:val="561574B3"/>
    <w:rsid w:val="56250D86"/>
    <w:rsid w:val="566A5330"/>
    <w:rsid w:val="567F26ED"/>
    <w:rsid w:val="568024C8"/>
    <w:rsid w:val="568F79BF"/>
    <w:rsid w:val="56A33FC4"/>
    <w:rsid w:val="56A763F2"/>
    <w:rsid w:val="56BE663C"/>
    <w:rsid w:val="56CD2153"/>
    <w:rsid w:val="56E75D17"/>
    <w:rsid w:val="56F312B5"/>
    <w:rsid w:val="56F74C0E"/>
    <w:rsid w:val="572B04F0"/>
    <w:rsid w:val="572B4176"/>
    <w:rsid w:val="57664E51"/>
    <w:rsid w:val="577603E3"/>
    <w:rsid w:val="5789602C"/>
    <w:rsid w:val="57D9376A"/>
    <w:rsid w:val="580649F2"/>
    <w:rsid w:val="58226B70"/>
    <w:rsid w:val="58230A94"/>
    <w:rsid w:val="58351BA6"/>
    <w:rsid w:val="584F5D9B"/>
    <w:rsid w:val="58795EFF"/>
    <w:rsid w:val="58835B9A"/>
    <w:rsid w:val="58B22CF9"/>
    <w:rsid w:val="58B840B1"/>
    <w:rsid w:val="58C67791"/>
    <w:rsid w:val="58F23A2C"/>
    <w:rsid w:val="58F33BD7"/>
    <w:rsid w:val="595950A7"/>
    <w:rsid w:val="5983654E"/>
    <w:rsid w:val="599B6043"/>
    <w:rsid w:val="59AB446D"/>
    <w:rsid w:val="5A1437A3"/>
    <w:rsid w:val="5A1F2A6A"/>
    <w:rsid w:val="5A321CCA"/>
    <w:rsid w:val="5A4031BD"/>
    <w:rsid w:val="5A742FCA"/>
    <w:rsid w:val="5A7557BC"/>
    <w:rsid w:val="5A7E34D5"/>
    <w:rsid w:val="5A801F1C"/>
    <w:rsid w:val="5AAB0EAB"/>
    <w:rsid w:val="5AC64458"/>
    <w:rsid w:val="5AD56AE1"/>
    <w:rsid w:val="5AF42D65"/>
    <w:rsid w:val="5AF96C92"/>
    <w:rsid w:val="5B6B2916"/>
    <w:rsid w:val="5B721AD3"/>
    <w:rsid w:val="5BA5390B"/>
    <w:rsid w:val="5BAF49EA"/>
    <w:rsid w:val="5BCF2B45"/>
    <w:rsid w:val="5BDC583E"/>
    <w:rsid w:val="5BDD7D44"/>
    <w:rsid w:val="5C2D62B3"/>
    <w:rsid w:val="5C331F55"/>
    <w:rsid w:val="5C37747F"/>
    <w:rsid w:val="5C3978AE"/>
    <w:rsid w:val="5C661078"/>
    <w:rsid w:val="5C7A4320"/>
    <w:rsid w:val="5C9167F0"/>
    <w:rsid w:val="5C930CB2"/>
    <w:rsid w:val="5CAE6718"/>
    <w:rsid w:val="5CED33FE"/>
    <w:rsid w:val="5CFE4B36"/>
    <w:rsid w:val="5D152663"/>
    <w:rsid w:val="5D250AE8"/>
    <w:rsid w:val="5D810B69"/>
    <w:rsid w:val="5D8562D6"/>
    <w:rsid w:val="5DA67B5E"/>
    <w:rsid w:val="5DB26B1C"/>
    <w:rsid w:val="5DC77A74"/>
    <w:rsid w:val="5DD80BA4"/>
    <w:rsid w:val="5DE65906"/>
    <w:rsid w:val="5DF10DD6"/>
    <w:rsid w:val="5E107A6E"/>
    <w:rsid w:val="5E240474"/>
    <w:rsid w:val="5E4A08B0"/>
    <w:rsid w:val="5E552402"/>
    <w:rsid w:val="5E581806"/>
    <w:rsid w:val="5EA954DA"/>
    <w:rsid w:val="5EF60C22"/>
    <w:rsid w:val="5F165F74"/>
    <w:rsid w:val="5F3E22C2"/>
    <w:rsid w:val="5F474EA9"/>
    <w:rsid w:val="5F8F3F9D"/>
    <w:rsid w:val="5FC33A72"/>
    <w:rsid w:val="5FE44BCC"/>
    <w:rsid w:val="5FFA3215"/>
    <w:rsid w:val="601278AE"/>
    <w:rsid w:val="602074C3"/>
    <w:rsid w:val="60342152"/>
    <w:rsid w:val="607F216A"/>
    <w:rsid w:val="609D0C9B"/>
    <w:rsid w:val="60D3361E"/>
    <w:rsid w:val="60F942D1"/>
    <w:rsid w:val="612912AD"/>
    <w:rsid w:val="613220FF"/>
    <w:rsid w:val="61446D7C"/>
    <w:rsid w:val="614B06AC"/>
    <w:rsid w:val="617C14DD"/>
    <w:rsid w:val="61B844A8"/>
    <w:rsid w:val="61D62E95"/>
    <w:rsid w:val="61D8581E"/>
    <w:rsid w:val="61FF2F13"/>
    <w:rsid w:val="622218C3"/>
    <w:rsid w:val="6222364C"/>
    <w:rsid w:val="6239511B"/>
    <w:rsid w:val="62473027"/>
    <w:rsid w:val="62641F1A"/>
    <w:rsid w:val="627B7180"/>
    <w:rsid w:val="6308246A"/>
    <w:rsid w:val="6308767C"/>
    <w:rsid w:val="63287634"/>
    <w:rsid w:val="63396070"/>
    <w:rsid w:val="634867D2"/>
    <w:rsid w:val="63525AAC"/>
    <w:rsid w:val="63531E3F"/>
    <w:rsid w:val="639768D2"/>
    <w:rsid w:val="63C05149"/>
    <w:rsid w:val="63F95E7B"/>
    <w:rsid w:val="64047A76"/>
    <w:rsid w:val="64107C83"/>
    <w:rsid w:val="641761B2"/>
    <w:rsid w:val="6429437B"/>
    <w:rsid w:val="648A2DED"/>
    <w:rsid w:val="64AA5921"/>
    <w:rsid w:val="64E965E9"/>
    <w:rsid w:val="64F613A1"/>
    <w:rsid w:val="64FB67B9"/>
    <w:rsid w:val="650F0297"/>
    <w:rsid w:val="65311AE8"/>
    <w:rsid w:val="65372FB5"/>
    <w:rsid w:val="6579788B"/>
    <w:rsid w:val="65A56F80"/>
    <w:rsid w:val="65CD5AEB"/>
    <w:rsid w:val="65D200C7"/>
    <w:rsid w:val="65D31262"/>
    <w:rsid w:val="65DE71F4"/>
    <w:rsid w:val="65E7615B"/>
    <w:rsid w:val="66067D88"/>
    <w:rsid w:val="662F3C78"/>
    <w:rsid w:val="66807846"/>
    <w:rsid w:val="66953C5B"/>
    <w:rsid w:val="669B2A9B"/>
    <w:rsid w:val="669F55F1"/>
    <w:rsid w:val="67157EB9"/>
    <w:rsid w:val="673B62F2"/>
    <w:rsid w:val="674F16A7"/>
    <w:rsid w:val="67906BAE"/>
    <w:rsid w:val="679D3EE7"/>
    <w:rsid w:val="67D36A56"/>
    <w:rsid w:val="67D56B92"/>
    <w:rsid w:val="67E036E9"/>
    <w:rsid w:val="67E5573D"/>
    <w:rsid w:val="683E687F"/>
    <w:rsid w:val="68430FB9"/>
    <w:rsid w:val="68C61A50"/>
    <w:rsid w:val="68E311B2"/>
    <w:rsid w:val="68FF3ACA"/>
    <w:rsid w:val="6900055E"/>
    <w:rsid w:val="690A6C79"/>
    <w:rsid w:val="69223AE7"/>
    <w:rsid w:val="69251ED4"/>
    <w:rsid w:val="692A4AFD"/>
    <w:rsid w:val="69326652"/>
    <w:rsid w:val="69347AF7"/>
    <w:rsid w:val="693A50E1"/>
    <w:rsid w:val="696E1979"/>
    <w:rsid w:val="69AA7B28"/>
    <w:rsid w:val="69B14B4E"/>
    <w:rsid w:val="69C175E5"/>
    <w:rsid w:val="69C56D45"/>
    <w:rsid w:val="69F57E4B"/>
    <w:rsid w:val="6A1221A1"/>
    <w:rsid w:val="6A233920"/>
    <w:rsid w:val="6A6366AE"/>
    <w:rsid w:val="6A8B6B18"/>
    <w:rsid w:val="6A9352A2"/>
    <w:rsid w:val="6A9A1577"/>
    <w:rsid w:val="6AA338E6"/>
    <w:rsid w:val="6AC86E77"/>
    <w:rsid w:val="6AF13C0D"/>
    <w:rsid w:val="6B5F4E4D"/>
    <w:rsid w:val="6B654FB0"/>
    <w:rsid w:val="6B6E1CA4"/>
    <w:rsid w:val="6BAF6941"/>
    <w:rsid w:val="6BCC1F13"/>
    <w:rsid w:val="6BD91EBE"/>
    <w:rsid w:val="6BE1101B"/>
    <w:rsid w:val="6C24259C"/>
    <w:rsid w:val="6C3219E1"/>
    <w:rsid w:val="6C5579CA"/>
    <w:rsid w:val="6C72726E"/>
    <w:rsid w:val="6CB44AB8"/>
    <w:rsid w:val="6CD509C5"/>
    <w:rsid w:val="6CE4138B"/>
    <w:rsid w:val="6CFA7874"/>
    <w:rsid w:val="6D514C03"/>
    <w:rsid w:val="6D69125F"/>
    <w:rsid w:val="6DA76031"/>
    <w:rsid w:val="6DA81CE8"/>
    <w:rsid w:val="6DBE17E3"/>
    <w:rsid w:val="6DCC1FAB"/>
    <w:rsid w:val="6DE537AC"/>
    <w:rsid w:val="6E096EF8"/>
    <w:rsid w:val="6E160574"/>
    <w:rsid w:val="6E816BBF"/>
    <w:rsid w:val="6E9134A9"/>
    <w:rsid w:val="6ED5286B"/>
    <w:rsid w:val="6F1A7E1A"/>
    <w:rsid w:val="6F314155"/>
    <w:rsid w:val="6FF85E6E"/>
    <w:rsid w:val="700A48AB"/>
    <w:rsid w:val="70245076"/>
    <w:rsid w:val="704E5507"/>
    <w:rsid w:val="705A51FE"/>
    <w:rsid w:val="70935E14"/>
    <w:rsid w:val="70A4763A"/>
    <w:rsid w:val="70B22023"/>
    <w:rsid w:val="70D45314"/>
    <w:rsid w:val="70DB1C8A"/>
    <w:rsid w:val="717B1403"/>
    <w:rsid w:val="71A147B9"/>
    <w:rsid w:val="71D842FA"/>
    <w:rsid w:val="71E65CC9"/>
    <w:rsid w:val="71F00255"/>
    <w:rsid w:val="721434B7"/>
    <w:rsid w:val="725F33BF"/>
    <w:rsid w:val="72651EB0"/>
    <w:rsid w:val="729C267B"/>
    <w:rsid w:val="72B23E6D"/>
    <w:rsid w:val="72B648F6"/>
    <w:rsid w:val="72C251F0"/>
    <w:rsid w:val="72D87B33"/>
    <w:rsid w:val="72DD5B9E"/>
    <w:rsid w:val="72F54E01"/>
    <w:rsid w:val="731A2D6E"/>
    <w:rsid w:val="73374395"/>
    <w:rsid w:val="7366202F"/>
    <w:rsid w:val="737A786F"/>
    <w:rsid w:val="7397449E"/>
    <w:rsid w:val="73B461E3"/>
    <w:rsid w:val="73B604ED"/>
    <w:rsid w:val="73EE50F4"/>
    <w:rsid w:val="740D3F11"/>
    <w:rsid w:val="741257AC"/>
    <w:rsid w:val="742B1612"/>
    <w:rsid w:val="7441199D"/>
    <w:rsid w:val="74420B02"/>
    <w:rsid w:val="745C550C"/>
    <w:rsid w:val="74A064AE"/>
    <w:rsid w:val="74D46B08"/>
    <w:rsid w:val="74D96958"/>
    <w:rsid w:val="74FE6B71"/>
    <w:rsid w:val="74FE774A"/>
    <w:rsid w:val="75023274"/>
    <w:rsid w:val="75184790"/>
    <w:rsid w:val="75577D7F"/>
    <w:rsid w:val="755D5C19"/>
    <w:rsid w:val="757022FB"/>
    <w:rsid w:val="75A15325"/>
    <w:rsid w:val="75B2473D"/>
    <w:rsid w:val="75C03D91"/>
    <w:rsid w:val="75EF6235"/>
    <w:rsid w:val="75F71F3B"/>
    <w:rsid w:val="763563F5"/>
    <w:rsid w:val="766D57C1"/>
    <w:rsid w:val="76801850"/>
    <w:rsid w:val="769714F7"/>
    <w:rsid w:val="76AC2318"/>
    <w:rsid w:val="76BC6C30"/>
    <w:rsid w:val="76E17F51"/>
    <w:rsid w:val="76E83D9B"/>
    <w:rsid w:val="76F7624B"/>
    <w:rsid w:val="772571D5"/>
    <w:rsid w:val="7730088B"/>
    <w:rsid w:val="77411D56"/>
    <w:rsid w:val="774839AC"/>
    <w:rsid w:val="77605E1A"/>
    <w:rsid w:val="77742983"/>
    <w:rsid w:val="77800D5D"/>
    <w:rsid w:val="77827BF3"/>
    <w:rsid w:val="778B633D"/>
    <w:rsid w:val="7793327E"/>
    <w:rsid w:val="77C232DA"/>
    <w:rsid w:val="77D973E1"/>
    <w:rsid w:val="77EA3464"/>
    <w:rsid w:val="78021C7B"/>
    <w:rsid w:val="780C1E19"/>
    <w:rsid w:val="786B70AF"/>
    <w:rsid w:val="78760913"/>
    <w:rsid w:val="7881477B"/>
    <w:rsid w:val="788F38A7"/>
    <w:rsid w:val="78A46720"/>
    <w:rsid w:val="78AD0AA4"/>
    <w:rsid w:val="78FD09AB"/>
    <w:rsid w:val="79010BD2"/>
    <w:rsid w:val="79017261"/>
    <w:rsid w:val="79346435"/>
    <w:rsid w:val="796608A4"/>
    <w:rsid w:val="7999176C"/>
    <w:rsid w:val="79AB2DAA"/>
    <w:rsid w:val="79B661E6"/>
    <w:rsid w:val="79CA7D83"/>
    <w:rsid w:val="79F12D18"/>
    <w:rsid w:val="7A461590"/>
    <w:rsid w:val="7A506505"/>
    <w:rsid w:val="7A6822EA"/>
    <w:rsid w:val="7A814BA2"/>
    <w:rsid w:val="7A88510B"/>
    <w:rsid w:val="7A942566"/>
    <w:rsid w:val="7AAC5343"/>
    <w:rsid w:val="7B4D10C0"/>
    <w:rsid w:val="7B5E19E1"/>
    <w:rsid w:val="7B8D502D"/>
    <w:rsid w:val="7BD0668B"/>
    <w:rsid w:val="7BD55037"/>
    <w:rsid w:val="7BEA41E2"/>
    <w:rsid w:val="7C1C27D8"/>
    <w:rsid w:val="7C230E82"/>
    <w:rsid w:val="7C304BF8"/>
    <w:rsid w:val="7C461A40"/>
    <w:rsid w:val="7C5C2009"/>
    <w:rsid w:val="7C655175"/>
    <w:rsid w:val="7C6D71FD"/>
    <w:rsid w:val="7C7E2620"/>
    <w:rsid w:val="7C8243CE"/>
    <w:rsid w:val="7C9902EC"/>
    <w:rsid w:val="7C9B318C"/>
    <w:rsid w:val="7CCE3276"/>
    <w:rsid w:val="7CCE4670"/>
    <w:rsid w:val="7CDD6CC4"/>
    <w:rsid w:val="7D341239"/>
    <w:rsid w:val="7D374E9E"/>
    <w:rsid w:val="7D477545"/>
    <w:rsid w:val="7D617FEB"/>
    <w:rsid w:val="7D6C6C25"/>
    <w:rsid w:val="7D82688C"/>
    <w:rsid w:val="7D936B21"/>
    <w:rsid w:val="7DB41EC3"/>
    <w:rsid w:val="7E141252"/>
    <w:rsid w:val="7E930BA3"/>
    <w:rsid w:val="7E985166"/>
    <w:rsid w:val="7EFE7213"/>
    <w:rsid w:val="7F171BCC"/>
    <w:rsid w:val="7F37013C"/>
    <w:rsid w:val="7F401C7A"/>
    <w:rsid w:val="7F5F1232"/>
    <w:rsid w:val="7F7316D3"/>
    <w:rsid w:val="7F755C75"/>
    <w:rsid w:val="7FA119C3"/>
    <w:rsid w:val="7FA3150B"/>
    <w:rsid w:val="7FC239A0"/>
    <w:rsid w:val="7FEB5D35"/>
    <w:rsid w:val="7FEB6D9F"/>
    <w:rsid w:val="7FF8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仿宋" w:hAnsi="仿宋" w:eastAsia="仿宋" w:cstheme="minorBidi"/>
      <w:kern w:val="2"/>
      <w:sz w:val="24"/>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9"/>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正文文本 字符"/>
    <w:basedOn w:val="8"/>
    <w:link w:val="4"/>
    <w:qFormat/>
    <w:uiPriority w:val="99"/>
    <w:rPr>
      <w:rFonts w:asciiTheme="minorHAnsi" w:hAnsiTheme="minorHAnsi" w:eastAsiaTheme="minorEastAsia" w:cstheme="minorBidi"/>
      <w:kern w:val="2"/>
      <w:sz w:val="21"/>
      <w:szCs w:val="22"/>
    </w:rPr>
  </w:style>
  <w:style w:type="character" w:customStyle="1" w:styleId="10">
    <w:name w:val="标题 1 字符"/>
    <w:basedOn w:val="8"/>
    <w:link w:val="2"/>
    <w:qFormat/>
    <w:uiPriority w:val="0"/>
    <w:rPr>
      <w:rFonts w:asciiTheme="minorHAnsi" w:hAnsiTheme="minorHAnsi" w:eastAsiaTheme="minorEastAsia" w:cstheme="minorBidi"/>
      <w:b/>
      <w:bCs/>
      <w:kern w:val="44"/>
      <w:sz w:val="44"/>
      <w:szCs w:val="44"/>
    </w:rPr>
  </w:style>
  <w:style w:type="paragraph" w:customStyle="1" w:styleId="11">
    <w:name w:val="TOC 标题1"/>
    <w:basedOn w:val="2"/>
    <w:next w:val="1"/>
    <w:semiHidden/>
    <w:unhideWhenUsed/>
    <w:qFormat/>
    <w:uiPriority w:val="39"/>
    <w:pPr>
      <w:outlineLvl w:val="9"/>
    </w:pPr>
    <w:rPr>
      <w:rFonts w:ascii="Times New Roman" w:hAnsi="Times New Roman" w:eastAsia="宋体" w:cs="Times New Roman"/>
    </w:rPr>
  </w:style>
  <w:style w:type="paragraph" w:customStyle="1" w:styleId="12">
    <w:name w:val="TOC 标题11"/>
    <w:basedOn w:val="2"/>
    <w:next w:val="1"/>
    <w:semiHidden/>
    <w:unhideWhenUsed/>
    <w:qFormat/>
    <w:uiPriority w:val="39"/>
    <w:pPr>
      <w:outlineLvl w:val="9"/>
    </w:pPr>
    <w:rPr>
      <w:rFonts w:ascii="Times New Roman" w:hAnsi="Times New Roman" w:eastAsia="宋体" w:cs="Times New Roman"/>
    </w:rPr>
  </w:style>
  <w:style w:type="paragraph" w:styleId="13">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1563</Words>
  <Characters>8914</Characters>
  <Lines>74</Lines>
  <Paragraphs>20</Paragraphs>
  <TotalTime>0</TotalTime>
  <ScaleCrop>false</ScaleCrop>
  <LinksUpToDate>false</LinksUpToDate>
  <CharactersWithSpaces>10457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2020-08-18T02:52:00Z</dcterms:created>
  <dc:creator>de'l'l</dc:creator>
  <cp:lastModifiedBy>Administrator</cp:lastModifiedBy>
  <cp:lastPrinted>2022-09-27T01:49:00Z</cp:lastPrinted>
  <dcterms:modified xsi:type="dcterms:W3CDTF">2023-11-13T05:30:16Z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B77DEC8A7E484CD7ADCE4B4F9B5A2A63_13</vt:lpwstr>
  </property>
</Properties>
</file>