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ind w:firstLine="0" w:firstLineChars="0"/>
        <w:jc w:val="center"/>
        <w:rPr>
          <w:rFonts w:cs="仿宋"/>
          <w:b/>
          <w:sz w:val="36"/>
          <w:szCs w:val="36"/>
        </w:rPr>
      </w:pPr>
    </w:p>
    <w:p>
      <w:pPr>
        <w:pStyle w:val="3"/>
        <w:spacing w:line="600" w:lineRule="atLeast"/>
        <w:ind w:firstLine="0" w:firstLineChars="0"/>
      </w:pPr>
    </w:p>
    <w:p>
      <w:pPr>
        <w:spacing w:line="600" w:lineRule="exact"/>
        <w:ind w:firstLine="0" w:firstLineChars="0"/>
        <w:jc w:val="center"/>
        <w:outlineLvl w:val="0"/>
        <w:rPr>
          <w:rFonts w:ascii="宋体" w:hAnsi="宋体" w:eastAsia="宋体" w:cs="Times New Roman"/>
          <w:sz w:val="21"/>
          <w:szCs w:val="21"/>
        </w:rPr>
      </w:pPr>
      <w:r>
        <w:rPr>
          <w:rFonts w:hint="eastAsia" w:ascii="宋体" w:hAnsi="宋体" w:eastAsia="宋体" w:cs="Times New Roman"/>
          <w:sz w:val="22"/>
        </w:rPr>
        <w:t>寻甸回族彝族自治县住房和城乡建设局202</w:t>
      </w:r>
      <w:r>
        <w:rPr>
          <w:rFonts w:ascii="宋体" w:hAnsi="宋体" w:eastAsia="宋体" w:cs="Times New Roman"/>
          <w:sz w:val="22"/>
        </w:rPr>
        <w:t>2</w:t>
      </w:r>
      <w:r>
        <w:rPr>
          <w:rFonts w:hint="eastAsia" w:ascii="宋体" w:hAnsi="宋体" w:eastAsia="宋体" w:cs="Times New Roman"/>
          <w:sz w:val="22"/>
        </w:rPr>
        <w:t>年</w:t>
      </w:r>
      <w:bookmarkStart w:id="0" w:name="_Hlk144901891"/>
      <w:r>
        <w:rPr>
          <w:rFonts w:hint="eastAsia" w:ascii="宋体" w:hAnsi="宋体" w:eastAsia="宋体" w:cs="Times New Roman"/>
          <w:sz w:val="22"/>
        </w:rPr>
        <w:t>县城五条河截污治理工程</w:t>
      </w:r>
      <w:bookmarkEnd w:id="0"/>
      <w:r>
        <w:rPr>
          <w:rFonts w:hint="eastAsia" w:ascii="宋体" w:hAnsi="宋体" w:eastAsia="宋体" w:cs="Times New Roman"/>
          <w:sz w:val="22"/>
        </w:rPr>
        <w:t>项目支出</w:t>
      </w:r>
    </w:p>
    <w:p>
      <w:pPr>
        <w:spacing w:line="600" w:lineRule="exact"/>
        <w:ind w:firstLine="0" w:firstLineChars="0"/>
        <w:jc w:val="center"/>
        <w:outlineLvl w:val="0"/>
        <w:rPr>
          <w:rFonts w:ascii="宋体" w:hAnsi="宋体" w:eastAsia="宋体" w:cs="Times New Roman"/>
          <w:sz w:val="36"/>
          <w:szCs w:val="36"/>
        </w:rPr>
      </w:pPr>
      <w:r>
        <w:rPr>
          <w:rFonts w:hint="eastAsia" w:ascii="宋体" w:hAnsi="宋体" w:eastAsia="宋体" w:cs="Times New Roman"/>
          <w:sz w:val="36"/>
          <w:szCs w:val="36"/>
        </w:rPr>
        <w:t>绩效评价报告</w:t>
      </w:r>
    </w:p>
    <w:p>
      <w:pPr>
        <w:spacing w:line="600" w:lineRule="exact"/>
        <w:ind w:firstLine="0" w:firstLineChars="0"/>
        <w:jc w:val="center"/>
        <w:rPr>
          <w:rFonts w:ascii="仿宋_GB2312" w:hAnsi="仿宋_GB2312" w:eastAsia="仿宋_GB2312" w:cs="仿宋_GB2312"/>
          <w:sz w:val="32"/>
          <w:szCs w:val="32"/>
        </w:rPr>
      </w:pPr>
    </w:p>
    <w:p>
      <w:pPr>
        <w:pStyle w:val="3"/>
        <w:spacing w:line="600" w:lineRule="exact"/>
        <w:ind w:firstLine="0" w:firstLineChars="0"/>
      </w:pPr>
    </w:p>
    <w:p>
      <w:pPr>
        <w:ind w:firstLine="480"/>
      </w:pPr>
    </w:p>
    <w:p>
      <w:pPr>
        <w:pStyle w:val="2"/>
        <w:ind w:firstLine="883"/>
        <w:rPr>
          <w:rFonts w:hint="eastAsia"/>
        </w:rPr>
      </w:pPr>
    </w:p>
    <w:p>
      <w:pPr>
        <w:spacing w:line="600" w:lineRule="exact"/>
        <w:ind w:firstLine="0" w:firstLineChars="0"/>
        <w:jc w:val="center"/>
        <w:rPr>
          <w:rFonts w:ascii="宋体" w:hAnsi="宋体" w:eastAsia="宋体"/>
          <w:szCs w:val="24"/>
        </w:rPr>
      </w:pPr>
    </w:p>
    <w:p>
      <w:pPr>
        <w:spacing w:line="600" w:lineRule="exact"/>
        <w:ind w:firstLine="0" w:firstLineChars="0"/>
      </w:pPr>
    </w:p>
    <w:p>
      <w:pPr>
        <w:spacing w:line="600" w:lineRule="exact"/>
        <w:ind w:left="1500" w:hanging="1500" w:hangingChars="500"/>
        <w:jc w:val="left"/>
        <w:outlineLvl w:val="0"/>
        <w:rPr>
          <w:rFonts w:ascii="宋体" w:hAnsi="宋体" w:eastAsia="宋体" w:cs="宋体"/>
          <w:sz w:val="30"/>
          <w:szCs w:val="30"/>
        </w:rPr>
      </w:pPr>
      <w:r>
        <w:rPr>
          <w:rFonts w:hint="eastAsia" w:ascii="宋体" w:hAnsi="宋体" w:eastAsia="宋体" w:cs="宋体"/>
          <w:sz w:val="30"/>
          <w:szCs w:val="30"/>
        </w:rPr>
        <w:t>项目名称：202</w:t>
      </w:r>
      <w:r>
        <w:rPr>
          <w:rFonts w:ascii="宋体" w:hAnsi="宋体" w:eastAsia="宋体" w:cs="宋体"/>
          <w:sz w:val="30"/>
          <w:szCs w:val="30"/>
        </w:rPr>
        <w:t>2</w:t>
      </w:r>
      <w:r>
        <w:rPr>
          <w:rFonts w:hint="eastAsia" w:ascii="宋体" w:hAnsi="宋体" w:eastAsia="宋体" w:cs="宋体"/>
          <w:sz w:val="30"/>
          <w:szCs w:val="30"/>
        </w:rPr>
        <w:t>年</w:t>
      </w:r>
      <w:bookmarkStart w:id="1" w:name="_Hlk144901961"/>
      <w:r>
        <w:rPr>
          <w:rFonts w:hint="eastAsia" w:ascii="宋体" w:hAnsi="宋体" w:eastAsia="宋体" w:cs="宋体"/>
          <w:sz w:val="30"/>
          <w:szCs w:val="30"/>
        </w:rPr>
        <w:t>县城五条河截污治理工程</w:t>
      </w:r>
      <w:bookmarkEnd w:id="1"/>
      <w:r>
        <w:rPr>
          <w:rFonts w:hint="eastAsia" w:ascii="宋体" w:hAnsi="宋体" w:eastAsia="宋体" w:cs="宋体"/>
          <w:sz w:val="30"/>
          <w:szCs w:val="30"/>
        </w:rPr>
        <w:t>项目支出绩效评价</w:t>
      </w:r>
    </w:p>
    <w:p>
      <w:pPr>
        <w:spacing w:line="600" w:lineRule="exact"/>
        <w:ind w:firstLine="0" w:firstLineChars="0"/>
        <w:jc w:val="left"/>
        <w:outlineLvl w:val="0"/>
        <w:rPr>
          <w:rFonts w:ascii="宋体" w:hAnsi="宋体" w:eastAsia="宋体" w:cs="宋体"/>
          <w:sz w:val="30"/>
          <w:szCs w:val="30"/>
        </w:rPr>
      </w:pPr>
      <w:r>
        <w:rPr>
          <w:rFonts w:hint="eastAsia" w:ascii="宋体" w:hAnsi="宋体" w:eastAsia="宋体" w:cs="宋体"/>
          <w:sz w:val="30"/>
          <w:szCs w:val="30"/>
        </w:rPr>
        <w:t>评价单位：寻甸回族彝族自治县住房和城乡建设局</w:t>
      </w:r>
    </w:p>
    <w:p>
      <w:pPr>
        <w:spacing w:line="600" w:lineRule="exact"/>
        <w:ind w:firstLine="0" w:firstLineChars="0"/>
        <w:jc w:val="left"/>
        <w:outlineLvl w:val="0"/>
        <w:rPr>
          <w:rFonts w:ascii="宋体" w:hAnsi="宋体" w:eastAsia="宋体" w:cs="宋体"/>
          <w:sz w:val="30"/>
          <w:szCs w:val="30"/>
        </w:rPr>
      </w:pPr>
      <w:r>
        <w:rPr>
          <w:rFonts w:hint="eastAsia" w:ascii="宋体" w:hAnsi="宋体" w:eastAsia="宋体" w:cs="宋体"/>
          <w:sz w:val="30"/>
          <w:szCs w:val="30"/>
        </w:rPr>
        <w:t>委托部门：寻甸回族彝族自治县财政局</w:t>
      </w:r>
    </w:p>
    <w:p>
      <w:pPr>
        <w:spacing w:line="600" w:lineRule="exact"/>
        <w:ind w:firstLine="0" w:firstLineChars="0"/>
        <w:jc w:val="left"/>
        <w:rPr>
          <w:rFonts w:ascii="宋体" w:hAnsi="宋体" w:eastAsia="宋体" w:cs="宋体"/>
          <w:b/>
          <w:sz w:val="30"/>
          <w:szCs w:val="30"/>
        </w:rPr>
      </w:pPr>
      <w:r>
        <w:rPr>
          <w:rFonts w:hint="eastAsia" w:ascii="宋体" w:hAnsi="宋体" w:eastAsia="宋体" w:cs="宋体"/>
          <w:sz w:val="30"/>
          <w:szCs w:val="30"/>
        </w:rPr>
        <w:t>评价机构：云南京健会计师事务所（普通合伙）</w:t>
      </w:r>
    </w:p>
    <w:p>
      <w:pPr>
        <w:spacing w:line="600" w:lineRule="exact"/>
        <w:ind w:firstLine="0" w:firstLineChars="0"/>
        <w:jc w:val="center"/>
        <w:rPr>
          <w:rFonts w:cs="仿宋"/>
          <w:b/>
          <w:sz w:val="28"/>
          <w:szCs w:val="28"/>
        </w:rPr>
      </w:pPr>
    </w:p>
    <w:p>
      <w:pPr>
        <w:ind w:firstLine="562"/>
        <w:jc w:val="center"/>
        <w:rPr>
          <w:rFonts w:cs="仿宋"/>
          <w:b/>
          <w:sz w:val="28"/>
          <w:szCs w:val="28"/>
        </w:rPr>
      </w:pPr>
    </w:p>
    <w:p>
      <w:pPr>
        <w:pStyle w:val="11"/>
        <w:keepNext w:val="0"/>
        <w:keepLines w:val="0"/>
        <w:ind w:firstLine="0" w:firstLineChars="0"/>
        <w:rPr>
          <w:rFonts w:ascii="黑体" w:hAnsi="黑体" w:eastAsia="黑体"/>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1077" w:footer="992" w:gutter="0"/>
          <w:pgBorders>
            <w:top w:val="single" w:color="auto" w:sz="4" w:space="1"/>
            <w:bottom w:val="single" w:color="auto" w:sz="4" w:space="1"/>
          </w:pgBorders>
          <w:pgNumType w:start="1"/>
          <w:cols w:space="425" w:num="1"/>
          <w:docGrid w:type="lines" w:linePitch="312" w:charSpace="0"/>
        </w:sectPr>
      </w:pPr>
    </w:p>
    <w:p>
      <w:pPr>
        <w:ind w:firstLine="0" w:firstLineChars="0"/>
        <w:jc w:val="center"/>
        <w:rPr>
          <w:rFonts w:ascii="黑体" w:hAnsi="黑体" w:eastAsia="黑体" w:cs="黑体"/>
          <w:bCs/>
          <w:sz w:val="21"/>
          <w:szCs w:val="21"/>
        </w:rPr>
      </w:pPr>
      <w:r>
        <w:rPr>
          <w:rFonts w:hint="eastAsia" w:ascii="黑体" w:hAnsi="黑体" w:eastAsia="黑体" w:cs="黑体"/>
          <w:bCs/>
          <w:sz w:val="21"/>
          <w:szCs w:val="21"/>
        </w:rPr>
        <w:t>寻甸回族彝族自治县住房和城乡建设局202</w:t>
      </w:r>
      <w:r>
        <w:rPr>
          <w:rFonts w:ascii="黑体" w:hAnsi="黑体" w:eastAsia="黑体" w:cs="黑体"/>
          <w:bCs/>
          <w:sz w:val="21"/>
          <w:szCs w:val="21"/>
        </w:rPr>
        <w:t>2</w:t>
      </w:r>
      <w:r>
        <w:rPr>
          <w:rFonts w:hint="eastAsia" w:ascii="黑体" w:hAnsi="黑体" w:eastAsia="黑体" w:cs="黑体"/>
          <w:bCs/>
          <w:sz w:val="21"/>
          <w:szCs w:val="21"/>
        </w:rPr>
        <w:t>年县城五条河截污治理工程项目支出</w:t>
      </w:r>
    </w:p>
    <w:p>
      <w:pPr>
        <w:spacing w:line="240" w:lineRule="auto"/>
        <w:ind w:firstLine="0" w:firstLineChars="0"/>
        <w:jc w:val="center"/>
        <w:rPr>
          <w:rFonts w:ascii="黑体" w:hAnsi="黑体" w:eastAsia="黑体" w:cs="黑体"/>
          <w:bCs/>
          <w:sz w:val="32"/>
          <w:szCs w:val="32"/>
        </w:rPr>
      </w:pPr>
      <w:r>
        <w:rPr>
          <w:rFonts w:hint="eastAsia" w:ascii="黑体" w:hAnsi="黑体" w:eastAsia="黑体" w:cs="黑体"/>
          <w:bCs/>
          <w:sz w:val="32"/>
          <w:szCs w:val="32"/>
        </w:rPr>
        <w:t>绩效评价报告</w:t>
      </w:r>
    </w:p>
    <w:p>
      <w:pPr>
        <w:spacing w:line="240" w:lineRule="auto"/>
        <w:ind w:firstLine="0" w:firstLineChars="0"/>
        <w:jc w:val="center"/>
        <w:rPr>
          <w:rFonts w:ascii="宋体" w:hAnsi="宋体" w:eastAsia="宋体"/>
          <w:sz w:val="18"/>
          <w:szCs w:val="18"/>
        </w:rPr>
      </w:pPr>
      <w:r>
        <w:rPr>
          <w:rFonts w:hint="eastAsia" w:ascii="宋体" w:hAnsi="宋体" w:eastAsia="宋体"/>
          <w:sz w:val="18"/>
          <w:szCs w:val="18"/>
        </w:rPr>
        <w:t>云京健专审字（202</w:t>
      </w:r>
      <w:r>
        <w:rPr>
          <w:rFonts w:ascii="宋体" w:hAnsi="宋体" w:eastAsia="宋体"/>
          <w:sz w:val="18"/>
          <w:szCs w:val="18"/>
        </w:rPr>
        <w:t>3</w:t>
      </w:r>
      <w:r>
        <w:rPr>
          <w:rFonts w:hint="eastAsia" w:ascii="宋体" w:hAnsi="宋体" w:eastAsia="宋体"/>
          <w:sz w:val="18"/>
          <w:szCs w:val="18"/>
        </w:rPr>
        <w:t>）第</w:t>
      </w:r>
      <w:r>
        <w:rPr>
          <w:rFonts w:hint="eastAsia" w:ascii="宋体" w:hAnsi="宋体" w:eastAsia="宋体"/>
          <w:sz w:val="18"/>
          <w:szCs w:val="18"/>
          <w:lang w:val="en-US" w:eastAsia="zh-CN"/>
        </w:rPr>
        <w:t>071</w:t>
      </w:r>
      <w:r>
        <w:rPr>
          <w:rFonts w:hint="eastAsia" w:ascii="宋体" w:hAnsi="宋体" w:eastAsia="宋体"/>
          <w:sz w:val="18"/>
          <w:szCs w:val="18"/>
        </w:rPr>
        <w:t>号</w:t>
      </w:r>
    </w:p>
    <w:p>
      <w:pPr>
        <w:ind w:firstLine="0" w:firstLineChars="0"/>
        <w:rPr>
          <w:rFonts w:ascii="宋体" w:hAnsi="宋体" w:eastAsia="宋体" w:cs="宋体"/>
          <w:b/>
          <w:szCs w:val="24"/>
        </w:rPr>
      </w:pPr>
      <w:r>
        <w:rPr>
          <w:rFonts w:hint="eastAsia" w:ascii="宋体" w:hAnsi="宋体" w:eastAsia="宋体" w:cs="宋体"/>
          <w:b/>
          <w:szCs w:val="24"/>
        </w:rPr>
        <w:t>寻甸回族彝族自治县财政局：</w:t>
      </w:r>
    </w:p>
    <w:p>
      <w:pPr>
        <w:ind w:firstLine="480"/>
      </w:pPr>
      <w:r>
        <w:rPr>
          <w:rFonts w:hint="eastAsia"/>
        </w:rPr>
        <w:t>我们接受委托，根据</w:t>
      </w:r>
      <w:bookmarkStart w:id="2" w:name="_Hlk143855331"/>
      <w:r>
        <w:rPr>
          <w:rFonts w:hint="eastAsia"/>
        </w:rPr>
        <w:t>《关于全面推进预算绩效管理改革的实施意见》（寻政发〔</w:t>
      </w:r>
      <w:r>
        <w:t>2016〕122号）</w:t>
      </w:r>
      <w:bookmarkEnd w:id="2"/>
      <w:r>
        <w:t>、《关于印发寻甸回族彝族自治县预算绩效管理工作考核办法（试行）的通知》（寻政办发〔2016〕79号）、《关于明确预算绩效管理工作职责的通知》（寻财〔2020〕5号）和</w:t>
      </w:r>
      <w:bookmarkStart w:id="3" w:name="_Hlk143855269"/>
      <w:r>
        <w:t>《关于2022年度部门整体支出、重大项目支出和地方政府债券项目支出绩效再评价的通知》（寻财绩〔2023〕5号）</w:t>
      </w:r>
      <w:bookmarkEnd w:id="3"/>
      <w:r>
        <w:rPr>
          <w:rFonts w:hint="eastAsia"/>
        </w:rPr>
        <w:t>等文件要求，组成审计评价组对寻甸回族彝族自治县住房和城乡建设局202</w:t>
      </w:r>
      <w:r>
        <w:t>2</w:t>
      </w:r>
      <w:r>
        <w:rPr>
          <w:rFonts w:hint="eastAsia"/>
        </w:rPr>
        <w:t>年县城五条河（兔耳河、北门河、西门河、四清河、三月三河）截污治理工程项目补助资金（以下简称“项目”）的管理、使用及效益情况进行了绩效评价。寻甸回族彝族自治县住房和城乡建设局（以下简称“住建局”）对所提供评价资料的真实性、完整性负责。现将绩效评价情况报告如下：</w:t>
      </w:r>
      <w:bookmarkStart w:id="4" w:name="_Toc502134848"/>
    </w:p>
    <w:p>
      <w:pPr>
        <w:ind w:firstLine="480"/>
        <w:rPr>
          <w:rFonts w:ascii="黑体" w:hAnsi="黑体" w:eastAsia="黑体" w:cs="黑体"/>
          <w:szCs w:val="24"/>
        </w:rPr>
      </w:pPr>
      <w:r>
        <w:rPr>
          <w:rFonts w:hint="eastAsia" w:ascii="黑体" w:hAnsi="黑体" w:eastAsia="黑体" w:cs="黑体"/>
          <w:szCs w:val="24"/>
        </w:rPr>
        <w:t>一、基本情况</w:t>
      </w:r>
      <w:bookmarkEnd w:id="4"/>
      <w:bookmarkStart w:id="5" w:name="_Toc502134849"/>
    </w:p>
    <w:p>
      <w:pPr>
        <w:ind w:firstLine="480"/>
        <w:rPr>
          <w:rFonts w:ascii="楷体" w:hAnsi="楷体" w:eastAsia="楷体" w:cs="楷体"/>
          <w:szCs w:val="24"/>
        </w:rPr>
      </w:pPr>
      <w:r>
        <w:rPr>
          <w:rFonts w:hint="eastAsia" w:ascii="楷体" w:hAnsi="楷体" w:eastAsia="楷体" w:cs="楷体"/>
          <w:szCs w:val="24"/>
        </w:rPr>
        <w:t>(一)项目概况</w:t>
      </w:r>
      <w:bookmarkEnd w:id="5"/>
    </w:p>
    <w:p>
      <w:pPr>
        <w:ind w:firstLine="480"/>
        <w:rPr>
          <w:rFonts w:cs="仿宋"/>
          <w:szCs w:val="24"/>
        </w:rPr>
      </w:pPr>
      <w:r>
        <w:rPr>
          <w:rFonts w:hint="eastAsia" w:cs="仿宋"/>
          <w:szCs w:val="24"/>
        </w:rPr>
        <w:t>1.项目设定背景、目的</w:t>
      </w:r>
    </w:p>
    <w:p>
      <w:pPr>
        <w:ind w:firstLine="480"/>
        <w:rPr>
          <w:rFonts w:cs="仿宋"/>
          <w:szCs w:val="24"/>
        </w:rPr>
      </w:pPr>
      <w:r>
        <w:rPr>
          <w:rFonts w:cs="仿宋"/>
          <w:szCs w:val="24"/>
        </w:rPr>
        <w:t>为贯彻落实党的二十大关于推动绿色发展，促进人与自然和谐共生的思想，加强市容环境“治脏”“治乱”“治差”“治堵”“美化”“亮化”“净化”“绿化”等各项整治工作，</w:t>
      </w:r>
      <w:r>
        <w:rPr>
          <w:rFonts w:hint="eastAsia" w:cs="仿宋"/>
          <w:szCs w:val="24"/>
        </w:rPr>
        <w:t>支持生态文明建设排头兵、打好污染防治攻坚战，</w:t>
      </w:r>
      <w:r>
        <w:rPr>
          <w:rFonts w:cs="仿宋"/>
          <w:szCs w:val="24"/>
        </w:rPr>
        <w:t>使市容环境更加干净整洁、城市景观更加亮丽迷人、出行条件更加舒适便捷、人居环境更加温馨，</w:t>
      </w:r>
      <w:r>
        <w:rPr>
          <w:rFonts w:hint="eastAsia" w:cs="仿宋"/>
          <w:szCs w:val="24"/>
        </w:rPr>
        <w:t>为解决县城老城区雨污合流及污水收集等问题，据《寻甸回族彝族自治县第十六届人民政府第五十六次常务会议纪要》等文件要求，县政府决定实施寻甸县城西门河、兔耳河、北门河、四清河、三月三河</w:t>
      </w:r>
      <w:r>
        <w:rPr>
          <w:rFonts w:cs="仿宋"/>
          <w:szCs w:val="24"/>
        </w:rPr>
        <w:t>5条河道治理工程，</w:t>
      </w:r>
      <w:r>
        <w:rPr>
          <w:rFonts w:hint="eastAsia" w:cs="仿宋"/>
          <w:szCs w:val="24"/>
        </w:rPr>
        <w:t>通过实施河道截污治理提升改造、雨污分流等工程项目，进一步完善城镇功能配套设施，改善城镇排水系统，既有效解决汛期淹积水问题，保障居民出行及财产安全，又减少入河污染负荷、改善水质及周边环境，彻底遏制黑臭水体出现，夯实文明城市、生态文明示范县，卫生县城、园林县城基础，持续提升城乡人居环境，逐步增强人民群众幸福感、获得感。</w:t>
      </w:r>
    </w:p>
    <w:p>
      <w:pPr>
        <w:ind w:firstLine="480"/>
        <w:rPr>
          <w:rFonts w:cs="仿宋"/>
          <w:szCs w:val="24"/>
        </w:rPr>
        <w:sectPr>
          <w:footerReference r:id="rId9" w:type="default"/>
          <w:pgSz w:w="11906" w:h="16838"/>
          <w:pgMar w:top="1440" w:right="1803" w:bottom="1440" w:left="1803" w:header="1020" w:footer="992" w:gutter="0"/>
          <w:pgBorders>
            <w:top w:val="single" w:color="auto" w:sz="4" w:space="1"/>
            <w:bottom w:val="single" w:color="auto" w:sz="4" w:space="1"/>
          </w:pgBorders>
          <w:pgNumType w:start="1"/>
          <w:cols w:space="425" w:num="1"/>
          <w:docGrid w:type="lines" w:linePitch="312" w:charSpace="0"/>
        </w:sectPr>
      </w:pPr>
    </w:p>
    <w:p>
      <w:pPr>
        <w:ind w:firstLine="480"/>
        <w:rPr>
          <w:rFonts w:cs="仿宋"/>
          <w:color w:val="FF0000"/>
          <w:szCs w:val="24"/>
        </w:rPr>
      </w:pPr>
      <w:r>
        <w:rPr>
          <w:rFonts w:hint="eastAsia" w:cs="仿宋"/>
          <w:szCs w:val="24"/>
        </w:rPr>
        <w:t>2.项目立项依据</w:t>
      </w:r>
    </w:p>
    <w:p>
      <w:pPr>
        <w:ind w:firstLine="480"/>
        <w:rPr>
          <w:rFonts w:cs="仿宋"/>
          <w:szCs w:val="24"/>
        </w:rPr>
      </w:pPr>
      <w:bookmarkStart w:id="6" w:name="_Hlk114838304"/>
      <w:bookmarkStart w:id="7" w:name="_Toc502134850"/>
      <w:r>
        <w:rPr>
          <w:rFonts w:hint="eastAsia" w:cs="仿宋"/>
          <w:szCs w:val="24"/>
        </w:rPr>
        <w:t>(1)</w:t>
      </w:r>
      <w:bookmarkEnd w:id="6"/>
      <w:r>
        <w:rPr>
          <w:rFonts w:hint="eastAsia" w:cs="仿宋"/>
          <w:szCs w:val="24"/>
        </w:rPr>
        <w:t>《中华人民共和国水污染防治法》；</w:t>
      </w:r>
    </w:p>
    <w:p>
      <w:pPr>
        <w:ind w:firstLine="480"/>
        <w:rPr>
          <w:rFonts w:cs="仿宋"/>
          <w:color w:val="FF0000"/>
          <w:szCs w:val="24"/>
        </w:rPr>
      </w:pPr>
      <w:r>
        <w:rPr>
          <w:rFonts w:cs="仿宋"/>
          <w:szCs w:val="24"/>
        </w:rPr>
        <w:t>(2)</w:t>
      </w:r>
      <w:r>
        <w:rPr>
          <w:rFonts w:hint="eastAsia" w:cs="仿宋"/>
          <w:szCs w:val="24"/>
        </w:rPr>
        <w:t>《中华人民共和国河道管理条例》；</w:t>
      </w:r>
    </w:p>
    <w:p>
      <w:pPr>
        <w:ind w:firstLine="480"/>
        <w:rPr>
          <w:rFonts w:cs="仿宋"/>
          <w:szCs w:val="24"/>
        </w:rPr>
      </w:pPr>
      <w:r>
        <w:rPr>
          <w:rFonts w:cs="仿宋"/>
          <w:szCs w:val="24"/>
        </w:rPr>
        <w:t>(3)</w:t>
      </w:r>
      <w:r>
        <w:rPr>
          <w:rFonts w:hint="eastAsia" w:cs="仿宋"/>
          <w:szCs w:val="24"/>
        </w:rPr>
        <w:t>《昆明市人民政府关于加强环境卫生管理工作的实施意见》；</w:t>
      </w:r>
    </w:p>
    <w:p>
      <w:pPr>
        <w:ind w:firstLine="480"/>
        <w:rPr>
          <w:rFonts w:cs="仿宋"/>
          <w:szCs w:val="24"/>
        </w:rPr>
      </w:pPr>
      <w:r>
        <w:rPr>
          <w:rFonts w:cs="仿宋"/>
          <w:szCs w:val="24"/>
        </w:rPr>
        <w:t>(4)</w:t>
      </w:r>
      <w:r>
        <w:rPr>
          <w:rFonts w:hint="eastAsia" w:cs="仿宋"/>
          <w:szCs w:val="24"/>
        </w:rPr>
        <w:t>《关于寻甸县生态文明示范创建项目立项的批复》；</w:t>
      </w:r>
    </w:p>
    <w:p>
      <w:pPr>
        <w:ind w:firstLine="480"/>
        <w:rPr>
          <w:rFonts w:cs="仿宋"/>
          <w:szCs w:val="24"/>
        </w:rPr>
      </w:pPr>
      <w:r>
        <w:rPr>
          <w:rFonts w:hint="eastAsia" w:cs="仿宋"/>
          <w:szCs w:val="24"/>
        </w:rPr>
        <w:t>(</w:t>
      </w:r>
      <w:r>
        <w:rPr>
          <w:rFonts w:cs="仿宋"/>
          <w:szCs w:val="24"/>
        </w:rPr>
        <w:t>5)</w:t>
      </w:r>
      <w:r>
        <w:rPr>
          <w:rFonts w:hint="eastAsia" w:cs="仿宋"/>
          <w:szCs w:val="24"/>
        </w:rPr>
        <w:t>《寻甸回族彝族自治县第十六届人民政府第五十六次常务会议纪要》；</w:t>
      </w:r>
    </w:p>
    <w:p>
      <w:pPr>
        <w:ind w:firstLine="480"/>
        <w:rPr>
          <w:rFonts w:cs="仿宋"/>
          <w:szCs w:val="24"/>
        </w:rPr>
      </w:pPr>
      <w:r>
        <w:rPr>
          <w:rFonts w:cs="仿宋"/>
          <w:szCs w:val="24"/>
        </w:rPr>
        <w:t>(6)</w:t>
      </w:r>
      <w:r>
        <w:rPr>
          <w:rFonts w:hint="eastAsia" w:cs="仿宋"/>
          <w:szCs w:val="24"/>
        </w:rPr>
        <w:t>《寻甸回族彝族自治县人民政府关于印发寻甸县城镇污水治理等提升人居环境重点项目建设实施方案的通知》。</w:t>
      </w:r>
    </w:p>
    <w:p>
      <w:pPr>
        <w:ind w:firstLine="480"/>
        <w:rPr>
          <w:rFonts w:ascii="楷体" w:hAnsi="楷体" w:eastAsia="楷体" w:cs="楷体"/>
          <w:szCs w:val="24"/>
        </w:rPr>
      </w:pPr>
      <w:r>
        <w:rPr>
          <w:rFonts w:hint="eastAsia" w:ascii="楷体" w:hAnsi="楷体" w:eastAsia="楷体" w:cs="楷体"/>
          <w:szCs w:val="24"/>
        </w:rPr>
        <w:t>(二)项目资金安排情况</w:t>
      </w:r>
      <w:bookmarkEnd w:id="7"/>
    </w:p>
    <w:p>
      <w:pPr>
        <w:ind w:firstLine="480"/>
        <w:rPr>
          <w:rFonts w:cs="仿宋"/>
          <w:szCs w:val="24"/>
        </w:rPr>
      </w:pPr>
      <w:bookmarkStart w:id="8" w:name="_Toc502134851"/>
      <w:r>
        <w:rPr>
          <w:rFonts w:hint="eastAsia" w:cs="仿宋"/>
          <w:szCs w:val="24"/>
        </w:rPr>
        <w:t>根据</w:t>
      </w:r>
      <w:bookmarkStart w:id="9" w:name="_Hlk144904765"/>
      <w:r>
        <w:rPr>
          <w:rFonts w:hint="eastAsia" w:cs="仿宋"/>
          <w:szCs w:val="24"/>
        </w:rPr>
        <w:t>《寻甸回族彝族自治县发展和改革局关于寻甸县县城河道（兔耳河、北门河、</w:t>
      </w:r>
      <w:r>
        <w:rPr>
          <w:rFonts w:hint="eastAsia"/>
        </w:rPr>
        <w:t>西门河、四清河、</w:t>
      </w:r>
      <w:r>
        <w:rPr>
          <w:rFonts w:hint="eastAsia" w:cs="仿宋"/>
          <w:szCs w:val="24"/>
        </w:rPr>
        <w:t>三月三河）流域水环境污染综合治理工程可行性研究批复的报告》（寻发改投资〔</w:t>
      </w:r>
      <w:r>
        <w:rPr>
          <w:rFonts w:cs="仿宋"/>
          <w:szCs w:val="24"/>
        </w:rPr>
        <w:t>2020〕100号）</w:t>
      </w:r>
      <w:bookmarkEnd w:id="9"/>
      <w:r>
        <w:rPr>
          <w:rFonts w:cs="仿宋"/>
          <w:szCs w:val="24"/>
        </w:rPr>
        <w:t>，项目总投资2925.88万元</w:t>
      </w:r>
      <w:r>
        <w:rPr>
          <w:rFonts w:hint="eastAsia" w:cs="仿宋"/>
          <w:szCs w:val="24"/>
        </w:rPr>
        <w:t>，资金来源为积极争取上级资金。</w:t>
      </w:r>
    </w:p>
    <w:p>
      <w:pPr>
        <w:ind w:firstLine="480"/>
        <w:rPr>
          <w:rFonts w:cs="仿宋"/>
          <w:szCs w:val="24"/>
        </w:rPr>
      </w:pPr>
      <w:r>
        <w:rPr>
          <w:rFonts w:hint="eastAsia" w:cs="仿宋"/>
          <w:szCs w:val="24"/>
        </w:rPr>
        <w:t>根据《关于下达</w:t>
      </w:r>
      <w:r>
        <w:rPr>
          <w:rFonts w:cs="仿宋"/>
          <w:szCs w:val="24"/>
        </w:rPr>
        <w:t>2021年市级生态文明建设资金支出预算的通知》（寻财预〔2022〕29号），项目</w:t>
      </w:r>
      <w:r>
        <w:rPr>
          <w:rFonts w:hint="eastAsia" w:cs="仿宋"/>
          <w:szCs w:val="24"/>
        </w:rPr>
        <w:t>到位</w:t>
      </w:r>
      <w:r>
        <w:rPr>
          <w:rFonts w:cs="仿宋"/>
          <w:szCs w:val="24"/>
        </w:rPr>
        <w:t>预算资金</w:t>
      </w:r>
      <w:r>
        <w:rPr>
          <w:rFonts w:hint="eastAsia" w:cs="仿宋"/>
          <w:szCs w:val="24"/>
        </w:rPr>
        <w:t>1</w:t>
      </w:r>
      <w:r>
        <w:rPr>
          <w:rFonts w:cs="仿宋"/>
          <w:szCs w:val="24"/>
        </w:rPr>
        <w:t>2,000,000.00元，根据提供项目支出明细表，截至2022年12月31日，共计支付相关费用250万元，结余项目资金950</w:t>
      </w:r>
      <w:r>
        <w:rPr>
          <w:rFonts w:hint="eastAsia" w:cs="仿宋"/>
          <w:szCs w:val="24"/>
        </w:rPr>
        <w:t>万</w:t>
      </w:r>
      <w:r>
        <w:rPr>
          <w:rFonts w:cs="仿宋"/>
          <w:szCs w:val="24"/>
        </w:rPr>
        <w:t>元。</w:t>
      </w:r>
    </w:p>
    <w:p>
      <w:pPr>
        <w:ind w:firstLine="480"/>
        <w:rPr>
          <w:rFonts w:ascii="楷体" w:hAnsi="楷体" w:eastAsia="楷体" w:cs="楷体"/>
          <w:szCs w:val="24"/>
        </w:rPr>
      </w:pPr>
      <w:r>
        <w:rPr>
          <w:rFonts w:hint="eastAsia" w:ascii="楷体" w:hAnsi="楷体" w:eastAsia="楷体" w:cs="楷体"/>
          <w:szCs w:val="24"/>
        </w:rPr>
        <w:t>(三)项目实施内容</w:t>
      </w:r>
      <w:bookmarkEnd w:id="8"/>
    </w:p>
    <w:p>
      <w:pPr>
        <w:ind w:firstLine="480"/>
        <w:rPr>
          <w:rFonts w:cs="仿宋"/>
          <w:szCs w:val="24"/>
        </w:rPr>
      </w:pPr>
      <w:bookmarkStart w:id="10" w:name="_Toc502134852"/>
      <w:r>
        <w:rPr>
          <w:rFonts w:hint="eastAsia" w:cs="仿宋"/>
          <w:szCs w:val="24"/>
        </w:rPr>
        <w:t>根据</w:t>
      </w:r>
      <w:bookmarkStart w:id="11" w:name="_Hlk144916223"/>
      <w:r>
        <w:rPr>
          <w:rFonts w:hint="eastAsia" w:cs="仿宋"/>
          <w:szCs w:val="24"/>
        </w:rPr>
        <w:t>《寻甸回族彝族自治县发展和改革局关于寻甸县县城河道</w:t>
      </w:r>
      <w:bookmarkStart w:id="12" w:name="_Hlk144905504"/>
      <w:r>
        <w:rPr>
          <w:rFonts w:hint="eastAsia" w:cs="仿宋"/>
          <w:szCs w:val="24"/>
        </w:rPr>
        <w:t>（兔耳河、北门河、西门河、四清河、三月三河）</w:t>
      </w:r>
      <w:bookmarkEnd w:id="12"/>
      <w:r>
        <w:rPr>
          <w:rFonts w:hint="eastAsia" w:cs="仿宋"/>
          <w:szCs w:val="24"/>
        </w:rPr>
        <w:t>流域水环境污染综合治理工程可行性研究批复的报告》（寻发改投资〔</w:t>
      </w:r>
      <w:r>
        <w:rPr>
          <w:rFonts w:cs="仿宋"/>
          <w:szCs w:val="24"/>
        </w:rPr>
        <w:t>2020〕100号）</w:t>
      </w:r>
      <w:bookmarkEnd w:id="11"/>
      <w:r>
        <w:rPr>
          <w:rFonts w:hint="eastAsia" w:cs="仿宋"/>
          <w:szCs w:val="24"/>
        </w:rPr>
        <w:t>，</w:t>
      </w:r>
      <w:bookmarkStart w:id="13" w:name="_Hlk143940306"/>
      <w:r>
        <w:rPr>
          <w:rFonts w:hint="eastAsia" w:cs="仿宋"/>
          <w:szCs w:val="24"/>
        </w:rPr>
        <w:t>项目实施内容</w:t>
      </w:r>
      <w:bookmarkEnd w:id="13"/>
      <w:r>
        <w:rPr>
          <w:rFonts w:hint="eastAsia" w:cs="仿宋"/>
          <w:szCs w:val="24"/>
        </w:rPr>
        <w:t>为：</w:t>
      </w:r>
    </w:p>
    <w:p>
      <w:pPr>
        <w:ind w:firstLine="480"/>
        <w:rPr>
          <w:rFonts w:cs="仿宋"/>
          <w:szCs w:val="24"/>
        </w:rPr>
      </w:pPr>
      <w:r>
        <w:rPr>
          <w:rFonts w:hint="eastAsia" w:cs="仿宋"/>
          <w:szCs w:val="24"/>
        </w:rPr>
        <w:t>1</w:t>
      </w:r>
      <w:r>
        <w:rPr>
          <w:rFonts w:cs="仿宋"/>
          <w:szCs w:val="24"/>
        </w:rPr>
        <w:t>.</w:t>
      </w:r>
      <w:r>
        <w:rPr>
          <w:rFonts w:hint="eastAsia" w:cs="仿宋"/>
          <w:szCs w:val="24"/>
        </w:rPr>
        <w:t>新建</w:t>
      </w:r>
      <w:r>
        <w:rPr>
          <w:rFonts w:cs="仿宋"/>
          <w:szCs w:val="24"/>
        </w:rPr>
        <w:t>D300污水管1594m，D400污水管2042m，D500污水管2154m,D800污水管1345m</w:t>
      </w:r>
      <w:r>
        <w:rPr>
          <w:rFonts w:hint="eastAsia" w:cs="仿宋"/>
          <w:szCs w:val="24"/>
        </w:rPr>
        <w:t>；</w:t>
      </w:r>
      <w:r>
        <w:rPr>
          <w:rFonts w:cs="仿宋"/>
          <w:szCs w:val="24"/>
        </w:rPr>
        <w:t>对北门河，西门河，兔耳河，四清河，三月三溢洪道进行清淤，清淤量为25800m</w:t>
      </w:r>
      <w:r>
        <w:rPr>
          <w:rFonts w:ascii="Calibri" w:hAnsi="Calibri" w:cs="Calibri"/>
          <w:szCs w:val="24"/>
        </w:rPr>
        <w:t>³</w:t>
      </w:r>
      <w:r>
        <w:rPr>
          <w:rFonts w:cs="仿宋"/>
          <w:szCs w:val="24"/>
        </w:rPr>
        <w:t>。</w:t>
      </w:r>
    </w:p>
    <w:p>
      <w:pPr>
        <w:ind w:firstLine="480"/>
        <w:rPr>
          <w:rFonts w:cs="仿宋"/>
          <w:szCs w:val="24"/>
        </w:rPr>
      </w:pPr>
      <w:r>
        <w:rPr>
          <w:rFonts w:cs="仿宋"/>
          <w:szCs w:val="24"/>
        </w:rPr>
        <w:t>2.四清河提升改造940m（至月华路东延长线）</w:t>
      </w:r>
      <w:r>
        <w:rPr>
          <w:rFonts w:hint="eastAsia" w:cs="仿宋"/>
          <w:szCs w:val="24"/>
        </w:rPr>
        <w:t>。</w:t>
      </w:r>
    </w:p>
    <w:p>
      <w:pPr>
        <w:ind w:firstLine="480"/>
        <w:rPr>
          <w:rFonts w:cs="仿宋"/>
          <w:szCs w:val="24"/>
        </w:rPr>
      </w:pPr>
      <w:bookmarkStart w:id="14" w:name="_Hlk144920166"/>
      <w:r>
        <w:rPr>
          <w:rFonts w:hint="eastAsia" w:cs="仿宋"/>
          <w:szCs w:val="24"/>
        </w:rPr>
        <w:t>住建局作为主管部门、寻甸城乡投资开发集团有限公司作为对外发包主体，按照政府采购管理规定，通过公开招投标的方式确定</w:t>
      </w:r>
      <w:bookmarkStart w:id="15" w:name="_Hlk143854507"/>
      <w:r>
        <w:rPr>
          <w:rFonts w:hint="eastAsia" w:cs="仿宋"/>
          <w:szCs w:val="24"/>
        </w:rPr>
        <w:t>云南建投第五建设有限公司</w:t>
      </w:r>
      <w:bookmarkEnd w:id="15"/>
      <w:r>
        <w:rPr>
          <w:rFonts w:hint="eastAsia" w:cs="仿宋"/>
          <w:szCs w:val="24"/>
        </w:rPr>
        <w:t>、昆明市规划设计研究院、云南省城乡规划设计研究院、云南城市规划建筑设计院（集团）有限公司为项目EPC总承包单位</w:t>
      </w:r>
      <w:bookmarkEnd w:id="14"/>
      <w:r>
        <w:rPr>
          <w:rFonts w:hint="eastAsia" w:cs="仿宋"/>
          <w:szCs w:val="24"/>
        </w:rPr>
        <w:t>。</w:t>
      </w:r>
    </w:p>
    <w:p>
      <w:pPr>
        <w:ind w:firstLine="480"/>
        <w:rPr>
          <w:rFonts w:ascii="楷体" w:hAnsi="楷体" w:eastAsia="楷体" w:cs="楷体"/>
          <w:szCs w:val="24"/>
        </w:rPr>
      </w:pPr>
      <w:r>
        <w:rPr>
          <w:rFonts w:hint="eastAsia" w:ascii="楷体" w:hAnsi="楷体" w:eastAsia="楷体" w:cs="楷体"/>
          <w:szCs w:val="24"/>
        </w:rPr>
        <w:t>(四)项目绩效目标设定情况</w:t>
      </w:r>
      <w:bookmarkEnd w:id="10"/>
    </w:p>
    <w:p>
      <w:pPr>
        <w:ind w:firstLine="480"/>
        <w:rPr>
          <w:rFonts w:cs="仿宋"/>
          <w:szCs w:val="24"/>
        </w:rPr>
      </w:pPr>
      <w:r>
        <w:rPr>
          <w:rFonts w:hint="eastAsia" w:cs="仿宋"/>
          <w:szCs w:val="24"/>
        </w:rPr>
        <w:t>住建局根据上述项目实施内容，设定了项目总体目标和年度目标。</w:t>
      </w:r>
    </w:p>
    <w:p>
      <w:pPr>
        <w:ind w:firstLine="480"/>
        <w:rPr>
          <w:rFonts w:cs="仿宋"/>
          <w:szCs w:val="24"/>
        </w:rPr>
      </w:pPr>
      <w:r>
        <w:rPr>
          <w:rFonts w:hint="eastAsia" w:cs="仿宋"/>
          <w:szCs w:val="24"/>
        </w:rPr>
        <w:t>总体目标：</w:t>
      </w:r>
      <w:bookmarkStart w:id="16" w:name="_Hlk144905852"/>
      <w:r>
        <w:rPr>
          <w:rFonts w:hint="eastAsia" w:cs="仿宋"/>
          <w:szCs w:val="24"/>
        </w:rPr>
        <w:t>2</w:t>
      </w:r>
      <w:r>
        <w:rPr>
          <w:rFonts w:cs="仿宋"/>
          <w:szCs w:val="24"/>
        </w:rPr>
        <w:t>022</w:t>
      </w:r>
      <w:r>
        <w:rPr>
          <w:rFonts w:hint="eastAsia" w:cs="仿宋"/>
          <w:szCs w:val="24"/>
        </w:rPr>
        <w:t>年至2</w:t>
      </w:r>
      <w:r>
        <w:rPr>
          <w:rFonts w:cs="仿宋"/>
          <w:szCs w:val="24"/>
        </w:rPr>
        <w:t>024</w:t>
      </w:r>
      <w:r>
        <w:rPr>
          <w:rFonts w:hint="eastAsia" w:cs="仿宋"/>
          <w:szCs w:val="24"/>
        </w:rPr>
        <w:t>年完成</w:t>
      </w:r>
      <w:bookmarkStart w:id="17" w:name="_Hlk143940227"/>
      <w:bookmarkStart w:id="18" w:name="_Hlk144910362"/>
      <w:r>
        <w:rPr>
          <w:rFonts w:hint="eastAsia" w:cs="仿宋"/>
          <w:szCs w:val="24"/>
        </w:rPr>
        <w:t>五条河（兔耳河、北门河、西门河、四清河、三月三河）截污治理</w:t>
      </w:r>
      <w:bookmarkEnd w:id="17"/>
      <w:r>
        <w:rPr>
          <w:rFonts w:hint="eastAsia" w:cs="仿宋"/>
          <w:szCs w:val="24"/>
        </w:rPr>
        <w:t>工程</w:t>
      </w:r>
      <w:bookmarkEnd w:id="18"/>
      <w:r>
        <w:rPr>
          <w:rFonts w:hint="eastAsia" w:cs="仿宋"/>
          <w:szCs w:val="24"/>
        </w:rPr>
        <w:t>。</w:t>
      </w:r>
      <w:bookmarkEnd w:id="16"/>
    </w:p>
    <w:p>
      <w:pPr>
        <w:ind w:firstLine="480"/>
        <w:rPr>
          <w:rFonts w:cs="仿宋"/>
          <w:szCs w:val="24"/>
        </w:rPr>
      </w:pPr>
      <w:r>
        <w:rPr>
          <w:rFonts w:hint="eastAsia" w:cs="仿宋"/>
          <w:szCs w:val="24"/>
        </w:rPr>
        <w:t>年度目标：</w:t>
      </w:r>
      <w:r>
        <w:rPr>
          <w:rFonts w:cs="仿宋"/>
          <w:szCs w:val="24"/>
        </w:rPr>
        <w:t>2022年至2024年完成五条河（兔耳河、北门河、西门河、四清河、三月三河）截污治理工程</w:t>
      </w:r>
      <w:r>
        <w:rPr>
          <w:rFonts w:hint="eastAsia" w:cs="仿宋"/>
          <w:szCs w:val="24"/>
        </w:rPr>
        <w:t>。</w:t>
      </w:r>
    </w:p>
    <w:p>
      <w:pPr>
        <w:spacing w:after="312" w:afterLines="100"/>
        <w:ind w:firstLine="480"/>
      </w:pPr>
      <w:r>
        <w:rPr>
          <w:rFonts w:hint="eastAsia" w:cs="仿宋"/>
          <w:szCs w:val="24"/>
        </w:rPr>
        <w:t>根据上述项目年度目标，住建局申报的年度预算绩效指标及指标值的具体情况如下：</w:t>
      </w:r>
    </w:p>
    <w:tbl>
      <w:tblPr>
        <w:tblStyle w:val="7"/>
        <w:tblW w:w="84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294"/>
        <w:gridCol w:w="1985"/>
        <w:gridCol w:w="2794"/>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550" w:type="dxa"/>
            <w:vMerge w:val="restar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bookmarkStart w:id="19" w:name="_Hlk144923174"/>
            <w:r>
              <w:rPr>
                <w:rFonts w:hint="eastAsia" w:asciiTheme="minorEastAsia" w:hAnsiTheme="minorEastAsia" w:eastAsiaTheme="minorEastAsia" w:cstheme="minorEastAsia"/>
                <w:color w:val="000000"/>
                <w:kern w:val="0"/>
                <w:sz w:val="18"/>
                <w:szCs w:val="18"/>
              </w:rPr>
              <w:t>绩效指标</w:t>
            </w:r>
          </w:p>
        </w:tc>
        <w:tc>
          <w:tcPr>
            <w:tcW w:w="1294"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一级指标</w:t>
            </w:r>
          </w:p>
        </w:tc>
        <w:tc>
          <w:tcPr>
            <w:tcW w:w="1985"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二级指标</w:t>
            </w:r>
          </w:p>
        </w:tc>
        <w:tc>
          <w:tcPr>
            <w:tcW w:w="2794"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三级指标</w:t>
            </w:r>
          </w:p>
        </w:tc>
        <w:tc>
          <w:tcPr>
            <w:tcW w:w="1782"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550" w:type="dxa"/>
            <w:vMerge w:val="continue"/>
            <w:tcBorders>
              <w:tl2br w:val="nil"/>
              <w:tr2bl w:val="nil"/>
            </w:tcBorders>
            <w:shd w:val="clear" w:color="auto" w:fill="auto"/>
            <w:vAlign w:val="center"/>
          </w:tcPr>
          <w:p>
            <w:pPr>
              <w:widowControl/>
              <w:spacing w:line="240" w:lineRule="auto"/>
              <w:ind w:firstLine="360"/>
              <w:jc w:val="center"/>
              <w:rPr>
                <w:rFonts w:asciiTheme="minorEastAsia" w:hAnsiTheme="minorEastAsia" w:eastAsiaTheme="minorEastAsia" w:cstheme="minorEastAsia"/>
                <w:color w:val="000000"/>
                <w:kern w:val="0"/>
                <w:sz w:val="18"/>
                <w:szCs w:val="18"/>
                <w:highlight w:val="yellow"/>
              </w:rPr>
            </w:pPr>
          </w:p>
        </w:tc>
        <w:tc>
          <w:tcPr>
            <w:tcW w:w="1294"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产出指标</w:t>
            </w:r>
          </w:p>
        </w:tc>
        <w:tc>
          <w:tcPr>
            <w:tcW w:w="1985"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成本指标</w:t>
            </w:r>
          </w:p>
        </w:tc>
        <w:tc>
          <w:tcPr>
            <w:tcW w:w="2794" w:type="dxa"/>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截污治理工程成本</w:t>
            </w:r>
          </w:p>
        </w:tc>
        <w:tc>
          <w:tcPr>
            <w:tcW w:w="1782" w:type="dxa"/>
            <w:tcBorders>
              <w:tl2br w:val="nil"/>
              <w:tr2bl w:val="nil"/>
            </w:tcBorders>
            <w:shd w:val="clear" w:color="auto" w:fill="auto"/>
            <w:vAlign w:val="center"/>
          </w:tcPr>
          <w:p>
            <w:pPr>
              <w:widowControl/>
              <w:spacing w:line="240" w:lineRule="auto"/>
              <w:ind w:firstLine="360"/>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r>
              <w:rPr>
                <w:rFonts w:asciiTheme="minorEastAsia" w:hAnsiTheme="minorEastAsia" w:eastAsiaTheme="minorEastAsia" w:cstheme="minorEastAsia"/>
                <w:color w:val="000000"/>
                <w:kern w:val="0"/>
                <w:sz w:val="18"/>
                <w:szCs w:val="18"/>
              </w:rPr>
              <w:t>1200</w:t>
            </w:r>
            <w:r>
              <w:rPr>
                <w:rFonts w:hint="eastAsia" w:asciiTheme="minorEastAsia" w:hAnsiTheme="minorEastAsia" w:eastAsiaTheme="minorEastAsia" w:cstheme="minorEastAsia"/>
                <w:color w:val="000000"/>
                <w:kern w:val="0"/>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550" w:type="dxa"/>
            <w:vMerge w:val="continue"/>
            <w:tcBorders>
              <w:tl2br w:val="nil"/>
              <w:tr2bl w:val="nil"/>
            </w:tcBorders>
            <w:shd w:val="clear" w:color="auto" w:fill="auto"/>
            <w:vAlign w:val="center"/>
          </w:tcPr>
          <w:p>
            <w:pPr>
              <w:widowControl/>
              <w:spacing w:line="240" w:lineRule="auto"/>
              <w:ind w:firstLine="360"/>
              <w:jc w:val="center"/>
              <w:rPr>
                <w:rFonts w:asciiTheme="minorEastAsia" w:hAnsiTheme="minorEastAsia" w:eastAsiaTheme="minorEastAsia" w:cstheme="minorEastAsia"/>
                <w:color w:val="000000"/>
                <w:kern w:val="0"/>
                <w:sz w:val="18"/>
                <w:szCs w:val="18"/>
                <w:highlight w:val="yellow"/>
              </w:rPr>
            </w:pPr>
          </w:p>
        </w:tc>
        <w:tc>
          <w:tcPr>
            <w:tcW w:w="1294"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效益指标</w:t>
            </w:r>
          </w:p>
        </w:tc>
        <w:tc>
          <w:tcPr>
            <w:tcW w:w="1985"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可持续影响指标</w:t>
            </w:r>
          </w:p>
        </w:tc>
        <w:tc>
          <w:tcPr>
            <w:tcW w:w="2794" w:type="dxa"/>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截污治理工程持续影响时间</w:t>
            </w:r>
          </w:p>
        </w:tc>
        <w:tc>
          <w:tcPr>
            <w:tcW w:w="1782"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550" w:type="dxa"/>
            <w:vMerge w:val="continue"/>
            <w:tcBorders>
              <w:tl2br w:val="nil"/>
              <w:tr2bl w:val="nil"/>
            </w:tcBorders>
            <w:shd w:val="clear" w:color="auto" w:fill="auto"/>
            <w:vAlign w:val="center"/>
          </w:tcPr>
          <w:p>
            <w:pPr>
              <w:widowControl/>
              <w:spacing w:line="240" w:lineRule="auto"/>
              <w:ind w:firstLine="360"/>
              <w:jc w:val="center"/>
              <w:rPr>
                <w:rFonts w:asciiTheme="minorEastAsia" w:hAnsiTheme="minorEastAsia" w:eastAsiaTheme="minorEastAsia" w:cstheme="minorEastAsia"/>
                <w:color w:val="000000"/>
                <w:kern w:val="0"/>
                <w:sz w:val="18"/>
                <w:szCs w:val="18"/>
                <w:highlight w:val="yellow"/>
              </w:rPr>
            </w:pPr>
          </w:p>
        </w:tc>
        <w:tc>
          <w:tcPr>
            <w:tcW w:w="1294" w:type="dxa"/>
            <w:tcBorders>
              <w:tl2br w:val="nil"/>
              <w:tr2bl w:val="nil"/>
            </w:tcBorders>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满意度指标</w:t>
            </w:r>
          </w:p>
        </w:tc>
        <w:tc>
          <w:tcPr>
            <w:tcW w:w="1985"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服务对象满意度指标</w:t>
            </w:r>
          </w:p>
        </w:tc>
        <w:tc>
          <w:tcPr>
            <w:tcW w:w="2794" w:type="dxa"/>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受益对象满意度</w:t>
            </w:r>
          </w:p>
        </w:tc>
        <w:tc>
          <w:tcPr>
            <w:tcW w:w="1782"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≥80%</w:t>
            </w:r>
          </w:p>
        </w:tc>
      </w:tr>
      <w:bookmarkEnd w:id="19"/>
    </w:tbl>
    <w:p>
      <w:pPr>
        <w:ind w:firstLine="480"/>
      </w:pPr>
      <w:r>
        <w:rPr>
          <w:rFonts w:hint="eastAsia"/>
        </w:rPr>
        <w:t>根据住建局提供的预算绩效目标申报表，申报表</w:t>
      </w:r>
      <w:bookmarkStart w:id="20" w:name="_Hlk144916459"/>
      <w:r>
        <w:rPr>
          <w:rFonts w:hint="eastAsia"/>
        </w:rPr>
        <w:t>填列不规范完整，设定的年度目标未清晰表述年度工作内容和数量，未充分、恰当描述项目的主要内容；设定的绩效指标不充分全面，未选取最能体现项目绩效目标实现程度和项目实施部门职能履职情况的关键的、核心的绩效指标；未通过清晰、可衡量的指标及指标值细化、量化并分解项目总体目标。</w:t>
      </w:r>
      <w:bookmarkEnd w:id="20"/>
    </w:p>
    <w:p>
      <w:pPr>
        <w:spacing w:line="240" w:lineRule="auto"/>
        <w:ind w:firstLine="480"/>
      </w:pPr>
      <w:r>
        <w:rPr>
          <w:rFonts w:hint="eastAsia"/>
        </w:rPr>
        <w:t>根据上述情况，绩效评价组在与住建局充分沟通一致后，根据项目具体实施内容，并结合本项目设定的背景、目的及依据等，将项目个性指标及指标值设定如下</w:t>
      </w:r>
      <w:r>
        <w:t>：</w:t>
      </w:r>
    </w:p>
    <w:tbl>
      <w:tblPr>
        <w:tblStyle w:val="7"/>
        <w:tblW w:w="8355" w:type="dxa"/>
        <w:tblInd w:w="0" w:type="dxa"/>
        <w:tblLayout w:type="fixed"/>
        <w:tblCellMar>
          <w:top w:w="0" w:type="dxa"/>
          <w:left w:w="0" w:type="dxa"/>
          <w:bottom w:w="0" w:type="dxa"/>
          <w:right w:w="0" w:type="dxa"/>
        </w:tblCellMar>
      </w:tblPr>
      <w:tblGrid>
        <w:gridCol w:w="1065"/>
        <w:gridCol w:w="1128"/>
        <w:gridCol w:w="2220"/>
        <w:gridCol w:w="2832"/>
        <w:gridCol w:w="1110"/>
      </w:tblGrid>
      <w:tr>
        <w:tblPrEx>
          <w:tblLayout w:type="fixed"/>
          <w:tblCellMar>
            <w:top w:w="0" w:type="dxa"/>
            <w:left w:w="0" w:type="dxa"/>
            <w:bottom w:w="0" w:type="dxa"/>
            <w:right w:w="0" w:type="dxa"/>
          </w:tblCellMar>
        </w:tblPrEx>
        <w:trPr>
          <w:cantSplit/>
          <w:trHeight w:val="387" w:hRule="exact"/>
        </w:trPr>
        <w:tc>
          <w:tcPr>
            <w:tcW w:w="106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绩</w:t>
            </w:r>
            <w:r>
              <w:rPr>
                <w:rFonts w:hint="eastAsia" w:ascii="宋体" w:hAnsi="宋体" w:eastAsia="宋体" w:cs="宋体"/>
                <w:color w:val="000000"/>
                <w:kern w:val="0"/>
                <w:sz w:val="18"/>
                <w:szCs w:val="18"/>
              </w:rPr>
              <w:t>效指标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一级指标</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二级指标</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三级指标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指标值</w:t>
            </w:r>
          </w:p>
        </w:tc>
      </w:tr>
      <w:tr>
        <w:tblPrEx>
          <w:tblLayout w:type="fixed"/>
          <w:tblCellMar>
            <w:top w:w="0" w:type="dxa"/>
            <w:left w:w="0" w:type="dxa"/>
            <w:bottom w:w="0" w:type="dxa"/>
            <w:right w:w="0" w:type="dxa"/>
          </w:tblCellMar>
        </w:tblPrEx>
        <w:trPr>
          <w:cantSplit/>
          <w:trHeight w:val="393"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效益指标</w:t>
            </w:r>
          </w:p>
        </w:tc>
        <w:tc>
          <w:tcPr>
            <w:tcW w:w="22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经济效益指标</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建安工程费用偏差率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w:t>
            </w:r>
            <w:r>
              <w:rPr>
                <w:rFonts w:ascii="宋体" w:hAnsi="宋体" w:eastAsia="宋体" w:cs="宋体"/>
                <w:sz w:val="18"/>
                <w:szCs w:val="18"/>
              </w:rPr>
              <w:t>0</w:t>
            </w:r>
          </w:p>
        </w:tc>
      </w:tr>
      <w:tr>
        <w:tblPrEx>
          <w:tblLayout w:type="fixed"/>
          <w:tblCellMar>
            <w:top w:w="0" w:type="dxa"/>
            <w:left w:w="0" w:type="dxa"/>
            <w:bottom w:w="0" w:type="dxa"/>
            <w:right w:w="0" w:type="dxa"/>
          </w:tblCellMar>
        </w:tblPrEx>
        <w:trPr>
          <w:cantSplit/>
          <w:trHeight w:val="393"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22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建设投资偏差率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w:t>
            </w:r>
            <w:r>
              <w:rPr>
                <w:rFonts w:ascii="宋体" w:hAnsi="宋体" w:eastAsia="宋体" w:cs="宋体"/>
                <w:sz w:val="18"/>
                <w:szCs w:val="18"/>
              </w:rPr>
              <w:t>0</w:t>
            </w:r>
          </w:p>
        </w:tc>
      </w:tr>
      <w:tr>
        <w:tblPrEx>
          <w:tblLayout w:type="fixed"/>
          <w:tblCellMar>
            <w:top w:w="0" w:type="dxa"/>
            <w:left w:w="0" w:type="dxa"/>
            <w:bottom w:w="0" w:type="dxa"/>
            <w:right w:w="0" w:type="dxa"/>
          </w:tblCellMar>
        </w:tblPrEx>
        <w:trPr>
          <w:cantSplit/>
          <w:trHeight w:val="348"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p>
        </w:tc>
        <w:tc>
          <w:tcPr>
            <w:tcW w:w="22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社会效益指标</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安全事故发生率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ascii="宋体" w:hAnsi="宋体" w:eastAsia="宋体" w:cs="宋体"/>
                <w:sz w:val="18"/>
                <w:szCs w:val="18"/>
              </w:rPr>
              <w:t>0</w:t>
            </w:r>
          </w:p>
        </w:tc>
      </w:tr>
      <w:tr>
        <w:tblPrEx>
          <w:tblLayout w:type="fixed"/>
          <w:tblCellMar>
            <w:top w:w="0" w:type="dxa"/>
            <w:left w:w="0" w:type="dxa"/>
            <w:bottom w:w="0" w:type="dxa"/>
            <w:right w:w="0" w:type="dxa"/>
          </w:tblCellMar>
        </w:tblPrEx>
        <w:trPr>
          <w:cantSplit/>
          <w:trHeight w:val="368"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22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基本建设程序合规率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Layout w:type="fixed"/>
          <w:tblCellMar>
            <w:top w:w="0" w:type="dxa"/>
            <w:left w:w="0" w:type="dxa"/>
            <w:bottom w:w="0" w:type="dxa"/>
            <w:right w:w="0" w:type="dxa"/>
          </w:tblCellMar>
        </w:tblPrEx>
        <w:trPr>
          <w:cantSplit/>
          <w:trHeight w:val="388"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22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360"/>
              <w:jc w:val="center"/>
              <w:rPr>
                <w:rFonts w:ascii="宋体" w:hAnsi="宋体" w:eastAsia="宋体" w:cs="宋体"/>
                <w:sz w:val="18"/>
                <w:szCs w:val="18"/>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基建项目“四制”执行合规率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00%</w:t>
            </w:r>
          </w:p>
        </w:tc>
      </w:tr>
      <w:tr>
        <w:tblPrEx>
          <w:tblLayout w:type="fixed"/>
          <w:tblCellMar>
            <w:top w:w="0" w:type="dxa"/>
            <w:left w:w="0" w:type="dxa"/>
            <w:bottom w:w="0" w:type="dxa"/>
            <w:right w:w="0" w:type="dxa"/>
          </w:tblCellMar>
        </w:tblPrEx>
        <w:trPr>
          <w:cantSplit/>
          <w:trHeight w:val="335"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22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生态效益指标</w:t>
            </w: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污水收集处理率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w:t>
            </w:r>
            <w:r>
              <w:rPr>
                <w:rFonts w:ascii="宋体" w:hAnsi="宋体" w:eastAsia="宋体" w:cs="宋体"/>
                <w:sz w:val="18"/>
                <w:szCs w:val="18"/>
              </w:rPr>
              <w:t>0</w:t>
            </w:r>
            <w:r>
              <w:rPr>
                <w:rFonts w:hint="eastAsia" w:ascii="宋体" w:hAnsi="宋体" w:eastAsia="宋体" w:cs="宋体"/>
                <w:sz w:val="18"/>
                <w:szCs w:val="18"/>
              </w:rPr>
              <w:t>0%</w:t>
            </w:r>
          </w:p>
        </w:tc>
      </w:tr>
      <w:tr>
        <w:tblPrEx>
          <w:tblLayout w:type="fixed"/>
          <w:tblCellMar>
            <w:top w:w="0" w:type="dxa"/>
            <w:left w:w="0" w:type="dxa"/>
            <w:bottom w:w="0" w:type="dxa"/>
            <w:right w:w="0" w:type="dxa"/>
          </w:tblCellMar>
        </w:tblPrEx>
        <w:trPr>
          <w:cantSplit/>
          <w:trHeight w:val="270"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22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河道水质检测达标率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100%</w:t>
            </w:r>
          </w:p>
        </w:tc>
      </w:tr>
      <w:tr>
        <w:tblPrEx>
          <w:tblLayout w:type="fixed"/>
          <w:tblCellMar>
            <w:top w:w="0" w:type="dxa"/>
            <w:left w:w="0" w:type="dxa"/>
            <w:bottom w:w="0" w:type="dxa"/>
            <w:right w:w="0" w:type="dxa"/>
          </w:tblCellMar>
        </w:tblPrEx>
        <w:trPr>
          <w:cantSplit/>
          <w:trHeight w:val="344"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222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河道环境改善</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非常明显</w:t>
            </w:r>
          </w:p>
        </w:tc>
      </w:tr>
      <w:tr>
        <w:tblPrEx>
          <w:tblLayout w:type="fixed"/>
          <w:tblCellMar>
            <w:top w:w="0" w:type="dxa"/>
            <w:left w:w="0" w:type="dxa"/>
            <w:bottom w:w="0" w:type="dxa"/>
            <w:right w:w="0" w:type="dxa"/>
          </w:tblCellMar>
        </w:tblPrEx>
        <w:trPr>
          <w:cantSplit/>
          <w:trHeight w:val="294" w:hRule="exact"/>
        </w:trPr>
        <w:tc>
          <w:tcPr>
            <w:tcW w:w="106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222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可持续性指标</w:t>
            </w:r>
          </w:p>
        </w:tc>
        <w:tc>
          <w:tcPr>
            <w:tcW w:w="283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可持续性影响期</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≥5年</w:t>
            </w:r>
          </w:p>
        </w:tc>
      </w:tr>
      <w:tr>
        <w:tblPrEx>
          <w:tblLayout w:type="fixed"/>
          <w:tblCellMar>
            <w:top w:w="0" w:type="dxa"/>
            <w:left w:w="0" w:type="dxa"/>
            <w:bottom w:w="0" w:type="dxa"/>
            <w:right w:w="0" w:type="dxa"/>
          </w:tblCellMar>
        </w:tblPrEx>
        <w:trPr>
          <w:cantSplit/>
          <w:trHeight w:val="284" w:hRule="exact"/>
        </w:trPr>
        <w:tc>
          <w:tcPr>
            <w:tcW w:w="106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11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360"/>
              <w:jc w:val="center"/>
              <w:rPr>
                <w:rFonts w:ascii="宋体" w:hAnsi="宋体" w:eastAsia="宋体" w:cs="宋体"/>
                <w:sz w:val="18"/>
                <w:szCs w:val="18"/>
              </w:rPr>
            </w:pPr>
          </w:p>
        </w:tc>
        <w:tc>
          <w:tcPr>
            <w:tcW w:w="222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满意度指标</w:t>
            </w:r>
          </w:p>
        </w:tc>
        <w:tc>
          <w:tcPr>
            <w:tcW w:w="283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left"/>
              <w:rPr>
                <w:rFonts w:ascii="宋体" w:hAnsi="宋体" w:eastAsia="宋体" w:cs="宋体"/>
                <w:sz w:val="18"/>
                <w:szCs w:val="18"/>
              </w:rPr>
            </w:pPr>
            <w:r>
              <w:rPr>
                <w:rFonts w:hint="eastAsia" w:ascii="宋体" w:hAnsi="宋体" w:eastAsia="宋体" w:cs="宋体"/>
                <w:sz w:val="18"/>
                <w:szCs w:val="18"/>
              </w:rPr>
              <w:t>社会公众满意度</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240" w:line="240" w:lineRule="auto"/>
              <w:ind w:firstLine="0" w:firstLineChars="0"/>
              <w:jc w:val="center"/>
              <w:rPr>
                <w:rFonts w:ascii="宋体" w:hAnsi="宋体" w:eastAsia="宋体" w:cs="宋体"/>
                <w:sz w:val="18"/>
                <w:szCs w:val="18"/>
              </w:rPr>
            </w:pPr>
            <w:r>
              <w:rPr>
                <w:rFonts w:hint="eastAsia" w:ascii="宋体" w:hAnsi="宋体" w:eastAsia="宋体" w:cs="宋体"/>
                <w:sz w:val="18"/>
                <w:szCs w:val="18"/>
              </w:rPr>
              <w:t>≥90%</w:t>
            </w:r>
          </w:p>
        </w:tc>
      </w:tr>
    </w:tbl>
    <w:p>
      <w:pPr>
        <w:spacing w:before="312" w:beforeLines="100" w:line="240" w:lineRule="auto"/>
        <w:ind w:firstLine="480"/>
        <w:rPr>
          <w:rFonts w:ascii="楷体" w:hAnsi="楷体" w:eastAsia="楷体" w:cs="楷体"/>
          <w:color w:val="FF0000"/>
          <w:szCs w:val="24"/>
        </w:rPr>
      </w:pPr>
      <w:bookmarkStart w:id="21" w:name="_Toc502134853"/>
      <w:r>
        <w:rPr>
          <w:rFonts w:hint="eastAsia" w:ascii="楷体" w:hAnsi="楷体" w:eastAsia="楷体" w:cs="楷体"/>
          <w:szCs w:val="24"/>
        </w:rPr>
        <w:t>(五)组织管理情况</w:t>
      </w:r>
      <w:bookmarkEnd w:id="21"/>
    </w:p>
    <w:p>
      <w:pPr>
        <w:ind w:firstLine="480"/>
      </w:pPr>
      <w:r>
        <w:rPr>
          <w:rFonts w:hint="eastAsia"/>
        </w:rPr>
        <w:t>1.项目实施主体。项目以住建局为主管部门、寻甸城乡投资开发集团有限公司作为对外发包主体，</w:t>
      </w:r>
      <w:bookmarkStart w:id="22" w:name="_Hlk144916314"/>
      <w:r>
        <w:rPr>
          <w:rFonts w:hint="eastAsia"/>
        </w:rPr>
        <w:t>云南建投第五建设有限公司、昆明市规划设计研究院、云南省城乡规划设计研究院、云南城市规划建筑设计院（集团）有限公司为项目</w:t>
      </w:r>
      <w:r>
        <w:t>EPC总承包单位</w:t>
      </w:r>
      <w:bookmarkEnd w:id="22"/>
      <w:r>
        <w:rPr>
          <w:rFonts w:hint="eastAsia"/>
        </w:rPr>
        <w:t>组织实施。</w:t>
      </w:r>
    </w:p>
    <w:p>
      <w:pPr>
        <w:ind w:firstLine="480"/>
      </w:pPr>
      <w:r>
        <w:rPr>
          <w:rFonts w:hint="eastAsia"/>
        </w:rPr>
        <w:t>2.保障措施。一是以项目管理办法保障项目的申报范围、安排导向和实施方式；二是以绩效考核、工程质量监测的方式发挥资金效益；三是以预算明细的方式保障资金安排的科学规范，住建局建立预算管理制度，规范管理项目。</w:t>
      </w:r>
    </w:p>
    <w:p>
      <w:pPr>
        <w:ind w:firstLine="480"/>
      </w:pPr>
      <w:r>
        <w:rPr>
          <w:rFonts w:hint="eastAsia"/>
        </w:rPr>
        <w:t>3.资金安排程序。由涉及到的相关处室进行项目经费的测算，测算完后及时将所需资金报住建局，住建局领导成员班子通过会议讨论决定项目经费支出安排。</w:t>
      </w:r>
    </w:p>
    <w:p>
      <w:pPr>
        <w:ind w:firstLine="480"/>
      </w:pPr>
      <w:r>
        <w:rPr>
          <w:rFonts w:hint="eastAsia"/>
        </w:rPr>
        <w:t>4.资金安排标准或依据。《关于下达</w:t>
      </w:r>
      <w:r>
        <w:t>2021年市级生态文明建设资金支出预算的通知》（寻财预〔2022〕29号），项目预算资金为</w:t>
      </w:r>
      <w:r>
        <w:rPr>
          <w:rFonts w:hint="eastAsia"/>
        </w:rPr>
        <w:t>1</w:t>
      </w:r>
      <w:r>
        <w:t>2,000,000.00元</w:t>
      </w:r>
      <w:r>
        <w:rPr>
          <w:rFonts w:hint="eastAsia"/>
        </w:rPr>
        <w:t>。</w:t>
      </w:r>
    </w:p>
    <w:p>
      <w:pPr>
        <w:ind w:firstLine="480"/>
      </w:pPr>
      <w:r>
        <w:rPr>
          <w:rFonts w:hint="eastAsia"/>
        </w:rPr>
        <w:t>5.财务管理。住建局制定了《寻甸县住建局财务管理制度》等财务管理制度。规定了严格的审批制度。加强专项资金管理，严格执行财务管理制度，切实提高财政资金的使用效率。资金管理及核算执行《政府会计制度》。</w:t>
      </w:r>
    </w:p>
    <w:p>
      <w:pPr>
        <w:ind w:firstLine="480"/>
        <w:rPr>
          <w:rFonts w:ascii="黑体" w:hAnsi="黑体" w:eastAsia="黑体" w:cs="黑体"/>
          <w:szCs w:val="24"/>
        </w:rPr>
      </w:pPr>
      <w:bookmarkStart w:id="23" w:name="_Toc502134854"/>
      <w:r>
        <w:rPr>
          <w:rFonts w:hint="eastAsia" w:ascii="黑体" w:hAnsi="黑体" w:eastAsia="黑体" w:cs="黑体"/>
          <w:szCs w:val="24"/>
        </w:rPr>
        <w:t>二、绩效自评情况</w:t>
      </w:r>
      <w:bookmarkEnd w:id="23"/>
    </w:p>
    <w:p>
      <w:pPr>
        <w:ind w:firstLine="480"/>
        <w:rPr>
          <w:rFonts w:ascii="楷体" w:hAnsi="楷体" w:eastAsia="楷体" w:cs="楷体"/>
          <w:szCs w:val="24"/>
        </w:rPr>
      </w:pPr>
      <w:bookmarkStart w:id="24" w:name="_Toc502134855"/>
      <w:bookmarkStart w:id="25" w:name="_Toc498009772"/>
      <w:r>
        <w:rPr>
          <w:rFonts w:hint="eastAsia" w:ascii="楷体" w:hAnsi="楷体" w:eastAsia="楷体" w:cs="楷体"/>
          <w:szCs w:val="24"/>
        </w:rPr>
        <w:t>(一)绩效自评概述</w:t>
      </w:r>
      <w:bookmarkEnd w:id="24"/>
      <w:bookmarkEnd w:id="25"/>
    </w:p>
    <w:p>
      <w:pPr>
        <w:ind w:firstLine="480"/>
      </w:pPr>
      <w:bookmarkStart w:id="26" w:name="_Toc502134856"/>
      <w:bookmarkStart w:id="27" w:name="_Toc498009773"/>
      <w:r>
        <w:rPr>
          <w:rFonts w:hint="eastAsia"/>
        </w:rPr>
        <w:t>根据</w:t>
      </w:r>
      <w:bookmarkStart w:id="28" w:name="_Hlk143869243"/>
      <w:r>
        <w:rPr>
          <w:rFonts w:hint="eastAsia"/>
        </w:rPr>
        <w:t>《寻甸县财政局关于印发</w:t>
      </w:r>
      <w:r>
        <w:t>&lt;寻甸县本级部门预算绩效自评管理暂行办法&gt;的通知》（寻财绩[2018]9号）</w:t>
      </w:r>
      <w:bookmarkEnd w:id="28"/>
      <w:r>
        <w:rPr>
          <w:rFonts w:hint="eastAsia"/>
        </w:rPr>
        <w:t>等文件的规定，住建局成立了202</w:t>
      </w:r>
      <w:r>
        <w:t>2</w:t>
      </w:r>
      <w:r>
        <w:rPr>
          <w:rFonts w:hint="eastAsia"/>
        </w:rPr>
        <w:t>年</w:t>
      </w:r>
      <w:bookmarkStart w:id="29" w:name="_Hlk144910479"/>
      <w:r>
        <w:rPr>
          <w:rFonts w:hint="eastAsia"/>
        </w:rPr>
        <w:t>寻甸县城五条河（兔耳河、北门河、西门河、四清河、三月三河）截污治理工程</w:t>
      </w:r>
      <w:bookmarkEnd w:id="29"/>
      <w:r>
        <w:rPr>
          <w:rFonts w:hint="eastAsia"/>
        </w:rPr>
        <w:t>项目支出绩效自评组，并于202</w:t>
      </w:r>
      <w:r>
        <w:t>3</w:t>
      </w:r>
      <w:r>
        <w:rPr>
          <w:rFonts w:hint="eastAsia"/>
        </w:rPr>
        <w:t>年</w:t>
      </w:r>
      <w:r>
        <w:t>5</w:t>
      </w:r>
      <w:r>
        <w:rPr>
          <w:rFonts w:hint="eastAsia"/>
        </w:rPr>
        <w:t>月形成了《寻甸回族彝族自治县住房和城乡建设局202</w:t>
      </w:r>
      <w:r>
        <w:t>2</w:t>
      </w:r>
      <w:r>
        <w:rPr>
          <w:rFonts w:hint="eastAsia"/>
        </w:rPr>
        <w:t>年寻甸县城五条河（兔耳河、北门河、西门河、四清河、三月三河）截污治理工程项目支出绩效自评报告》。</w:t>
      </w:r>
    </w:p>
    <w:p>
      <w:pPr>
        <w:ind w:firstLine="480"/>
        <w:rPr>
          <w:rFonts w:ascii="楷体" w:hAnsi="楷体" w:eastAsia="楷体" w:cs="楷体"/>
          <w:szCs w:val="24"/>
        </w:rPr>
      </w:pPr>
      <w:r>
        <w:rPr>
          <w:rFonts w:hint="eastAsia" w:ascii="楷体" w:hAnsi="楷体" w:eastAsia="楷体" w:cs="楷体"/>
          <w:szCs w:val="24"/>
        </w:rPr>
        <w:t>(二)绩效自评结论</w:t>
      </w:r>
      <w:bookmarkEnd w:id="26"/>
      <w:bookmarkEnd w:id="27"/>
    </w:p>
    <w:p>
      <w:pPr>
        <w:ind w:firstLine="480"/>
        <w:rPr>
          <w:rFonts w:cs="仿宋"/>
          <w:szCs w:val="24"/>
        </w:rPr>
      </w:pPr>
      <w:r>
        <w:rPr>
          <w:rFonts w:hint="eastAsia" w:cs="仿宋"/>
          <w:szCs w:val="24"/>
        </w:rPr>
        <w:t>根据住建局提供的《2</w:t>
      </w:r>
      <w:r>
        <w:rPr>
          <w:rFonts w:cs="仿宋"/>
          <w:szCs w:val="24"/>
        </w:rPr>
        <w:t>022</w:t>
      </w:r>
      <w:r>
        <w:rPr>
          <w:rFonts w:hint="eastAsia" w:cs="仿宋"/>
          <w:szCs w:val="24"/>
        </w:rPr>
        <w:t>年</w:t>
      </w:r>
      <w:bookmarkStart w:id="30" w:name="_Hlk143941822"/>
      <w:r>
        <w:rPr>
          <w:rFonts w:hint="eastAsia" w:cs="仿宋"/>
          <w:szCs w:val="24"/>
        </w:rPr>
        <w:t>寻甸县城五条河（兔耳河、北门河、西门河、四清河、三月三河）截污治理工程项目</w:t>
      </w:r>
      <w:bookmarkEnd w:id="30"/>
      <w:r>
        <w:rPr>
          <w:rFonts w:hint="eastAsia" w:cs="仿宋"/>
          <w:szCs w:val="24"/>
        </w:rPr>
        <w:t>支出绩效自评报告》，住建局202</w:t>
      </w:r>
      <w:r>
        <w:rPr>
          <w:rFonts w:cs="仿宋"/>
          <w:szCs w:val="24"/>
        </w:rPr>
        <w:t>2</w:t>
      </w:r>
      <w:r>
        <w:rPr>
          <w:rFonts w:hint="eastAsia" w:cs="仿宋"/>
          <w:szCs w:val="24"/>
        </w:rPr>
        <w:t>年寻甸县城五条河（兔耳河、北门河、西门河、四清河、三月三河）截污治理工程项目的决策、管理、绩效情况自评综合得分为9</w:t>
      </w:r>
      <w:r>
        <w:rPr>
          <w:rFonts w:cs="仿宋"/>
          <w:szCs w:val="24"/>
        </w:rPr>
        <w:t>6</w:t>
      </w:r>
      <w:r>
        <w:rPr>
          <w:rFonts w:hint="eastAsia" w:cs="仿宋"/>
          <w:szCs w:val="24"/>
        </w:rPr>
        <w:t>分，自评等级为“优”。</w:t>
      </w:r>
    </w:p>
    <w:p>
      <w:pPr>
        <w:ind w:firstLine="480"/>
        <w:rPr>
          <w:rFonts w:ascii="黑体" w:hAnsi="黑体" w:eastAsia="黑体" w:cs="黑体"/>
          <w:szCs w:val="24"/>
        </w:rPr>
      </w:pPr>
      <w:bookmarkStart w:id="31" w:name="_Toc502134857"/>
      <w:r>
        <w:rPr>
          <w:rFonts w:hint="eastAsia" w:ascii="黑体" w:hAnsi="黑体" w:eastAsia="黑体" w:cs="黑体"/>
          <w:szCs w:val="24"/>
        </w:rPr>
        <w:t>三、绩效评价组织情况</w:t>
      </w:r>
      <w:bookmarkEnd w:id="31"/>
    </w:p>
    <w:p>
      <w:pPr>
        <w:ind w:firstLine="480"/>
        <w:rPr>
          <w:rFonts w:ascii="楷体" w:hAnsi="楷体" w:eastAsia="楷体" w:cs="楷体"/>
          <w:szCs w:val="24"/>
        </w:rPr>
      </w:pPr>
      <w:bookmarkStart w:id="32" w:name="_Toc502134858"/>
      <w:r>
        <w:rPr>
          <w:rFonts w:hint="eastAsia" w:ascii="楷体" w:hAnsi="楷体" w:eastAsia="楷体" w:cs="楷体"/>
          <w:szCs w:val="24"/>
        </w:rPr>
        <w:t>(一)绩效评价依据</w:t>
      </w:r>
      <w:bookmarkEnd w:id="32"/>
    </w:p>
    <w:p>
      <w:pPr>
        <w:ind w:firstLine="480"/>
        <w:rPr>
          <w:rFonts w:cs="仿宋"/>
          <w:szCs w:val="24"/>
        </w:rPr>
      </w:pPr>
      <w:r>
        <w:rPr>
          <w:rFonts w:hint="eastAsia" w:cs="仿宋"/>
          <w:szCs w:val="24"/>
        </w:rPr>
        <w:t>1.《中华人民共和国预算法》（201</w:t>
      </w:r>
      <w:r>
        <w:rPr>
          <w:rFonts w:cs="仿宋"/>
          <w:szCs w:val="24"/>
        </w:rPr>
        <w:t>8</w:t>
      </w:r>
      <w:r>
        <w:rPr>
          <w:rFonts w:hint="eastAsia" w:cs="仿宋"/>
          <w:szCs w:val="24"/>
        </w:rPr>
        <w:t>年修订）；</w:t>
      </w:r>
    </w:p>
    <w:p>
      <w:pPr>
        <w:ind w:firstLine="480"/>
        <w:rPr>
          <w:rFonts w:cs="仿宋"/>
          <w:szCs w:val="24"/>
        </w:rPr>
      </w:pPr>
      <w:r>
        <w:rPr>
          <w:rFonts w:hint="eastAsia" w:cs="仿宋"/>
          <w:szCs w:val="24"/>
        </w:rPr>
        <w:t>2.《项目支出绩效评价管理办法》（财预〔2020〕10号）；</w:t>
      </w:r>
    </w:p>
    <w:p>
      <w:pPr>
        <w:ind w:firstLine="480"/>
        <w:rPr>
          <w:rFonts w:cs="仿宋"/>
          <w:szCs w:val="24"/>
        </w:rPr>
      </w:pPr>
      <w:r>
        <w:rPr>
          <w:rFonts w:hint="eastAsia" w:cs="仿宋"/>
          <w:szCs w:val="24"/>
        </w:rPr>
        <w:t>3.《中共云南省委、云南省人民政府关于全面实施预算管理绩效的意见》（云发〔2019〕11号）；</w:t>
      </w:r>
    </w:p>
    <w:p>
      <w:pPr>
        <w:ind w:firstLine="480"/>
        <w:rPr>
          <w:rFonts w:cs="仿宋"/>
          <w:szCs w:val="24"/>
        </w:rPr>
      </w:pPr>
      <w:r>
        <w:rPr>
          <w:rFonts w:hint="eastAsia" w:cs="仿宋"/>
          <w:szCs w:val="24"/>
        </w:rPr>
        <w:t>4.《云南省省级财政预算绩效管理暂行办法》（云财预〔2015〕295号）；</w:t>
      </w:r>
    </w:p>
    <w:p>
      <w:pPr>
        <w:ind w:firstLine="480"/>
        <w:rPr>
          <w:rFonts w:cs="仿宋"/>
          <w:szCs w:val="24"/>
        </w:rPr>
      </w:pPr>
      <w:r>
        <w:rPr>
          <w:rFonts w:hint="eastAsia" w:cs="仿宋"/>
          <w:szCs w:val="24"/>
        </w:rPr>
        <w:t>5.</w:t>
      </w:r>
      <w:bookmarkStart w:id="33" w:name="_Hlk143869363"/>
      <w:r>
        <w:rPr>
          <w:rFonts w:hint="eastAsia" w:cs="仿宋"/>
          <w:szCs w:val="24"/>
        </w:rPr>
        <w:t>《关于全面推进预算绩效管理改革的实施意见》（寻政发〔</w:t>
      </w:r>
      <w:r>
        <w:rPr>
          <w:rFonts w:cs="仿宋"/>
          <w:szCs w:val="24"/>
        </w:rPr>
        <w:t>2016〕122号）</w:t>
      </w:r>
      <w:r>
        <w:rPr>
          <w:rFonts w:hint="eastAsia" w:cs="仿宋"/>
          <w:szCs w:val="24"/>
        </w:rPr>
        <w:t>；</w:t>
      </w:r>
    </w:p>
    <w:p>
      <w:pPr>
        <w:ind w:firstLine="480"/>
        <w:rPr>
          <w:rFonts w:cs="仿宋"/>
          <w:szCs w:val="24"/>
        </w:rPr>
      </w:pPr>
      <w:r>
        <w:rPr>
          <w:rFonts w:cs="仿宋"/>
          <w:szCs w:val="24"/>
        </w:rPr>
        <w:t>6.</w:t>
      </w:r>
      <w:r>
        <w:rPr>
          <w:rFonts w:hint="eastAsia" w:cs="仿宋"/>
          <w:szCs w:val="24"/>
        </w:rPr>
        <w:t>《关于</w:t>
      </w:r>
      <w:r>
        <w:rPr>
          <w:rFonts w:cs="仿宋"/>
          <w:szCs w:val="24"/>
        </w:rPr>
        <w:t>2022年度部门整体支出、重大项目支出和地方政府债券项目支出绩效再评价的通知》（寻财绩〔2023〕5号）</w:t>
      </w:r>
      <w:r>
        <w:rPr>
          <w:rFonts w:hint="eastAsia" w:cs="仿宋"/>
          <w:szCs w:val="24"/>
        </w:rPr>
        <w:t>；</w:t>
      </w:r>
    </w:p>
    <w:p>
      <w:pPr>
        <w:ind w:firstLine="480"/>
        <w:rPr>
          <w:rFonts w:cs="仿宋"/>
          <w:szCs w:val="24"/>
        </w:rPr>
      </w:pPr>
      <w:r>
        <w:rPr>
          <w:rFonts w:cs="仿宋"/>
          <w:szCs w:val="24"/>
        </w:rPr>
        <w:t>7</w:t>
      </w:r>
      <w:r>
        <w:rPr>
          <w:rFonts w:hint="eastAsia" w:cs="仿宋"/>
          <w:szCs w:val="24"/>
        </w:rPr>
        <w:t>.其他相关依据文件</w:t>
      </w:r>
      <w:bookmarkEnd w:id="33"/>
      <w:r>
        <w:rPr>
          <w:rFonts w:hint="eastAsia" w:cs="仿宋"/>
          <w:szCs w:val="24"/>
        </w:rPr>
        <w:t>。</w:t>
      </w:r>
    </w:p>
    <w:p>
      <w:pPr>
        <w:ind w:firstLine="480"/>
        <w:rPr>
          <w:rFonts w:ascii="楷体" w:hAnsi="楷体" w:eastAsia="楷体" w:cs="楷体"/>
          <w:szCs w:val="24"/>
        </w:rPr>
      </w:pPr>
      <w:bookmarkStart w:id="34" w:name="_Toc502134859"/>
      <w:r>
        <w:rPr>
          <w:rFonts w:hint="eastAsia" w:ascii="楷体" w:hAnsi="楷体" w:eastAsia="楷体" w:cs="楷体"/>
          <w:szCs w:val="24"/>
        </w:rPr>
        <w:t>(二)绩效评价方法</w:t>
      </w:r>
      <w:bookmarkEnd w:id="34"/>
    </w:p>
    <w:p>
      <w:pPr>
        <w:ind w:firstLine="480"/>
        <w:rPr>
          <w:rFonts w:cs="仿宋"/>
          <w:szCs w:val="24"/>
        </w:rPr>
      </w:pPr>
      <w:r>
        <w:rPr>
          <w:rFonts w:hint="eastAsia" w:cs="仿宋"/>
          <w:szCs w:val="24"/>
        </w:rPr>
        <w:t>本次绩效评价采取定量与定性相结合的方式，具体实施了审阅、实地踏勘、检查、分析复核、计算、交换和反馈意见、专家会审等程序。通过资料收集、数据填报、案卷研究、实地调研、座谈会、问卷调查等方式，开展实地评价。对202</w:t>
      </w:r>
      <w:r>
        <w:rPr>
          <w:rFonts w:cs="仿宋"/>
          <w:szCs w:val="24"/>
        </w:rPr>
        <w:t>2</w:t>
      </w:r>
      <w:r>
        <w:rPr>
          <w:rFonts w:hint="eastAsia" w:cs="仿宋"/>
          <w:szCs w:val="24"/>
        </w:rPr>
        <w:t>年寻甸县城五条河（兔耳河、北门河、西门河、四清河、三月三河）截污治理工程项目相关档案资料进行查阅，结合现场核实情况和资金到位使用及结余情况的分析，进行数据分析和取证。</w:t>
      </w:r>
    </w:p>
    <w:p>
      <w:pPr>
        <w:ind w:firstLine="480"/>
        <w:rPr>
          <w:rFonts w:cs="仿宋"/>
          <w:szCs w:val="24"/>
        </w:rPr>
      </w:pPr>
      <w:r>
        <w:rPr>
          <w:rFonts w:hint="eastAsia" w:cs="仿宋"/>
          <w:szCs w:val="24"/>
        </w:rPr>
        <w:t>具体方法可以采用以下</w:t>
      </w:r>
      <w:r>
        <w:rPr>
          <w:rFonts w:hint="eastAsia" w:cs="仿宋"/>
          <w:szCs w:val="24"/>
          <w:lang w:val="en-US" w:eastAsia="zh-CN"/>
        </w:rPr>
        <w:t>6</w:t>
      </w:r>
      <w:r>
        <w:rPr>
          <w:rFonts w:hint="eastAsia" w:cs="仿宋"/>
          <w:szCs w:val="24"/>
        </w:rPr>
        <w:t>种方法中的一种，也可多种评价方法并用：目标比较法、成本效益法、历史比较法、专家评价法、问卷调查法、横向比较法。</w:t>
      </w:r>
    </w:p>
    <w:p>
      <w:pPr>
        <w:ind w:firstLine="480"/>
        <w:rPr>
          <w:rFonts w:ascii="楷体" w:hAnsi="楷体" w:eastAsia="楷体" w:cs="楷体"/>
          <w:szCs w:val="24"/>
        </w:rPr>
      </w:pPr>
      <w:bookmarkStart w:id="35" w:name="_Toc502134860"/>
      <w:r>
        <w:rPr>
          <w:rFonts w:hint="eastAsia" w:ascii="楷体" w:hAnsi="楷体" w:eastAsia="楷体" w:cs="楷体"/>
          <w:szCs w:val="24"/>
        </w:rPr>
        <w:t>(三)绩效评价指标体系</w:t>
      </w:r>
      <w:bookmarkEnd w:id="35"/>
    </w:p>
    <w:p>
      <w:pPr>
        <w:ind w:firstLine="480"/>
        <w:rPr>
          <w:rFonts w:cs="仿宋"/>
          <w:szCs w:val="24"/>
        </w:rPr>
      </w:pPr>
      <w:r>
        <w:rPr>
          <w:rFonts w:hint="eastAsia" w:cs="仿宋"/>
          <w:szCs w:val="24"/>
        </w:rPr>
        <w:t>1.绩效评价指标</w:t>
      </w:r>
    </w:p>
    <w:p>
      <w:pPr>
        <w:ind w:firstLine="480"/>
        <w:rPr>
          <w:rFonts w:cs="仿宋"/>
          <w:szCs w:val="24"/>
        </w:rPr>
      </w:pPr>
      <w:bookmarkStart w:id="36" w:name="_Toc502134861"/>
      <w:r>
        <w:rPr>
          <w:rFonts w:hint="eastAsia" w:cs="仿宋"/>
          <w:szCs w:val="24"/>
        </w:rPr>
        <w:t>本项目绩效评价以100分计，设项目决策、项目执行过程、项目产出、项目效益4个一级指标，权重分别为：1</w:t>
      </w:r>
      <w:r>
        <w:rPr>
          <w:rFonts w:cs="仿宋"/>
          <w:szCs w:val="24"/>
        </w:rPr>
        <w:t>6</w:t>
      </w:r>
      <w:r>
        <w:rPr>
          <w:rFonts w:hint="eastAsia" w:cs="仿宋"/>
          <w:szCs w:val="24"/>
        </w:rPr>
        <w:t>%、2</w:t>
      </w:r>
      <w:r>
        <w:rPr>
          <w:rFonts w:cs="仿宋"/>
          <w:szCs w:val="24"/>
        </w:rPr>
        <w:t>2</w:t>
      </w:r>
      <w:r>
        <w:rPr>
          <w:rFonts w:hint="eastAsia" w:cs="仿宋"/>
          <w:szCs w:val="24"/>
        </w:rPr>
        <w:t>%、3</w:t>
      </w:r>
      <w:r>
        <w:rPr>
          <w:rFonts w:cs="仿宋"/>
          <w:szCs w:val="24"/>
        </w:rPr>
        <w:t>2</w:t>
      </w:r>
      <w:r>
        <w:rPr>
          <w:rFonts w:hint="eastAsia" w:cs="仿宋"/>
          <w:szCs w:val="24"/>
        </w:rPr>
        <w:t>%、30%。在此基础上设定14个二级指标（项目立项、绩效目标、资金投入、资金管理、组织实施、产出数量、产出质量、产出时效、产出成本、</w:t>
      </w:r>
      <w:r>
        <w:rPr>
          <w:rFonts w:hint="eastAsia" w:cs="仿宋"/>
          <w:szCs w:val="24"/>
          <w:lang w:val="en-US" w:eastAsia="zh-CN"/>
        </w:rPr>
        <w:t>经济效益、</w:t>
      </w:r>
      <w:r>
        <w:rPr>
          <w:rFonts w:hint="eastAsia" w:cs="仿宋"/>
          <w:szCs w:val="24"/>
        </w:rPr>
        <w:t>社会效益、生态效益、可持续性、满意度），设2</w:t>
      </w:r>
      <w:r>
        <w:rPr>
          <w:rFonts w:cs="仿宋"/>
          <w:szCs w:val="24"/>
        </w:rPr>
        <w:t>5</w:t>
      </w:r>
      <w:r>
        <w:rPr>
          <w:rFonts w:hint="eastAsia" w:cs="仿宋"/>
          <w:szCs w:val="24"/>
        </w:rPr>
        <w:t>个三级指标</w:t>
      </w:r>
      <w:bookmarkStart w:id="37" w:name="_Hlk143856496"/>
      <w:r>
        <w:rPr>
          <w:rFonts w:hint="eastAsia" w:cs="仿宋"/>
          <w:szCs w:val="24"/>
        </w:rPr>
        <w:t>（详见后附“</w:t>
      </w:r>
      <w:bookmarkStart w:id="38" w:name="_Hlk144910723"/>
      <w:r>
        <w:rPr>
          <w:rFonts w:hint="eastAsia" w:cs="仿宋"/>
          <w:szCs w:val="24"/>
        </w:rPr>
        <w:t>寻甸县城五条河（兔耳河、北门河、西门河、四清河、三月三河）截污治理工程</w:t>
      </w:r>
      <w:r>
        <w:rPr>
          <w:rFonts w:cs="仿宋"/>
          <w:szCs w:val="24"/>
        </w:rPr>
        <w:t>项目支出绩效评价指标体系及评分表</w:t>
      </w:r>
      <w:bookmarkEnd w:id="38"/>
      <w:r>
        <w:rPr>
          <w:rFonts w:hint="eastAsia" w:cs="仿宋"/>
          <w:szCs w:val="24"/>
        </w:rPr>
        <w:t>”）</w:t>
      </w:r>
      <w:bookmarkEnd w:id="37"/>
      <w:r>
        <w:rPr>
          <w:rFonts w:hint="eastAsia" w:cs="仿宋"/>
          <w:szCs w:val="24"/>
        </w:rPr>
        <w:t>。</w:t>
      </w:r>
    </w:p>
    <w:p>
      <w:pPr>
        <w:ind w:firstLine="480"/>
        <w:rPr>
          <w:rFonts w:cs="仿宋"/>
          <w:szCs w:val="24"/>
        </w:rPr>
      </w:pPr>
      <w:r>
        <w:rPr>
          <w:rFonts w:hint="eastAsia" w:cs="仿宋"/>
          <w:szCs w:val="24"/>
        </w:rPr>
        <w:t>2.评价标准</w:t>
      </w:r>
    </w:p>
    <w:p>
      <w:pPr>
        <w:ind w:firstLine="480"/>
        <w:rPr>
          <w:rFonts w:cs="仿宋"/>
          <w:szCs w:val="24"/>
        </w:rPr>
      </w:pPr>
      <w:r>
        <w:rPr>
          <w:rFonts w:hint="eastAsia" w:cs="仿宋"/>
          <w:szCs w:val="24"/>
        </w:rPr>
        <w:t>(1)项目支出评价得分满分为100分。</w:t>
      </w:r>
    </w:p>
    <w:p>
      <w:pPr>
        <w:ind w:firstLine="480"/>
        <w:rPr>
          <w:rFonts w:cs="仿宋"/>
          <w:szCs w:val="24"/>
        </w:rPr>
      </w:pPr>
      <w:r>
        <w:rPr>
          <w:rFonts w:hint="eastAsia" w:cs="仿宋"/>
          <w:szCs w:val="24"/>
        </w:rPr>
        <w:t>(2)由审计评价组根据评价情况，对各单项指标分别进行独立打分。</w:t>
      </w:r>
    </w:p>
    <w:p>
      <w:pPr>
        <w:ind w:firstLine="480"/>
        <w:rPr>
          <w:rFonts w:cs="仿宋"/>
          <w:szCs w:val="24"/>
        </w:rPr>
      </w:pPr>
      <w:r>
        <w:rPr>
          <w:rFonts w:hint="eastAsia" w:cs="仿宋"/>
          <w:szCs w:val="24"/>
        </w:rPr>
        <w:t>(3)总评价分为各单项指标得分总和。</w:t>
      </w:r>
    </w:p>
    <w:p>
      <w:pPr>
        <w:ind w:firstLine="480"/>
        <w:rPr>
          <w:rFonts w:cs="仿宋"/>
          <w:szCs w:val="24"/>
        </w:rPr>
      </w:pPr>
      <w:r>
        <w:rPr>
          <w:rFonts w:hint="eastAsia" w:cs="仿宋"/>
          <w:szCs w:val="24"/>
        </w:rPr>
        <w:t>(4)评价结果：根据最终得分情况将评价结果分为四个等级：优（得分≥90分）；良（80分≤得分＜90分）；中（60≤得分＜80分）；差（得分＜60分）。</w:t>
      </w:r>
    </w:p>
    <w:p>
      <w:pPr>
        <w:ind w:firstLine="480"/>
        <w:rPr>
          <w:rFonts w:cs="仿宋"/>
          <w:szCs w:val="24"/>
        </w:rPr>
      </w:pPr>
      <w:bookmarkStart w:id="39" w:name="_Toc25624"/>
      <w:bookmarkStart w:id="40" w:name="_Toc7874"/>
      <w:r>
        <w:rPr>
          <w:rFonts w:hint="eastAsia" w:cs="仿宋"/>
          <w:szCs w:val="24"/>
        </w:rPr>
        <w:t>3.数据来源</w:t>
      </w:r>
      <w:bookmarkEnd w:id="39"/>
      <w:bookmarkEnd w:id="40"/>
    </w:p>
    <w:p>
      <w:pPr>
        <w:ind w:firstLine="480"/>
        <w:rPr>
          <w:rFonts w:cs="仿宋"/>
          <w:color w:val="FF0000"/>
          <w:szCs w:val="24"/>
        </w:rPr>
      </w:pPr>
      <w:r>
        <w:rPr>
          <w:rFonts w:hint="eastAsia" w:cs="仿宋"/>
          <w:szCs w:val="24"/>
        </w:rPr>
        <w:t>绩效评价数据由住建局提供。</w:t>
      </w:r>
    </w:p>
    <w:bookmarkEnd w:id="36"/>
    <w:p>
      <w:pPr>
        <w:ind w:firstLine="480"/>
        <w:rPr>
          <w:rFonts w:ascii="黑体" w:hAnsi="黑体" w:eastAsia="黑体" w:cs="黑体"/>
          <w:szCs w:val="24"/>
        </w:rPr>
      </w:pPr>
      <w:bookmarkStart w:id="41" w:name="_Toc502134862"/>
      <w:r>
        <w:rPr>
          <w:rFonts w:hint="eastAsia" w:ascii="黑体" w:hAnsi="黑体" w:eastAsia="黑体" w:cs="黑体"/>
          <w:szCs w:val="24"/>
        </w:rPr>
        <w:t>四、</w:t>
      </w:r>
      <w:bookmarkEnd w:id="41"/>
      <w:r>
        <w:rPr>
          <w:rFonts w:hint="eastAsia" w:ascii="黑体" w:hAnsi="黑体" w:eastAsia="黑体" w:cs="黑体"/>
          <w:szCs w:val="24"/>
        </w:rPr>
        <w:t>综合评价情况及评价结论</w:t>
      </w:r>
    </w:p>
    <w:p>
      <w:pPr>
        <w:ind w:firstLine="480"/>
        <w:rPr>
          <w:rFonts w:cs="仿宋"/>
          <w:szCs w:val="24"/>
        </w:rPr>
      </w:pPr>
      <w:bookmarkStart w:id="42" w:name="_Toc498009781"/>
      <w:r>
        <w:rPr>
          <w:rFonts w:hint="eastAsia" w:cs="仿宋"/>
          <w:szCs w:val="24"/>
        </w:rPr>
        <w:t>住建局202</w:t>
      </w:r>
      <w:r>
        <w:rPr>
          <w:rFonts w:cs="仿宋"/>
          <w:szCs w:val="24"/>
        </w:rPr>
        <w:t>2</w:t>
      </w:r>
      <w:r>
        <w:rPr>
          <w:rFonts w:hint="eastAsia" w:cs="仿宋"/>
          <w:szCs w:val="24"/>
        </w:rPr>
        <w:t>年寻甸县城五条河（兔耳河、北门河、西门河、四清河、三月三河）截污治理工程项目支出绩效评价综合评分</w:t>
      </w:r>
      <w:r>
        <w:rPr>
          <w:rFonts w:cs="仿宋"/>
          <w:szCs w:val="24"/>
        </w:rPr>
        <w:t>84.36</w:t>
      </w:r>
      <w:r>
        <w:rPr>
          <w:rFonts w:hint="eastAsia" w:cs="仿宋"/>
          <w:szCs w:val="24"/>
        </w:rPr>
        <w:t>分，评价等级“良”（详见后附“寻甸县城五条河（兔耳河、北门河、西门河、四清河、三月三河）截污治理工程项目支出绩效评价指标体系及评分表”）。</w:t>
      </w:r>
    </w:p>
    <w:p>
      <w:pPr>
        <w:ind w:firstLine="480"/>
        <w:rPr>
          <w:rFonts w:ascii="仿宋_GB2312" w:eastAsia="仿宋_GB2312" w:cs="仿宋"/>
          <w:szCs w:val="24"/>
        </w:rPr>
      </w:pPr>
      <w:r>
        <w:rPr>
          <w:rFonts w:hint="eastAsia" w:cs="仿宋"/>
          <w:szCs w:val="24"/>
        </w:rPr>
        <w:t>综合评价结论：</w:t>
      </w:r>
      <w:bookmarkStart w:id="43" w:name="_Toc502134864"/>
      <w:r>
        <w:rPr>
          <w:rFonts w:hint="eastAsia" w:cs="仿宋"/>
          <w:szCs w:val="24"/>
        </w:rPr>
        <w:t>202</w:t>
      </w:r>
      <w:r>
        <w:rPr>
          <w:rFonts w:cs="仿宋"/>
          <w:szCs w:val="24"/>
        </w:rPr>
        <w:t>2</w:t>
      </w:r>
      <w:r>
        <w:rPr>
          <w:rFonts w:hint="eastAsia" w:cs="仿宋"/>
          <w:szCs w:val="24"/>
        </w:rPr>
        <w:t>年寻甸县城五条河（兔耳河、北门河、西门河、四清河、三月三河）截污治理工程项目已实施完成，项目实施取得良好的产出和效益，改善了居民生活环境，营造了良好的城市形象及卫生环境。</w:t>
      </w:r>
    </w:p>
    <w:bookmarkEnd w:id="42"/>
    <w:bookmarkEnd w:id="43"/>
    <w:p>
      <w:pPr>
        <w:ind w:firstLine="480"/>
        <w:rPr>
          <w:rFonts w:ascii="黑体" w:hAnsi="黑体" w:eastAsia="黑体" w:cs="黑体"/>
          <w:szCs w:val="24"/>
        </w:rPr>
      </w:pPr>
      <w:bookmarkStart w:id="44" w:name="_Toc502134866"/>
      <w:bookmarkStart w:id="45" w:name="_Toc498009783"/>
      <w:r>
        <w:rPr>
          <w:rFonts w:hint="eastAsia" w:ascii="黑体" w:hAnsi="黑体" w:eastAsia="黑体" w:cs="黑体"/>
          <w:szCs w:val="24"/>
        </w:rPr>
        <w:t>五、绩效评价情况分析</w:t>
      </w:r>
      <w:bookmarkEnd w:id="44"/>
      <w:bookmarkEnd w:id="45"/>
    </w:p>
    <w:p>
      <w:pPr>
        <w:ind w:firstLine="480"/>
        <w:rPr>
          <w:rFonts w:ascii="楷体" w:hAnsi="楷体" w:eastAsia="楷体" w:cs="楷体"/>
          <w:szCs w:val="24"/>
        </w:rPr>
      </w:pPr>
      <w:bookmarkStart w:id="46" w:name="_Toc498009784"/>
      <w:bookmarkStart w:id="47" w:name="_Toc502134867"/>
      <w:r>
        <w:rPr>
          <w:rFonts w:hint="eastAsia" w:ascii="楷体" w:hAnsi="楷体" w:eastAsia="楷体" w:cs="楷体"/>
          <w:szCs w:val="24"/>
        </w:rPr>
        <w:t>(一)项目决策分析</w:t>
      </w:r>
      <w:bookmarkEnd w:id="46"/>
      <w:bookmarkEnd w:id="47"/>
    </w:p>
    <w:p>
      <w:pPr>
        <w:ind w:firstLine="480"/>
        <w:rPr>
          <w:rFonts w:cs="仿宋"/>
          <w:szCs w:val="24"/>
        </w:rPr>
      </w:pPr>
      <w:r>
        <w:rPr>
          <w:rFonts w:hint="eastAsia" w:cs="仿宋"/>
          <w:szCs w:val="24"/>
        </w:rPr>
        <w:t>项目决策满分1</w:t>
      </w:r>
      <w:r>
        <w:rPr>
          <w:rFonts w:cs="仿宋"/>
          <w:szCs w:val="24"/>
        </w:rPr>
        <w:t>6</w:t>
      </w:r>
      <w:r>
        <w:rPr>
          <w:rFonts w:hint="eastAsia" w:cs="仿宋"/>
          <w:szCs w:val="24"/>
        </w:rPr>
        <w:t>分，评价综合评分1</w:t>
      </w:r>
      <w:r>
        <w:rPr>
          <w:rFonts w:cs="仿宋"/>
          <w:szCs w:val="24"/>
        </w:rPr>
        <w:t>1</w:t>
      </w:r>
      <w:r>
        <w:rPr>
          <w:rFonts w:hint="eastAsia" w:cs="仿宋"/>
          <w:szCs w:val="24"/>
        </w:rPr>
        <w:t>分（占该项满分值的</w:t>
      </w:r>
      <w:r>
        <w:rPr>
          <w:rFonts w:cs="仿宋"/>
          <w:szCs w:val="24"/>
        </w:rPr>
        <w:t>68.75</w:t>
      </w:r>
      <w:r>
        <w:rPr>
          <w:rFonts w:hint="eastAsia" w:cs="仿宋"/>
          <w:szCs w:val="24"/>
        </w:rPr>
        <w:t>%），具体情况如下：</w:t>
      </w:r>
      <w:bookmarkStart w:id="48" w:name="_Toc502134868"/>
    </w:p>
    <w:p>
      <w:pPr>
        <w:ind w:firstLine="480"/>
        <w:rPr>
          <w:rFonts w:cs="仿宋"/>
          <w:szCs w:val="24"/>
        </w:rPr>
      </w:pPr>
      <w:r>
        <w:rPr>
          <w:rFonts w:hint="eastAsia" w:cs="仿宋"/>
          <w:szCs w:val="24"/>
        </w:rPr>
        <w:t>1.项目立项依据充分，符合国家法律法规、国民经济发展规划、行业发展规划和相关政策要求，与《寻甸县“十四五”城市管理规划》及部门职能职责等相匹配，属于公共财政支持范围，未与相关部门同类项目或部门内部相关项目重复。住建局获取《寻甸回族彝族自治县发展和改革局关于寻甸县县城河道（兔耳河、北门河、西门河、四清河、三月三河）流域水环境污染综合治理工程可行性研究批复的报告》（寻发改投资〔</w:t>
      </w:r>
      <w:r>
        <w:rPr>
          <w:rFonts w:cs="仿宋"/>
          <w:szCs w:val="24"/>
        </w:rPr>
        <w:t>2020〕100号）</w:t>
      </w:r>
      <w:r>
        <w:rPr>
          <w:rFonts w:hint="eastAsia" w:cs="仿宋"/>
          <w:szCs w:val="24"/>
        </w:rPr>
        <w:t>等项目立项程序资料，并按照政府采购管理规定通过公开招投标，确定云南建投第五建设有限公司、昆明市规划设计研究院、云南省城乡规划设计研究院、云南城市规划建筑设计院（集团）有限公司为项目</w:t>
      </w:r>
      <w:r>
        <w:rPr>
          <w:rFonts w:cs="仿宋"/>
          <w:szCs w:val="24"/>
        </w:rPr>
        <w:t>EPC总承包单位</w:t>
      </w:r>
      <w:r>
        <w:rPr>
          <w:rFonts w:hint="eastAsia" w:cs="仿宋"/>
          <w:szCs w:val="24"/>
        </w:rPr>
        <w:t>实施单位，项目立项程序基本规范。</w:t>
      </w:r>
    </w:p>
    <w:p>
      <w:pPr>
        <w:ind w:firstLine="480"/>
        <w:rPr>
          <w:rFonts w:cs="仿宋"/>
          <w:szCs w:val="24"/>
        </w:rPr>
      </w:pPr>
      <w:r>
        <w:rPr>
          <w:rFonts w:hint="eastAsia" w:cs="仿宋"/>
          <w:szCs w:val="24"/>
        </w:rPr>
        <w:t>2.项目所设定的绩效目标与实际工作内容具有相关性，与预算确定的项目投资额或资金量相匹配，符合客观实际、国家相关法律法规、国民经济发展规划和党委政府决策等，但申报的绩效目标表填列不规范完整，设定的年度目标未清晰表述年度工作内容和数量，未充分、恰当描述项目的主要内容；设定的绩效指标不充分全面，未选取最能体现项目绩效目标实现程度和项目实施部门职能履职情况的关键的、核心的绩效指标；</w:t>
      </w:r>
      <w:bookmarkStart w:id="49" w:name="_Hlk144924116"/>
      <w:r>
        <w:rPr>
          <w:rFonts w:hint="eastAsia" w:cs="仿宋"/>
          <w:szCs w:val="24"/>
        </w:rPr>
        <w:t>未通过清晰、可衡量的指标及指标值细化、量化并分解项目总体目标</w:t>
      </w:r>
      <w:bookmarkEnd w:id="49"/>
      <w:r>
        <w:rPr>
          <w:rFonts w:hint="eastAsia" w:cs="仿宋"/>
          <w:szCs w:val="24"/>
        </w:rPr>
        <w:t>。</w:t>
      </w:r>
    </w:p>
    <w:p>
      <w:pPr>
        <w:pStyle w:val="4"/>
        <w:spacing w:after="0"/>
        <w:ind w:firstLine="480"/>
        <w:rPr>
          <w:rFonts w:cs="仿宋"/>
          <w:szCs w:val="24"/>
        </w:rPr>
      </w:pPr>
      <w:r>
        <w:rPr>
          <w:rFonts w:hint="eastAsia" w:cs="仿宋"/>
          <w:szCs w:val="24"/>
        </w:rPr>
        <w:t>3.项目支出预算依据充分、合理，与项目内容相匹配，确定的项目投资额或资金量与工作任务相匹配，预算资金分配依据充分，资金分配额度合理，与项目单位或地方实际相适应。</w:t>
      </w:r>
    </w:p>
    <w:p>
      <w:pPr>
        <w:ind w:firstLine="480"/>
        <w:rPr>
          <w:rFonts w:ascii="楷体" w:hAnsi="楷体" w:eastAsia="楷体" w:cs="楷体"/>
          <w:szCs w:val="24"/>
        </w:rPr>
      </w:pPr>
      <w:r>
        <w:rPr>
          <w:rFonts w:hint="eastAsia" w:ascii="楷体" w:hAnsi="楷体" w:eastAsia="楷体" w:cs="楷体"/>
          <w:szCs w:val="24"/>
        </w:rPr>
        <w:t>(二</w:t>
      </w:r>
      <w:bookmarkStart w:id="50" w:name="_Toc498009785"/>
      <w:r>
        <w:rPr>
          <w:rFonts w:hint="eastAsia" w:ascii="楷体" w:hAnsi="楷体" w:eastAsia="楷体" w:cs="楷体"/>
          <w:szCs w:val="24"/>
        </w:rPr>
        <w:t>)项目过程管理情况分析</w:t>
      </w:r>
      <w:bookmarkEnd w:id="48"/>
      <w:bookmarkEnd w:id="50"/>
    </w:p>
    <w:p>
      <w:pPr>
        <w:ind w:firstLine="480"/>
        <w:rPr>
          <w:rFonts w:cs="仿宋"/>
          <w:szCs w:val="24"/>
        </w:rPr>
      </w:pPr>
      <w:r>
        <w:rPr>
          <w:rFonts w:hint="eastAsia" w:cs="仿宋"/>
          <w:szCs w:val="24"/>
        </w:rPr>
        <w:t>项目过程管理满分2</w:t>
      </w:r>
      <w:r>
        <w:rPr>
          <w:rFonts w:cs="仿宋"/>
          <w:szCs w:val="24"/>
        </w:rPr>
        <w:t>2</w:t>
      </w:r>
      <w:r>
        <w:rPr>
          <w:rFonts w:hint="eastAsia" w:cs="仿宋"/>
          <w:szCs w:val="24"/>
        </w:rPr>
        <w:t>分，评价综合评分1</w:t>
      </w:r>
      <w:r>
        <w:rPr>
          <w:rFonts w:cs="仿宋"/>
          <w:szCs w:val="24"/>
        </w:rPr>
        <w:t>7</w:t>
      </w:r>
      <w:r>
        <w:rPr>
          <w:rFonts w:hint="eastAsia" w:cs="仿宋"/>
          <w:szCs w:val="24"/>
        </w:rPr>
        <w:t>分（占该项满分值的</w:t>
      </w:r>
      <w:r>
        <w:rPr>
          <w:rFonts w:cs="仿宋"/>
          <w:szCs w:val="24"/>
        </w:rPr>
        <w:t>77.27</w:t>
      </w:r>
      <w:r>
        <w:rPr>
          <w:rFonts w:hint="eastAsia" w:cs="仿宋"/>
          <w:szCs w:val="24"/>
        </w:rPr>
        <w:t>%），具体情况如下：</w:t>
      </w:r>
      <w:bookmarkStart w:id="51" w:name="_Toc502134869"/>
      <w:bookmarkStart w:id="52" w:name="_Toc498009786"/>
    </w:p>
    <w:p>
      <w:pPr>
        <w:ind w:firstLine="480"/>
        <w:rPr>
          <w:rFonts w:cs="仿宋"/>
          <w:szCs w:val="24"/>
        </w:rPr>
      </w:pPr>
      <w:r>
        <w:rPr>
          <w:rFonts w:hint="eastAsia" w:cs="仿宋"/>
          <w:szCs w:val="24"/>
        </w:rPr>
        <w:t>1.202</w:t>
      </w:r>
      <w:r>
        <w:rPr>
          <w:rFonts w:cs="仿宋"/>
          <w:szCs w:val="24"/>
        </w:rPr>
        <w:t>2</w:t>
      </w:r>
      <w:r>
        <w:rPr>
          <w:rFonts w:hint="eastAsia" w:cs="仿宋"/>
          <w:szCs w:val="24"/>
        </w:rPr>
        <w:t>年项目县本级预算资金1</w:t>
      </w:r>
      <w:r>
        <w:rPr>
          <w:rFonts w:cs="仿宋"/>
          <w:szCs w:val="24"/>
        </w:rPr>
        <w:t>2</w:t>
      </w:r>
      <w:r>
        <w:rPr>
          <w:rFonts w:hint="eastAsia" w:cs="仿宋"/>
          <w:szCs w:val="24"/>
        </w:rPr>
        <w:t>,</w:t>
      </w:r>
      <w:r>
        <w:rPr>
          <w:rFonts w:cs="仿宋"/>
          <w:szCs w:val="24"/>
        </w:rPr>
        <w:t>0</w:t>
      </w:r>
      <w:r>
        <w:rPr>
          <w:rFonts w:hint="eastAsia" w:cs="仿宋"/>
          <w:szCs w:val="24"/>
        </w:rPr>
        <w:t>00,000.00元，根据项目支出台账，202</w:t>
      </w:r>
      <w:r>
        <w:rPr>
          <w:rFonts w:cs="仿宋"/>
          <w:szCs w:val="24"/>
        </w:rPr>
        <w:t>2</w:t>
      </w:r>
      <w:r>
        <w:rPr>
          <w:rFonts w:hint="eastAsia" w:cs="仿宋"/>
          <w:szCs w:val="24"/>
        </w:rPr>
        <w:t>年项目实际到位资金</w:t>
      </w:r>
      <w:bookmarkStart w:id="53" w:name="_Hlk143953278"/>
      <w:bookmarkStart w:id="54" w:name="_Hlk144919762"/>
      <w:r>
        <w:rPr>
          <w:rFonts w:cs="仿宋"/>
          <w:szCs w:val="24"/>
        </w:rPr>
        <w:t>12,000,</w:t>
      </w:r>
      <w:bookmarkEnd w:id="53"/>
      <w:r>
        <w:rPr>
          <w:rFonts w:cs="仿宋"/>
          <w:szCs w:val="24"/>
        </w:rPr>
        <w:t>000.00</w:t>
      </w:r>
      <w:bookmarkEnd w:id="54"/>
      <w:r>
        <w:rPr>
          <w:rFonts w:cs="仿宋"/>
          <w:szCs w:val="24"/>
        </w:rPr>
        <w:t>元，资金到位</w:t>
      </w:r>
      <w:r>
        <w:rPr>
          <w:rFonts w:hint="eastAsia" w:cs="仿宋"/>
          <w:szCs w:val="24"/>
        </w:rPr>
        <w:t>1</w:t>
      </w:r>
      <w:r>
        <w:rPr>
          <w:rFonts w:cs="仿宋"/>
          <w:szCs w:val="24"/>
        </w:rPr>
        <w:t>00%</w:t>
      </w:r>
      <w:r>
        <w:rPr>
          <w:rFonts w:hint="eastAsia" w:cs="仿宋"/>
          <w:szCs w:val="24"/>
        </w:rPr>
        <w:t>。</w:t>
      </w:r>
    </w:p>
    <w:p>
      <w:pPr>
        <w:ind w:firstLine="480"/>
        <w:rPr>
          <w:rFonts w:cs="仿宋"/>
          <w:szCs w:val="24"/>
        </w:rPr>
      </w:pPr>
      <w:r>
        <w:rPr>
          <w:rFonts w:hint="eastAsia" w:cs="仿宋"/>
          <w:szCs w:val="24"/>
        </w:rPr>
        <w:t>2.202</w:t>
      </w:r>
      <w:r>
        <w:rPr>
          <w:rFonts w:cs="仿宋"/>
          <w:szCs w:val="24"/>
        </w:rPr>
        <w:t>2</w:t>
      </w:r>
      <w:r>
        <w:rPr>
          <w:rFonts w:hint="eastAsia" w:cs="仿宋"/>
          <w:szCs w:val="24"/>
        </w:rPr>
        <w:t>年项目预算收入</w:t>
      </w:r>
      <w:r>
        <w:rPr>
          <w:rFonts w:cs="仿宋"/>
          <w:szCs w:val="24"/>
        </w:rPr>
        <w:t>12,000,000.00元</w:t>
      </w:r>
      <w:r>
        <w:rPr>
          <w:rFonts w:hint="eastAsia" w:cs="仿宋"/>
          <w:szCs w:val="24"/>
        </w:rPr>
        <w:t>，根据项目支出台账，截至202</w:t>
      </w:r>
      <w:r>
        <w:rPr>
          <w:rFonts w:cs="仿宋"/>
          <w:szCs w:val="24"/>
        </w:rPr>
        <w:t>2</w:t>
      </w:r>
      <w:r>
        <w:rPr>
          <w:rFonts w:hint="eastAsia" w:cs="仿宋"/>
          <w:szCs w:val="24"/>
        </w:rPr>
        <w:t>年12月31日，共计支付相关费用</w:t>
      </w:r>
      <w:r>
        <w:rPr>
          <w:rFonts w:cs="仿宋"/>
          <w:szCs w:val="24"/>
        </w:rPr>
        <w:t>2,50</w:t>
      </w:r>
      <w:r>
        <w:rPr>
          <w:rFonts w:hint="eastAsia" w:cs="仿宋"/>
          <w:szCs w:val="24"/>
        </w:rPr>
        <w:t>0</w:t>
      </w:r>
      <w:r>
        <w:rPr>
          <w:rFonts w:cs="仿宋"/>
          <w:szCs w:val="24"/>
        </w:rPr>
        <w:t>,000.00元。预算执行率20.83%</w:t>
      </w:r>
      <w:r>
        <w:rPr>
          <w:rFonts w:hint="eastAsia" w:cs="仿宋"/>
          <w:szCs w:val="24"/>
        </w:rPr>
        <w:t>。</w:t>
      </w:r>
    </w:p>
    <w:p>
      <w:pPr>
        <w:ind w:firstLine="480"/>
        <w:rPr>
          <w:rFonts w:cs="仿宋"/>
          <w:szCs w:val="24"/>
        </w:rPr>
      </w:pPr>
      <w:r>
        <w:rPr>
          <w:rFonts w:hint="eastAsia" w:cs="仿宋"/>
          <w:szCs w:val="24"/>
        </w:rPr>
        <w:t>3.项目预算资金使用符合国家财经法规和财务管理制度以及有关专项资金管理办法的规定和预算批复的用途，资金的拨付审批程序和手续完整，未发现截留、挤占、挪用、虚列支出等情况，资金支付由财政直接支付。</w:t>
      </w:r>
    </w:p>
    <w:p>
      <w:pPr>
        <w:ind w:firstLine="480"/>
        <w:rPr>
          <w:rFonts w:cs="仿宋"/>
          <w:szCs w:val="24"/>
        </w:rPr>
      </w:pPr>
      <w:r>
        <w:rPr>
          <w:rFonts w:hint="eastAsia" w:cs="仿宋"/>
          <w:szCs w:val="24"/>
        </w:rPr>
        <w:t>4.项目财务管理和业务管理执行《寻甸县住建局财务管理制度》等内部控制制度和国家有关法律法规，相关管理制度基本能够得到有效的执行，政府采购程序等基本合法合规，但检查发现，存在项目资料保管分散、未及时整理归档，无初设概算及批复、施工许可证等资料的情况。</w:t>
      </w:r>
    </w:p>
    <w:p>
      <w:pPr>
        <w:ind w:firstLine="480"/>
        <w:rPr>
          <w:rFonts w:ascii="楷体" w:hAnsi="楷体" w:eastAsia="楷体" w:cs="楷体"/>
          <w:szCs w:val="24"/>
        </w:rPr>
      </w:pPr>
      <w:r>
        <w:rPr>
          <w:rFonts w:hint="eastAsia" w:ascii="楷体" w:hAnsi="楷体" w:eastAsia="楷体" w:cs="楷体"/>
          <w:szCs w:val="24"/>
        </w:rPr>
        <w:t>(三)项目产出情况分析</w:t>
      </w:r>
    </w:p>
    <w:p>
      <w:pPr>
        <w:ind w:firstLine="480"/>
        <w:rPr>
          <w:rFonts w:cs="仿宋"/>
          <w:szCs w:val="24"/>
        </w:rPr>
      </w:pPr>
      <w:r>
        <w:rPr>
          <w:rFonts w:hint="eastAsia" w:cs="仿宋"/>
          <w:szCs w:val="24"/>
        </w:rPr>
        <w:t>项目产出满分3</w:t>
      </w:r>
      <w:r>
        <w:rPr>
          <w:rFonts w:cs="仿宋"/>
          <w:szCs w:val="24"/>
        </w:rPr>
        <w:t>2</w:t>
      </w:r>
      <w:r>
        <w:rPr>
          <w:rFonts w:hint="eastAsia" w:cs="仿宋"/>
          <w:szCs w:val="24"/>
        </w:rPr>
        <w:t>分，评价综合评分</w:t>
      </w:r>
      <w:r>
        <w:rPr>
          <w:rFonts w:cs="仿宋"/>
          <w:szCs w:val="24"/>
        </w:rPr>
        <w:t>30</w:t>
      </w:r>
      <w:r>
        <w:rPr>
          <w:rFonts w:hint="eastAsia" w:cs="仿宋"/>
          <w:szCs w:val="24"/>
        </w:rPr>
        <w:t>分（占该项满分值的</w:t>
      </w:r>
      <w:r>
        <w:rPr>
          <w:rFonts w:cs="仿宋"/>
          <w:szCs w:val="24"/>
        </w:rPr>
        <w:t>93.75</w:t>
      </w:r>
      <w:r>
        <w:rPr>
          <w:rFonts w:hint="eastAsia" w:cs="仿宋"/>
          <w:szCs w:val="24"/>
        </w:rPr>
        <w:t>%），具体情况如下：</w:t>
      </w:r>
    </w:p>
    <w:p>
      <w:pPr>
        <w:ind w:firstLine="480"/>
        <w:rPr>
          <w:rFonts w:cs="仿宋"/>
          <w:szCs w:val="24"/>
        </w:rPr>
      </w:pPr>
      <w:r>
        <w:rPr>
          <w:rFonts w:hint="eastAsia" w:cs="仿宋"/>
          <w:szCs w:val="24"/>
        </w:rPr>
        <w:t>202</w:t>
      </w:r>
      <w:r>
        <w:rPr>
          <w:rFonts w:cs="仿宋"/>
          <w:szCs w:val="24"/>
        </w:rPr>
        <w:t>2</w:t>
      </w:r>
      <w:r>
        <w:rPr>
          <w:rFonts w:hint="eastAsia" w:cs="仿宋"/>
          <w:szCs w:val="24"/>
        </w:rPr>
        <w:t>年度，住建局作为主管部门、寻甸城乡投资开发集团有限公司作为对外发包主体，云南建投第五建设有限公司、昆明市规划设计研究院、云南省城乡规划设计研究院、云南城市规划建筑设计院（集团）有限公司为项目</w:t>
      </w:r>
      <w:r>
        <w:rPr>
          <w:rFonts w:cs="仿宋"/>
          <w:szCs w:val="24"/>
        </w:rPr>
        <w:t>EPC总承包</w:t>
      </w:r>
      <w:r>
        <w:rPr>
          <w:rFonts w:hint="eastAsia" w:cs="仿宋"/>
          <w:szCs w:val="24"/>
        </w:rPr>
        <w:t>单位，在设计工期内及时完成项目新建钢带增强聚乙烯螺纹管DN400的54米、DN500的2595米；N800的1724米，</w:t>
      </w:r>
      <w:bookmarkStart w:id="83" w:name="_GoBack"/>
      <w:bookmarkEnd w:id="83"/>
      <w:r>
        <w:rPr>
          <w:rFonts w:hint="eastAsia" w:cs="仿宋"/>
          <w:szCs w:val="24"/>
          <w:lang w:eastAsia="zh-CN"/>
        </w:rPr>
        <w:t>混凝土</w:t>
      </w:r>
      <w:r>
        <w:rPr>
          <w:rFonts w:hint="eastAsia" w:cs="仿宋"/>
          <w:szCs w:val="24"/>
        </w:rPr>
        <w:t>沉泥井Ф1000的25座、Ф1250的10座、1200</w:t>
      </w:r>
      <w:bookmarkStart w:id="55" w:name="_Hlk144921193"/>
      <w:r>
        <w:rPr>
          <w:rFonts w:hint="eastAsia" w:cs="仿宋"/>
          <w:szCs w:val="24"/>
        </w:rPr>
        <w:t>×1200的41座</w:t>
      </w:r>
      <w:bookmarkEnd w:id="55"/>
      <w:r>
        <w:rPr>
          <w:rFonts w:hint="eastAsia" w:cs="仿宋"/>
          <w:szCs w:val="24"/>
        </w:rPr>
        <w:t>、</w:t>
      </w:r>
      <w:bookmarkStart w:id="56" w:name="_Hlk144921244"/>
      <w:r>
        <w:rPr>
          <w:rFonts w:hint="eastAsia" w:cs="仿宋"/>
          <w:szCs w:val="24"/>
        </w:rPr>
        <w:t>1000×1000的30座</w:t>
      </w:r>
      <w:bookmarkEnd w:id="56"/>
      <w:r>
        <w:rPr>
          <w:rFonts w:hint="eastAsia" w:cs="仿宋"/>
          <w:szCs w:val="24"/>
        </w:rPr>
        <w:t>；砖砌检查井1000×1000的3座、</w:t>
      </w:r>
      <w:r>
        <w:rPr>
          <w:rFonts w:hint="eastAsia" w:cs="仿宋"/>
          <w:szCs w:val="24"/>
          <w:lang w:eastAsia="zh-CN"/>
        </w:rPr>
        <w:t>混凝土</w:t>
      </w:r>
      <w:r>
        <w:rPr>
          <w:rFonts w:hint="eastAsia" w:cs="仿宋"/>
          <w:szCs w:val="24"/>
        </w:rPr>
        <w:t>检查井1000的4座，河道清淤量为25800余方，将河道排污口污水基本全部截入新建污水管，并于2023年1月6日经项目验收小组验收工程质量合格，并取得《云南省市政基础设施工程竣工验收合格证明书》市政验收-16号《竣工验收合规证明书》。</w:t>
      </w:r>
    </w:p>
    <w:p>
      <w:pPr>
        <w:ind w:firstLine="480"/>
        <w:rPr>
          <w:rFonts w:cs="仿宋"/>
          <w:szCs w:val="24"/>
        </w:rPr>
      </w:pPr>
      <w:r>
        <w:rPr>
          <w:rFonts w:hint="eastAsia" w:cs="仿宋"/>
          <w:szCs w:val="24"/>
        </w:rPr>
        <w:t>项目批复概算总投资为</w:t>
      </w:r>
      <w:r>
        <w:rPr>
          <w:rFonts w:cs="仿宋"/>
          <w:szCs w:val="24"/>
        </w:rPr>
        <w:t>2925.88万元，截止</w:t>
      </w:r>
      <w:r>
        <w:rPr>
          <w:rFonts w:hint="eastAsia" w:cs="仿宋"/>
          <w:szCs w:val="24"/>
        </w:rPr>
        <w:t>绩效评价现场工作结束</w:t>
      </w:r>
      <w:r>
        <w:rPr>
          <w:rFonts w:cs="仿宋"/>
          <w:szCs w:val="24"/>
        </w:rPr>
        <w:t>日，项目正在进行结算，无法提供施工方结算资料，无法判断项目实施总投入情况。从合同层面分析，该项目为EPC总承包合同，合同总价为9100万元</w:t>
      </w:r>
      <w:r>
        <w:rPr>
          <w:rFonts w:hint="eastAsia" w:cs="仿宋"/>
          <w:szCs w:val="24"/>
        </w:rPr>
        <w:t>，</w:t>
      </w:r>
      <w:r>
        <w:rPr>
          <w:rFonts w:cs="仿宋"/>
          <w:szCs w:val="24"/>
        </w:rPr>
        <w:t>包含寻甸县县城河道（兔耳河、北门河、西门河、四清河、三月三河）流域水环境污染综合治理工程，无法单独区分该子项目所占合同价款，从合同层面</w:t>
      </w:r>
      <w:r>
        <w:rPr>
          <w:rFonts w:hint="eastAsia" w:cs="仿宋"/>
          <w:szCs w:val="24"/>
        </w:rPr>
        <w:t>也</w:t>
      </w:r>
      <w:r>
        <w:rPr>
          <w:rFonts w:cs="仿宋"/>
          <w:szCs w:val="24"/>
        </w:rPr>
        <w:t>无法分析项目投入是否超概算。</w:t>
      </w:r>
    </w:p>
    <w:p>
      <w:pPr>
        <w:ind w:firstLine="480"/>
        <w:rPr>
          <w:rFonts w:ascii="楷体" w:hAnsi="楷体" w:eastAsia="楷体" w:cs="楷体"/>
          <w:szCs w:val="24"/>
        </w:rPr>
      </w:pPr>
      <w:r>
        <w:rPr>
          <w:rFonts w:hint="eastAsia" w:ascii="楷体" w:hAnsi="楷体" w:eastAsia="楷体" w:cs="楷体"/>
          <w:szCs w:val="24"/>
        </w:rPr>
        <w:t>(四)项目绩效情况分析</w:t>
      </w:r>
      <w:bookmarkEnd w:id="51"/>
      <w:bookmarkEnd w:id="52"/>
      <w:bookmarkStart w:id="57" w:name="_Toc498009787"/>
      <w:bookmarkStart w:id="58" w:name="_Toc502134870"/>
    </w:p>
    <w:p>
      <w:pPr>
        <w:ind w:firstLine="480"/>
        <w:rPr>
          <w:rFonts w:cs="仿宋"/>
          <w:szCs w:val="24"/>
        </w:rPr>
      </w:pPr>
      <w:r>
        <w:rPr>
          <w:rFonts w:hint="eastAsia" w:cs="仿宋"/>
          <w:szCs w:val="24"/>
        </w:rPr>
        <w:t>项目绩效指标满分30分，评价综合评分2</w:t>
      </w:r>
      <w:r>
        <w:rPr>
          <w:rFonts w:cs="仿宋"/>
          <w:szCs w:val="24"/>
        </w:rPr>
        <w:t>6.</w:t>
      </w:r>
      <w:r>
        <w:rPr>
          <w:rFonts w:hint="eastAsia" w:cs="仿宋"/>
          <w:szCs w:val="24"/>
          <w:lang w:val="en-US" w:eastAsia="zh-CN"/>
        </w:rPr>
        <w:t>3</w:t>
      </w:r>
      <w:r>
        <w:rPr>
          <w:rFonts w:cs="仿宋"/>
          <w:szCs w:val="24"/>
        </w:rPr>
        <w:t>6</w:t>
      </w:r>
      <w:r>
        <w:rPr>
          <w:rFonts w:hint="eastAsia" w:cs="仿宋"/>
          <w:szCs w:val="24"/>
        </w:rPr>
        <w:t>分（占该项满分值的</w:t>
      </w:r>
      <w:r>
        <w:rPr>
          <w:rFonts w:cs="仿宋"/>
          <w:szCs w:val="24"/>
        </w:rPr>
        <w:t>87.</w:t>
      </w:r>
      <w:r>
        <w:rPr>
          <w:rFonts w:hint="eastAsia" w:cs="仿宋"/>
          <w:szCs w:val="24"/>
          <w:lang w:val="en-US" w:eastAsia="zh-CN"/>
        </w:rPr>
        <w:t>87</w:t>
      </w:r>
      <w:r>
        <w:rPr>
          <w:rFonts w:hint="eastAsia" w:cs="仿宋"/>
          <w:szCs w:val="24"/>
        </w:rPr>
        <w:t>%），具体情况如下：</w:t>
      </w:r>
    </w:p>
    <w:bookmarkEnd w:id="57"/>
    <w:bookmarkEnd w:id="58"/>
    <w:p>
      <w:pPr>
        <w:ind w:firstLine="480"/>
      </w:pPr>
      <w:bookmarkStart w:id="59" w:name="_Toc502134871"/>
      <w:bookmarkStart w:id="60" w:name="_Toc498009788"/>
      <w:r>
        <w:rPr>
          <w:rFonts w:hint="eastAsia"/>
        </w:rPr>
        <w:t>通过项目的实施，对河道多年淤积堵塞的水体进行清淤改造，保护县城生态环境，促进县城可持续发展，使城市环境更加干净整洁，增强了人民群众的幸福感和获得感，实现了良好的社会效益和生态效益：</w:t>
      </w:r>
    </w:p>
    <w:p>
      <w:pPr>
        <w:ind w:firstLine="480"/>
      </w:pPr>
      <w:r>
        <w:rPr>
          <w:rFonts w:hint="eastAsia"/>
        </w:rPr>
        <w:t>1</w:t>
      </w:r>
      <w:r>
        <w:t>.</w:t>
      </w:r>
      <w:r>
        <w:rPr>
          <w:rFonts w:hint="eastAsia"/>
        </w:rPr>
        <w:t>截止绩效评价现场工作结束日，项目正在进行结算，无法提供结算资料，无法判断项目建安投资和项目总投入情况，无法分析建安工程费用和建设总投资的偏差率，暂无法判断超概的可能性。</w:t>
      </w:r>
    </w:p>
    <w:p>
      <w:pPr>
        <w:ind w:firstLine="480"/>
      </w:pPr>
      <w:r>
        <w:rPr>
          <w:rFonts w:hint="eastAsia"/>
        </w:rPr>
        <w:t>2</w:t>
      </w:r>
      <w:r>
        <w:t>.</w:t>
      </w:r>
      <w:r>
        <w:rPr>
          <w:rFonts w:hint="eastAsia"/>
        </w:rPr>
        <w:t>项目施工过程中规范施工程序，安全措施得力，未发生安全事故，建设单位基本按规定执行了项目法人制、监理制、招投标制、合同制的建设项目“四制”规范，项目基本建设程序执行基本规范，但未报批初设概算书。</w:t>
      </w:r>
    </w:p>
    <w:p>
      <w:pPr>
        <w:ind w:firstLine="480"/>
      </w:pPr>
      <w:r>
        <w:rPr>
          <w:rFonts w:hint="eastAsia"/>
        </w:rPr>
        <w:t>3</w:t>
      </w:r>
      <w:r>
        <w:t>.</w:t>
      </w:r>
      <w:r>
        <w:rPr>
          <w:rFonts w:hint="eastAsia"/>
        </w:rPr>
        <w:t>根据《寻甸回族彝族自治县城镇生活污水集中处理率指标证明材料》，</w:t>
      </w:r>
      <w:r>
        <w:t>2022年寻甸回族彝族自治县城镇生活污水排放总量666.41万吨，城镇污水处理厂生活污水处理量642.18万吨，城镇生活污水集中处理率96.36%。</w:t>
      </w:r>
    </w:p>
    <w:p>
      <w:pPr>
        <w:ind w:firstLine="480"/>
      </w:pPr>
      <w:r>
        <w:t>4.根据2023年1月-6月《水质检测报告》，经在线检测仪不间断监测，</w:t>
      </w:r>
      <w:r>
        <w:rPr>
          <w:rFonts w:hint="eastAsia"/>
        </w:rPr>
        <w:t>出</w:t>
      </w:r>
      <w:r>
        <w:t>水水质COD、BOD总氮、总磷、氨氮达到《城镇污水处理厂主要污染物排放限值》（DB5301/T43-2020)D级标准，其余指标均达到《城镇污水处理厂污染物排放标准》（GB18918-2022)以及A标，合格率为100%。</w:t>
      </w:r>
    </w:p>
    <w:p>
      <w:pPr>
        <w:ind w:firstLine="480"/>
      </w:pPr>
      <w:r>
        <w:t>5.根据寻甸县</w:t>
      </w:r>
      <w:bookmarkStart w:id="61" w:name="_Hlk144922286"/>
      <w:r>
        <w:t>城五条河（兔耳河、北门河、</w:t>
      </w:r>
      <w:r>
        <w:rPr>
          <w:rFonts w:hint="eastAsia"/>
        </w:rPr>
        <w:t>西门河、四清河、</w:t>
      </w:r>
      <w:r>
        <w:t>三月三河）截污治理工程项目</w:t>
      </w:r>
      <w:bookmarkEnd w:id="61"/>
      <w:r>
        <w:t>支出绩效评价满意度</w:t>
      </w:r>
      <w:r>
        <w:rPr>
          <w:rFonts w:hint="eastAsia"/>
        </w:rPr>
        <w:t>社会</w:t>
      </w:r>
      <w:r>
        <w:t>调查情况</w:t>
      </w:r>
      <w:r>
        <w:rPr>
          <w:rFonts w:hint="eastAsia"/>
        </w:rPr>
        <w:t>统计</w:t>
      </w:r>
      <w:r>
        <w:t>汇总，居民对河道环境改善满意度为86%，效果显著。</w:t>
      </w:r>
    </w:p>
    <w:p>
      <w:pPr>
        <w:ind w:firstLine="480"/>
      </w:pPr>
      <w:r>
        <w:rPr>
          <w:rFonts w:hint="eastAsia"/>
        </w:rPr>
        <w:t>通过对20份社会公众或服务对象满意度调查问卷统计分析，服务对象对住建局</w:t>
      </w:r>
      <w:bookmarkStart w:id="62" w:name="_Hlk144923361"/>
      <w:r>
        <w:rPr>
          <w:rFonts w:hint="eastAsia"/>
        </w:rPr>
        <w:t>县城五条河（兔耳河、北门河、西门河、四清河、三月三河）截污治理工程</w:t>
      </w:r>
      <w:bookmarkEnd w:id="62"/>
      <w:r>
        <w:rPr>
          <w:rFonts w:hint="eastAsia"/>
        </w:rPr>
        <w:t>项目开展情况的综合满意度为</w:t>
      </w:r>
      <w:r>
        <w:t>86.80%</w:t>
      </w:r>
      <w:r>
        <w:rPr>
          <w:rFonts w:hint="eastAsia"/>
        </w:rPr>
        <w:t>。</w:t>
      </w:r>
    </w:p>
    <w:p>
      <w:pPr>
        <w:ind w:firstLine="480"/>
        <w:rPr>
          <w:rFonts w:ascii="黑体" w:hAnsi="黑体" w:eastAsia="黑体" w:cs="黑体"/>
          <w:szCs w:val="24"/>
        </w:rPr>
      </w:pPr>
      <w:r>
        <w:rPr>
          <w:rFonts w:hint="eastAsia" w:ascii="黑体" w:hAnsi="黑体" w:eastAsia="黑体" w:cs="黑体"/>
          <w:szCs w:val="24"/>
        </w:rPr>
        <w:t>六、主要经验及做法</w:t>
      </w:r>
      <w:bookmarkEnd w:id="59"/>
      <w:bookmarkEnd w:id="60"/>
    </w:p>
    <w:p>
      <w:pPr>
        <w:ind w:firstLine="480"/>
        <w:rPr>
          <w:rFonts w:ascii="仿宋_GB2312" w:eastAsia="仿宋_GB2312" w:cs="仿宋"/>
          <w:szCs w:val="24"/>
        </w:rPr>
      </w:pPr>
      <w:bookmarkStart w:id="63" w:name="_Toc502134872"/>
      <w:bookmarkStart w:id="64" w:name="_Toc498009789"/>
      <w:r>
        <w:rPr>
          <w:rFonts w:hint="eastAsia" w:cs="仿宋"/>
          <w:szCs w:val="24"/>
        </w:rPr>
        <w:t>成立综合领导小组，统筹各项工作顺利推进，明确各单位及各组成人员职能职责，压实工作责任，按程序优选符合条件的监理、造价等技术中介进行全过程监督，对中标企业施工质量进行全过程监督，确保良好的工程质量。</w:t>
      </w:r>
    </w:p>
    <w:p>
      <w:pPr>
        <w:ind w:firstLine="480"/>
        <w:rPr>
          <w:rFonts w:ascii="黑体" w:hAnsi="黑体" w:eastAsia="黑体" w:cs="黑体"/>
          <w:szCs w:val="24"/>
        </w:rPr>
      </w:pPr>
      <w:r>
        <w:rPr>
          <w:rFonts w:hint="eastAsia" w:ascii="黑体" w:hAnsi="黑体" w:eastAsia="黑体" w:cs="黑体"/>
          <w:szCs w:val="24"/>
        </w:rPr>
        <w:t>七、存在的主要问题</w:t>
      </w:r>
      <w:bookmarkEnd w:id="63"/>
      <w:bookmarkEnd w:id="64"/>
    </w:p>
    <w:p>
      <w:pPr>
        <w:ind w:firstLine="480"/>
        <w:rPr>
          <w:rFonts w:ascii="楷体" w:hAnsi="楷体" w:eastAsia="楷体" w:cs="楷体"/>
          <w:bCs/>
          <w:szCs w:val="24"/>
        </w:rPr>
      </w:pPr>
      <w:bookmarkStart w:id="65" w:name="_Toc500202563"/>
      <w:bookmarkStart w:id="66" w:name="_Toc500440025"/>
      <w:bookmarkStart w:id="67" w:name="_Toc502134873"/>
      <w:bookmarkStart w:id="68" w:name="_Toc500589022"/>
      <w:bookmarkStart w:id="69" w:name="_Toc500364179"/>
      <w:bookmarkStart w:id="70" w:name="_Toc500849310"/>
      <w:r>
        <w:rPr>
          <w:rFonts w:ascii="楷体" w:hAnsi="楷体" w:eastAsia="楷体" w:cs="楷体"/>
          <w:bCs/>
          <w:szCs w:val="24"/>
        </w:rPr>
        <w:t>(一)</w:t>
      </w:r>
      <w:r>
        <w:rPr>
          <w:rFonts w:hint="eastAsia" w:ascii="楷体" w:hAnsi="楷体" w:eastAsia="楷体" w:cs="楷体"/>
          <w:bCs/>
          <w:szCs w:val="24"/>
        </w:rPr>
        <w:t>项目绩效</w:t>
      </w:r>
      <w:r>
        <w:rPr>
          <w:rFonts w:ascii="楷体" w:hAnsi="楷体" w:eastAsia="楷体" w:cs="楷体"/>
          <w:bCs/>
          <w:szCs w:val="24"/>
        </w:rPr>
        <w:t>目标管理不到位</w:t>
      </w:r>
    </w:p>
    <w:p>
      <w:pPr>
        <w:ind w:firstLine="480"/>
        <w:rPr>
          <w:rFonts w:cs="仿宋"/>
          <w:szCs w:val="24"/>
        </w:rPr>
      </w:pPr>
      <w:r>
        <w:rPr>
          <w:rFonts w:hint="eastAsia" w:cs="仿宋"/>
          <w:szCs w:val="24"/>
        </w:rPr>
        <w:t>住建</w:t>
      </w:r>
      <w:r>
        <w:rPr>
          <w:rFonts w:cs="仿宋"/>
          <w:szCs w:val="24"/>
        </w:rPr>
        <w:t>局</w:t>
      </w:r>
      <w:r>
        <w:rPr>
          <w:rFonts w:hint="eastAsia" w:cs="仿宋"/>
          <w:szCs w:val="24"/>
        </w:rPr>
        <w:t>预算申报</w:t>
      </w:r>
      <w:r>
        <w:rPr>
          <w:rFonts w:cs="仿宋"/>
          <w:szCs w:val="24"/>
        </w:rPr>
        <w:t>的</w:t>
      </w:r>
      <w:r>
        <w:rPr>
          <w:rFonts w:hint="eastAsia" w:cs="仿宋"/>
          <w:szCs w:val="24"/>
        </w:rPr>
        <w:t>项目总体目标和预算年度目标均为“完成县城五条河（兔耳河、北门河、西门河、四清河、三月三河）截污治理工程”，设定的绩效指标如下：</w:t>
      </w:r>
    </w:p>
    <w:tbl>
      <w:tblPr>
        <w:tblStyle w:val="7"/>
        <w:tblW w:w="84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294"/>
        <w:gridCol w:w="1985"/>
        <w:gridCol w:w="2794"/>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550" w:type="dxa"/>
            <w:vMerge w:val="restart"/>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绩效指标</w:t>
            </w:r>
          </w:p>
        </w:tc>
        <w:tc>
          <w:tcPr>
            <w:tcW w:w="1294"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一级指标</w:t>
            </w:r>
          </w:p>
        </w:tc>
        <w:tc>
          <w:tcPr>
            <w:tcW w:w="1985"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二级指标</w:t>
            </w:r>
          </w:p>
        </w:tc>
        <w:tc>
          <w:tcPr>
            <w:tcW w:w="2794"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三级指标</w:t>
            </w:r>
          </w:p>
        </w:tc>
        <w:tc>
          <w:tcPr>
            <w:tcW w:w="1782"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550" w:type="dxa"/>
            <w:vMerge w:val="continue"/>
            <w:tcBorders>
              <w:tl2br w:val="nil"/>
              <w:tr2bl w:val="nil"/>
            </w:tcBorders>
            <w:shd w:val="clear" w:color="auto" w:fill="auto"/>
            <w:vAlign w:val="center"/>
          </w:tcPr>
          <w:p>
            <w:pPr>
              <w:widowControl/>
              <w:spacing w:line="240" w:lineRule="auto"/>
              <w:ind w:firstLine="360"/>
              <w:jc w:val="center"/>
              <w:rPr>
                <w:rFonts w:asciiTheme="minorEastAsia" w:hAnsiTheme="minorEastAsia" w:eastAsiaTheme="minorEastAsia" w:cstheme="minorEastAsia"/>
                <w:color w:val="000000"/>
                <w:kern w:val="0"/>
                <w:sz w:val="18"/>
                <w:szCs w:val="18"/>
                <w:highlight w:val="yellow"/>
              </w:rPr>
            </w:pPr>
          </w:p>
        </w:tc>
        <w:tc>
          <w:tcPr>
            <w:tcW w:w="1294"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产出指标</w:t>
            </w:r>
          </w:p>
        </w:tc>
        <w:tc>
          <w:tcPr>
            <w:tcW w:w="1985"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成本指标</w:t>
            </w:r>
          </w:p>
        </w:tc>
        <w:tc>
          <w:tcPr>
            <w:tcW w:w="2794" w:type="dxa"/>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截污治理工程成本</w:t>
            </w:r>
          </w:p>
        </w:tc>
        <w:tc>
          <w:tcPr>
            <w:tcW w:w="1782" w:type="dxa"/>
            <w:tcBorders>
              <w:tl2br w:val="nil"/>
              <w:tr2bl w:val="nil"/>
            </w:tcBorders>
            <w:shd w:val="clear" w:color="auto" w:fill="auto"/>
            <w:vAlign w:val="center"/>
          </w:tcPr>
          <w:p>
            <w:pPr>
              <w:widowControl/>
              <w:spacing w:line="240" w:lineRule="auto"/>
              <w:ind w:firstLine="360"/>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r>
              <w:rPr>
                <w:rFonts w:asciiTheme="minorEastAsia" w:hAnsiTheme="minorEastAsia" w:eastAsiaTheme="minorEastAsia" w:cstheme="minorEastAsia"/>
                <w:color w:val="000000"/>
                <w:kern w:val="0"/>
                <w:sz w:val="18"/>
                <w:szCs w:val="18"/>
              </w:rPr>
              <w:t>1200</w:t>
            </w:r>
            <w:r>
              <w:rPr>
                <w:rFonts w:hint="eastAsia" w:asciiTheme="minorEastAsia" w:hAnsiTheme="minorEastAsia" w:eastAsiaTheme="minorEastAsia" w:cstheme="minorEastAsia"/>
                <w:color w:val="000000"/>
                <w:kern w:val="0"/>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550" w:type="dxa"/>
            <w:vMerge w:val="continue"/>
            <w:tcBorders>
              <w:tl2br w:val="nil"/>
              <w:tr2bl w:val="nil"/>
            </w:tcBorders>
            <w:shd w:val="clear" w:color="auto" w:fill="auto"/>
            <w:vAlign w:val="center"/>
          </w:tcPr>
          <w:p>
            <w:pPr>
              <w:widowControl/>
              <w:spacing w:line="240" w:lineRule="auto"/>
              <w:ind w:firstLine="360"/>
              <w:jc w:val="center"/>
              <w:rPr>
                <w:rFonts w:asciiTheme="minorEastAsia" w:hAnsiTheme="minorEastAsia" w:eastAsiaTheme="minorEastAsia" w:cstheme="minorEastAsia"/>
                <w:color w:val="000000"/>
                <w:kern w:val="0"/>
                <w:sz w:val="18"/>
                <w:szCs w:val="18"/>
                <w:highlight w:val="yellow"/>
              </w:rPr>
            </w:pPr>
          </w:p>
        </w:tc>
        <w:tc>
          <w:tcPr>
            <w:tcW w:w="1294"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效益指标</w:t>
            </w:r>
          </w:p>
        </w:tc>
        <w:tc>
          <w:tcPr>
            <w:tcW w:w="1985"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可持续影响指标</w:t>
            </w:r>
          </w:p>
        </w:tc>
        <w:tc>
          <w:tcPr>
            <w:tcW w:w="2794" w:type="dxa"/>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截污治理工程持续影响时间</w:t>
            </w:r>
          </w:p>
        </w:tc>
        <w:tc>
          <w:tcPr>
            <w:tcW w:w="1782"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550" w:type="dxa"/>
            <w:vMerge w:val="continue"/>
            <w:tcBorders>
              <w:tl2br w:val="nil"/>
              <w:tr2bl w:val="nil"/>
            </w:tcBorders>
            <w:shd w:val="clear" w:color="auto" w:fill="auto"/>
            <w:vAlign w:val="center"/>
          </w:tcPr>
          <w:p>
            <w:pPr>
              <w:widowControl/>
              <w:spacing w:line="240" w:lineRule="auto"/>
              <w:ind w:firstLine="360"/>
              <w:jc w:val="center"/>
              <w:rPr>
                <w:rFonts w:asciiTheme="minorEastAsia" w:hAnsiTheme="minorEastAsia" w:eastAsiaTheme="minorEastAsia" w:cstheme="minorEastAsia"/>
                <w:color w:val="000000"/>
                <w:kern w:val="0"/>
                <w:sz w:val="18"/>
                <w:szCs w:val="18"/>
                <w:highlight w:val="yellow"/>
              </w:rPr>
            </w:pPr>
          </w:p>
        </w:tc>
        <w:tc>
          <w:tcPr>
            <w:tcW w:w="1294" w:type="dxa"/>
            <w:tcBorders>
              <w:tl2br w:val="nil"/>
              <w:tr2bl w:val="nil"/>
            </w:tcBorders>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满意度指标</w:t>
            </w:r>
          </w:p>
        </w:tc>
        <w:tc>
          <w:tcPr>
            <w:tcW w:w="1985"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服务对象满意度指标</w:t>
            </w:r>
          </w:p>
        </w:tc>
        <w:tc>
          <w:tcPr>
            <w:tcW w:w="2794" w:type="dxa"/>
            <w:tcBorders>
              <w:tl2br w:val="nil"/>
              <w:tr2bl w:val="nil"/>
            </w:tcBorders>
            <w:shd w:val="clear" w:color="auto" w:fill="auto"/>
            <w:vAlign w:val="center"/>
          </w:tcPr>
          <w:p>
            <w:pPr>
              <w:widowControl/>
              <w:spacing w:line="240" w:lineRule="auto"/>
              <w:ind w:firstLine="0" w:firstLineChars="0"/>
              <w:jc w:val="left"/>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受益对象满意度</w:t>
            </w:r>
          </w:p>
        </w:tc>
        <w:tc>
          <w:tcPr>
            <w:tcW w:w="1782" w:type="dxa"/>
            <w:tcBorders>
              <w:tl2br w:val="nil"/>
              <w:tr2bl w:val="nil"/>
            </w:tcBorders>
            <w:shd w:val="clear" w:color="auto" w:fill="auto"/>
            <w:vAlign w:val="center"/>
          </w:tcPr>
          <w:p>
            <w:pPr>
              <w:widowControl/>
              <w:spacing w:line="240" w:lineRule="auto"/>
              <w:ind w:firstLine="0" w:firstLineChars="0"/>
              <w:jc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≥80%</w:t>
            </w:r>
          </w:p>
        </w:tc>
      </w:tr>
    </w:tbl>
    <w:p>
      <w:pPr>
        <w:ind w:firstLine="480"/>
        <w:rPr>
          <w:rFonts w:cs="仿宋"/>
          <w:szCs w:val="24"/>
        </w:rPr>
      </w:pPr>
      <w:r>
        <w:rPr>
          <w:rFonts w:hint="eastAsia" w:cs="仿宋"/>
          <w:szCs w:val="24"/>
        </w:rPr>
        <w:t>存在的主要问题：</w:t>
      </w:r>
    </w:p>
    <w:p>
      <w:pPr>
        <w:ind w:firstLine="456"/>
        <w:rPr>
          <w:rFonts w:cs="仿宋"/>
          <w:spacing w:val="-6"/>
          <w:szCs w:val="24"/>
        </w:rPr>
      </w:pPr>
      <w:r>
        <w:rPr>
          <w:rFonts w:hint="eastAsia" w:cs="仿宋"/>
          <w:spacing w:val="-6"/>
          <w:szCs w:val="24"/>
        </w:rPr>
        <w:t>1</w:t>
      </w:r>
      <w:r>
        <w:rPr>
          <w:rFonts w:cs="仿宋"/>
          <w:spacing w:val="-6"/>
          <w:szCs w:val="24"/>
        </w:rPr>
        <w:t>.</w:t>
      </w:r>
      <w:r>
        <w:rPr>
          <w:rFonts w:hint="eastAsia" w:cs="仿宋"/>
          <w:spacing w:val="-6"/>
          <w:szCs w:val="24"/>
        </w:rPr>
        <w:t>预算年度绩效目标设定不规范，未清晰明确项目实施内容及具体的工作数量。</w:t>
      </w:r>
    </w:p>
    <w:p>
      <w:pPr>
        <w:ind w:firstLine="480"/>
        <w:rPr>
          <w:rFonts w:cs="仿宋"/>
          <w:szCs w:val="24"/>
        </w:rPr>
      </w:pPr>
      <w:r>
        <w:rPr>
          <w:rFonts w:hint="eastAsia" w:cs="仿宋"/>
          <w:szCs w:val="24"/>
        </w:rPr>
        <w:t>2</w:t>
      </w:r>
      <w:r>
        <w:rPr>
          <w:rFonts w:cs="仿宋"/>
          <w:szCs w:val="24"/>
        </w:rPr>
        <w:t>.</w:t>
      </w:r>
      <w:bookmarkStart w:id="71" w:name="_Hlk144923860"/>
      <w:r>
        <w:rPr>
          <w:rFonts w:hint="eastAsia" w:cs="仿宋"/>
          <w:szCs w:val="24"/>
        </w:rPr>
        <w:t>产出指标设定不充分完整，</w:t>
      </w:r>
      <w:bookmarkEnd w:id="71"/>
      <w:r>
        <w:rPr>
          <w:rFonts w:hint="eastAsia" w:cs="仿宋"/>
          <w:szCs w:val="24"/>
        </w:rPr>
        <w:t>产出指标仅设定1个成本指标，未设定数量指标，未将项目的绩效目标细化分解为具体的工作任务和数量；未设定质量指标、完成及时效指标等产出指标，未就项目建设质量、建设时效及效率等方面设定产出指标。</w:t>
      </w:r>
    </w:p>
    <w:p>
      <w:pPr>
        <w:ind w:firstLine="480"/>
        <w:rPr>
          <w:rFonts w:cs="仿宋"/>
          <w:szCs w:val="24"/>
        </w:rPr>
      </w:pPr>
      <w:r>
        <w:rPr>
          <w:rFonts w:hint="eastAsia" w:cs="仿宋"/>
          <w:szCs w:val="24"/>
        </w:rPr>
        <w:t>3</w:t>
      </w:r>
      <w:r>
        <w:rPr>
          <w:rFonts w:cs="仿宋"/>
          <w:szCs w:val="24"/>
        </w:rPr>
        <w:t>.</w:t>
      </w:r>
      <w:r>
        <w:rPr>
          <w:rFonts w:hint="eastAsia" w:cs="仿宋"/>
          <w:szCs w:val="24"/>
        </w:rPr>
        <w:t>效益指标设定不充分完整，效益指标仅设定1个可持续性指标，未就项目建设对经济发展、社会发展、生态环境治理等方面，选取最能体现总体目标实现程度的关键性、最具代表性的绩效指标，未通过清晰、可衡量的指标及指标值细化、量化并分解项目总体目标。</w:t>
      </w:r>
    </w:p>
    <w:p>
      <w:pPr>
        <w:ind w:firstLine="480"/>
        <w:rPr>
          <w:rFonts w:cs="仿宋"/>
          <w:szCs w:val="24"/>
        </w:rPr>
      </w:pPr>
      <w:r>
        <w:rPr>
          <w:rFonts w:hint="eastAsia" w:cs="仿宋"/>
          <w:szCs w:val="24"/>
        </w:rPr>
        <w:t>上述情况不符合《中华人民共和国预算法》第三十二条“……各部门、各单位应当按照……以及绩效目标管理等预算编制规定，……编制本部门、本单位预算草案。”、《中共中央、国务院关于全面实施预算绩效管理的意见》（中发〔</w:t>
      </w:r>
      <w:r>
        <w:rPr>
          <w:rFonts w:cs="仿宋"/>
          <w:szCs w:val="24"/>
        </w:rPr>
        <w:t>2018〕34号）第四条第（七）项“强化绩效目标管理。各地区各部门编制预算时要……全面设置部门和单位整体绩效目标、政策及项目绩效目标。绩效目标不仅要包括产出、成本，还要包括经济效益、社会效益、生态效益、可持续影响和服务对象满意度等绩效指标。……。”</w:t>
      </w:r>
      <w:r>
        <w:rPr>
          <w:rFonts w:hint="eastAsia" w:cs="仿宋"/>
          <w:szCs w:val="24"/>
        </w:rPr>
        <w:t>和《云南省省级财政预算绩效目标管理暂行办法》（云财预〔</w:t>
      </w:r>
      <w:r>
        <w:rPr>
          <w:rFonts w:cs="仿宋"/>
          <w:szCs w:val="24"/>
        </w:rPr>
        <w:t>2015〕344号）第十二条“绩效指标是绩效目标的细化和量化，主要包括产出指标、效果指标和效率指标等。绩效指标应符合相关性、重要性、可比性、系统性、经济性要求。每一类型的绩效指标应有具体、细化、量化的绩效指标内容与之对应。”</w:t>
      </w:r>
      <w:r>
        <w:rPr>
          <w:rFonts w:hint="eastAsia" w:cs="仿宋"/>
          <w:szCs w:val="24"/>
        </w:rPr>
        <w:t>的规定。</w:t>
      </w:r>
    </w:p>
    <w:p>
      <w:pPr>
        <w:ind w:firstLine="480"/>
        <w:rPr>
          <w:rFonts w:ascii="楷体" w:hAnsi="楷体" w:eastAsia="楷体" w:cs="楷体"/>
          <w:bCs/>
          <w:szCs w:val="24"/>
        </w:rPr>
      </w:pPr>
      <w:r>
        <w:rPr>
          <w:rFonts w:hint="eastAsia" w:ascii="楷体" w:hAnsi="楷体" w:eastAsia="楷体" w:cs="楷体"/>
          <w:bCs/>
          <w:szCs w:val="24"/>
        </w:rPr>
        <w:t>(二</w:t>
      </w:r>
      <w:r>
        <w:rPr>
          <w:rFonts w:ascii="楷体" w:hAnsi="楷体" w:eastAsia="楷体" w:cs="楷体"/>
          <w:bCs/>
          <w:szCs w:val="24"/>
        </w:rPr>
        <w:t>)</w:t>
      </w:r>
      <w:bookmarkStart w:id="72" w:name="_Hlk144924703"/>
      <w:r>
        <w:rPr>
          <w:rFonts w:ascii="楷体" w:hAnsi="楷体" w:eastAsia="楷体" w:cs="楷体"/>
          <w:bCs/>
          <w:szCs w:val="24"/>
        </w:rPr>
        <w:t>账务核算</w:t>
      </w:r>
      <w:r>
        <w:rPr>
          <w:rFonts w:hint="eastAsia" w:ascii="楷体" w:hAnsi="楷体" w:eastAsia="楷体" w:cs="楷体"/>
          <w:bCs/>
          <w:szCs w:val="24"/>
        </w:rPr>
        <w:t>不规范</w:t>
      </w:r>
      <w:bookmarkEnd w:id="72"/>
    </w:p>
    <w:p>
      <w:pPr>
        <w:ind w:firstLine="480"/>
        <w:rPr>
          <w:rFonts w:cs="仿宋"/>
          <w:szCs w:val="24"/>
        </w:rPr>
      </w:pPr>
      <w:r>
        <w:rPr>
          <w:rFonts w:cs="仿宋"/>
          <w:szCs w:val="24"/>
        </w:rPr>
        <w:t>住建局在支付项目相关工程款及待摊费用时，账面借记“业务活动费用-商品和服务费用”，未记入“在建工程”核算</w:t>
      </w:r>
      <w:r>
        <w:rPr>
          <w:rFonts w:hint="eastAsia" w:cs="仿宋"/>
          <w:szCs w:val="24"/>
        </w:rPr>
        <w:t>，如：2</w:t>
      </w:r>
      <w:r>
        <w:rPr>
          <w:rFonts w:cs="仿宋"/>
          <w:szCs w:val="24"/>
        </w:rPr>
        <w:t>022</w:t>
      </w:r>
      <w:r>
        <w:rPr>
          <w:rFonts w:hint="eastAsia" w:cs="仿宋"/>
          <w:szCs w:val="24"/>
        </w:rPr>
        <w:t>年1</w:t>
      </w:r>
      <w:r>
        <w:rPr>
          <w:rFonts w:cs="仿宋"/>
          <w:szCs w:val="24"/>
        </w:rPr>
        <w:t>0</w:t>
      </w:r>
      <w:r>
        <w:rPr>
          <w:rFonts w:hint="eastAsia" w:cs="仿宋"/>
          <w:szCs w:val="24"/>
        </w:rPr>
        <w:t>月记账1</w:t>
      </w:r>
      <w:r>
        <w:rPr>
          <w:rFonts w:cs="仿宋"/>
          <w:szCs w:val="24"/>
        </w:rPr>
        <w:t>9</w:t>
      </w:r>
      <w:r>
        <w:rPr>
          <w:rFonts w:hint="eastAsia" w:cs="仿宋"/>
          <w:szCs w:val="24"/>
        </w:rPr>
        <w:t>号凭证“寻甸河道截污治理项目款”2</w:t>
      </w:r>
      <w:r>
        <w:rPr>
          <w:rFonts w:cs="仿宋"/>
          <w:szCs w:val="24"/>
        </w:rPr>
        <w:t>,500,000.00</w:t>
      </w:r>
      <w:r>
        <w:rPr>
          <w:rFonts w:hint="eastAsia" w:cs="仿宋"/>
          <w:szCs w:val="24"/>
        </w:rPr>
        <w:t>元，预算账记“行政支出”、财务账记“业务活动费”，</w:t>
      </w:r>
      <w:r>
        <w:rPr>
          <w:rFonts w:cs="仿宋"/>
          <w:szCs w:val="24"/>
        </w:rPr>
        <w:t>不符合《政府会计准则制度解释第2号》（财会〔2019〕24号）第八条第（一）项“基本建设项目应当由负责编报基本建设项目预决算的单位（即建设单位）作为会计核算主体。建设单位应当按照《政府会计制度》规定在相关会计科目下分项目对基本建设项目进行明细核算</w:t>
      </w:r>
      <w:r>
        <w:rPr>
          <w:rFonts w:hint="eastAsia" w:cs="仿宋"/>
          <w:szCs w:val="24"/>
        </w:rPr>
        <w:t>。”和《基本建设项目建设成本管理规定》（财建〔</w:t>
      </w:r>
      <w:r>
        <w:rPr>
          <w:rFonts w:cs="仿宋"/>
          <w:szCs w:val="24"/>
        </w:rPr>
        <w:t>2016〕504号）第二条“建筑安装工程投资支出是指基本建设项目（以下简称项目）建设单位按照批准的建设内容发生的建筑工程和安装工程的实际成本，其中不包括被安装设备本身的价值，以及按照合同规定支付给施工单位的预付备料款和预付工程款。”的规定。</w:t>
      </w:r>
    </w:p>
    <w:bookmarkEnd w:id="65"/>
    <w:bookmarkEnd w:id="66"/>
    <w:bookmarkEnd w:id="67"/>
    <w:bookmarkEnd w:id="68"/>
    <w:bookmarkEnd w:id="69"/>
    <w:bookmarkEnd w:id="70"/>
    <w:p>
      <w:pPr>
        <w:ind w:firstLine="480"/>
        <w:rPr>
          <w:rFonts w:ascii="黑体" w:hAnsi="黑体" w:eastAsia="黑体" w:cs="黑体"/>
          <w:szCs w:val="24"/>
        </w:rPr>
      </w:pPr>
      <w:bookmarkStart w:id="73" w:name="_Toc502134879"/>
      <w:bookmarkStart w:id="74" w:name="_Toc498009790"/>
      <w:r>
        <w:rPr>
          <w:rFonts w:hint="eastAsia" w:ascii="黑体" w:hAnsi="黑体" w:eastAsia="黑体" w:cs="黑体"/>
          <w:szCs w:val="24"/>
        </w:rPr>
        <w:t>八、建议</w:t>
      </w:r>
      <w:bookmarkEnd w:id="73"/>
      <w:bookmarkEnd w:id="74"/>
      <w:bookmarkStart w:id="75" w:name="_Toc500202569"/>
      <w:bookmarkStart w:id="76" w:name="_Toc500849317"/>
      <w:bookmarkStart w:id="77" w:name="_Toc500364185"/>
      <w:bookmarkStart w:id="78" w:name="_Toc502134880"/>
      <w:bookmarkStart w:id="79" w:name="_Toc500589028"/>
      <w:bookmarkStart w:id="80" w:name="_Toc500440031"/>
      <w:bookmarkStart w:id="81" w:name="_Toc498009791"/>
    </w:p>
    <w:bookmarkEnd w:id="75"/>
    <w:bookmarkEnd w:id="76"/>
    <w:bookmarkEnd w:id="77"/>
    <w:bookmarkEnd w:id="78"/>
    <w:bookmarkEnd w:id="79"/>
    <w:bookmarkEnd w:id="80"/>
    <w:p>
      <w:pPr>
        <w:ind w:firstLine="480"/>
        <w:rPr>
          <w:rFonts w:ascii="楷体" w:hAnsi="楷体" w:eastAsia="楷体" w:cs="仿宋"/>
          <w:szCs w:val="24"/>
        </w:rPr>
      </w:pPr>
      <w:bookmarkStart w:id="82" w:name="_Hlk143876661"/>
      <w:r>
        <w:rPr>
          <w:rFonts w:hint="eastAsia" w:ascii="楷体" w:hAnsi="楷体" w:eastAsia="楷体" w:cs="仿宋"/>
          <w:szCs w:val="24"/>
        </w:rPr>
        <w:t>(一)加强绩效评价结果应用</w:t>
      </w:r>
    </w:p>
    <w:p>
      <w:pPr>
        <w:ind w:firstLine="480"/>
        <w:rPr>
          <w:rFonts w:cs="仿宋"/>
          <w:szCs w:val="24"/>
        </w:rPr>
      </w:pPr>
      <w:r>
        <w:rPr>
          <w:rFonts w:hint="eastAsia" w:cs="仿宋"/>
          <w:szCs w:val="24"/>
        </w:rPr>
        <w:t>按照《中华人民共和国预算法》等法律法规的规定，在预算绩效审核、审批、监督检查时，切实将绩效评价结果作为下一年度预算安排及相关责任落实的依据之一。同时根据《中共中央、国务院关于全面实施预算绩效管理的意见》（中发〔</w:t>
      </w:r>
      <w:r>
        <w:rPr>
          <w:rFonts w:cs="仿宋"/>
          <w:szCs w:val="24"/>
        </w:rPr>
        <w:t>2018〕34号）第八条第（十八）项“……各级政府要将预算绩效结果纳入政府绩效和干部政绩考核体系，作为领导干部选拔任用、公务员考核的重要参考。……。”的规定，将绩效评价结果作为单位及单位相关负责人评优、评先、晋升、考核考评的必要依据之一。切实贯彻执行“预算编制有目标、预算执行有监控、预算完成有评价、评</w:t>
      </w:r>
      <w:r>
        <w:rPr>
          <w:rFonts w:hint="eastAsia" w:cs="仿宋"/>
          <w:szCs w:val="24"/>
        </w:rPr>
        <w:t>价结果有反馈、反馈结果有应用”和“谁用钱谁负责，用钱必问效，无效要问责”的预算绩效管理原则。</w:t>
      </w:r>
    </w:p>
    <w:p>
      <w:pPr>
        <w:ind w:firstLine="480"/>
        <w:rPr>
          <w:rFonts w:ascii="楷体" w:hAnsi="楷体" w:eastAsia="楷体" w:cs="仿宋"/>
          <w:szCs w:val="24"/>
        </w:rPr>
      </w:pPr>
      <w:r>
        <w:rPr>
          <w:rFonts w:ascii="楷体" w:hAnsi="楷体" w:eastAsia="楷体" w:cs="仿宋"/>
          <w:szCs w:val="24"/>
        </w:rPr>
        <w:t>(二)强化绩效目标管理主体责任</w:t>
      </w:r>
    </w:p>
    <w:p>
      <w:pPr>
        <w:ind w:firstLine="480"/>
        <w:rPr>
          <w:rFonts w:cs="仿宋"/>
          <w:szCs w:val="24"/>
        </w:rPr>
      </w:pPr>
      <w:r>
        <w:rPr>
          <w:rFonts w:hint="eastAsia" w:cs="仿宋"/>
          <w:szCs w:val="24"/>
        </w:rPr>
        <w:t>各部门、各单位在编制年度绩效目标时，应切实履行绩效目标管理主体责任，结合部门中长期规划、部门职能职责及年度的主要工作任务，梳理完善部门总体绩效目标和年度绩效目标，根据绩效目标确定具体的绩效指标，并设定清晰明确、规范完整、充分全面、最能体现总体目标实现程度的关键性、最具代表性、最能直接反映产出和效益的核心指标并明确具体指标值。</w:t>
      </w:r>
    </w:p>
    <w:p>
      <w:pPr>
        <w:ind w:firstLine="480"/>
        <w:rPr>
          <w:rFonts w:ascii="楷体" w:hAnsi="楷体" w:eastAsia="楷体" w:cs="仿宋"/>
          <w:szCs w:val="24"/>
        </w:rPr>
      </w:pPr>
      <w:r>
        <w:rPr>
          <w:rFonts w:ascii="楷体" w:hAnsi="楷体" w:eastAsia="楷体" w:cs="仿宋"/>
          <w:szCs w:val="24"/>
        </w:rPr>
        <w:t>(</w:t>
      </w:r>
      <w:r>
        <w:rPr>
          <w:rFonts w:hint="eastAsia" w:ascii="楷体" w:hAnsi="楷体" w:eastAsia="楷体" w:cs="仿宋"/>
          <w:szCs w:val="24"/>
        </w:rPr>
        <w:t>三</w:t>
      </w:r>
      <w:r>
        <w:rPr>
          <w:rFonts w:ascii="楷体" w:hAnsi="楷体" w:eastAsia="楷体" w:cs="仿宋"/>
          <w:szCs w:val="24"/>
        </w:rPr>
        <w:t>)加强学习，提高认识</w:t>
      </w:r>
    </w:p>
    <w:p>
      <w:pPr>
        <w:ind w:firstLine="480"/>
      </w:pPr>
      <w:r>
        <w:rPr>
          <w:rFonts w:hint="eastAsia" w:cs="仿宋"/>
          <w:szCs w:val="24"/>
        </w:rPr>
        <w:t>认真学习并严格按照《中华人民共和国预算法》、《中华人民共和国会计法》、《政府会计制度》、《政府会计准则》及运用指南和解释等系列法律法规，规范资金使用合规性和会计核算准确性。对项目具体实施单位资金使用、管理等情况进行有效的日常财务监控检查，保障项目资金合法合规使用，保证项目资金安全和专款专用。</w:t>
      </w:r>
      <w:bookmarkEnd w:id="81"/>
      <w:bookmarkEnd w:id="82"/>
    </w:p>
    <w:p>
      <w:pPr>
        <w:ind w:firstLine="480"/>
        <w:rPr>
          <w:rFonts w:cs="仿宋"/>
          <w:szCs w:val="24"/>
        </w:rPr>
      </w:pPr>
      <w:r>
        <w:rPr>
          <w:rFonts w:hint="eastAsia" w:cs="仿宋"/>
          <w:szCs w:val="24"/>
        </w:rPr>
        <w:t>(四</w:t>
      </w:r>
      <w:r>
        <w:rPr>
          <w:rFonts w:cs="仿宋"/>
          <w:szCs w:val="24"/>
        </w:rPr>
        <w:t>)</w:t>
      </w:r>
      <w:r>
        <w:rPr>
          <w:rFonts w:hint="eastAsia" w:cs="仿宋"/>
          <w:szCs w:val="24"/>
        </w:rPr>
        <w:t>对“账务核算不规范”的情况，建议住建局调整相关账务。</w:t>
      </w:r>
    </w:p>
    <w:p>
      <w:pPr>
        <w:ind w:firstLine="480"/>
        <w:rPr>
          <w:rFonts w:cs="仿宋"/>
          <w:szCs w:val="24"/>
        </w:rPr>
      </w:pPr>
    </w:p>
    <w:p>
      <w:pPr>
        <w:ind w:firstLine="480"/>
        <w:rPr>
          <w:rFonts w:cs="仿宋"/>
        </w:rPr>
      </w:pPr>
      <w:r>
        <w:rPr>
          <w:rFonts w:hint="eastAsia" w:cs="仿宋"/>
          <w:szCs w:val="24"/>
        </w:rPr>
        <w:t>附件：寻甸县城五条河（兔耳河、北门河、西门河、四清河、三月三河）截污治理工程项目支出绩效评价指标体系及评分表</w:t>
      </w:r>
    </w:p>
    <w:p>
      <w:pPr>
        <w:ind w:firstLine="480"/>
      </w:pPr>
    </w:p>
    <w:p>
      <w:pPr>
        <w:ind w:firstLine="424" w:firstLineChars="177"/>
        <w:rPr>
          <w:rFonts w:cs="仿宋"/>
        </w:rPr>
      </w:pPr>
      <w:r>
        <w:rPr>
          <w:rFonts w:hint="eastAsia" w:cs="仿宋"/>
        </w:rPr>
        <w:t xml:space="preserve">                           </w:t>
      </w:r>
    </w:p>
    <w:p>
      <w:pPr>
        <w:ind w:firstLine="0" w:firstLineChars="0"/>
        <w:rPr>
          <w:rFonts w:cs="仿宋"/>
          <w:szCs w:val="24"/>
        </w:rPr>
      </w:pPr>
      <w:r>
        <w:rPr>
          <w:rFonts w:hint="eastAsia" w:cs="仿宋"/>
          <w:szCs w:val="24"/>
        </w:rPr>
        <w:t>云南京健会计师事务所（普通合伙）        中国注册会计师：</w:t>
      </w:r>
    </w:p>
    <w:p>
      <w:pPr>
        <w:ind w:firstLine="480"/>
        <w:rPr>
          <w:rFonts w:cs="仿宋"/>
          <w:szCs w:val="24"/>
        </w:rPr>
      </w:pPr>
    </w:p>
    <w:p>
      <w:pPr>
        <w:ind w:firstLine="480"/>
        <w:rPr>
          <w:rFonts w:cs="仿宋"/>
          <w:szCs w:val="24"/>
        </w:rPr>
      </w:pPr>
    </w:p>
    <w:p>
      <w:pPr>
        <w:ind w:firstLine="1200" w:firstLineChars="500"/>
        <w:rPr>
          <w:rFonts w:cs="仿宋"/>
          <w:szCs w:val="24"/>
        </w:rPr>
      </w:pPr>
      <w:r>
        <w:rPr>
          <w:rFonts w:hint="eastAsia" w:cs="仿宋"/>
          <w:szCs w:val="24"/>
        </w:rPr>
        <w:t>中国•昆明                     中国注册会计师：</w:t>
      </w:r>
    </w:p>
    <w:p>
      <w:pPr>
        <w:pStyle w:val="4"/>
        <w:ind w:firstLine="480"/>
      </w:pPr>
    </w:p>
    <w:p>
      <w:pPr>
        <w:ind w:firstLine="480"/>
        <w:rPr>
          <w:rFonts w:ascii="仿宋_GB2312" w:hAnsi="仿宋_GB2312" w:eastAsia="仿宋_GB2312" w:cs="仿宋_GB2312"/>
          <w:highlight w:val="yellow"/>
        </w:rPr>
      </w:pPr>
      <w:r>
        <w:rPr>
          <w:rFonts w:hint="eastAsia" w:cs="仿宋"/>
          <w:szCs w:val="24"/>
        </w:rPr>
        <w:t xml:space="preserve">                              二〇二三年九月二十七日</w:t>
      </w:r>
    </w:p>
    <w:sectPr>
      <w:footerReference r:id="rId10" w:type="default"/>
      <w:pgSz w:w="11906" w:h="16838"/>
      <w:pgMar w:top="1440" w:right="1803" w:bottom="1440" w:left="1803" w:header="1020" w:footer="992" w:gutter="0"/>
      <w:pgBorders>
        <w:top w:val="single" w:color="auto" w:sz="4" w:space="1"/>
        <w:bottom w:val="single" w:color="auto" w:sz="4" w:space="1"/>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distribute"/>
      <w:rPr>
        <w:rFonts w:ascii="宋体" w:hAnsi="宋体" w:eastAsia="宋体" w:cs="宋体"/>
        <w:szCs w:val="21"/>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Cs w:val="21"/>
      </w:rPr>
      <mc:AlternateContent>
        <mc:Choice Requires="wps">
          <w:drawing>
            <wp:anchor distT="0" distB="0" distL="114300" distR="114300" simplePos="0" relativeHeight="251660288"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0288;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JzJXXaAAAACQEAAA8AAAAA&#10;AAAAAQAgAAAAIgAAAGRycy9kb3ducmV2LnhtbFBLAQIUABQAAAAIAIdO4kAUBbfxEgIAAAUEAAAO&#10;AAAAAAAAAAEAIAAAACkBAABkcnMvZTJvRG9jLnhtbFBLBQYAAAAABgAGAFkBAACtBQAAAAA=&#10;">
              <v:fill on="f" focussize="0,0"/>
              <v:stroke on="f" weight="0.5pt"/>
              <v:imagedata o:title=""/>
              <o:lock v:ext="edit" aspectratio="f"/>
              <v:textbox inset="0mm,0mm,0mm,0mm">
                <w:txbxContent>
                  <w:p>
                    <w:pPr>
                      <w:pStyle w:val="5"/>
                      <w:ind w:firstLine="360"/>
                    </w:pP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1312"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3" name="文本框 3"/>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pStyle w:val="5"/>
                            <w:ind w:firstLine="36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1312;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e+RtLXAAAACQEA&#10;AA8AAAAAAAAAAQAgAAAAIgAAAGRycy9kb3ducmV2LnhtbFBLAQIUABQAAAAIAIdO4kBNnmHFqQEA&#10;ADsDAAAOAAAAAAAAAAEAIAAAACYBAABkcnMvZTJvRG9jLnhtbFBLBQYAAAAABgAGAFkBAABBBQAA&#10;AAA=&#10;">
              <v:fill on="f" focussize="0,0"/>
              <v:stroke on="f"/>
              <v:imagedata o:title=""/>
              <o:lock v:ext="edit" aspectratio="f"/>
              <v:textbox inset="0mm,0mm,0mm,0mm">
                <w:txbxContent>
                  <w:p>
                    <w:pPr>
                      <w:pStyle w:val="5"/>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11</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5"/>
                      <w:ind w:firstLine="36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11</w:t>
                    </w:r>
                    <w:r>
                      <w:t xml:space="preserve"> 页</w:t>
                    </w:r>
                  </w:p>
                </w:txbxContent>
              </v:textbox>
            </v:shape>
          </w:pict>
        </mc:Fallback>
      </mc:AlternateContent>
    </w:r>
  </w:p>
  <w:p>
    <w:pPr>
      <w:spacing w:line="240" w:lineRule="auto"/>
      <w:ind w:firstLine="0" w:firstLineChars="0"/>
      <w:jc w:val="distribute"/>
      <w:rPr>
        <w:rFonts w:ascii="Calibri" w:hAnsi="Calibri" w:cs="Calibri"/>
        <w:sz w:val="18"/>
        <w:szCs w:val="18"/>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Cs w:val="21"/>
      </w:rPr>
      <mc:AlternateContent>
        <mc:Choice Requires="wps">
          <w:drawing>
            <wp:anchor distT="0" distB="0" distL="114300" distR="114300" simplePos="0" relativeHeight="251662336"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2336;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CcyV12gAAAAkBAAAPAAAA&#10;AAAAAAEAIAAAACIAAABkcnMvZG93bnJldi54bWxQSwECFAAUAAAACACHTuJAW/3IAxMCAAAFBAAA&#10;DgAAAAAAAAABACAAAAApAQAAZHJzL2Uyb0RvYy54bWxQSwUGAAAAAAYABgBZAQAArgUAAAAA&#10;">
              <v:fill on="f" focussize="0,0"/>
              <v:stroke on="f" weight="0.5pt"/>
              <v:imagedata o:title=""/>
              <o:lock v:ext="edit" aspectratio="f"/>
              <v:textbox inset="0mm,0mm,0mm,0mm">
                <w:txbxContent>
                  <w:p>
                    <w:pPr>
                      <w:pStyle w:val="5"/>
                      <w:ind w:firstLine="360"/>
                    </w:pP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3360"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6" name="文本框 6"/>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pStyle w:val="5"/>
                            <w:ind w:firstLine="36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3360;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e+RtLXAAAACQEA&#10;AA8AAAAAAAAAAQAgAAAAIgAAAGRycy9kb3ducmV2LnhtbFBLAQIUABQAAAAIAIdO4kCLHIPBqQEA&#10;ADsDAAAOAAAAAAAAAAEAIAAAACYBAABkcnMvZTJvRG9jLnhtbFBLBQYAAAAABgAGAFkBAABBBQAA&#10;AAA=&#10;">
              <v:fill on="f" focussize="0,0"/>
              <v:stroke on="f"/>
              <v:imagedata o:title=""/>
              <o:lock v:ext="edit" aspectratio="f"/>
              <v:textbox inset="0mm,0mm,0mm,0mm">
                <w:txbxContent>
                  <w:p>
                    <w:pPr>
                      <w:pStyle w:val="5"/>
                      <w:ind w:firstLine="360"/>
                    </w:pPr>
                  </w:p>
                </w:txbxContent>
              </v:textbox>
            </v:shape>
          </w:pict>
        </mc:Fallback>
      </mc:AlternateContent>
    </w:r>
    <w:r>
      <w:rPr>
        <w:rFonts w:ascii="Calibri" w:hAnsi="Calibri" w:cs="Calibri"/>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ind w:firstLine="36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11</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paJM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&#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DGpaJMPAgAACQQAAA4AAAAAAAAAAQAgAAAA&#10;HwEAAGRycy9lMm9Eb2MueG1sUEsFBgAAAAAGAAYAWQEAAKAFAAAAAA==&#10;">
              <v:fill on="f" focussize="0,0"/>
              <v:stroke on="f" weight="0.5pt"/>
              <v:imagedata o:title=""/>
              <o:lock v:ext="edit" aspectratio="f"/>
              <v:textbox inset="0mm,0mm,0mm,0mm" style="mso-fit-shape-to-text:t;">
                <w:txbxContent>
                  <w:p>
                    <w:pPr>
                      <w:pStyle w:val="5"/>
                      <w:ind w:firstLine="360"/>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11</w:t>
                    </w:r>
                    <w:r>
                      <w:t xml:space="preserve"> 页</w:t>
                    </w:r>
                  </w:p>
                </w:txbxContent>
              </v:textbox>
            </v:shape>
          </w:pict>
        </mc:Fallback>
      </mc:AlternateContent>
    </w:r>
  </w:p>
  <w:p>
    <w:pPr>
      <w:spacing w:line="240" w:lineRule="auto"/>
      <w:ind w:firstLine="0" w:firstLineChars="0"/>
      <w:jc w:val="distribute"/>
      <w:rPr>
        <w:rFonts w:ascii="Calibri" w:hAnsi="Calibri" w:cs="Calibri"/>
        <w:sz w:val="18"/>
        <w:szCs w:val="18"/>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Cs w:val="21"/>
      </w:rPr>
      <mc:AlternateContent>
        <mc:Choice Requires="wps">
          <w:drawing>
            <wp:anchor distT="0" distB="0" distL="114300" distR="114300" simplePos="0" relativeHeight="251667456"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67456;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nMlddoAAAAJAQAADwAA&#10;AAAAAAABACAAAAAiAAAAZHJzL2Rvd25yZXYueG1sUEsBAhQAFAAAAAgAh07iQJ4LkWEUAgAABwQA&#10;AA4AAAAAAAAAAQAgAAAAKQEAAGRycy9lMm9Eb2MueG1sUEsFBgAAAAAGAAYAWQEAAK8FAAAAAA==&#10;">
              <v:fill on="f" focussize="0,0"/>
              <v:stroke on="f" weight="0.5pt"/>
              <v:imagedata o:title=""/>
              <o:lock v:ext="edit" aspectratio="f"/>
              <v:textbox inset="0mm,0mm,0mm,0mm">
                <w:txbxContent>
                  <w:p>
                    <w:pPr>
                      <w:pStyle w:val="5"/>
                      <w:ind w:firstLine="360"/>
                    </w:pP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8480"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12" name="文本框 12"/>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pStyle w:val="5"/>
                            <w:ind w:firstLine="36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8480;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75G0tcAAAAJAQAA&#10;DwAAAAAAAAABACAAAAAiAAAAZHJzL2Rvd25yZXYueG1sUEsBAhQAFAAAAAgAh07iQArVbEaoAQAA&#10;PQMAAA4AAAAAAAAAAQAgAAAAJgEAAGRycy9lMm9Eb2MueG1sUEsFBgAAAAAGAAYAWQEAAEAFAAAA&#10;AA==&#10;">
              <v:fill on="f" focussize="0,0"/>
              <v:stroke on="f"/>
              <v:imagedata o:title=""/>
              <o:lock v:ext="edit" aspectratio="f"/>
              <v:textbox inset="0mm,0mm,0mm,0mm">
                <w:txbxContent>
                  <w:p>
                    <w:pPr>
                      <w:pStyle w:val="5"/>
                      <w:ind w:firstLine="360"/>
                    </w:pPr>
                  </w:p>
                </w:txbxContent>
              </v:textbox>
            </v:shape>
          </w:pict>
        </mc:Fallback>
      </mc:AlternateContent>
    </w:r>
    <w:r>
      <w:rPr>
        <w:rFonts w:ascii="Calibri" w:hAnsi="Calibri" w:cs="Calibri"/>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fill on="f" focussize="0,0"/>
              <v:stroke on="f" weight="0.5pt"/>
              <v:imagedata o:title=""/>
              <o:lock v:ext="edit" aspectratio="f"/>
              <v:textbox inset="0mm,0mm,0mm,0mm" style="mso-fit-shape-to-text:t;">
                <w:txbxContent>
                  <w:p>
                    <w:pPr>
                      <w:pStyle w:val="5"/>
                      <w:ind w:firstLine="36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auto"/>
      <w:ind w:firstLine="0" w:firstLineChars="0"/>
      <w:jc w:val="right"/>
      <w:rPr>
        <w:rFonts w:ascii="隶书" w:eastAsia="隶书"/>
        <w:sz w:val="21"/>
        <w:szCs w:val="21"/>
      </w:rPr>
    </w:pPr>
    <w:r>
      <w:rPr>
        <w:rFonts w:hint="eastAsia" w:ascii="隶书" w:eastAsia="隶书"/>
        <w:sz w:val="21"/>
        <w:szCs w:val="21"/>
      </w:rPr>
      <w:t>云南京健会计师事务所（普通合伙）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OTFhZjMxNmRiNmQ0MjdkN2EwMzk1OTU3ZGNmNDkifQ=="/>
  </w:docVars>
  <w:rsids>
    <w:rsidRoot w:val="00AE6716"/>
    <w:rsid w:val="00002219"/>
    <w:rsid w:val="00005169"/>
    <w:rsid w:val="00015509"/>
    <w:rsid w:val="00024B3C"/>
    <w:rsid w:val="00033BE3"/>
    <w:rsid w:val="00035A41"/>
    <w:rsid w:val="000B6965"/>
    <w:rsid w:val="000D1D34"/>
    <w:rsid w:val="000E2072"/>
    <w:rsid w:val="000E359B"/>
    <w:rsid w:val="000F72F8"/>
    <w:rsid w:val="00120B64"/>
    <w:rsid w:val="001239EA"/>
    <w:rsid w:val="00166060"/>
    <w:rsid w:val="001B0A62"/>
    <w:rsid w:val="001B1279"/>
    <w:rsid w:val="001E5BB7"/>
    <w:rsid w:val="001E74EE"/>
    <w:rsid w:val="001E7C37"/>
    <w:rsid w:val="00214176"/>
    <w:rsid w:val="002415BB"/>
    <w:rsid w:val="002715D8"/>
    <w:rsid w:val="00275F57"/>
    <w:rsid w:val="002C2048"/>
    <w:rsid w:val="002D2828"/>
    <w:rsid w:val="002F42E5"/>
    <w:rsid w:val="00326965"/>
    <w:rsid w:val="003712D1"/>
    <w:rsid w:val="00374C05"/>
    <w:rsid w:val="003756BB"/>
    <w:rsid w:val="003856E2"/>
    <w:rsid w:val="00391CCA"/>
    <w:rsid w:val="003935FA"/>
    <w:rsid w:val="003A1E68"/>
    <w:rsid w:val="003A2646"/>
    <w:rsid w:val="003A27F7"/>
    <w:rsid w:val="003B05DD"/>
    <w:rsid w:val="003C273F"/>
    <w:rsid w:val="003C53F8"/>
    <w:rsid w:val="003D11B6"/>
    <w:rsid w:val="00403F6D"/>
    <w:rsid w:val="0042036D"/>
    <w:rsid w:val="00422D75"/>
    <w:rsid w:val="00431574"/>
    <w:rsid w:val="004329B0"/>
    <w:rsid w:val="004A457C"/>
    <w:rsid w:val="004B0346"/>
    <w:rsid w:val="004D6964"/>
    <w:rsid w:val="00511D5C"/>
    <w:rsid w:val="00532715"/>
    <w:rsid w:val="00533749"/>
    <w:rsid w:val="00571DF9"/>
    <w:rsid w:val="00586C37"/>
    <w:rsid w:val="005927C2"/>
    <w:rsid w:val="005B2093"/>
    <w:rsid w:val="005C573E"/>
    <w:rsid w:val="005E6414"/>
    <w:rsid w:val="005E6E6C"/>
    <w:rsid w:val="00611E60"/>
    <w:rsid w:val="006149C5"/>
    <w:rsid w:val="00620C85"/>
    <w:rsid w:val="00640D04"/>
    <w:rsid w:val="0066613F"/>
    <w:rsid w:val="006703CD"/>
    <w:rsid w:val="0068706F"/>
    <w:rsid w:val="006B193F"/>
    <w:rsid w:val="006B4261"/>
    <w:rsid w:val="006C5BA8"/>
    <w:rsid w:val="006C798D"/>
    <w:rsid w:val="006E5D1A"/>
    <w:rsid w:val="006E6946"/>
    <w:rsid w:val="00731A35"/>
    <w:rsid w:val="00770054"/>
    <w:rsid w:val="007701F9"/>
    <w:rsid w:val="0077314F"/>
    <w:rsid w:val="007926C2"/>
    <w:rsid w:val="007A2B55"/>
    <w:rsid w:val="007B2524"/>
    <w:rsid w:val="007D06F9"/>
    <w:rsid w:val="007F143F"/>
    <w:rsid w:val="007F5A7A"/>
    <w:rsid w:val="008071AD"/>
    <w:rsid w:val="0083392F"/>
    <w:rsid w:val="008445D5"/>
    <w:rsid w:val="00854DF0"/>
    <w:rsid w:val="00861AF7"/>
    <w:rsid w:val="00864C20"/>
    <w:rsid w:val="008B0C94"/>
    <w:rsid w:val="008D6685"/>
    <w:rsid w:val="00913BC2"/>
    <w:rsid w:val="00932AF3"/>
    <w:rsid w:val="00932D0E"/>
    <w:rsid w:val="009444DF"/>
    <w:rsid w:val="009654AB"/>
    <w:rsid w:val="00971DE9"/>
    <w:rsid w:val="009850B8"/>
    <w:rsid w:val="009B15DF"/>
    <w:rsid w:val="009C0BE2"/>
    <w:rsid w:val="009F65C5"/>
    <w:rsid w:val="00A007BA"/>
    <w:rsid w:val="00A128DD"/>
    <w:rsid w:val="00A13752"/>
    <w:rsid w:val="00A1491F"/>
    <w:rsid w:val="00A22A0E"/>
    <w:rsid w:val="00A32982"/>
    <w:rsid w:val="00A4267B"/>
    <w:rsid w:val="00A46FBA"/>
    <w:rsid w:val="00A53BC4"/>
    <w:rsid w:val="00A579FF"/>
    <w:rsid w:val="00A65A75"/>
    <w:rsid w:val="00A929E4"/>
    <w:rsid w:val="00A975BA"/>
    <w:rsid w:val="00A978AE"/>
    <w:rsid w:val="00AC33F7"/>
    <w:rsid w:val="00AE21DE"/>
    <w:rsid w:val="00AE6716"/>
    <w:rsid w:val="00AE7FDF"/>
    <w:rsid w:val="00B01956"/>
    <w:rsid w:val="00B22112"/>
    <w:rsid w:val="00B35908"/>
    <w:rsid w:val="00B45F98"/>
    <w:rsid w:val="00B7097B"/>
    <w:rsid w:val="00B709E3"/>
    <w:rsid w:val="00B90069"/>
    <w:rsid w:val="00B95EE7"/>
    <w:rsid w:val="00BA7A3B"/>
    <w:rsid w:val="00BC4075"/>
    <w:rsid w:val="00BD2F72"/>
    <w:rsid w:val="00BF04C3"/>
    <w:rsid w:val="00C14398"/>
    <w:rsid w:val="00C36906"/>
    <w:rsid w:val="00C3762A"/>
    <w:rsid w:val="00C45671"/>
    <w:rsid w:val="00C56F4D"/>
    <w:rsid w:val="00C76CBF"/>
    <w:rsid w:val="00C91185"/>
    <w:rsid w:val="00C956F9"/>
    <w:rsid w:val="00CE2AD0"/>
    <w:rsid w:val="00CE3CC3"/>
    <w:rsid w:val="00D10B47"/>
    <w:rsid w:val="00D10C8C"/>
    <w:rsid w:val="00D12103"/>
    <w:rsid w:val="00D161F4"/>
    <w:rsid w:val="00D1717B"/>
    <w:rsid w:val="00D27FD0"/>
    <w:rsid w:val="00DB458C"/>
    <w:rsid w:val="00DB612D"/>
    <w:rsid w:val="00DD64BC"/>
    <w:rsid w:val="00DE7A9A"/>
    <w:rsid w:val="00DF49F8"/>
    <w:rsid w:val="00E42ADD"/>
    <w:rsid w:val="00E526BF"/>
    <w:rsid w:val="00E8619D"/>
    <w:rsid w:val="00E959D8"/>
    <w:rsid w:val="00EB637E"/>
    <w:rsid w:val="00EC0F7D"/>
    <w:rsid w:val="00EC490D"/>
    <w:rsid w:val="00ED5C39"/>
    <w:rsid w:val="00ED7D09"/>
    <w:rsid w:val="00F048D4"/>
    <w:rsid w:val="00F1335B"/>
    <w:rsid w:val="00F66CE9"/>
    <w:rsid w:val="00FB1D37"/>
    <w:rsid w:val="00FB218F"/>
    <w:rsid w:val="00FE4897"/>
    <w:rsid w:val="00FF2222"/>
    <w:rsid w:val="00FF60E9"/>
    <w:rsid w:val="010C6983"/>
    <w:rsid w:val="012C7DC0"/>
    <w:rsid w:val="012F3B23"/>
    <w:rsid w:val="01432CF3"/>
    <w:rsid w:val="01436F9F"/>
    <w:rsid w:val="01880A19"/>
    <w:rsid w:val="018C388B"/>
    <w:rsid w:val="01B65C30"/>
    <w:rsid w:val="01C64855"/>
    <w:rsid w:val="01E26F97"/>
    <w:rsid w:val="02151E80"/>
    <w:rsid w:val="022E0963"/>
    <w:rsid w:val="0257031E"/>
    <w:rsid w:val="02684EB4"/>
    <w:rsid w:val="026D72F2"/>
    <w:rsid w:val="02A02758"/>
    <w:rsid w:val="02A3463C"/>
    <w:rsid w:val="02A70805"/>
    <w:rsid w:val="02BC2BBA"/>
    <w:rsid w:val="02EA73E1"/>
    <w:rsid w:val="0307577D"/>
    <w:rsid w:val="035D2C9D"/>
    <w:rsid w:val="037F72BD"/>
    <w:rsid w:val="03BD28D6"/>
    <w:rsid w:val="045C346D"/>
    <w:rsid w:val="048A2A24"/>
    <w:rsid w:val="049401D8"/>
    <w:rsid w:val="04AC5FBE"/>
    <w:rsid w:val="04E77027"/>
    <w:rsid w:val="05145211"/>
    <w:rsid w:val="0521507F"/>
    <w:rsid w:val="055C6AE7"/>
    <w:rsid w:val="05634866"/>
    <w:rsid w:val="057F1E81"/>
    <w:rsid w:val="05FB5DC4"/>
    <w:rsid w:val="06186903"/>
    <w:rsid w:val="062A6E20"/>
    <w:rsid w:val="06404308"/>
    <w:rsid w:val="06790629"/>
    <w:rsid w:val="06A96071"/>
    <w:rsid w:val="06BD18CD"/>
    <w:rsid w:val="06DD1B0A"/>
    <w:rsid w:val="06DE5211"/>
    <w:rsid w:val="070077AC"/>
    <w:rsid w:val="07014EC2"/>
    <w:rsid w:val="074C6A10"/>
    <w:rsid w:val="075C167D"/>
    <w:rsid w:val="07A82C5C"/>
    <w:rsid w:val="07D475CA"/>
    <w:rsid w:val="07F53CEB"/>
    <w:rsid w:val="080C5426"/>
    <w:rsid w:val="081D15C4"/>
    <w:rsid w:val="08281E83"/>
    <w:rsid w:val="08310243"/>
    <w:rsid w:val="08932548"/>
    <w:rsid w:val="08BE1A5F"/>
    <w:rsid w:val="08E46646"/>
    <w:rsid w:val="095F41FF"/>
    <w:rsid w:val="09734E97"/>
    <w:rsid w:val="09790F31"/>
    <w:rsid w:val="097C2206"/>
    <w:rsid w:val="09811723"/>
    <w:rsid w:val="09943BCA"/>
    <w:rsid w:val="09BE3873"/>
    <w:rsid w:val="09D850BF"/>
    <w:rsid w:val="0A177A6F"/>
    <w:rsid w:val="0A9F4057"/>
    <w:rsid w:val="0ABE7C42"/>
    <w:rsid w:val="0AD41505"/>
    <w:rsid w:val="0B114150"/>
    <w:rsid w:val="0B2B5475"/>
    <w:rsid w:val="0B316DB7"/>
    <w:rsid w:val="0B45384A"/>
    <w:rsid w:val="0BFF1C88"/>
    <w:rsid w:val="0C016446"/>
    <w:rsid w:val="0C1D7C13"/>
    <w:rsid w:val="0C230B9E"/>
    <w:rsid w:val="0C45114E"/>
    <w:rsid w:val="0C4F19D8"/>
    <w:rsid w:val="0CC071D9"/>
    <w:rsid w:val="0CD226F8"/>
    <w:rsid w:val="0CD33493"/>
    <w:rsid w:val="0CED7F3F"/>
    <w:rsid w:val="0D4940A8"/>
    <w:rsid w:val="0D654235"/>
    <w:rsid w:val="0D831253"/>
    <w:rsid w:val="0DBA5E70"/>
    <w:rsid w:val="0DCA5DE1"/>
    <w:rsid w:val="0DE47989"/>
    <w:rsid w:val="0DFA4270"/>
    <w:rsid w:val="0E4873B8"/>
    <w:rsid w:val="0E62232C"/>
    <w:rsid w:val="0E69015E"/>
    <w:rsid w:val="0E6C554A"/>
    <w:rsid w:val="0E732050"/>
    <w:rsid w:val="0EA96822"/>
    <w:rsid w:val="0F201299"/>
    <w:rsid w:val="0F3026BC"/>
    <w:rsid w:val="0F4F24AB"/>
    <w:rsid w:val="0F6F0C3D"/>
    <w:rsid w:val="0FA554CA"/>
    <w:rsid w:val="102D258D"/>
    <w:rsid w:val="106C2346"/>
    <w:rsid w:val="106C7654"/>
    <w:rsid w:val="10762E0B"/>
    <w:rsid w:val="10A3523B"/>
    <w:rsid w:val="10A41CED"/>
    <w:rsid w:val="10AD2C55"/>
    <w:rsid w:val="10C43B87"/>
    <w:rsid w:val="11041BAB"/>
    <w:rsid w:val="110B1D5E"/>
    <w:rsid w:val="111D6972"/>
    <w:rsid w:val="11352493"/>
    <w:rsid w:val="11365128"/>
    <w:rsid w:val="1150050C"/>
    <w:rsid w:val="11686341"/>
    <w:rsid w:val="11CA17ED"/>
    <w:rsid w:val="11DA58D8"/>
    <w:rsid w:val="11E920D6"/>
    <w:rsid w:val="120A0F69"/>
    <w:rsid w:val="1225668C"/>
    <w:rsid w:val="122660D5"/>
    <w:rsid w:val="12320C01"/>
    <w:rsid w:val="1256332B"/>
    <w:rsid w:val="1283031A"/>
    <w:rsid w:val="128565DB"/>
    <w:rsid w:val="12DB208F"/>
    <w:rsid w:val="12ED67D7"/>
    <w:rsid w:val="12FC68FF"/>
    <w:rsid w:val="130C2193"/>
    <w:rsid w:val="130E3903"/>
    <w:rsid w:val="13166809"/>
    <w:rsid w:val="132922C3"/>
    <w:rsid w:val="13544641"/>
    <w:rsid w:val="13943B2C"/>
    <w:rsid w:val="13D5523A"/>
    <w:rsid w:val="13D656DB"/>
    <w:rsid w:val="13D7779C"/>
    <w:rsid w:val="13DF48A7"/>
    <w:rsid w:val="144D3492"/>
    <w:rsid w:val="144D747C"/>
    <w:rsid w:val="145A1383"/>
    <w:rsid w:val="14D5415A"/>
    <w:rsid w:val="14D9678B"/>
    <w:rsid w:val="14FC5A91"/>
    <w:rsid w:val="15AC577F"/>
    <w:rsid w:val="15EE2E40"/>
    <w:rsid w:val="16446A3C"/>
    <w:rsid w:val="16523EA2"/>
    <w:rsid w:val="16DD2D5E"/>
    <w:rsid w:val="16E01397"/>
    <w:rsid w:val="16EA3483"/>
    <w:rsid w:val="174C1CD5"/>
    <w:rsid w:val="1752026A"/>
    <w:rsid w:val="175A563C"/>
    <w:rsid w:val="179C442C"/>
    <w:rsid w:val="17D26242"/>
    <w:rsid w:val="186561F9"/>
    <w:rsid w:val="18736211"/>
    <w:rsid w:val="18772165"/>
    <w:rsid w:val="18B6616D"/>
    <w:rsid w:val="18E933C9"/>
    <w:rsid w:val="18FD2189"/>
    <w:rsid w:val="19250992"/>
    <w:rsid w:val="19BA7F53"/>
    <w:rsid w:val="19BE25D1"/>
    <w:rsid w:val="19EB2EA3"/>
    <w:rsid w:val="1A032ECE"/>
    <w:rsid w:val="1A17016E"/>
    <w:rsid w:val="1A1F29A8"/>
    <w:rsid w:val="1A2525EA"/>
    <w:rsid w:val="1A3C7AF1"/>
    <w:rsid w:val="1A3D12CC"/>
    <w:rsid w:val="1A545436"/>
    <w:rsid w:val="1A6C6495"/>
    <w:rsid w:val="1AE02712"/>
    <w:rsid w:val="1AE80A5A"/>
    <w:rsid w:val="1AEA56AB"/>
    <w:rsid w:val="1AF104DA"/>
    <w:rsid w:val="1B045886"/>
    <w:rsid w:val="1B082591"/>
    <w:rsid w:val="1B3E28E5"/>
    <w:rsid w:val="1B552716"/>
    <w:rsid w:val="1B6D5FA5"/>
    <w:rsid w:val="1B6F0F2D"/>
    <w:rsid w:val="1B79551A"/>
    <w:rsid w:val="1BA928F0"/>
    <w:rsid w:val="1C2D714A"/>
    <w:rsid w:val="1C6D0C27"/>
    <w:rsid w:val="1C6D274D"/>
    <w:rsid w:val="1C7707CD"/>
    <w:rsid w:val="1C906637"/>
    <w:rsid w:val="1CC9627E"/>
    <w:rsid w:val="1CD55A4A"/>
    <w:rsid w:val="1D0F7A8E"/>
    <w:rsid w:val="1D1B0AD1"/>
    <w:rsid w:val="1D221FDC"/>
    <w:rsid w:val="1D2F1285"/>
    <w:rsid w:val="1D3941A5"/>
    <w:rsid w:val="1D4C7ED3"/>
    <w:rsid w:val="1D7736C9"/>
    <w:rsid w:val="1D831AE5"/>
    <w:rsid w:val="1D8D6A3B"/>
    <w:rsid w:val="1D904FA5"/>
    <w:rsid w:val="1DC03EC1"/>
    <w:rsid w:val="1DD14027"/>
    <w:rsid w:val="1DE925A7"/>
    <w:rsid w:val="1E010BC0"/>
    <w:rsid w:val="1E2C4E59"/>
    <w:rsid w:val="1EB01ACB"/>
    <w:rsid w:val="1ED05892"/>
    <w:rsid w:val="1ED53D73"/>
    <w:rsid w:val="1EE8779D"/>
    <w:rsid w:val="1F4164DF"/>
    <w:rsid w:val="1F591721"/>
    <w:rsid w:val="1F6F6360"/>
    <w:rsid w:val="1F8B1E2F"/>
    <w:rsid w:val="1F91086F"/>
    <w:rsid w:val="1FE2356A"/>
    <w:rsid w:val="200244D1"/>
    <w:rsid w:val="201E59ED"/>
    <w:rsid w:val="2025021C"/>
    <w:rsid w:val="20356024"/>
    <w:rsid w:val="20536DBE"/>
    <w:rsid w:val="20694D65"/>
    <w:rsid w:val="20A14E27"/>
    <w:rsid w:val="20D30E0A"/>
    <w:rsid w:val="20D60287"/>
    <w:rsid w:val="20FC17FA"/>
    <w:rsid w:val="2114179F"/>
    <w:rsid w:val="21197B5A"/>
    <w:rsid w:val="216A2D40"/>
    <w:rsid w:val="21B96FEE"/>
    <w:rsid w:val="21C127EB"/>
    <w:rsid w:val="21CB0D2F"/>
    <w:rsid w:val="21E17F5C"/>
    <w:rsid w:val="21E23314"/>
    <w:rsid w:val="21EC0A72"/>
    <w:rsid w:val="21EF780B"/>
    <w:rsid w:val="221055AD"/>
    <w:rsid w:val="223F479F"/>
    <w:rsid w:val="223F5AC1"/>
    <w:rsid w:val="22583D0D"/>
    <w:rsid w:val="225F634C"/>
    <w:rsid w:val="229064AC"/>
    <w:rsid w:val="22C67807"/>
    <w:rsid w:val="22C92735"/>
    <w:rsid w:val="22CB5EF7"/>
    <w:rsid w:val="22E86417"/>
    <w:rsid w:val="230C5D84"/>
    <w:rsid w:val="231435FF"/>
    <w:rsid w:val="2325225E"/>
    <w:rsid w:val="23950F27"/>
    <w:rsid w:val="23B177E1"/>
    <w:rsid w:val="24211347"/>
    <w:rsid w:val="24310DD4"/>
    <w:rsid w:val="246D2625"/>
    <w:rsid w:val="248C6DDD"/>
    <w:rsid w:val="24900048"/>
    <w:rsid w:val="24BB522A"/>
    <w:rsid w:val="24F37529"/>
    <w:rsid w:val="24FF72D3"/>
    <w:rsid w:val="250F2C31"/>
    <w:rsid w:val="251E0472"/>
    <w:rsid w:val="2520642A"/>
    <w:rsid w:val="25286AA1"/>
    <w:rsid w:val="252B25EC"/>
    <w:rsid w:val="25364DC1"/>
    <w:rsid w:val="253C3631"/>
    <w:rsid w:val="25462E4B"/>
    <w:rsid w:val="258309B4"/>
    <w:rsid w:val="25862011"/>
    <w:rsid w:val="258C0E52"/>
    <w:rsid w:val="260D7D0C"/>
    <w:rsid w:val="261A1FEA"/>
    <w:rsid w:val="261C3DE4"/>
    <w:rsid w:val="263A71E2"/>
    <w:rsid w:val="26690FCD"/>
    <w:rsid w:val="26963F27"/>
    <w:rsid w:val="269B1693"/>
    <w:rsid w:val="26DF0CD6"/>
    <w:rsid w:val="26ED48AE"/>
    <w:rsid w:val="271B4099"/>
    <w:rsid w:val="278F4F46"/>
    <w:rsid w:val="27A01740"/>
    <w:rsid w:val="27C416DF"/>
    <w:rsid w:val="27EF7121"/>
    <w:rsid w:val="28192057"/>
    <w:rsid w:val="281D28B1"/>
    <w:rsid w:val="283519AE"/>
    <w:rsid w:val="283C3A8D"/>
    <w:rsid w:val="2884724B"/>
    <w:rsid w:val="28870583"/>
    <w:rsid w:val="28D97FCA"/>
    <w:rsid w:val="28E7113E"/>
    <w:rsid w:val="291B5803"/>
    <w:rsid w:val="292F68A9"/>
    <w:rsid w:val="294D2F40"/>
    <w:rsid w:val="29733142"/>
    <w:rsid w:val="29A033E8"/>
    <w:rsid w:val="29BC365E"/>
    <w:rsid w:val="2A1C5137"/>
    <w:rsid w:val="2A3E70CF"/>
    <w:rsid w:val="2A6B5300"/>
    <w:rsid w:val="2A871926"/>
    <w:rsid w:val="2AC250CD"/>
    <w:rsid w:val="2B3602D5"/>
    <w:rsid w:val="2B4E7485"/>
    <w:rsid w:val="2B80177F"/>
    <w:rsid w:val="2B90159F"/>
    <w:rsid w:val="2B993748"/>
    <w:rsid w:val="2BAE482F"/>
    <w:rsid w:val="2BBE1DE2"/>
    <w:rsid w:val="2BE36683"/>
    <w:rsid w:val="2BE90021"/>
    <w:rsid w:val="2C706F8B"/>
    <w:rsid w:val="2C9B3A25"/>
    <w:rsid w:val="2CC24680"/>
    <w:rsid w:val="2DA362F7"/>
    <w:rsid w:val="2DC42BAC"/>
    <w:rsid w:val="2DDB1185"/>
    <w:rsid w:val="2DDE1315"/>
    <w:rsid w:val="2E70008E"/>
    <w:rsid w:val="2E795570"/>
    <w:rsid w:val="2EAF6722"/>
    <w:rsid w:val="2EB4177E"/>
    <w:rsid w:val="2F32229C"/>
    <w:rsid w:val="2F474DB3"/>
    <w:rsid w:val="30065DDB"/>
    <w:rsid w:val="308D7FA8"/>
    <w:rsid w:val="30B1378E"/>
    <w:rsid w:val="30F14E48"/>
    <w:rsid w:val="30F25A6D"/>
    <w:rsid w:val="31202692"/>
    <w:rsid w:val="31202FD3"/>
    <w:rsid w:val="312A5619"/>
    <w:rsid w:val="31A23AE0"/>
    <w:rsid w:val="31C37AEC"/>
    <w:rsid w:val="32145CC4"/>
    <w:rsid w:val="32350A5C"/>
    <w:rsid w:val="32477ABF"/>
    <w:rsid w:val="325970B3"/>
    <w:rsid w:val="32CC0E3B"/>
    <w:rsid w:val="32DF1CBC"/>
    <w:rsid w:val="32E84C40"/>
    <w:rsid w:val="33656E24"/>
    <w:rsid w:val="33816DA8"/>
    <w:rsid w:val="33F469AE"/>
    <w:rsid w:val="340B3A91"/>
    <w:rsid w:val="34214870"/>
    <w:rsid w:val="345A637A"/>
    <w:rsid w:val="348D4052"/>
    <w:rsid w:val="34960E51"/>
    <w:rsid w:val="34B93037"/>
    <w:rsid w:val="34C2659C"/>
    <w:rsid w:val="34ED24C6"/>
    <w:rsid w:val="350911FE"/>
    <w:rsid w:val="35212153"/>
    <w:rsid w:val="3544533E"/>
    <w:rsid w:val="354C0B93"/>
    <w:rsid w:val="355B423F"/>
    <w:rsid w:val="357D6768"/>
    <w:rsid w:val="35BF3B38"/>
    <w:rsid w:val="35E23F6E"/>
    <w:rsid w:val="35EC067D"/>
    <w:rsid w:val="36215071"/>
    <w:rsid w:val="36314683"/>
    <w:rsid w:val="36472C7B"/>
    <w:rsid w:val="36753A20"/>
    <w:rsid w:val="36B0540D"/>
    <w:rsid w:val="36B326B4"/>
    <w:rsid w:val="36C17BFE"/>
    <w:rsid w:val="36CE2123"/>
    <w:rsid w:val="36D60122"/>
    <w:rsid w:val="36D9255D"/>
    <w:rsid w:val="37290822"/>
    <w:rsid w:val="373206A1"/>
    <w:rsid w:val="378E3DE6"/>
    <w:rsid w:val="37A32806"/>
    <w:rsid w:val="37D751E2"/>
    <w:rsid w:val="380B1DFE"/>
    <w:rsid w:val="38276F53"/>
    <w:rsid w:val="382E6775"/>
    <w:rsid w:val="385852A1"/>
    <w:rsid w:val="386F48E8"/>
    <w:rsid w:val="38A16914"/>
    <w:rsid w:val="38A718AB"/>
    <w:rsid w:val="38D91E08"/>
    <w:rsid w:val="38E0103A"/>
    <w:rsid w:val="38E063FB"/>
    <w:rsid w:val="38F230E0"/>
    <w:rsid w:val="393C79BC"/>
    <w:rsid w:val="3971570C"/>
    <w:rsid w:val="39945652"/>
    <w:rsid w:val="39B234B0"/>
    <w:rsid w:val="39CC0DE9"/>
    <w:rsid w:val="3A056E55"/>
    <w:rsid w:val="3A5860F9"/>
    <w:rsid w:val="3A896034"/>
    <w:rsid w:val="3A9F1F4F"/>
    <w:rsid w:val="3AA23B34"/>
    <w:rsid w:val="3AB45EB9"/>
    <w:rsid w:val="3AD018DF"/>
    <w:rsid w:val="3B013692"/>
    <w:rsid w:val="3B1667F3"/>
    <w:rsid w:val="3B3358B7"/>
    <w:rsid w:val="3B493B46"/>
    <w:rsid w:val="3B55625B"/>
    <w:rsid w:val="3B597FFC"/>
    <w:rsid w:val="3B660AEC"/>
    <w:rsid w:val="3B760DD2"/>
    <w:rsid w:val="3B86620D"/>
    <w:rsid w:val="3BB421DB"/>
    <w:rsid w:val="3BE552CD"/>
    <w:rsid w:val="3BF2764E"/>
    <w:rsid w:val="3C021C37"/>
    <w:rsid w:val="3C0540D6"/>
    <w:rsid w:val="3C24092A"/>
    <w:rsid w:val="3C693243"/>
    <w:rsid w:val="3C976231"/>
    <w:rsid w:val="3C9B25CD"/>
    <w:rsid w:val="3CAA0274"/>
    <w:rsid w:val="3D1746DC"/>
    <w:rsid w:val="3D237BE8"/>
    <w:rsid w:val="3D2C4D79"/>
    <w:rsid w:val="3D366EF4"/>
    <w:rsid w:val="3D4142F0"/>
    <w:rsid w:val="3D511084"/>
    <w:rsid w:val="3D642282"/>
    <w:rsid w:val="3D6F1615"/>
    <w:rsid w:val="3D7B5779"/>
    <w:rsid w:val="3D8A5584"/>
    <w:rsid w:val="3D9B2911"/>
    <w:rsid w:val="3D9C39EF"/>
    <w:rsid w:val="3DA235BF"/>
    <w:rsid w:val="3DB15E99"/>
    <w:rsid w:val="3DB46368"/>
    <w:rsid w:val="3DD8680E"/>
    <w:rsid w:val="3DFD5343"/>
    <w:rsid w:val="3E3062DB"/>
    <w:rsid w:val="3E850F52"/>
    <w:rsid w:val="3E9B2E8A"/>
    <w:rsid w:val="3E9F6A9D"/>
    <w:rsid w:val="3F1672F1"/>
    <w:rsid w:val="3F231079"/>
    <w:rsid w:val="3F4B41E0"/>
    <w:rsid w:val="3F592467"/>
    <w:rsid w:val="3F5D0E23"/>
    <w:rsid w:val="3F8245EF"/>
    <w:rsid w:val="3F8B2040"/>
    <w:rsid w:val="3F913ED2"/>
    <w:rsid w:val="3FAC1725"/>
    <w:rsid w:val="3FAD78C2"/>
    <w:rsid w:val="3FF47E41"/>
    <w:rsid w:val="400F00BB"/>
    <w:rsid w:val="405C3701"/>
    <w:rsid w:val="40615229"/>
    <w:rsid w:val="40733563"/>
    <w:rsid w:val="40B10190"/>
    <w:rsid w:val="40B74800"/>
    <w:rsid w:val="411613DD"/>
    <w:rsid w:val="41516E1E"/>
    <w:rsid w:val="416027A0"/>
    <w:rsid w:val="416E5398"/>
    <w:rsid w:val="418862CD"/>
    <w:rsid w:val="41A449A2"/>
    <w:rsid w:val="421B2713"/>
    <w:rsid w:val="42284FC8"/>
    <w:rsid w:val="42770C8F"/>
    <w:rsid w:val="429B2E0A"/>
    <w:rsid w:val="42AA5444"/>
    <w:rsid w:val="42F5056C"/>
    <w:rsid w:val="42FB7CE0"/>
    <w:rsid w:val="431112AD"/>
    <w:rsid w:val="43232F1C"/>
    <w:rsid w:val="433663BD"/>
    <w:rsid w:val="43561DE5"/>
    <w:rsid w:val="435E21EF"/>
    <w:rsid w:val="436B4467"/>
    <w:rsid w:val="43D9345F"/>
    <w:rsid w:val="440138B3"/>
    <w:rsid w:val="44154208"/>
    <w:rsid w:val="44394D1C"/>
    <w:rsid w:val="44406011"/>
    <w:rsid w:val="445451F2"/>
    <w:rsid w:val="44620BD2"/>
    <w:rsid w:val="446D7633"/>
    <w:rsid w:val="4488315B"/>
    <w:rsid w:val="4493471C"/>
    <w:rsid w:val="449C2C79"/>
    <w:rsid w:val="44B00229"/>
    <w:rsid w:val="44BE2144"/>
    <w:rsid w:val="44DF23A8"/>
    <w:rsid w:val="450736B6"/>
    <w:rsid w:val="45341CE2"/>
    <w:rsid w:val="4535198D"/>
    <w:rsid w:val="45532B45"/>
    <w:rsid w:val="45621D42"/>
    <w:rsid w:val="45630290"/>
    <w:rsid w:val="45934454"/>
    <w:rsid w:val="4595257E"/>
    <w:rsid w:val="459D705A"/>
    <w:rsid w:val="45C42CBF"/>
    <w:rsid w:val="45DA2707"/>
    <w:rsid w:val="460E2404"/>
    <w:rsid w:val="46162C84"/>
    <w:rsid w:val="462E0F20"/>
    <w:rsid w:val="465F798A"/>
    <w:rsid w:val="46AC1B1A"/>
    <w:rsid w:val="46B80FA9"/>
    <w:rsid w:val="46CD7454"/>
    <w:rsid w:val="46FD0BBA"/>
    <w:rsid w:val="473D6FFA"/>
    <w:rsid w:val="47620B5A"/>
    <w:rsid w:val="476A374A"/>
    <w:rsid w:val="47C33349"/>
    <w:rsid w:val="47E54BDD"/>
    <w:rsid w:val="47E62852"/>
    <w:rsid w:val="4809270E"/>
    <w:rsid w:val="48155FBD"/>
    <w:rsid w:val="484F1501"/>
    <w:rsid w:val="48616542"/>
    <w:rsid w:val="487C4B5B"/>
    <w:rsid w:val="488B3ADA"/>
    <w:rsid w:val="489578D5"/>
    <w:rsid w:val="48C756C4"/>
    <w:rsid w:val="48F347C2"/>
    <w:rsid w:val="48F40872"/>
    <w:rsid w:val="490910CB"/>
    <w:rsid w:val="49466876"/>
    <w:rsid w:val="49672FCD"/>
    <w:rsid w:val="497D1E37"/>
    <w:rsid w:val="49A21D84"/>
    <w:rsid w:val="49C079A0"/>
    <w:rsid w:val="49E56842"/>
    <w:rsid w:val="4A202CB3"/>
    <w:rsid w:val="4A4C0BBD"/>
    <w:rsid w:val="4A741CD0"/>
    <w:rsid w:val="4AB169D3"/>
    <w:rsid w:val="4AE523B5"/>
    <w:rsid w:val="4AFF1CE5"/>
    <w:rsid w:val="4AFF2850"/>
    <w:rsid w:val="4B2C2C5C"/>
    <w:rsid w:val="4B3948BD"/>
    <w:rsid w:val="4B542445"/>
    <w:rsid w:val="4B8633C6"/>
    <w:rsid w:val="4BAE6978"/>
    <w:rsid w:val="4BF85767"/>
    <w:rsid w:val="4C4609B9"/>
    <w:rsid w:val="4C6B50F5"/>
    <w:rsid w:val="4C7613FB"/>
    <w:rsid w:val="4C9A610C"/>
    <w:rsid w:val="4CAB4A57"/>
    <w:rsid w:val="4CAF036C"/>
    <w:rsid w:val="4CB545C0"/>
    <w:rsid w:val="4CBB7439"/>
    <w:rsid w:val="4CBE1C08"/>
    <w:rsid w:val="4CFA12DC"/>
    <w:rsid w:val="4D314101"/>
    <w:rsid w:val="4D317C9E"/>
    <w:rsid w:val="4D356131"/>
    <w:rsid w:val="4D521D49"/>
    <w:rsid w:val="4D5F31CA"/>
    <w:rsid w:val="4D635CDE"/>
    <w:rsid w:val="4D647E46"/>
    <w:rsid w:val="4D6B2FF6"/>
    <w:rsid w:val="4D7C15EC"/>
    <w:rsid w:val="4DA21BCB"/>
    <w:rsid w:val="4DA31278"/>
    <w:rsid w:val="4E022AED"/>
    <w:rsid w:val="4E0F5AA6"/>
    <w:rsid w:val="4E7B47FF"/>
    <w:rsid w:val="4E800E7B"/>
    <w:rsid w:val="4EC57FA6"/>
    <w:rsid w:val="4EDD2F85"/>
    <w:rsid w:val="4EE759E0"/>
    <w:rsid w:val="4EFB1785"/>
    <w:rsid w:val="4EFC0E40"/>
    <w:rsid w:val="4F073576"/>
    <w:rsid w:val="4F32383F"/>
    <w:rsid w:val="4F4201F9"/>
    <w:rsid w:val="4F596DC1"/>
    <w:rsid w:val="4F5B18B4"/>
    <w:rsid w:val="4F746E17"/>
    <w:rsid w:val="4F7E527E"/>
    <w:rsid w:val="4F9948BE"/>
    <w:rsid w:val="4F9A7281"/>
    <w:rsid w:val="4FAE6D31"/>
    <w:rsid w:val="4FB16A86"/>
    <w:rsid w:val="50114985"/>
    <w:rsid w:val="50173009"/>
    <w:rsid w:val="504B0595"/>
    <w:rsid w:val="508470D2"/>
    <w:rsid w:val="50CC2E3A"/>
    <w:rsid w:val="50E37FBB"/>
    <w:rsid w:val="516C1EC9"/>
    <w:rsid w:val="518F192B"/>
    <w:rsid w:val="51A35549"/>
    <w:rsid w:val="51C96CF8"/>
    <w:rsid w:val="51E16B22"/>
    <w:rsid w:val="51E71584"/>
    <w:rsid w:val="520134A4"/>
    <w:rsid w:val="52417CD3"/>
    <w:rsid w:val="525A2598"/>
    <w:rsid w:val="528D2D69"/>
    <w:rsid w:val="52A72CB9"/>
    <w:rsid w:val="52C645C7"/>
    <w:rsid w:val="5308234F"/>
    <w:rsid w:val="531A7701"/>
    <w:rsid w:val="533A7773"/>
    <w:rsid w:val="535A4036"/>
    <w:rsid w:val="535E0C0C"/>
    <w:rsid w:val="536F55E2"/>
    <w:rsid w:val="539A7C35"/>
    <w:rsid w:val="53EE2B63"/>
    <w:rsid w:val="541259A4"/>
    <w:rsid w:val="54221113"/>
    <w:rsid w:val="543625D7"/>
    <w:rsid w:val="54410718"/>
    <w:rsid w:val="5506526C"/>
    <w:rsid w:val="55497B99"/>
    <w:rsid w:val="556F44BF"/>
    <w:rsid w:val="557E0DC2"/>
    <w:rsid w:val="55981C1E"/>
    <w:rsid w:val="559E43DB"/>
    <w:rsid w:val="55CC0E83"/>
    <w:rsid w:val="5615080D"/>
    <w:rsid w:val="561574B3"/>
    <w:rsid w:val="56250D86"/>
    <w:rsid w:val="56684AD9"/>
    <w:rsid w:val="566A5330"/>
    <w:rsid w:val="567F26ED"/>
    <w:rsid w:val="568024C8"/>
    <w:rsid w:val="568F79BF"/>
    <w:rsid w:val="56A33FC4"/>
    <w:rsid w:val="56A763F2"/>
    <w:rsid w:val="56BE663C"/>
    <w:rsid w:val="56CD2153"/>
    <w:rsid w:val="56E75D17"/>
    <w:rsid w:val="56F312B5"/>
    <w:rsid w:val="56F74C0E"/>
    <w:rsid w:val="572B04F0"/>
    <w:rsid w:val="572B4176"/>
    <w:rsid w:val="57664E51"/>
    <w:rsid w:val="577603E3"/>
    <w:rsid w:val="5789602C"/>
    <w:rsid w:val="57D9376A"/>
    <w:rsid w:val="580649F2"/>
    <w:rsid w:val="58226B70"/>
    <w:rsid w:val="58230A94"/>
    <w:rsid w:val="58351BA6"/>
    <w:rsid w:val="584F5D9B"/>
    <w:rsid w:val="58795EFF"/>
    <w:rsid w:val="58835B9A"/>
    <w:rsid w:val="58B22CF9"/>
    <w:rsid w:val="58B840B1"/>
    <w:rsid w:val="58C67791"/>
    <w:rsid w:val="58F23A2C"/>
    <w:rsid w:val="58F33BD7"/>
    <w:rsid w:val="595950A7"/>
    <w:rsid w:val="5983654E"/>
    <w:rsid w:val="599B6043"/>
    <w:rsid w:val="59AB446D"/>
    <w:rsid w:val="5A1437A3"/>
    <w:rsid w:val="5A1F2A6A"/>
    <w:rsid w:val="5A321CCA"/>
    <w:rsid w:val="5A4031BD"/>
    <w:rsid w:val="5A742FCA"/>
    <w:rsid w:val="5A7557BC"/>
    <w:rsid w:val="5A7E34D5"/>
    <w:rsid w:val="5A801F1C"/>
    <w:rsid w:val="5AAB0EAB"/>
    <w:rsid w:val="5AC64458"/>
    <w:rsid w:val="5AD56AE1"/>
    <w:rsid w:val="5AF42D65"/>
    <w:rsid w:val="5AF96C92"/>
    <w:rsid w:val="5B6B2916"/>
    <w:rsid w:val="5B721AD3"/>
    <w:rsid w:val="5BA5390B"/>
    <w:rsid w:val="5BAF49EA"/>
    <w:rsid w:val="5BCF2B45"/>
    <w:rsid w:val="5BDC583E"/>
    <w:rsid w:val="5BDD7D44"/>
    <w:rsid w:val="5C2D62B3"/>
    <w:rsid w:val="5C331F55"/>
    <w:rsid w:val="5C37747F"/>
    <w:rsid w:val="5C3978AE"/>
    <w:rsid w:val="5C661078"/>
    <w:rsid w:val="5C7A4320"/>
    <w:rsid w:val="5C9167F0"/>
    <w:rsid w:val="5C930CB2"/>
    <w:rsid w:val="5CAE6718"/>
    <w:rsid w:val="5CED33FE"/>
    <w:rsid w:val="5CFE4B36"/>
    <w:rsid w:val="5D152663"/>
    <w:rsid w:val="5D250AE8"/>
    <w:rsid w:val="5D810B69"/>
    <w:rsid w:val="5D8562D6"/>
    <w:rsid w:val="5DA67B5E"/>
    <w:rsid w:val="5DB26B1C"/>
    <w:rsid w:val="5DC77A74"/>
    <w:rsid w:val="5DD80BA4"/>
    <w:rsid w:val="5DE65906"/>
    <w:rsid w:val="5DF10DD6"/>
    <w:rsid w:val="5E107A6E"/>
    <w:rsid w:val="5E240474"/>
    <w:rsid w:val="5E4A08B0"/>
    <w:rsid w:val="5E552402"/>
    <w:rsid w:val="5E581806"/>
    <w:rsid w:val="5EA954DA"/>
    <w:rsid w:val="5EF60C22"/>
    <w:rsid w:val="5F165F74"/>
    <w:rsid w:val="5F3E22C2"/>
    <w:rsid w:val="5F474EA9"/>
    <w:rsid w:val="5F8F3F9D"/>
    <w:rsid w:val="5FC33A72"/>
    <w:rsid w:val="5FE44BCC"/>
    <w:rsid w:val="5FFA3215"/>
    <w:rsid w:val="601278AE"/>
    <w:rsid w:val="602074C3"/>
    <w:rsid w:val="60342152"/>
    <w:rsid w:val="607F216A"/>
    <w:rsid w:val="609D0C9B"/>
    <w:rsid w:val="60D3361E"/>
    <w:rsid w:val="60F942D1"/>
    <w:rsid w:val="612912AD"/>
    <w:rsid w:val="613220FF"/>
    <w:rsid w:val="61446D7C"/>
    <w:rsid w:val="614B06AC"/>
    <w:rsid w:val="617C14DD"/>
    <w:rsid w:val="61B844A8"/>
    <w:rsid w:val="61D62E95"/>
    <w:rsid w:val="61D8581E"/>
    <w:rsid w:val="61FF2F13"/>
    <w:rsid w:val="622218C3"/>
    <w:rsid w:val="6222364C"/>
    <w:rsid w:val="6239511B"/>
    <w:rsid w:val="62473027"/>
    <w:rsid w:val="62641F1A"/>
    <w:rsid w:val="627B7180"/>
    <w:rsid w:val="6308246A"/>
    <w:rsid w:val="6308767C"/>
    <w:rsid w:val="63287634"/>
    <w:rsid w:val="63396070"/>
    <w:rsid w:val="634867D2"/>
    <w:rsid w:val="63525AAC"/>
    <w:rsid w:val="63531E3F"/>
    <w:rsid w:val="639768D2"/>
    <w:rsid w:val="63C05149"/>
    <w:rsid w:val="63F95E7B"/>
    <w:rsid w:val="64047A76"/>
    <w:rsid w:val="64107C83"/>
    <w:rsid w:val="641761B2"/>
    <w:rsid w:val="6429437B"/>
    <w:rsid w:val="648A2DED"/>
    <w:rsid w:val="64AA5921"/>
    <w:rsid w:val="64E965E9"/>
    <w:rsid w:val="64F613A1"/>
    <w:rsid w:val="64F70AF6"/>
    <w:rsid w:val="64FB67B9"/>
    <w:rsid w:val="650F0297"/>
    <w:rsid w:val="65311AE8"/>
    <w:rsid w:val="65372FB5"/>
    <w:rsid w:val="6579788B"/>
    <w:rsid w:val="658C582A"/>
    <w:rsid w:val="65A56F80"/>
    <w:rsid w:val="65CD5AEB"/>
    <w:rsid w:val="65D200C7"/>
    <w:rsid w:val="65D31262"/>
    <w:rsid w:val="65DE71F4"/>
    <w:rsid w:val="65E7615B"/>
    <w:rsid w:val="66067D88"/>
    <w:rsid w:val="662F3C78"/>
    <w:rsid w:val="66807846"/>
    <w:rsid w:val="66953C5B"/>
    <w:rsid w:val="669B2A9B"/>
    <w:rsid w:val="669F55F1"/>
    <w:rsid w:val="67157EB9"/>
    <w:rsid w:val="673B62F2"/>
    <w:rsid w:val="674F16A7"/>
    <w:rsid w:val="67906BAE"/>
    <w:rsid w:val="679D3EE7"/>
    <w:rsid w:val="67D36A56"/>
    <w:rsid w:val="67D56B92"/>
    <w:rsid w:val="67E036E9"/>
    <w:rsid w:val="67E5573D"/>
    <w:rsid w:val="683E687F"/>
    <w:rsid w:val="68430FB9"/>
    <w:rsid w:val="68C61A50"/>
    <w:rsid w:val="68E311B2"/>
    <w:rsid w:val="68FF3ACA"/>
    <w:rsid w:val="6900055E"/>
    <w:rsid w:val="690A6C79"/>
    <w:rsid w:val="69223AE7"/>
    <w:rsid w:val="69251ED4"/>
    <w:rsid w:val="692A4AFD"/>
    <w:rsid w:val="69326652"/>
    <w:rsid w:val="69347AF7"/>
    <w:rsid w:val="693A50E1"/>
    <w:rsid w:val="696E1979"/>
    <w:rsid w:val="69AA7B28"/>
    <w:rsid w:val="69B14B4E"/>
    <w:rsid w:val="69C175E5"/>
    <w:rsid w:val="69C56D45"/>
    <w:rsid w:val="69F57E4B"/>
    <w:rsid w:val="6A1221A1"/>
    <w:rsid w:val="6A233920"/>
    <w:rsid w:val="6A6366AE"/>
    <w:rsid w:val="6A8B6B18"/>
    <w:rsid w:val="6A9352A2"/>
    <w:rsid w:val="6A9A1577"/>
    <w:rsid w:val="6AA338E6"/>
    <w:rsid w:val="6AC86E77"/>
    <w:rsid w:val="6AF13C0D"/>
    <w:rsid w:val="6B5F4E4D"/>
    <w:rsid w:val="6B654FB0"/>
    <w:rsid w:val="6B6E1CA4"/>
    <w:rsid w:val="6BAF6941"/>
    <w:rsid w:val="6BCC1F13"/>
    <w:rsid w:val="6BD91EBE"/>
    <w:rsid w:val="6BE1101B"/>
    <w:rsid w:val="6C24259C"/>
    <w:rsid w:val="6C3219E1"/>
    <w:rsid w:val="6C5579CA"/>
    <w:rsid w:val="6C72726E"/>
    <w:rsid w:val="6CB44AB8"/>
    <w:rsid w:val="6CD509C5"/>
    <w:rsid w:val="6CE4138B"/>
    <w:rsid w:val="6CFA7874"/>
    <w:rsid w:val="6D514C03"/>
    <w:rsid w:val="6D69125F"/>
    <w:rsid w:val="6DA76031"/>
    <w:rsid w:val="6DA81CE8"/>
    <w:rsid w:val="6DBE17E3"/>
    <w:rsid w:val="6DCC1FAB"/>
    <w:rsid w:val="6DE537AC"/>
    <w:rsid w:val="6E096EF8"/>
    <w:rsid w:val="6E160574"/>
    <w:rsid w:val="6E816BBF"/>
    <w:rsid w:val="6E9134A9"/>
    <w:rsid w:val="6ED5286B"/>
    <w:rsid w:val="6F1A7E1A"/>
    <w:rsid w:val="6F314155"/>
    <w:rsid w:val="6FF85E6E"/>
    <w:rsid w:val="700A48AB"/>
    <w:rsid w:val="70245076"/>
    <w:rsid w:val="704E5507"/>
    <w:rsid w:val="705A51FE"/>
    <w:rsid w:val="70935E14"/>
    <w:rsid w:val="70A4763A"/>
    <w:rsid w:val="70B22023"/>
    <w:rsid w:val="70D45314"/>
    <w:rsid w:val="70DB1C8A"/>
    <w:rsid w:val="717B1403"/>
    <w:rsid w:val="71A147B9"/>
    <w:rsid w:val="71D842FA"/>
    <w:rsid w:val="71E65CC9"/>
    <w:rsid w:val="71F00255"/>
    <w:rsid w:val="721434B7"/>
    <w:rsid w:val="725F33BF"/>
    <w:rsid w:val="72651EB0"/>
    <w:rsid w:val="729C267B"/>
    <w:rsid w:val="72B23E6D"/>
    <w:rsid w:val="72C251F0"/>
    <w:rsid w:val="72D87B33"/>
    <w:rsid w:val="72DD5B9E"/>
    <w:rsid w:val="72F54E01"/>
    <w:rsid w:val="731A2D6E"/>
    <w:rsid w:val="73374395"/>
    <w:rsid w:val="7366202F"/>
    <w:rsid w:val="737A786F"/>
    <w:rsid w:val="73B461E3"/>
    <w:rsid w:val="73B604ED"/>
    <w:rsid w:val="73EE50F4"/>
    <w:rsid w:val="740D3F11"/>
    <w:rsid w:val="741257AC"/>
    <w:rsid w:val="742B1612"/>
    <w:rsid w:val="7441199D"/>
    <w:rsid w:val="74420B02"/>
    <w:rsid w:val="745C550C"/>
    <w:rsid w:val="74A064AE"/>
    <w:rsid w:val="74D46B08"/>
    <w:rsid w:val="74D96958"/>
    <w:rsid w:val="74FE6B71"/>
    <w:rsid w:val="74FE774A"/>
    <w:rsid w:val="75023274"/>
    <w:rsid w:val="75184790"/>
    <w:rsid w:val="75577D7F"/>
    <w:rsid w:val="755D5C19"/>
    <w:rsid w:val="757022FB"/>
    <w:rsid w:val="75A15325"/>
    <w:rsid w:val="75B2473D"/>
    <w:rsid w:val="75C03D91"/>
    <w:rsid w:val="75EF6235"/>
    <w:rsid w:val="75F71F3B"/>
    <w:rsid w:val="763563F5"/>
    <w:rsid w:val="766D57C1"/>
    <w:rsid w:val="76801850"/>
    <w:rsid w:val="769714F7"/>
    <w:rsid w:val="76AC2318"/>
    <w:rsid w:val="76BC6C30"/>
    <w:rsid w:val="76E17F51"/>
    <w:rsid w:val="76E83D9B"/>
    <w:rsid w:val="76F7624B"/>
    <w:rsid w:val="772571D5"/>
    <w:rsid w:val="7730088B"/>
    <w:rsid w:val="77411D56"/>
    <w:rsid w:val="774839AC"/>
    <w:rsid w:val="77605E1A"/>
    <w:rsid w:val="77742983"/>
    <w:rsid w:val="77800D5D"/>
    <w:rsid w:val="77827BF3"/>
    <w:rsid w:val="778B633D"/>
    <w:rsid w:val="7793327E"/>
    <w:rsid w:val="77C232DA"/>
    <w:rsid w:val="77D973E1"/>
    <w:rsid w:val="77EA3464"/>
    <w:rsid w:val="78021C7B"/>
    <w:rsid w:val="780C1E19"/>
    <w:rsid w:val="786B70AF"/>
    <w:rsid w:val="78760913"/>
    <w:rsid w:val="7881477B"/>
    <w:rsid w:val="788F38A7"/>
    <w:rsid w:val="78A46720"/>
    <w:rsid w:val="78AD0AA4"/>
    <w:rsid w:val="78FD09AB"/>
    <w:rsid w:val="79010BD2"/>
    <w:rsid w:val="79017261"/>
    <w:rsid w:val="79346435"/>
    <w:rsid w:val="796608A4"/>
    <w:rsid w:val="7999176C"/>
    <w:rsid w:val="79AB2DAA"/>
    <w:rsid w:val="79B661E6"/>
    <w:rsid w:val="79CA7D83"/>
    <w:rsid w:val="79F12D18"/>
    <w:rsid w:val="7A461590"/>
    <w:rsid w:val="7A506505"/>
    <w:rsid w:val="7A6822EA"/>
    <w:rsid w:val="7A814BA2"/>
    <w:rsid w:val="7A88510B"/>
    <w:rsid w:val="7A942566"/>
    <w:rsid w:val="7AAC5343"/>
    <w:rsid w:val="7B4D10C0"/>
    <w:rsid w:val="7B5E19E1"/>
    <w:rsid w:val="7B8D502D"/>
    <w:rsid w:val="7BD0668B"/>
    <w:rsid w:val="7BD55037"/>
    <w:rsid w:val="7BEA41E2"/>
    <w:rsid w:val="7C1C27D8"/>
    <w:rsid w:val="7C230E82"/>
    <w:rsid w:val="7C304BF8"/>
    <w:rsid w:val="7C461A40"/>
    <w:rsid w:val="7C5C2009"/>
    <w:rsid w:val="7C655175"/>
    <w:rsid w:val="7C6D71FD"/>
    <w:rsid w:val="7C7E2620"/>
    <w:rsid w:val="7C8243CE"/>
    <w:rsid w:val="7C9902EC"/>
    <w:rsid w:val="7C9B318C"/>
    <w:rsid w:val="7CCE3276"/>
    <w:rsid w:val="7CCE4670"/>
    <w:rsid w:val="7CDD6CC4"/>
    <w:rsid w:val="7D341239"/>
    <w:rsid w:val="7D374E9E"/>
    <w:rsid w:val="7D477545"/>
    <w:rsid w:val="7D617FEB"/>
    <w:rsid w:val="7D6C6C25"/>
    <w:rsid w:val="7D82688C"/>
    <w:rsid w:val="7D936B21"/>
    <w:rsid w:val="7DB41EC3"/>
    <w:rsid w:val="7E141252"/>
    <w:rsid w:val="7E930BA3"/>
    <w:rsid w:val="7E985166"/>
    <w:rsid w:val="7EFE7213"/>
    <w:rsid w:val="7F171BCC"/>
    <w:rsid w:val="7F37013C"/>
    <w:rsid w:val="7F401C7A"/>
    <w:rsid w:val="7F5F1232"/>
    <w:rsid w:val="7F7316D3"/>
    <w:rsid w:val="7F755C75"/>
    <w:rsid w:val="7FA119C3"/>
    <w:rsid w:val="7FA3150B"/>
    <w:rsid w:val="7FC239A0"/>
    <w:rsid w:val="7FEB5D35"/>
    <w:rsid w:val="7FEB6D9F"/>
    <w:rsid w:val="7FF84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仿宋" w:hAnsi="仿宋" w:eastAsia="仿宋" w:cstheme="minorBidi"/>
      <w:kern w:val="2"/>
      <w:sz w:val="24"/>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9"/>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正文文本 字符"/>
    <w:basedOn w:val="8"/>
    <w:link w:val="4"/>
    <w:qFormat/>
    <w:uiPriority w:val="99"/>
    <w:rPr>
      <w:rFonts w:asciiTheme="minorHAnsi" w:hAnsiTheme="minorHAnsi" w:eastAsiaTheme="minorEastAsia" w:cstheme="minorBidi"/>
      <w:kern w:val="2"/>
      <w:sz w:val="21"/>
      <w:szCs w:val="22"/>
    </w:rPr>
  </w:style>
  <w:style w:type="character" w:customStyle="1" w:styleId="10">
    <w:name w:val="标题 1 字符"/>
    <w:basedOn w:val="8"/>
    <w:link w:val="2"/>
    <w:qFormat/>
    <w:uiPriority w:val="0"/>
    <w:rPr>
      <w:rFonts w:asciiTheme="minorHAnsi" w:hAnsiTheme="minorHAnsi" w:eastAsiaTheme="minorEastAsia" w:cstheme="minorBidi"/>
      <w:b/>
      <w:bCs/>
      <w:kern w:val="44"/>
      <w:sz w:val="44"/>
      <w:szCs w:val="44"/>
    </w:rPr>
  </w:style>
  <w:style w:type="paragraph" w:customStyle="1" w:styleId="11">
    <w:name w:val="TOC 标题1"/>
    <w:basedOn w:val="2"/>
    <w:next w:val="1"/>
    <w:semiHidden/>
    <w:unhideWhenUsed/>
    <w:qFormat/>
    <w:uiPriority w:val="39"/>
    <w:pPr>
      <w:outlineLvl w:val="9"/>
    </w:pPr>
    <w:rPr>
      <w:rFonts w:ascii="Times New Roman" w:hAnsi="Times New Roman" w:eastAsia="宋体" w:cs="Times New Roman"/>
    </w:rPr>
  </w:style>
  <w:style w:type="paragraph" w:customStyle="1" w:styleId="12">
    <w:name w:val="TOC 标题11"/>
    <w:basedOn w:val="2"/>
    <w:next w:val="1"/>
    <w:semiHidden/>
    <w:unhideWhenUsed/>
    <w:qFormat/>
    <w:uiPriority w:val="39"/>
    <w:pPr>
      <w:outlineLvl w:val="9"/>
    </w:pPr>
    <w:rPr>
      <w:rFonts w:ascii="Times New Roman" w:hAnsi="Times New Roman" w:eastAsia="宋体" w:cs="Times New Roman"/>
    </w:rPr>
  </w:style>
  <w:style w:type="paragraph" w:styleId="13">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1395</Words>
  <Characters>7954</Characters>
  <Lines>66</Lines>
  <Paragraphs>18</Paragraphs>
  <TotalTime>1</TotalTime>
  <ScaleCrop>false</ScaleCrop>
  <LinksUpToDate>false</LinksUpToDate>
  <CharactersWithSpaces>9331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2020-08-18T02:52:00Z</dcterms:created>
  <dc:creator>de'l'l</dc:creator>
  <cp:lastModifiedBy>Administrator</cp:lastModifiedBy>
  <cp:lastPrinted>2022-09-27T01:49:00Z</cp:lastPrinted>
  <dcterms:modified xsi:type="dcterms:W3CDTF">2023-11-13T05:28:55Z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917B0DEB66CA4A32A88CB425E200C9D1_13</vt:lpwstr>
  </property>
</Properties>
</file>